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394"/>
      </w:tblGrid>
      <w:tr w:rsidR="003C3FF8" w:rsidRPr="00943687" w:rsidTr="00DE4E43">
        <w:tc>
          <w:tcPr>
            <w:tcW w:w="4395" w:type="dxa"/>
          </w:tcPr>
          <w:p w:rsidR="003A40E3" w:rsidRPr="00943687" w:rsidRDefault="003A40E3" w:rsidP="005406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3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РЕСПУБЛИКАНСКОЕ</w:t>
            </w:r>
          </w:p>
          <w:p w:rsidR="003A40E3" w:rsidRPr="00943687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3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ГОСУДАРСТВЕННОЕ УЧРЕЖДЕНИЕ</w:t>
            </w:r>
          </w:p>
          <w:p w:rsidR="003A40E3" w:rsidRPr="00943687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943687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«АГЕНТСТВО </w:t>
            </w:r>
          </w:p>
          <w:p w:rsidR="003A40E3" w:rsidRPr="00943687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</w:pPr>
            <w:r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РЕСПУБЛИКИ КАЗАХСТАН ПО РЕГУЛИРОВАНИЮ И РАЗВИТИЮ ФИНАНСОВОГО РЫНКА»</w:t>
            </w:r>
          </w:p>
        </w:tc>
        <w:tc>
          <w:tcPr>
            <w:tcW w:w="1701" w:type="dxa"/>
          </w:tcPr>
          <w:p w:rsidR="003A40E3" w:rsidRPr="00943687" w:rsidRDefault="003A40E3" w:rsidP="004001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</w:pPr>
            <w:r w:rsidRPr="00943687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4FC3FEB2" wp14:editId="2D0EC995">
                  <wp:extent cx="819150" cy="807797"/>
                  <wp:effectExtent l="0" t="0" r="0" b="0"/>
                  <wp:docPr id="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43" cy="828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A40E3" w:rsidRPr="00943687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3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РЕСПУБЛИКАНСКОЕ </w:t>
            </w:r>
          </w:p>
          <w:p w:rsidR="003A40E3" w:rsidRPr="00943687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3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ГОСУДАРСТВЕННОЕ</w:t>
            </w:r>
            <w:r w:rsidR="00A33B6A" w:rsidRPr="00943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43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  <w:p w:rsidR="003A40E3" w:rsidRPr="00943687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A40E3" w:rsidRPr="00943687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«НАЦИОНАЛЬНЫЙ БАНК</w:t>
            </w:r>
          </w:p>
          <w:p w:rsidR="003A40E3" w:rsidRPr="00943687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</w:pPr>
            <w:r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РЕСПУБЛИКИ КАЗАХСТАН»</w:t>
            </w:r>
          </w:p>
        </w:tc>
      </w:tr>
      <w:tr w:rsidR="003C3FF8" w:rsidRPr="00943687" w:rsidTr="00DE4E43">
        <w:tc>
          <w:tcPr>
            <w:tcW w:w="4395" w:type="dxa"/>
          </w:tcPr>
          <w:p w:rsidR="00A33B6A" w:rsidRPr="00943687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943687" w:rsidRDefault="006255AE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28 апреля</w:t>
            </w:r>
            <w:r w:rsidR="00A33B6A"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202</w:t>
            </w:r>
            <w:r w:rsidR="00B11AAA"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A33B6A"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  <w:p w:rsidR="00A33B6A" w:rsidRPr="00943687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="006255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9973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A33B6A" w:rsidRPr="00943687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943687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город Алматы</w:t>
            </w:r>
          </w:p>
        </w:tc>
        <w:tc>
          <w:tcPr>
            <w:tcW w:w="1701" w:type="dxa"/>
          </w:tcPr>
          <w:p w:rsidR="00A33B6A" w:rsidRPr="00943687" w:rsidRDefault="00A33B6A" w:rsidP="00400198">
            <w:pPr>
              <w:overflowPunct w:val="0"/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lang w:eastAsia="ru-RU"/>
              </w:rPr>
            </w:pPr>
          </w:p>
        </w:tc>
        <w:tc>
          <w:tcPr>
            <w:tcW w:w="4394" w:type="dxa"/>
          </w:tcPr>
          <w:p w:rsidR="00A33B6A" w:rsidRPr="00943687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943687" w:rsidRDefault="006255AE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F0E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апреля</w:t>
            </w:r>
            <w:r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33B6A"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B11AAA"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A33B6A"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  <w:p w:rsidR="00A33B6A" w:rsidRPr="00943687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="006255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973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A33B6A" w:rsidRPr="00943687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943687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3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город Астана</w:t>
            </w:r>
          </w:p>
        </w:tc>
      </w:tr>
    </w:tbl>
    <w:p w:rsidR="00700A07" w:rsidRDefault="00700A07" w:rsidP="0040019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0"/>
          <w:lang w:eastAsia="ru-RU"/>
        </w:rPr>
      </w:pPr>
    </w:p>
    <w:p w:rsidR="001C514E" w:rsidRPr="00943687" w:rsidRDefault="001C514E" w:rsidP="0040019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</w:p>
    <w:p w:rsidR="00EE667D" w:rsidRPr="00943687" w:rsidRDefault="00EE667D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  <w:r w:rsidRPr="009436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 xml:space="preserve">СОВМЕСТНОЕ ПОСТАНОВЛЕНИЕ </w:t>
      </w:r>
    </w:p>
    <w:p w:rsidR="00A826FC" w:rsidRPr="00A826FC" w:rsidRDefault="00A826FC" w:rsidP="00A826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  <w:bookmarkStart w:id="0" w:name="_Hlk170895626"/>
      <w:r w:rsidRPr="00A826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 xml:space="preserve">Правления Агентства Республики Казахстан по регулированию и развитию финансового рынка и Правления Национального Банка Республики Казахстан </w:t>
      </w:r>
    </w:p>
    <w:p w:rsidR="006D6016" w:rsidRPr="00943687" w:rsidRDefault="00A826FC" w:rsidP="00A826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  <w:r w:rsidRPr="00A826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>«</w:t>
      </w:r>
      <w:r w:rsidR="003454F3" w:rsidRPr="003454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>Об утверждении Правил совершения банком с универсальной банковской лицензией, исламским банком, филиалом банка – нерезидента Республики Казахстан и филиалом исламского банка – нерезидента Республики Казахстан сделок с цифровыми финансовыми активами</w:t>
      </w:r>
      <w:r w:rsidRPr="00A826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>»</w:t>
      </w:r>
    </w:p>
    <w:p w:rsidR="00BB4C8F" w:rsidRDefault="00BB4C8F" w:rsidP="00CA702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1" w:name="z4"/>
      <w:bookmarkEnd w:id="0"/>
    </w:p>
    <w:p w:rsidR="006255AE" w:rsidRPr="00943687" w:rsidRDefault="006255AE" w:rsidP="00CA702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bookmarkEnd w:id="1"/>
    <w:p w:rsidR="009973F5" w:rsidRPr="009973F5" w:rsidRDefault="009973F5" w:rsidP="009973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973F5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частями третей и четвертой пункта 4 и частью второй пункта 10 статьи 23 Закона 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 и Правление Национального Банка Республики Казахстан </w:t>
      </w:r>
      <w:r w:rsidRPr="009973F5">
        <w:rPr>
          <w:rFonts w:ascii="Times New Roman" w:hAnsi="Times New Roman" w:cs="Times New Roman"/>
          <w:b/>
          <w:color w:val="000000" w:themeColor="text1"/>
          <w:sz w:val="28"/>
        </w:rPr>
        <w:t>ПОСТАНОВЛЯЮТ</w:t>
      </w:r>
      <w:r w:rsidRPr="009973F5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9973F5" w:rsidRPr="009973F5" w:rsidRDefault="009973F5" w:rsidP="009973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973F5">
        <w:rPr>
          <w:rFonts w:ascii="Times New Roman" w:hAnsi="Times New Roman" w:cs="Times New Roman"/>
          <w:color w:val="000000" w:themeColor="text1"/>
          <w:sz w:val="28"/>
        </w:rPr>
        <w:t>1. Утвердить прилагаемые Правила совершения банком с универсальной банковской лицензией, исламским банком, филиалом банка – нерезидента Республики Казахстан и филиалом исламского банка – нерезидента Республики Казахстан сделок с цифровыми финансовыми активами.</w:t>
      </w:r>
    </w:p>
    <w:p w:rsidR="009973F5" w:rsidRPr="009973F5" w:rsidRDefault="009973F5" w:rsidP="009973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973F5">
        <w:rPr>
          <w:rFonts w:ascii="Times New Roman" w:hAnsi="Times New Roman" w:cs="Times New Roman"/>
          <w:color w:val="000000" w:themeColor="text1"/>
          <w:sz w:val="28"/>
        </w:rPr>
        <w:t xml:space="preserve">2. Департаменту методологии и пруденциального регулирования финансовых организаций Агентства Республики Казахстан по регулированию </w:t>
      </w:r>
      <w:r w:rsidR="009E5D62">
        <w:rPr>
          <w:rFonts w:ascii="Times New Roman" w:hAnsi="Times New Roman" w:cs="Times New Roman"/>
          <w:color w:val="000000" w:themeColor="text1"/>
          <w:sz w:val="28"/>
        </w:rPr>
        <w:br/>
      </w:r>
      <w:r w:rsidRPr="009973F5">
        <w:rPr>
          <w:rFonts w:ascii="Times New Roman" w:hAnsi="Times New Roman" w:cs="Times New Roman"/>
          <w:color w:val="000000" w:themeColor="text1"/>
          <w:sz w:val="28"/>
        </w:rPr>
        <w:t>и развитию финансового рынка в установленном законодательством Республики Казахстан порядке обеспечить:</w:t>
      </w:r>
    </w:p>
    <w:p w:rsidR="009973F5" w:rsidRPr="009973F5" w:rsidRDefault="009973F5" w:rsidP="009973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973F5">
        <w:rPr>
          <w:rFonts w:ascii="Times New Roman" w:hAnsi="Times New Roman" w:cs="Times New Roman"/>
          <w:color w:val="000000" w:themeColor="text1"/>
          <w:sz w:val="28"/>
        </w:rPr>
        <w:t>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p w:rsidR="009973F5" w:rsidRPr="009973F5" w:rsidRDefault="009973F5" w:rsidP="009973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973F5">
        <w:rPr>
          <w:rFonts w:ascii="Times New Roman" w:hAnsi="Times New Roman" w:cs="Times New Roman"/>
          <w:color w:val="000000" w:themeColor="text1"/>
          <w:sz w:val="28"/>
        </w:rPr>
        <w:t xml:space="preserve">2) размещение настоящего совместного постановления на официальном интернет-ресурсе Агентства Республики Казахстан по регулированию </w:t>
      </w:r>
      <w:r w:rsidR="009E5D62">
        <w:rPr>
          <w:rFonts w:ascii="Times New Roman" w:hAnsi="Times New Roman" w:cs="Times New Roman"/>
          <w:color w:val="000000" w:themeColor="text1"/>
          <w:sz w:val="28"/>
        </w:rPr>
        <w:br/>
      </w:r>
      <w:r w:rsidRPr="009973F5">
        <w:rPr>
          <w:rFonts w:ascii="Times New Roman" w:hAnsi="Times New Roman" w:cs="Times New Roman"/>
          <w:color w:val="000000" w:themeColor="text1"/>
          <w:sz w:val="28"/>
        </w:rPr>
        <w:t xml:space="preserve">и развитию финансового рынка после его официального опубликования; </w:t>
      </w:r>
    </w:p>
    <w:p w:rsidR="009973F5" w:rsidRPr="009973F5" w:rsidRDefault="009973F5" w:rsidP="009973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973F5">
        <w:rPr>
          <w:rFonts w:ascii="Times New Roman" w:hAnsi="Times New Roman" w:cs="Times New Roman"/>
          <w:color w:val="000000" w:themeColor="text1"/>
          <w:sz w:val="28"/>
        </w:rPr>
        <w:t xml:space="preserve">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</w:t>
      </w:r>
      <w:r w:rsidRPr="009973F5">
        <w:rPr>
          <w:rFonts w:ascii="Times New Roman" w:hAnsi="Times New Roman" w:cs="Times New Roman"/>
          <w:color w:val="000000" w:themeColor="text1"/>
          <w:sz w:val="28"/>
        </w:rPr>
        <w:lastRenderedPageBreak/>
        <w:t>финансового рынка сведений об исполнении мероприятия, предусмотренного подпунктом 2) настоящего пункта.</w:t>
      </w:r>
    </w:p>
    <w:p w:rsidR="009973F5" w:rsidRPr="009973F5" w:rsidRDefault="009973F5" w:rsidP="009973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973F5">
        <w:rPr>
          <w:rFonts w:ascii="Times New Roman" w:hAnsi="Times New Roman" w:cs="Times New Roman"/>
          <w:color w:val="000000" w:themeColor="text1"/>
          <w:sz w:val="28"/>
        </w:rPr>
        <w:t xml:space="preserve">3. 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 </w:t>
      </w:r>
    </w:p>
    <w:p w:rsidR="00DD3EC4" w:rsidRPr="00943687" w:rsidRDefault="009973F5" w:rsidP="0099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73F5">
        <w:rPr>
          <w:rFonts w:ascii="Times New Roman" w:hAnsi="Times New Roman" w:cs="Times New Roman"/>
          <w:color w:val="000000" w:themeColor="text1"/>
          <w:sz w:val="28"/>
        </w:rPr>
        <w:t>4. Настоящее совместное постановление вводится в действие по истечении десяти календарных дней после дня его первого официального опубликования.</w:t>
      </w:r>
    </w:p>
    <w:p w:rsidR="007037C2" w:rsidRPr="00943687" w:rsidRDefault="007037C2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CFE" w:rsidRPr="00943687" w:rsidRDefault="00331CFE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</w:p>
    <w:p w:rsidR="007037C2" w:rsidRPr="00943687" w:rsidRDefault="007037C2" w:rsidP="007037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rPr>
          <w:rFonts w:ascii="Times New Roman" w:eastAsia="Times New Roman" w:hAnsi="Times New Roman" w:cs="Times New Roman"/>
          <w:b/>
          <w:sz w:val="28"/>
        </w:rPr>
      </w:pP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  <w:t xml:space="preserve">Должность                  </w:t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sz w:val="28"/>
        </w:rPr>
        <w:t>ФИО</w:t>
      </w:r>
    </w:p>
    <w:p w:rsidR="007037C2" w:rsidRPr="00943687" w:rsidRDefault="007037C2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</w:p>
    <w:p w:rsidR="00D20C9B" w:rsidRDefault="007037C2" w:rsidP="007037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Должность                  </w:t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943687">
        <w:rPr>
          <w:rFonts w:ascii="Times New Roman" w:eastAsia="Times New Roman" w:hAnsi="Times New Roman" w:cs="Times New Roman"/>
          <w:b/>
          <w:sz w:val="28"/>
        </w:rPr>
        <w:t>ФИО</w:t>
      </w:r>
    </w:p>
    <w:p w:rsidR="00EA026F" w:rsidRDefault="00EA026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tbl>
      <w:tblPr>
        <w:tblStyle w:val="a5"/>
        <w:tblW w:w="396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255AE" w:rsidTr="00EB610B">
        <w:tc>
          <w:tcPr>
            <w:tcW w:w="3969" w:type="dxa"/>
          </w:tcPr>
          <w:p w:rsidR="006255AE" w:rsidRPr="006255AE" w:rsidRDefault="006255AE" w:rsidP="00EB610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Утверждены </w:t>
            </w:r>
          </w:p>
          <w:p w:rsidR="006255AE" w:rsidRPr="006255AE" w:rsidRDefault="006255AE" w:rsidP="00EB610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совместным постановлением Правления Агентства </w:t>
            </w:r>
          </w:p>
          <w:p w:rsidR="006255AE" w:rsidRPr="006255AE" w:rsidRDefault="006255AE" w:rsidP="00EB610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Казахстан</w:t>
            </w:r>
          </w:p>
          <w:p w:rsidR="006255AE" w:rsidRPr="006255AE" w:rsidRDefault="006255AE" w:rsidP="00EB610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регулированию и развитию</w:t>
            </w:r>
          </w:p>
          <w:p w:rsidR="006255AE" w:rsidRPr="006255AE" w:rsidRDefault="006255AE" w:rsidP="00EB610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финансового рынка </w:t>
            </w:r>
          </w:p>
          <w:p w:rsidR="006255AE" w:rsidRPr="006255AE" w:rsidRDefault="006255AE" w:rsidP="00EB610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28 апреля 2026 года № 8</w:t>
            </w:r>
            <w:r w:rsidR="00BF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62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Правления Национального Банка Республики Казахстан</w:t>
            </w:r>
          </w:p>
          <w:p w:rsidR="006255AE" w:rsidRDefault="006255AE" w:rsidP="00EB610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5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29 апреля 2026 года № 5</w:t>
            </w:r>
            <w:r w:rsidR="001C4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EA026F" w:rsidRPr="00E4708E" w:rsidRDefault="00EA026F" w:rsidP="006255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EA026F" w:rsidRPr="00E4708E" w:rsidRDefault="00EA026F" w:rsidP="00EA026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A026F" w:rsidRPr="001C49E3" w:rsidRDefault="001C49E3" w:rsidP="00DD7C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совершения банком с универсальной банковской лицензией, исламским банком, филиалом банка – нерезидента Республики Казахстан и филиалом исламского банка – нерезидента Республики Казахстан сделок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C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цифровыми финансовыми активами</w:t>
      </w:r>
    </w:p>
    <w:p w:rsidR="00EA026F" w:rsidRDefault="00EA026F" w:rsidP="00DD7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55F73" w:rsidRDefault="00D55F73" w:rsidP="00DD7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9E3" w:rsidRDefault="001C49E3" w:rsidP="00DD7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C49E3">
        <w:rPr>
          <w:rFonts w:ascii="Times New Roman" w:eastAsia="Times New Roman" w:hAnsi="Times New Roman" w:cs="Times New Roman"/>
          <w:b/>
          <w:sz w:val="28"/>
        </w:rPr>
        <w:t>Глава 1. Общие положения</w:t>
      </w:r>
    </w:p>
    <w:p w:rsidR="00DD7C8A" w:rsidRDefault="00DD7C8A" w:rsidP="00DD7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7E83" w:rsidRDefault="00DD7C8A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D7C8A">
        <w:rPr>
          <w:rFonts w:ascii="Times New Roman" w:hAnsi="Times New Roman"/>
          <w:color w:val="000000"/>
          <w:spacing w:val="2"/>
          <w:sz w:val="28"/>
          <w:szCs w:val="28"/>
        </w:rPr>
        <w:t>1. Настоящие Правила совершения банком с универсальной банковской лицензией, исламским банком, филиалом банка – нерезидента Республики Казахстан и филиалом исламского банка – нерезидента Республики Казахстан сделок с цифровыми финансовыми активами (далее – Правила) разработаны в соответствии с частями третей и четвертой пункта 4 и частью второй пункта 10 статьи 23 Закона Республики Казахстан «О банках и банковской деятельности в Республике Казахстан» (далее – Закон о банках) и определяют порядок совершения указанных сделок с цифровыми финансовыми активами, перечень цифровых финансовых активов, с которыми допускается совершение сделок, а также требования к таким цифровым финансовым активам.</w:t>
      </w:r>
    </w:p>
    <w:p w:rsidR="00DD7C8A" w:rsidRDefault="00DD7C8A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D55F73" w:rsidRDefault="00D55F73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DD7C8A" w:rsidRDefault="00DD7C8A" w:rsidP="00DD7C8A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DD7C8A">
        <w:rPr>
          <w:rFonts w:ascii="Times New Roman" w:hAnsi="Times New Roman"/>
          <w:b/>
          <w:color w:val="000000"/>
          <w:spacing w:val="2"/>
          <w:sz w:val="28"/>
          <w:szCs w:val="28"/>
        </w:rPr>
        <w:t>Глава 2. Перечень цифровых финансовых активов, с которыми допускается совершение сделок</w:t>
      </w:r>
    </w:p>
    <w:p w:rsidR="00DD7C8A" w:rsidRDefault="00DD7C8A" w:rsidP="00DD7C8A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DD7C8A" w:rsidRPr="00DD7C8A" w:rsidRDefault="00DD7C8A" w:rsidP="00DD7C8A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D7C8A">
        <w:rPr>
          <w:rStyle w:val="ae"/>
          <w:b w:val="0"/>
          <w:color w:val="000000" w:themeColor="text1"/>
          <w:sz w:val="28"/>
          <w:szCs w:val="28"/>
        </w:rPr>
        <w:t xml:space="preserve">2. Цифровыми финансовыми активами, с которыми допускается совершение сделок банком </w:t>
      </w:r>
      <w:bookmarkStart w:id="2" w:name="_Hlk219369005"/>
      <w:r w:rsidRPr="00DD7C8A">
        <w:rPr>
          <w:rStyle w:val="ae"/>
          <w:b w:val="0"/>
          <w:color w:val="000000" w:themeColor="text1"/>
          <w:sz w:val="28"/>
          <w:szCs w:val="28"/>
        </w:rPr>
        <w:t>с универсальной банковской лицензией и филиалом банка – нерезидента Республики Казахстан</w:t>
      </w:r>
      <w:bookmarkStart w:id="3" w:name="_Hlk219215620"/>
      <w:bookmarkEnd w:id="2"/>
      <w:r w:rsidRPr="00DD7C8A">
        <w:rPr>
          <w:rStyle w:val="ae"/>
          <w:b w:val="0"/>
          <w:color w:val="000000" w:themeColor="text1"/>
          <w:sz w:val="28"/>
          <w:szCs w:val="28"/>
        </w:rPr>
        <w:t xml:space="preserve">, </w:t>
      </w:r>
      <w:bookmarkEnd w:id="3"/>
      <w:r w:rsidRPr="00DD7C8A">
        <w:rPr>
          <w:rStyle w:val="ae"/>
          <w:b w:val="0"/>
          <w:color w:val="000000" w:themeColor="text1"/>
          <w:sz w:val="28"/>
          <w:szCs w:val="28"/>
        </w:rPr>
        <w:t>являются:</w:t>
      </w:r>
    </w:p>
    <w:p w:rsidR="00DD7C8A" w:rsidRPr="00DD7C8A" w:rsidRDefault="00DD7C8A" w:rsidP="00DD7C8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27149687"/>
      <w:r w:rsidRPr="00DD7C8A">
        <w:rPr>
          <w:rFonts w:ascii="Times New Roman" w:hAnsi="Times New Roman" w:cs="Times New Roman"/>
          <w:sz w:val="28"/>
          <w:szCs w:val="28"/>
        </w:rPr>
        <w:t xml:space="preserve">цифровые финансовые активы, базовым активом которых выступают деньги </w:t>
      </w:r>
      <w:bookmarkEnd w:id="4"/>
      <w:r w:rsidRPr="00DD7C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D7C8A">
        <w:rPr>
          <w:rFonts w:ascii="Times New Roman" w:hAnsi="Times New Roman" w:cs="Times New Roman"/>
          <w:sz w:val="28"/>
          <w:szCs w:val="28"/>
        </w:rPr>
        <w:t>стейблкоины</w:t>
      </w:r>
      <w:proofErr w:type="spellEnd"/>
      <w:r w:rsidRPr="00DD7C8A">
        <w:rPr>
          <w:rFonts w:ascii="Times New Roman" w:hAnsi="Times New Roman" w:cs="Times New Roman"/>
          <w:sz w:val="28"/>
          <w:szCs w:val="28"/>
        </w:rPr>
        <w:t xml:space="preserve">) (далее – </w:t>
      </w:r>
      <w:proofErr w:type="spellStart"/>
      <w:r w:rsidRPr="00DD7C8A">
        <w:rPr>
          <w:rFonts w:ascii="Times New Roman" w:hAnsi="Times New Roman" w:cs="Times New Roman"/>
          <w:sz w:val="28"/>
          <w:szCs w:val="28"/>
        </w:rPr>
        <w:t>стейблкоины</w:t>
      </w:r>
      <w:proofErr w:type="spellEnd"/>
      <w:r w:rsidRPr="00DD7C8A">
        <w:rPr>
          <w:rFonts w:ascii="Times New Roman" w:hAnsi="Times New Roman" w:cs="Times New Roman"/>
          <w:sz w:val="28"/>
          <w:szCs w:val="28"/>
        </w:rPr>
        <w:t>);</w:t>
      </w:r>
    </w:p>
    <w:p w:rsidR="00DD7C8A" w:rsidRPr="00DD7C8A" w:rsidRDefault="00DD7C8A" w:rsidP="00DD7C8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7149706"/>
      <w:r w:rsidRPr="00DD7C8A">
        <w:rPr>
          <w:rFonts w:ascii="Times New Roman" w:hAnsi="Times New Roman" w:cs="Times New Roman"/>
          <w:sz w:val="28"/>
          <w:szCs w:val="28"/>
        </w:rPr>
        <w:t xml:space="preserve">цифровые финансовые активы, базовым активом которых выступают долговые эмиссионные ценные бумаги и исламские ценные бумаги </w:t>
      </w:r>
      <w:bookmarkEnd w:id="5"/>
      <w:r w:rsidRPr="00DD7C8A">
        <w:rPr>
          <w:rFonts w:ascii="Times New Roman" w:hAnsi="Times New Roman" w:cs="Times New Roman"/>
          <w:sz w:val="28"/>
          <w:szCs w:val="28"/>
        </w:rPr>
        <w:t xml:space="preserve">(далее – обеспеченные цифровые финансовые активы); </w:t>
      </w:r>
    </w:p>
    <w:p w:rsidR="00DD7C8A" w:rsidRPr="00DD7C8A" w:rsidRDefault="00DD7C8A" w:rsidP="00DD7C8A">
      <w:pPr>
        <w:pStyle w:val="aa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6" w:name="_Hlk219368807"/>
      <w:r w:rsidRPr="00DD7C8A">
        <w:rPr>
          <w:sz w:val="28"/>
          <w:szCs w:val="28"/>
        </w:rPr>
        <w:lastRenderedPageBreak/>
        <w:t>финансовые инструменты, выпускаемые в электронно-цифровой форме на цифровой платформе оператора платформы цифровых финансовых активов</w:t>
      </w:r>
      <w:bookmarkEnd w:id="6"/>
      <w:r w:rsidRPr="00DD7C8A">
        <w:rPr>
          <w:sz w:val="28"/>
          <w:szCs w:val="28"/>
        </w:rPr>
        <w:t xml:space="preserve"> (далее – финансовые инструменты).</w:t>
      </w:r>
    </w:p>
    <w:p w:rsidR="00DD7C8A" w:rsidRPr="00DD7C8A" w:rsidRDefault="00DD7C8A" w:rsidP="00DD7C8A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D7C8A">
        <w:rPr>
          <w:rStyle w:val="ae"/>
          <w:b w:val="0"/>
          <w:color w:val="000000" w:themeColor="text1"/>
          <w:sz w:val="28"/>
          <w:szCs w:val="28"/>
        </w:rPr>
        <w:t xml:space="preserve">3. Цифровыми финансовыми активами, с которыми допускается совершение сделок исламским банком и </w:t>
      </w:r>
      <w:r w:rsidRPr="00DD7C8A">
        <w:rPr>
          <w:bCs/>
          <w:sz w:val="28"/>
          <w:szCs w:val="28"/>
        </w:rPr>
        <w:t>филиалом исламского банка – нерезидента Республики Казахстан,</w:t>
      </w:r>
      <w:r w:rsidRPr="00DD7C8A">
        <w:rPr>
          <w:rStyle w:val="ae"/>
          <w:b w:val="0"/>
          <w:color w:val="000000" w:themeColor="text1"/>
          <w:sz w:val="28"/>
          <w:szCs w:val="28"/>
        </w:rPr>
        <w:t xml:space="preserve"> являются:</w:t>
      </w:r>
    </w:p>
    <w:p w:rsidR="00DD7C8A" w:rsidRPr="00DD7C8A" w:rsidRDefault="00DD7C8A" w:rsidP="00DD7C8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C8A">
        <w:rPr>
          <w:rFonts w:ascii="Times New Roman" w:hAnsi="Times New Roman" w:cs="Times New Roman"/>
          <w:sz w:val="28"/>
          <w:szCs w:val="28"/>
        </w:rPr>
        <w:t>стейблкоины</w:t>
      </w:r>
      <w:proofErr w:type="spellEnd"/>
      <w:r w:rsidRPr="00DD7C8A">
        <w:rPr>
          <w:rFonts w:ascii="Times New Roman" w:hAnsi="Times New Roman" w:cs="Times New Roman"/>
          <w:sz w:val="28"/>
          <w:szCs w:val="28"/>
        </w:rPr>
        <w:t>;</w:t>
      </w:r>
    </w:p>
    <w:p w:rsidR="00DD7C8A" w:rsidRPr="00DD7C8A" w:rsidRDefault="00DD7C8A" w:rsidP="00DD7C8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C8A">
        <w:rPr>
          <w:rFonts w:ascii="Times New Roman" w:hAnsi="Times New Roman" w:cs="Times New Roman"/>
          <w:sz w:val="28"/>
          <w:szCs w:val="28"/>
        </w:rPr>
        <w:t xml:space="preserve">цифровые финансовые активы, базовым активом которых выступают исламские ценные бумаги; </w:t>
      </w:r>
    </w:p>
    <w:p w:rsidR="00DD7C8A" w:rsidRPr="00DD7C8A" w:rsidRDefault="00DD7C8A" w:rsidP="00DD7C8A">
      <w:pPr>
        <w:pStyle w:val="aa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7C8A">
        <w:rPr>
          <w:sz w:val="28"/>
          <w:szCs w:val="28"/>
        </w:rPr>
        <w:t>финансовые инструменты.</w:t>
      </w:r>
    </w:p>
    <w:p w:rsidR="00DD7C8A" w:rsidRDefault="00DD7C8A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7C8A">
        <w:rPr>
          <w:rFonts w:ascii="Times New Roman" w:hAnsi="Times New Roman" w:cs="Times New Roman"/>
          <w:sz w:val="28"/>
          <w:szCs w:val="28"/>
        </w:rPr>
        <w:t>Исламский банк и</w:t>
      </w:r>
      <w:r w:rsidRPr="00DD7C8A">
        <w:rPr>
          <w:rFonts w:ascii="Times New Roman" w:hAnsi="Times New Roman" w:cs="Times New Roman"/>
          <w:bCs/>
          <w:sz w:val="28"/>
          <w:szCs w:val="28"/>
        </w:rPr>
        <w:t xml:space="preserve"> филиал исламского банка – нерезидента Республики</w:t>
      </w:r>
      <w:r w:rsidRPr="00DD7C8A">
        <w:rPr>
          <w:rFonts w:ascii="Times New Roman" w:hAnsi="Times New Roman" w:cs="Times New Roman"/>
          <w:sz w:val="28"/>
          <w:szCs w:val="28"/>
        </w:rPr>
        <w:t xml:space="preserve"> совершает сделки с цифровыми финансовыми активами с соблюдением принципов исламских банковских операций в части, не противоречащей принципам, установленным статьей 35 Закона о </w:t>
      </w:r>
      <w:r w:rsidRPr="00DD7C8A">
        <w:rPr>
          <w:rFonts w:ascii="Times New Roman" w:hAnsi="Times New Roman" w:cs="Times New Roman"/>
          <w:color w:val="000000" w:themeColor="text1"/>
          <w:sz w:val="28"/>
        </w:rPr>
        <w:t>банках</w:t>
      </w:r>
      <w:r w:rsidRPr="00DD7C8A">
        <w:rPr>
          <w:rFonts w:ascii="Times New Roman" w:hAnsi="Times New Roman" w:cs="Times New Roman"/>
          <w:sz w:val="28"/>
          <w:szCs w:val="28"/>
        </w:rPr>
        <w:t>.</w:t>
      </w:r>
    </w:p>
    <w:p w:rsidR="00DD7C8A" w:rsidRDefault="00DD7C8A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D55F73" w:rsidRDefault="00D55F73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DD7C8A" w:rsidRPr="00DD7C8A" w:rsidRDefault="00DD7C8A" w:rsidP="00DD7C8A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DD7C8A">
        <w:rPr>
          <w:rFonts w:ascii="Times New Roman" w:hAnsi="Times New Roman"/>
          <w:b/>
          <w:color w:val="000000"/>
          <w:spacing w:val="2"/>
          <w:sz w:val="28"/>
          <w:szCs w:val="28"/>
        </w:rPr>
        <w:t>Глава 3. Порядок совершения сделок</w:t>
      </w:r>
    </w:p>
    <w:p w:rsidR="00DD7C8A" w:rsidRDefault="00DD7C8A" w:rsidP="00DD7C8A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DD7C8A">
        <w:rPr>
          <w:rFonts w:ascii="Times New Roman" w:hAnsi="Times New Roman"/>
          <w:b/>
          <w:color w:val="000000"/>
          <w:spacing w:val="2"/>
          <w:sz w:val="28"/>
          <w:szCs w:val="28"/>
        </w:rPr>
        <w:t>с цифровыми финансовыми активами</w:t>
      </w:r>
    </w:p>
    <w:p w:rsidR="00DD7C8A" w:rsidRDefault="00DD7C8A" w:rsidP="00DD7C8A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DD7C8A" w:rsidRPr="00DD7C8A" w:rsidRDefault="00DD7C8A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D7C8A">
        <w:rPr>
          <w:rFonts w:ascii="Times New Roman" w:hAnsi="Times New Roman"/>
          <w:color w:val="000000"/>
          <w:spacing w:val="2"/>
          <w:sz w:val="28"/>
          <w:szCs w:val="28"/>
        </w:rPr>
        <w:t>4. Банк с универсальной банковской лицензией, исламский банк, филиал банка – нерезидента Республики Казахстан, филиал исламского банка – нерезидента Республики совершает сделки с цифровыми финансовыми активами на цифровой платформе оператора платформы цифровых финансовых активов и (или) оператора торговой платформы цифровых активов.</w:t>
      </w:r>
    </w:p>
    <w:p w:rsidR="00DD7C8A" w:rsidRPr="00DD7C8A" w:rsidRDefault="00DD7C8A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D7C8A">
        <w:rPr>
          <w:rFonts w:ascii="Times New Roman" w:hAnsi="Times New Roman"/>
          <w:color w:val="000000"/>
          <w:spacing w:val="2"/>
          <w:sz w:val="28"/>
          <w:szCs w:val="28"/>
        </w:rPr>
        <w:t xml:space="preserve">5. Банк с универсальной банковской лицензией, исламский банк, филиал банка – нерезидента Республики Казахстан и филиал исламского банка – нерезидента Республики Казахстан совершают сделки с собственными </w:t>
      </w:r>
      <w:proofErr w:type="spellStart"/>
      <w:r w:rsidRPr="00DD7C8A">
        <w:rPr>
          <w:rFonts w:ascii="Times New Roman" w:hAnsi="Times New Roman"/>
          <w:color w:val="000000"/>
          <w:spacing w:val="2"/>
          <w:sz w:val="28"/>
          <w:szCs w:val="28"/>
        </w:rPr>
        <w:t>стейблкоинами</w:t>
      </w:r>
      <w:proofErr w:type="spellEnd"/>
      <w:r w:rsidRPr="00DD7C8A">
        <w:rPr>
          <w:rFonts w:ascii="Times New Roman" w:hAnsi="Times New Roman"/>
          <w:color w:val="000000"/>
          <w:spacing w:val="2"/>
          <w:sz w:val="28"/>
          <w:szCs w:val="28"/>
        </w:rPr>
        <w:t xml:space="preserve">, а также со </w:t>
      </w:r>
      <w:proofErr w:type="spellStart"/>
      <w:r w:rsidRPr="00DD7C8A">
        <w:rPr>
          <w:rFonts w:ascii="Times New Roman" w:hAnsi="Times New Roman"/>
          <w:color w:val="000000"/>
          <w:spacing w:val="2"/>
          <w:sz w:val="28"/>
          <w:szCs w:val="28"/>
        </w:rPr>
        <w:t>стейблкоинами</w:t>
      </w:r>
      <w:proofErr w:type="spellEnd"/>
      <w:r w:rsidRPr="00DD7C8A">
        <w:rPr>
          <w:rFonts w:ascii="Times New Roman" w:hAnsi="Times New Roman"/>
          <w:color w:val="000000"/>
          <w:spacing w:val="2"/>
          <w:sz w:val="28"/>
          <w:szCs w:val="28"/>
        </w:rPr>
        <w:t>, обеспеченными цифровыми финансовыми активами и (или) финансовыми инструментами, в том числе выпущенными дочерними организациями банка либо банковским холдингом, при соблюдении следующих требований:</w:t>
      </w:r>
    </w:p>
    <w:p w:rsidR="00DD7C8A" w:rsidRPr="00DD7C8A" w:rsidRDefault="00DD7C8A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D7C8A">
        <w:rPr>
          <w:rFonts w:ascii="Times New Roman" w:hAnsi="Times New Roman"/>
          <w:color w:val="000000"/>
          <w:spacing w:val="2"/>
          <w:sz w:val="28"/>
          <w:szCs w:val="28"/>
        </w:rPr>
        <w:t xml:space="preserve">1) решение о совершении сделки принимается советом директоров банка. </w:t>
      </w:r>
    </w:p>
    <w:p w:rsidR="00DD7C8A" w:rsidRPr="00DD7C8A" w:rsidRDefault="00DD7C8A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D7C8A">
        <w:rPr>
          <w:rFonts w:ascii="Times New Roman" w:hAnsi="Times New Roman"/>
          <w:color w:val="000000"/>
          <w:spacing w:val="2"/>
          <w:sz w:val="28"/>
          <w:szCs w:val="28"/>
        </w:rPr>
        <w:t>В указанном решении определяется цена и объем приобретаемых ценных бумаг. К решению прилагается заключение подразделения банка по управлению рисками с оценкой рисков, связанных с приобретением указанных ценных бумаг (в том числе риска потери ликвидности и процентного риска), а также подтверждением соблюдения банком требований внутренних политик и процедур, утвержденных советом директоров банка, применимых к таким сделкам;</w:t>
      </w:r>
    </w:p>
    <w:p w:rsidR="00DD7C8A" w:rsidRPr="00DD7C8A" w:rsidRDefault="00DD7C8A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D7C8A">
        <w:rPr>
          <w:rFonts w:ascii="Times New Roman" w:hAnsi="Times New Roman"/>
          <w:color w:val="000000"/>
          <w:spacing w:val="2"/>
          <w:sz w:val="28"/>
          <w:szCs w:val="28"/>
        </w:rPr>
        <w:t>2) сделки совершаются по справедливой рыночной цене, сложившейся на дату приобретения указанных ценных бумаг;</w:t>
      </w:r>
    </w:p>
    <w:p w:rsidR="00DD7C8A" w:rsidRDefault="00DD7C8A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D7C8A">
        <w:rPr>
          <w:rFonts w:ascii="Times New Roman" w:hAnsi="Times New Roman"/>
          <w:color w:val="000000"/>
          <w:spacing w:val="2"/>
          <w:sz w:val="28"/>
          <w:szCs w:val="28"/>
        </w:rPr>
        <w:t xml:space="preserve">3) информация о приобретенных банком ценных бумагах составляется на бумажном носителе и в электронной форме, установленной внутренними документами банка, подписывается первым руководителем банка или лицом, уполномоченным на подписание указанной информации, а также главным </w:t>
      </w:r>
      <w:r w:rsidRPr="00DD7C8A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бухгалтером банка и хранится в течение 5 (пяти) лет со дня составления данной информации.</w:t>
      </w:r>
      <w:bookmarkStart w:id="7" w:name="_GoBack"/>
      <w:bookmarkEnd w:id="7"/>
    </w:p>
    <w:p w:rsidR="009E5D62" w:rsidRDefault="009E5D62" w:rsidP="00DD7C8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E5D62" w:rsidRDefault="009E5D62" w:rsidP="009E5D62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9E5D62" w:rsidRDefault="009E5D62" w:rsidP="009E5D62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b/>
          <w:color w:val="000000"/>
          <w:spacing w:val="2"/>
          <w:sz w:val="28"/>
          <w:szCs w:val="28"/>
        </w:rPr>
        <w:t>Глава 4. Требования к цифровым финансовым активам</w:t>
      </w:r>
    </w:p>
    <w:p w:rsidR="009E5D62" w:rsidRDefault="009E5D62" w:rsidP="009E5D62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6. Банк с универсальной банковской лицензией, исламский банк, филиал банка – нерезидента Республики Казахстан, филиал исламского банка – нерезидента Республики совершает сделки со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стейблкоинами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при соблюдении следующих условий: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1) эмитентом соблюдаются требования по публикации результатов оценки высоколиквидных активов эмитента, приобретенных за счет использования части базовых активов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стейблкоинов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по рыночной стоимости за последние 3 отчетных периода;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2) по результатам оценки высоколиквидных активов эмитента, приобретенных за счет использования части базовых активов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стейблкоинов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по рыночной стоимости за последние 3 отчетных периода отсутствует несоответствие стоимости остатков базового актива фактическому объему выпуска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стейблкоинов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, в соотношении, предусмотренном требованиями законодательства Республики Казахстан и (или) условиями выпуска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стейблкоина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7. Совершение сделок с обеспеченными цифровыми финансовыми активами, предусмотренными подпунктом 2) пункта 2 и подпунктом 2) пункта 3 настоящих Правил, допускается при условии соответствия их базового актива следующим требованиям: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1) эмитентом являются Министерство финансов Республики Казахстан, Национальный Банк Республики Казахстан; 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2) исполнение обязательств эмитента обеспечивается государственной гарантией Республики Казахстан; 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3) эмитентом являются местные исполнительные органы Республики Казахстан, долговые эмиссионные ценные бумаги которых включены в официальный список организатора торгов Республики Казахстан;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4) эмитентом являются следующие международные финансовые организаций: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Азиатский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банк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развития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(Asian Development Bank);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Азиатский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банк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инфраструктурных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инвестиций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(Asian Infrastructure Investment Bank);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Межамериканский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банк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развития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(Inter-American Development Bank);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Африканский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банк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развития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(African Development Bank);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Евразийский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банк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развития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(Eurasian Development Bank);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Европейский инвестиционный банк (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European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Investment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Bank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Банк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Развития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Европейского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Совета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(Council of Europe Development Bank);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Европейский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банк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реконструкции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развития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(European Bank for Reconstruction and Development);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Исламская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корпорация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по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развитию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частного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сектора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(Islamic Corporation for the Development of the Private Sector);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Исламский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банк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развития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(Islamic Development Bank);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Скандинавский инвестиционный банк (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Nordic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Investment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Bank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Международный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валютный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фонд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(International Monetary Fund);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Международная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финансовая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корпорация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(International Finance Corporation);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Международный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банк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реконструкции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развития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(International Bank for Reconstruction and Development);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en-US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Черноморский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банк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торговли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развития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(the Black Sea Trade and Development Bank).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5) эмитентом являются центральные правительства и (или) центральные банки иностранных государств, имеющие суверенный кредитный рейтинг по международной шкале в иностранной валюте не ниже «ВВВ-» рейтингового агентства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Standard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&amp;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Poor’s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(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Стандард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энд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Пурс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) или рейтинг аналогичного уровня рейтинговых агентств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Moody's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Investors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Service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(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Мудис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Инвесторс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Сервис),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Fitch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(Фич);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6) эмитентом является резидент Республики Казахстан, долговые эмиссионные ценные бумаги которого включены в официальный список организатора торгов Республики Казахстан (за исключением долговых эмиссионных ценных бумаг, находящихся в категории «буфер для долговых ценных бумаг») или допущены к публичным торгам на фондовой бирже, функционирующей на территории Международного финансового центра «Астана»;  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7) эмитентом является резидент Республики Казахстан, долговые эмиссионные ценные бумаги которого имеют минимальный долгосрочный кредитный рейтинг по международной шкале в иностранной валюте не ниже «В» рейтингового агентства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Standard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&amp;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Poor’s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(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Стандард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энд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Пурс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) или рейтинг аналогичного уровня рейтинговых агентств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Moody's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Investors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Service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(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Мудис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Инвесторс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Сервис),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Fitch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(Фич).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Для целей настоящего подпункта долговые эмиссионные ценные бумаги, выпущенные организациями, более 50 (пятидесяти) процентов акций (долей участия в уставных капиталах) которых прямо или косвенно принадлежат Правительству Республики Казахстан, Национальному Банку Республики Казахстан либо национальному инвестиционному холдингу, признаются в качестве долговых эмиссионных ценных бумаг, обладающих суверенным рейтингом Республики Казахстан;</w:t>
      </w:r>
    </w:p>
    <w:p w:rsidR="009E5D62" w:rsidRPr="009E5D62" w:rsidRDefault="009E5D62" w:rsidP="009E5D6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8) эмитентом является нерезидент Республики Казахстан, имеющий минимальный долгосрочный кредитный рейтинг не ниже «ВВВ» по международной шкале рейтингового агентства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Standard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&amp;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Poors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(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Стандард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энд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Пурс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) либо не ниже «Ваа2» по международной шкале рейтингового агентства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Moody's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Investors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Service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(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Мудис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Инвесторс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Сервис) либо не ниже «ВВВ» по международной шкале рейтингового агентства </w:t>
      </w:r>
      <w:proofErr w:type="spellStart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>Fitch</w:t>
      </w:r>
      <w:proofErr w:type="spellEnd"/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t xml:space="preserve"> (Фич).8. Совершение сделок с финансовыми инструментами допускается при их соответствии </w:t>
      </w:r>
      <w:r w:rsidRPr="009E5D62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требованиям, предъявляемым к базовым активам обеспеченных цифровых финансовых активов, в соответствии с пунктом 7 Правил.</w:t>
      </w:r>
    </w:p>
    <w:sectPr w:rsidR="009E5D62" w:rsidRPr="009E5D62" w:rsidSect="001C359B">
      <w:headerReference w:type="default" r:id="rId9"/>
      <w:headerReference w:type="first" r:id="rId10"/>
      <w:pgSz w:w="11906" w:h="16838"/>
      <w:pgMar w:top="993" w:right="851" w:bottom="1135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37D" w:rsidRDefault="008A137D" w:rsidP="00C00108">
      <w:pPr>
        <w:spacing w:after="0" w:line="240" w:lineRule="auto"/>
      </w:pPr>
      <w:r>
        <w:separator/>
      </w:r>
    </w:p>
  </w:endnote>
  <w:endnote w:type="continuationSeparator" w:id="0">
    <w:p w:rsidR="008A137D" w:rsidRDefault="008A137D" w:rsidP="00C0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37D" w:rsidRDefault="008A137D" w:rsidP="00C00108">
      <w:pPr>
        <w:spacing w:after="0" w:line="240" w:lineRule="auto"/>
      </w:pPr>
      <w:r>
        <w:separator/>
      </w:r>
    </w:p>
  </w:footnote>
  <w:footnote w:type="continuationSeparator" w:id="0">
    <w:p w:rsidR="008A137D" w:rsidRDefault="008A137D" w:rsidP="00C0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8046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5BBB" w:rsidRDefault="00C00108" w:rsidP="00E97DE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B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B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B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D5BBB">
          <w:rPr>
            <w:rFonts w:ascii="Times New Roman" w:hAnsi="Times New Roman" w:cs="Times New Roman"/>
            <w:sz w:val="24"/>
            <w:szCs w:val="24"/>
          </w:rPr>
          <w:t>2</w:t>
        </w:r>
        <w:r w:rsidRPr="00BD5B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D52A9" w:rsidRPr="00BD5BBB" w:rsidRDefault="008A137D" w:rsidP="00E97DE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59B" w:rsidRPr="001C359B" w:rsidRDefault="001C359B" w:rsidP="001C359B">
    <w:pPr>
      <w:pStyle w:val="a6"/>
      <w:jc w:val="center"/>
      <w:rPr>
        <w:rFonts w:ascii="Times New Roman" w:hAnsi="Times New Roman" w:cs="Times New Roman"/>
        <w:i/>
        <w:sz w:val="24"/>
        <w:szCs w:val="24"/>
      </w:rPr>
    </w:pPr>
    <w:r w:rsidRPr="001C359B">
      <w:rPr>
        <w:rFonts w:ascii="Times New Roman" w:hAnsi="Times New Roman" w:cs="Times New Roman"/>
        <w:i/>
        <w:sz w:val="24"/>
        <w:szCs w:val="24"/>
      </w:rPr>
      <w:t xml:space="preserve">Зарегистрировано в Министерстве юстиции РК </w:t>
    </w:r>
    <w:r w:rsidR="003027F6">
      <w:rPr>
        <w:rFonts w:ascii="Times New Roman" w:hAnsi="Times New Roman" w:cs="Times New Roman"/>
        <w:i/>
        <w:sz w:val="24"/>
        <w:szCs w:val="24"/>
      </w:rPr>
      <w:t>30</w:t>
    </w:r>
    <w:r w:rsidRPr="001C359B">
      <w:rPr>
        <w:rFonts w:ascii="Times New Roman" w:hAnsi="Times New Roman" w:cs="Times New Roman"/>
        <w:i/>
        <w:sz w:val="24"/>
        <w:szCs w:val="24"/>
      </w:rPr>
      <w:t xml:space="preserve"> апреля 2026 года под № </w:t>
    </w:r>
    <w:r w:rsidR="00EC72E9" w:rsidRPr="00EC72E9">
      <w:rPr>
        <w:rFonts w:ascii="Times New Roman" w:hAnsi="Times New Roman" w:cs="Times New Roman"/>
        <w:i/>
        <w:sz w:val="24"/>
        <w:szCs w:val="24"/>
      </w:rPr>
      <w:t>38606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03B9"/>
    <w:multiLevelType w:val="hybridMultilevel"/>
    <w:tmpl w:val="26AAD1F8"/>
    <w:lvl w:ilvl="0" w:tplc="4E38203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7A621C"/>
    <w:multiLevelType w:val="hybridMultilevel"/>
    <w:tmpl w:val="FE2A2588"/>
    <w:lvl w:ilvl="0" w:tplc="11869B00">
      <w:start w:val="1"/>
      <w:numFmt w:val="decimal"/>
      <w:suff w:val="space"/>
      <w:lvlText w:val="%1."/>
      <w:lvlJc w:val="left"/>
      <w:pPr>
        <w:ind w:left="525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05D97"/>
    <w:multiLevelType w:val="hybridMultilevel"/>
    <w:tmpl w:val="7966988C"/>
    <w:lvl w:ilvl="0" w:tplc="CB007924">
      <w:start w:val="1"/>
      <w:numFmt w:val="decimal"/>
      <w:suff w:val="space"/>
      <w:lvlText w:val="%1)"/>
      <w:lvlJc w:val="left"/>
      <w:pPr>
        <w:ind w:left="3621" w:hanging="360"/>
      </w:pPr>
      <w:rPr>
        <w:rFonts w:hint="default"/>
      </w:rPr>
    </w:lvl>
    <w:lvl w:ilvl="1" w:tplc="C9E4B400">
      <w:start w:val="1"/>
      <w:numFmt w:val="lowerLetter"/>
      <w:lvlText w:val="%2."/>
      <w:lvlJc w:val="left"/>
      <w:pPr>
        <w:ind w:left="1788" w:hanging="360"/>
      </w:pPr>
    </w:lvl>
    <w:lvl w:ilvl="2" w:tplc="FE2479EE">
      <w:start w:val="1"/>
      <w:numFmt w:val="lowerRoman"/>
      <w:lvlText w:val="%3."/>
      <w:lvlJc w:val="right"/>
      <w:pPr>
        <w:ind w:left="2508" w:hanging="180"/>
      </w:pPr>
    </w:lvl>
    <w:lvl w:ilvl="3" w:tplc="1D081FA6">
      <w:start w:val="1"/>
      <w:numFmt w:val="decimal"/>
      <w:lvlText w:val="%4."/>
      <w:lvlJc w:val="left"/>
      <w:pPr>
        <w:ind w:left="3228" w:hanging="360"/>
      </w:pPr>
    </w:lvl>
    <w:lvl w:ilvl="4" w:tplc="A0D2240E">
      <w:start w:val="1"/>
      <w:numFmt w:val="lowerLetter"/>
      <w:lvlText w:val="%5."/>
      <w:lvlJc w:val="left"/>
      <w:pPr>
        <w:ind w:left="3948" w:hanging="360"/>
      </w:pPr>
    </w:lvl>
    <w:lvl w:ilvl="5" w:tplc="A55C270A">
      <w:start w:val="1"/>
      <w:numFmt w:val="lowerRoman"/>
      <w:lvlText w:val="%6."/>
      <w:lvlJc w:val="right"/>
      <w:pPr>
        <w:ind w:left="4668" w:hanging="180"/>
      </w:pPr>
    </w:lvl>
    <w:lvl w:ilvl="6" w:tplc="03BA62C8">
      <w:start w:val="1"/>
      <w:numFmt w:val="decimal"/>
      <w:lvlText w:val="%7."/>
      <w:lvlJc w:val="left"/>
      <w:pPr>
        <w:ind w:left="5388" w:hanging="360"/>
      </w:pPr>
    </w:lvl>
    <w:lvl w:ilvl="7" w:tplc="FB9420DE">
      <w:start w:val="1"/>
      <w:numFmt w:val="lowerLetter"/>
      <w:lvlText w:val="%8."/>
      <w:lvlJc w:val="left"/>
      <w:pPr>
        <w:ind w:left="6108" w:hanging="360"/>
      </w:pPr>
    </w:lvl>
    <w:lvl w:ilvl="8" w:tplc="4D4A823A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370702"/>
    <w:multiLevelType w:val="hybridMultilevel"/>
    <w:tmpl w:val="1F627C92"/>
    <w:lvl w:ilvl="0" w:tplc="68DC4B28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A6B01750">
      <w:start w:val="1"/>
      <w:numFmt w:val="lowerLetter"/>
      <w:lvlText w:val="%2."/>
      <w:lvlJc w:val="left"/>
      <w:pPr>
        <w:ind w:left="1440" w:hanging="360"/>
      </w:pPr>
    </w:lvl>
    <w:lvl w:ilvl="2" w:tplc="BAA84420">
      <w:start w:val="1"/>
      <w:numFmt w:val="lowerRoman"/>
      <w:lvlText w:val="%3."/>
      <w:lvlJc w:val="right"/>
      <w:pPr>
        <w:ind w:left="2160" w:hanging="180"/>
      </w:pPr>
    </w:lvl>
    <w:lvl w:ilvl="3" w:tplc="DF58B6C6">
      <w:start w:val="1"/>
      <w:numFmt w:val="decimal"/>
      <w:lvlText w:val="%4."/>
      <w:lvlJc w:val="left"/>
      <w:pPr>
        <w:ind w:left="2880" w:hanging="360"/>
      </w:pPr>
    </w:lvl>
    <w:lvl w:ilvl="4" w:tplc="722A320E">
      <w:start w:val="1"/>
      <w:numFmt w:val="lowerLetter"/>
      <w:lvlText w:val="%5."/>
      <w:lvlJc w:val="left"/>
      <w:pPr>
        <w:ind w:left="3600" w:hanging="360"/>
      </w:pPr>
    </w:lvl>
    <w:lvl w:ilvl="5" w:tplc="9C3C4CAA">
      <w:start w:val="1"/>
      <w:numFmt w:val="lowerRoman"/>
      <w:lvlText w:val="%6."/>
      <w:lvlJc w:val="right"/>
      <w:pPr>
        <w:ind w:left="4320" w:hanging="180"/>
      </w:pPr>
    </w:lvl>
    <w:lvl w:ilvl="6" w:tplc="79F8ACF0">
      <w:start w:val="1"/>
      <w:numFmt w:val="decimal"/>
      <w:lvlText w:val="%7."/>
      <w:lvlJc w:val="left"/>
      <w:pPr>
        <w:ind w:left="5040" w:hanging="360"/>
      </w:pPr>
    </w:lvl>
    <w:lvl w:ilvl="7" w:tplc="E7C8742C">
      <w:start w:val="1"/>
      <w:numFmt w:val="lowerLetter"/>
      <w:lvlText w:val="%8."/>
      <w:lvlJc w:val="left"/>
      <w:pPr>
        <w:ind w:left="5760" w:hanging="360"/>
      </w:pPr>
    </w:lvl>
    <w:lvl w:ilvl="8" w:tplc="45E27E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37114"/>
    <w:multiLevelType w:val="hybridMultilevel"/>
    <w:tmpl w:val="2AD8EAF6"/>
    <w:lvl w:ilvl="0" w:tplc="25D8490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197551"/>
    <w:multiLevelType w:val="hybridMultilevel"/>
    <w:tmpl w:val="B9EA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98"/>
    <w:rsid w:val="00005053"/>
    <w:rsid w:val="00010B2E"/>
    <w:rsid w:val="00015F3D"/>
    <w:rsid w:val="0003573C"/>
    <w:rsid w:val="0003627B"/>
    <w:rsid w:val="0004195A"/>
    <w:rsid w:val="000650FA"/>
    <w:rsid w:val="00067250"/>
    <w:rsid w:val="00077512"/>
    <w:rsid w:val="000874CD"/>
    <w:rsid w:val="00093EC8"/>
    <w:rsid w:val="000A255F"/>
    <w:rsid w:val="000B2C04"/>
    <w:rsid w:val="000C3193"/>
    <w:rsid w:val="000D613E"/>
    <w:rsid w:val="000D65CB"/>
    <w:rsid w:val="000E5A6B"/>
    <w:rsid w:val="000F09CC"/>
    <w:rsid w:val="00116508"/>
    <w:rsid w:val="001274AE"/>
    <w:rsid w:val="00136903"/>
    <w:rsid w:val="0014000A"/>
    <w:rsid w:val="00143F2E"/>
    <w:rsid w:val="00156098"/>
    <w:rsid w:val="00163D5C"/>
    <w:rsid w:val="00184898"/>
    <w:rsid w:val="00184E36"/>
    <w:rsid w:val="00186E6C"/>
    <w:rsid w:val="0019571C"/>
    <w:rsid w:val="001B4FA0"/>
    <w:rsid w:val="001C359B"/>
    <w:rsid w:val="001C49E3"/>
    <w:rsid w:val="001C514E"/>
    <w:rsid w:val="001C57E6"/>
    <w:rsid w:val="001E184B"/>
    <w:rsid w:val="001F4431"/>
    <w:rsid w:val="001F74C1"/>
    <w:rsid w:val="00200D1C"/>
    <w:rsid w:val="002033CE"/>
    <w:rsid w:val="00214063"/>
    <w:rsid w:val="00214D68"/>
    <w:rsid w:val="0023295E"/>
    <w:rsid w:val="002371D1"/>
    <w:rsid w:val="002665B5"/>
    <w:rsid w:val="00284EEF"/>
    <w:rsid w:val="002B13AB"/>
    <w:rsid w:val="002C2CAD"/>
    <w:rsid w:val="002C3EA8"/>
    <w:rsid w:val="002C6D05"/>
    <w:rsid w:val="002D1403"/>
    <w:rsid w:val="002E47E7"/>
    <w:rsid w:val="002F1841"/>
    <w:rsid w:val="00301A49"/>
    <w:rsid w:val="003027F6"/>
    <w:rsid w:val="00302C92"/>
    <w:rsid w:val="00307FEF"/>
    <w:rsid w:val="00311372"/>
    <w:rsid w:val="0032641D"/>
    <w:rsid w:val="00327EAD"/>
    <w:rsid w:val="00331CFE"/>
    <w:rsid w:val="003420F9"/>
    <w:rsid w:val="003448E3"/>
    <w:rsid w:val="003454F3"/>
    <w:rsid w:val="00356F26"/>
    <w:rsid w:val="00361695"/>
    <w:rsid w:val="00366CE1"/>
    <w:rsid w:val="0037218A"/>
    <w:rsid w:val="00374BE8"/>
    <w:rsid w:val="00390C0E"/>
    <w:rsid w:val="00395418"/>
    <w:rsid w:val="00397214"/>
    <w:rsid w:val="003A3F26"/>
    <w:rsid w:val="003A40E3"/>
    <w:rsid w:val="003B4510"/>
    <w:rsid w:val="003C3FF8"/>
    <w:rsid w:val="003C7611"/>
    <w:rsid w:val="003D1BC7"/>
    <w:rsid w:val="003E043B"/>
    <w:rsid w:val="003E5C1F"/>
    <w:rsid w:val="003F6FDD"/>
    <w:rsid w:val="003F71E7"/>
    <w:rsid w:val="003F75F2"/>
    <w:rsid w:val="00400198"/>
    <w:rsid w:val="00413BC1"/>
    <w:rsid w:val="004216BC"/>
    <w:rsid w:val="004459FB"/>
    <w:rsid w:val="004533D6"/>
    <w:rsid w:val="00474ACF"/>
    <w:rsid w:val="00493E0A"/>
    <w:rsid w:val="00494AD9"/>
    <w:rsid w:val="004A1035"/>
    <w:rsid w:val="004B0505"/>
    <w:rsid w:val="004C3F44"/>
    <w:rsid w:val="004C76D6"/>
    <w:rsid w:val="004D0BAD"/>
    <w:rsid w:val="004E48AB"/>
    <w:rsid w:val="005058C7"/>
    <w:rsid w:val="00506465"/>
    <w:rsid w:val="00507559"/>
    <w:rsid w:val="00507DA7"/>
    <w:rsid w:val="00511188"/>
    <w:rsid w:val="00517381"/>
    <w:rsid w:val="00524E69"/>
    <w:rsid w:val="00527AB7"/>
    <w:rsid w:val="00536B1B"/>
    <w:rsid w:val="005406E7"/>
    <w:rsid w:val="00542081"/>
    <w:rsid w:val="00544B6C"/>
    <w:rsid w:val="0054503A"/>
    <w:rsid w:val="005465DA"/>
    <w:rsid w:val="00575EB7"/>
    <w:rsid w:val="005A6C24"/>
    <w:rsid w:val="005B7072"/>
    <w:rsid w:val="005C046A"/>
    <w:rsid w:val="005C4ABB"/>
    <w:rsid w:val="005E4783"/>
    <w:rsid w:val="005E7E66"/>
    <w:rsid w:val="005F10CF"/>
    <w:rsid w:val="005F25F0"/>
    <w:rsid w:val="005F2FF7"/>
    <w:rsid w:val="006020A2"/>
    <w:rsid w:val="0061179C"/>
    <w:rsid w:val="0061539A"/>
    <w:rsid w:val="006255AE"/>
    <w:rsid w:val="006308A1"/>
    <w:rsid w:val="00631126"/>
    <w:rsid w:val="00642C90"/>
    <w:rsid w:val="00651B91"/>
    <w:rsid w:val="006537AB"/>
    <w:rsid w:val="00660FAD"/>
    <w:rsid w:val="0067028C"/>
    <w:rsid w:val="00672B4B"/>
    <w:rsid w:val="00672D97"/>
    <w:rsid w:val="00682286"/>
    <w:rsid w:val="00695C0A"/>
    <w:rsid w:val="00696CAE"/>
    <w:rsid w:val="006D473E"/>
    <w:rsid w:val="006D6016"/>
    <w:rsid w:val="006F092C"/>
    <w:rsid w:val="00700814"/>
    <w:rsid w:val="00700A07"/>
    <w:rsid w:val="007037C2"/>
    <w:rsid w:val="007116F0"/>
    <w:rsid w:val="0071191B"/>
    <w:rsid w:val="00714B69"/>
    <w:rsid w:val="00723146"/>
    <w:rsid w:val="00724CD4"/>
    <w:rsid w:val="00727074"/>
    <w:rsid w:val="00727C7D"/>
    <w:rsid w:val="0073070C"/>
    <w:rsid w:val="00743B99"/>
    <w:rsid w:val="00745617"/>
    <w:rsid w:val="00752A45"/>
    <w:rsid w:val="0076255D"/>
    <w:rsid w:val="00763394"/>
    <w:rsid w:val="00765687"/>
    <w:rsid w:val="00766EC8"/>
    <w:rsid w:val="00792A6F"/>
    <w:rsid w:val="007B7B64"/>
    <w:rsid w:val="007E0A9E"/>
    <w:rsid w:val="007E70C6"/>
    <w:rsid w:val="007F5BDF"/>
    <w:rsid w:val="008320B9"/>
    <w:rsid w:val="00846E3A"/>
    <w:rsid w:val="00866A9B"/>
    <w:rsid w:val="00870388"/>
    <w:rsid w:val="00877FB8"/>
    <w:rsid w:val="008832D7"/>
    <w:rsid w:val="00890668"/>
    <w:rsid w:val="008A137D"/>
    <w:rsid w:val="008A13B2"/>
    <w:rsid w:val="008A14F4"/>
    <w:rsid w:val="008A68F9"/>
    <w:rsid w:val="008A6D6E"/>
    <w:rsid w:val="008B3F10"/>
    <w:rsid w:val="008B50A5"/>
    <w:rsid w:val="008B608C"/>
    <w:rsid w:val="008E417B"/>
    <w:rsid w:val="008E6F6B"/>
    <w:rsid w:val="009046AB"/>
    <w:rsid w:val="00904984"/>
    <w:rsid w:val="00933CD6"/>
    <w:rsid w:val="009402F7"/>
    <w:rsid w:val="00943687"/>
    <w:rsid w:val="0094524C"/>
    <w:rsid w:val="00953AAE"/>
    <w:rsid w:val="00957A82"/>
    <w:rsid w:val="009866A8"/>
    <w:rsid w:val="00986750"/>
    <w:rsid w:val="009973F5"/>
    <w:rsid w:val="009B1C2A"/>
    <w:rsid w:val="009C1D0B"/>
    <w:rsid w:val="009C1FF4"/>
    <w:rsid w:val="009D2815"/>
    <w:rsid w:val="009D2EB4"/>
    <w:rsid w:val="009E5D62"/>
    <w:rsid w:val="009E6344"/>
    <w:rsid w:val="009F099D"/>
    <w:rsid w:val="00A00274"/>
    <w:rsid w:val="00A13385"/>
    <w:rsid w:val="00A2482C"/>
    <w:rsid w:val="00A33B6A"/>
    <w:rsid w:val="00A3410E"/>
    <w:rsid w:val="00A365AF"/>
    <w:rsid w:val="00A439A6"/>
    <w:rsid w:val="00A45FAE"/>
    <w:rsid w:val="00A53F5A"/>
    <w:rsid w:val="00A55D32"/>
    <w:rsid w:val="00A70F44"/>
    <w:rsid w:val="00A80E97"/>
    <w:rsid w:val="00A82409"/>
    <w:rsid w:val="00A826FC"/>
    <w:rsid w:val="00A97197"/>
    <w:rsid w:val="00AA64A3"/>
    <w:rsid w:val="00AC42C8"/>
    <w:rsid w:val="00AE3591"/>
    <w:rsid w:val="00AE4FBC"/>
    <w:rsid w:val="00B07A2F"/>
    <w:rsid w:val="00B11AAA"/>
    <w:rsid w:val="00B12D2A"/>
    <w:rsid w:val="00B20B0B"/>
    <w:rsid w:val="00B25E3B"/>
    <w:rsid w:val="00B35E41"/>
    <w:rsid w:val="00B41BDE"/>
    <w:rsid w:val="00B469F3"/>
    <w:rsid w:val="00B545C8"/>
    <w:rsid w:val="00B76025"/>
    <w:rsid w:val="00B82C06"/>
    <w:rsid w:val="00B831AE"/>
    <w:rsid w:val="00B903C7"/>
    <w:rsid w:val="00B96092"/>
    <w:rsid w:val="00B96C87"/>
    <w:rsid w:val="00BA7473"/>
    <w:rsid w:val="00BB4542"/>
    <w:rsid w:val="00BB4C8F"/>
    <w:rsid w:val="00BB68CF"/>
    <w:rsid w:val="00BD3B61"/>
    <w:rsid w:val="00BD5BBB"/>
    <w:rsid w:val="00BE74C4"/>
    <w:rsid w:val="00BF0E12"/>
    <w:rsid w:val="00BF7317"/>
    <w:rsid w:val="00C00108"/>
    <w:rsid w:val="00C1171C"/>
    <w:rsid w:val="00C16F4E"/>
    <w:rsid w:val="00C26201"/>
    <w:rsid w:val="00C309BB"/>
    <w:rsid w:val="00C30B0B"/>
    <w:rsid w:val="00C35B8A"/>
    <w:rsid w:val="00C516F6"/>
    <w:rsid w:val="00C573E7"/>
    <w:rsid w:val="00C62779"/>
    <w:rsid w:val="00C7011A"/>
    <w:rsid w:val="00C772A9"/>
    <w:rsid w:val="00C87038"/>
    <w:rsid w:val="00C90F80"/>
    <w:rsid w:val="00CA7021"/>
    <w:rsid w:val="00CB62F9"/>
    <w:rsid w:val="00CB642C"/>
    <w:rsid w:val="00CB65E5"/>
    <w:rsid w:val="00CC0602"/>
    <w:rsid w:val="00CC2A77"/>
    <w:rsid w:val="00CC4823"/>
    <w:rsid w:val="00CC5D2F"/>
    <w:rsid w:val="00CD6FAF"/>
    <w:rsid w:val="00CF1386"/>
    <w:rsid w:val="00CF218F"/>
    <w:rsid w:val="00D0219A"/>
    <w:rsid w:val="00D03A91"/>
    <w:rsid w:val="00D10B75"/>
    <w:rsid w:val="00D20B89"/>
    <w:rsid w:val="00D20C9B"/>
    <w:rsid w:val="00D24D89"/>
    <w:rsid w:val="00D36DDB"/>
    <w:rsid w:val="00D377FB"/>
    <w:rsid w:val="00D463EA"/>
    <w:rsid w:val="00D52EBA"/>
    <w:rsid w:val="00D55F73"/>
    <w:rsid w:val="00D70724"/>
    <w:rsid w:val="00D81746"/>
    <w:rsid w:val="00D9105B"/>
    <w:rsid w:val="00D97E91"/>
    <w:rsid w:val="00DA49BC"/>
    <w:rsid w:val="00DA4F3E"/>
    <w:rsid w:val="00DD3EC4"/>
    <w:rsid w:val="00DD5757"/>
    <w:rsid w:val="00DD68D3"/>
    <w:rsid w:val="00DD7C8A"/>
    <w:rsid w:val="00DE264C"/>
    <w:rsid w:val="00DE4B61"/>
    <w:rsid w:val="00DE4E43"/>
    <w:rsid w:val="00DF4FF9"/>
    <w:rsid w:val="00DF68BF"/>
    <w:rsid w:val="00DF79E4"/>
    <w:rsid w:val="00E07032"/>
    <w:rsid w:val="00E141C9"/>
    <w:rsid w:val="00E1496B"/>
    <w:rsid w:val="00E1610A"/>
    <w:rsid w:val="00E25560"/>
    <w:rsid w:val="00E306A5"/>
    <w:rsid w:val="00E36A56"/>
    <w:rsid w:val="00E411B1"/>
    <w:rsid w:val="00E44D81"/>
    <w:rsid w:val="00E46A00"/>
    <w:rsid w:val="00E4708E"/>
    <w:rsid w:val="00E65B15"/>
    <w:rsid w:val="00E74B61"/>
    <w:rsid w:val="00E758EE"/>
    <w:rsid w:val="00E81204"/>
    <w:rsid w:val="00E81569"/>
    <w:rsid w:val="00E97DE0"/>
    <w:rsid w:val="00EA026F"/>
    <w:rsid w:val="00EA5101"/>
    <w:rsid w:val="00EA6009"/>
    <w:rsid w:val="00EB0706"/>
    <w:rsid w:val="00EB3832"/>
    <w:rsid w:val="00EB5994"/>
    <w:rsid w:val="00EB610B"/>
    <w:rsid w:val="00EC1A3D"/>
    <w:rsid w:val="00EC6FC2"/>
    <w:rsid w:val="00EC72E9"/>
    <w:rsid w:val="00ED2893"/>
    <w:rsid w:val="00ED715B"/>
    <w:rsid w:val="00ED7E83"/>
    <w:rsid w:val="00EE0A5B"/>
    <w:rsid w:val="00EE3F8A"/>
    <w:rsid w:val="00EE4EFF"/>
    <w:rsid w:val="00EE667D"/>
    <w:rsid w:val="00EF0CE7"/>
    <w:rsid w:val="00F13B86"/>
    <w:rsid w:val="00F14F2D"/>
    <w:rsid w:val="00F150FC"/>
    <w:rsid w:val="00F252D7"/>
    <w:rsid w:val="00F36F4D"/>
    <w:rsid w:val="00F419B5"/>
    <w:rsid w:val="00F518C3"/>
    <w:rsid w:val="00F644F5"/>
    <w:rsid w:val="00F72D55"/>
    <w:rsid w:val="00FA0667"/>
    <w:rsid w:val="00FB0D37"/>
    <w:rsid w:val="00FB2407"/>
    <w:rsid w:val="00FC1F07"/>
    <w:rsid w:val="00FC38FA"/>
    <w:rsid w:val="00FD2B62"/>
    <w:rsid w:val="00FD5CAD"/>
    <w:rsid w:val="00FD67C7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3B31A"/>
  <w15:chartTrackingRefBased/>
  <w15:docId w15:val="{72594EC5-9ED8-472E-AC67-AD85793C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Heading1,Colorful List - Accent 11,H1-1,Заголовок3,Colorful List - Accent 11CxSpLast,Bullet 1,Use Case List Paragraph,List Paragraph"/>
    <w:basedOn w:val="a"/>
    <w:link w:val="a4"/>
    <w:uiPriority w:val="34"/>
    <w:qFormat/>
    <w:rsid w:val="00395418"/>
    <w:pPr>
      <w:ind w:left="720"/>
      <w:contextualSpacing/>
    </w:pPr>
  </w:style>
  <w:style w:type="table" w:styleId="a5">
    <w:name w:val="Table Grid"/>
    <w:basedOn w:val="a1"/>
    <w:rsid w:val="00D2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E66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108"/>
  </w:style>
  <w:style w:type="paragraph" w:styleId="a8">
    <w:name w:val="footer"/>
    <w:basedOn w:val="a"/>
    <w:link w:val="a9"/>
    <w:uiPriority w:val="99"/>
    <w:unhideWhenUsed/>
    <w:rsid w:val="00C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108"/>
  </w:style>
  <w:style w:type="paragraph" w:styleId="aa">
    <w:name w:val="Normal (Web)"/>
    <w:basedOn w:val="a"/>
    <w:uiPriority w:val="99"/>
    <w:unhideWhenUsed/>
    <w:qFormat/>
    <w:rsid w:val="008B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B608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0C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C49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e">
    <w:name w:val="Strong"/>
    <w:uiPriority w:val="22"/>
    <w:qFormat/>
    <w:rsid w:val="00DD7C8A"/>
    <w:rPr>
      <w:b/>
      <w:bCs/>
    </w:rPr>
  </w:style>
  <w:style w:type="character" w:customStyle="1" w:styleId="a4">
    <w:name w:val="Абзац списка Знак"/>
    <w:aliases w:val="Heading1 Знак,Colorful List - Accent 11 Знак,H1-1 Знак,Заголовок3 Знак,Colorful List - Accent 11CxSpLast Знак,Bullet 1 Знак,Use Case List Paragraph Знак,List Paragraph Знак"/>
    <w:link w:val="a3"/>
    <w:uiPriority w:val="34"/>
    <w:locked/>
    <w:rsid w:val="00DD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6831-CA1D-4CB4-A1DA-06345AC7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Адилхан Прмагамбетов</dc:creator>
  <cp:keywords/>
  <dc:description/>
  <cp:lastModifiedBy>Аят Қарымсақ</cp:lastModifiedBy>
  <cp:revision>4</cp:revision>
  <cp:lastPrinted>2026-03-17T11:47:00Z</cp:lastPrinted>
  <dcterms:created xsi:type="dcterms:W3CDTF">2026-05-06T11:47:00Z</dcterms:created>
  <dcterms:modified xsi:type="dcterms:W3CDTF">2026-05-06T12:41:00Z</dcterms:modified>
</cp:coreProperties>
</file>