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450"/>
        <w:tblW w:w="10215" w:type="dxa"/>
        <w:tblLayout w:type="fixed"/>
        <w:tblLook w:val="01E0" w:firstRow="1" w:lastRow="1" w:firstColumn="1" w:lastColumn="1" w:noHBand="0" w:noVBand="0"/>
      </w:tblPr>
      <w:tblGrid>
        <w:gridCol w:w="4249"/>
        <w:gridCol w:w="1561"/>
        <w:gridCol w:w="4390"/>
        <w:gridCol w:w="15"/>
      </w:tblGrid>
      <w:tr w:rsidR="00D91799" w:rsidRPr="004460CA" w14:paraId="7DA6DCCF" w14:textId="77777777" w:rsidTr="00D91799">
        <w:trPr>
          <w:gridAfter w:val="1"/>
          <w:wAfter w:w="15" w:type="dxa"/>
          <w:trHeight w:val="1611"/>
        </w:trPr>
        <w:tc>
          <w:tcPr>
            <w:tcW w:w="4249" w:type="dxa"/>
          </w:tcPr>
          <w:p w14:paraId="501BBE4B" w14:textId="77777777" w:rsidR="00D91799" w:rsidRPr="004460CA" w:rsidRDefault="00D91799" w:rsidP="00E23607">
            <w:pPr>
              <w:jc w:val="center"/>
              <w:rPr>
                <w:b/>
                <w:sz w:val="22"/>
                <w:szCs w:val="22"/>
              </w:rPr>
            </w:pPr>
            <w:bookmarkStart w:id="0" w:name="z18"/>
            <w:r w:rsidRPr="004460CA">
              <w:rPr>
                <w:b/>
                <w:sz w:val="22"/>
                <w:szCs w:val="22"/>
              </w:rPr>
              <w:t>«ҚАЗАҚСТАН РЕСПУБЛИКАСЫНЫҢ</w:t>
            </w:r>
          </w:p>
          <w:p w14:paraId="53602FBE" w14:textId="77777777" w:rsidR="00D91799" w:rsidRPr="004460CA" w:rsidRDefault="00D91799" w:rsidP="00E23607">
            <w:pPr>
              <w:jc w:val="center"/>
              <w:rPr>
                <w:b/>
                <w:sz w:val="22"/>
                <w:szCs w:val="22"/>
              </w:rPr>
            </w:pPr>
            <w:r w:rsidRPr="004460CA">
              <w:rPr>
                <w:b/>
                <w:sz w:val="22"/>
                <w:szCs w:val="22"/>
              </w:rPr>
              <w:t>ҚАРЖЫ НАРЫҒЫН РЕТТЕУ ЖӘНЕ ДАМЫТУ АГЕНТТІГІ»</w:t>
            </w:r>
          </w:p>
          <w:p w14:paraId="2C146677" w14:textId="77777777" w:rsidR="00D91799" w:rsidRPr="004460CA" w:rsidRDefault="00D91799" w:rsidP="00E23607">
            <w:pPr>
              <w:jc w:val="center"/>
              <w:rPr>
                <w:sz w:val="22"/>
                <w:szCs w:val="22"/>
              </w:rPr>
            </w:pPr>
          </w:p>
          <w:p w14:paraId="25AB9FED" w14:textId="77777777" w:rsidR="00D91799" w:rsidRPr="004460CA" w:rsidRDefault="00D91799" w:rsidP="00E23607">
            <w:pPr>
              <w:jc w:val="center"/>
              <w:rPr>
                <w:sz w:val="22"/>
                <w:szCs w:val="22"/>
              </w:rPr>
            </w:pPr>
            <w:r w:rsidRPr="004460CA">
              <w:rPr>
                <w:sz w:val="22"/>
                <w:szCs w:val="22"/>
              </w:rPr>
              <w:t>РЕСПУБЛИКАЛЫҚ МЕМЛЕКЕТТІК МЕКЕМЕСІ</w:t>
            </w:r>
          </w:p>
          <w:p w14:paraId="4422FF85" w14:textId="77777777" w:rsidR="00D91799" w:rsidRPr="004460CA" w:rsidRDefault="00D91799" w:rsidP="00E23607">
            <w:pPr>
              <w:jc w:val="center"/>
              <w:rPr>
                <w:sz w:val="22"/>
                <w:szCs w:val="22"/>
              </w:rPr>
            </w:pPr>
          </w:p>
          <w:p w14:paraId="0DB1628B" w14:textId="77777777" w:rsidR="00D91799" w:rsidRPr="004460CA" w:rsidRDefault="00D91799" w:rsidP="00E23607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1" w:type="dxa"/>
            <w:hideMark/>
          </w:tcPr>
          <w:p w14:paraId="691E1E13" w14:textId="19554665" w:rsidR="00D91799" w:rsidRPr="004460CA" w:rsidRDefault="00D91799" w:rsidP="00E23607">
            <w:pPr>
              <w:ind w:hanging="108"/>
              <w:jc w:val="both"/>
              <w:rPr>
                <w:sz w:val="22"/>
                <w:szCs w:val="22"/>
              </w:rPr>
            </w:pPr>
            <w:r w:rsidRPr="004460CA">
              <w:rPr>
                <w:noProof/>
              </w:rPr>
              <w:drawing>
                <wp:inline distT="0" distB="0" distL="0" distR="0" wp14:anchorId="1F156560" wp14:editId="12DEE8C6">
                  <wp:extent cx="981075" cy="1009650"/>
                  <wp:effectExtent l="0" t="0" r="9525" b="0"/>
                  <wp:docPr id="3" name="Рисунок 3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14" t="5652" r="7115" b="56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0" w:type="dxa"/>
          </w:tcPr>
          <w:p w14:paraId="4374A5DB" w14:textId="77777777" w:rsidR="00D91799" w:rsidRPr="004460CA" w:rsidRDefault="00D91799" w:rsidP="00E23607">
            <w:pPr>
              <w:jc w:val="center"/>
              <w:rPr>
                <w:sz w:val="22"/>
                <w:szCs w:val="22"/>
              </w:rPr>
            </w:pPr>
            <w:r w:rsidRPr="004460CA">
              <w:rPr>
                <w:sz w:val="22"/>
                <w:szCs w:val="22"/>
              </w:rPr>
              <w:t>РЕСПУБЛИКАНСКОЕ ГОСУДАРСТВЕННОЕ УЧРЕЖДЕНИЕ</w:t>
            </w:r>
          </w:p>
          <w:p w14:paraId="6D0B8C10" w14:textId="77777777" w:rsidR="00D91799" w:rsidRPr="004460CA" w:rsidRDefault="00D91799" w:rsidP="00E23607">
            <w:pPr>
              <w:jc w:val="center"/>
              <w:rPr>
                <w:b/>
                <w:sz w:val="22"/>
                <w:szCs w:val="22"/>
              </w:rPr>
            </w:pPr>
          </w:p>
          <w:p w14:paraId="6F0922EB" w14:textId="77777777" w:rsidR="00D91799" w:rsidRPr="004460CA" w:rsidRDefault="00D91799" w:rsidP="00E23607">
            <w:pPr>
              <w:ind w:left="-132"/>
              <w:jc w:val="center"/>
              <w:rPr>
                <w:b/>
                <w:sz w:val="22"/>
                <w:szCs w:val="22"/>
              </w:rPr>
            </w:pPr>
            <w:r w:rsidRPr="004460CA">
              <w:rPr>
                <w:b/>
                <w:sz w:val="22"/>
                <w:szCs w:val="22"/>
              </w:rPr>
              <w:t>«АГЕНТСТВО РЕСПУБЛИКИ</w:t>
            </w:r>
          </w:p>
          <w:p w14:paraId="4C8D7ACB" w14:textId="77777777" w:rsidR="00D91799" w:rsidRPr="004460CA" w:rsidRDefault="00D91799" w:rsidP="00E23607">
            <w:pPr>
              <w:ind w:left="-132"/>
              <w:jc w:val="center"/>
              <w:rPr>
                <w:b/>
                <w:iCs/>
                <w:sz w:val="22"/>
                <w:szCs w:val="22"/>
              </w:rPr>
            </w:pPr>
            <w:r w:rsidRPr="004460CA">
              <w:rPr>
                <w:b/>
                <w:sz w:val="22"/>
                <w:szCs w:val="22"/>
              </w:rPr>
              <w:t>КАЗАХСТАН</w:t>
            </w:r>
            <w:r w:rsidRPr="004460CA">
              <w:rPr>
                <w:iCs/>
                <w:sz w:val="22"/>
                <w:szCs w:val="22"/>
              </w:rPr>
              <w:t xml:space="preserve"> </w:t>
            </w:r>
            <w:r w:rsidRPr="004460CA">
              <w:rPr>
                <w:b/>
                <w:iCs/>
                <w:sz w:val="22"/>
                <w:szCs w:val="22"/>
              </w:rPr>
              <w:t>ПО РЕГУЛИРОВАНИЮ</w:t>
            </w:r>
          </w:p>
          <w:p w14:paraId="6AACAD76" w14:textId="77777777" w:rsidR="00D91799" w:rsidRPr="004460CA" w:rsidRDefault="00D91799" w:rsidP="00E23607">
            <w:pPr>
              <w:ind w:left="-132"/>
              <w:jc w:val="center"/>
              <w:rPr>
                <w:b/>
                <w:sz w:val="22"/>
                <w:szCs w:val="22"/>
              </w:rPr>
            </w:pPr>
            <w:r w:rsidRPr="004460CA">
              <w:rPr>
                <w:b/>
                <w:iCs/>
                <w:sz w:val="22"/>
                <w:szCs w:val="22"/>
              </w:rPr>
              <w:t>И РАЗВИТИЮ ФИНАНСОВОГО РЫНКА</w:t>
            </w:r>
            <w:r w:rsidRPr="004460CA">
              <w:rPr>
                <w:b/>
                <w:sz w:val="22"/>
                <w:szCs w:val="22"/>
              </w:rPr>
              <w:t>»</w:t>
            </w:r>
          </w:p>
          <w:p w14:paraId="7D878166" w14:textId="77777777" w:rsidR="00D91799" w:rsidRPr="004460CA" w:rsidRDefault="00D91799" w:rsidP="00E23607">
            <w:pPr>
              <w:jc w:val="center"/>
              <w:rPr>
                <w:b/>
                <w:sz w:val="22"/>
                <w:szCs w:val="22"/>
              </w:rPr>
            </w:pPr>
          </w:p>
          <w:p w14:paraId="527C17B8" w14:textId="77777777" w:rsidR="00D91799" w:rsidRPr="004460CA" w:rsidRDefault="00D91799" w:rsidP="00E23607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D91799" w:rsidRPr="004460CA" w14:paraId="16AE4EAE" w14:textId="77777777" w:rsidTr="00D91799">
        <w:trPr>
          <w:trHeight w:val="869"/>
        </w:trPr>
        <w:tc>
          <w:tcPr>
            <w:tcW w:w="4249" w:type="dxa"/>
            <w:hideMark/>
          </w:tcPr>
          <w:p w14:paraId="0571F1C8" w14:textId="77777777" w:rsidR="00D91799" w:rsidRPr="004460CA" w:rsidRDefault="00D91799" w:rsidP="00E23607">
            <w:pPr>
              <w:jc w:val="center"/>
              <w:rPr>
                <w:b/>
                <w:sz w:val="28"/>
                <w:szCs w:val="28"/>
              </w:rPr>
            </w:pPr>
            <w:r w:rsidRPr="004460CA">
              <w:rPr>
                <w:b/>
                <w:sz w:val="28"/>
                <w:szCs w:val="28"/>
              </w:rPr>
              <w:t>БАСҚАРМАСЫНЫҢ</w:t>
            </w:r>
          </w:p>
          <w:p w14:paraId="7F552D71" w14:textId="77777777" w:rsidR="00D91799" w:rsidRPr="004460CA" w:rsidRDefault="00D91799" w:rsidP="00E23607">
            <w:pPr>
              <w:jc w:val="center"/>
              <w:rPr>
                <w:b/>
                <w:sz w:val="22"/>
                <w:szCs w:val="22"/>
              </w:rPr>
            </w:pPr>
            <w:r w:rsidRPr="004460CA">
              <w:rPr>
                <w:b/>
                <w:sz w:val="28"/>
                <w:szCs w:val="28"/>
              </w:rPr>
              <w:t>ҚАУЛЫСЫ</w:t>
            </w:r>
          </w:p>
        </w:tc>
        <w:tc>
          <w:tcPr>
            <w:tcW w:w="1561" w:type="dxa"/>
          </w:tcPr>
          <w:p w14:paraId="01BD3334" w14:textId="77777777" w:rsidR="00D91799" w:rsidRPr="004460CA" w:rsidRDefault="00D91799" w:rsidP="00E23607">
            <w:pPr>
              <w:ind w:left="158"/>
            </w:pPr>
          </w:p>
        </w:tc>
        <w:tc>
          <w:tcPr>
            <w:tcW w:w="4405" w:type="dxa"/>
            <w:gridSpan w:val="2"/>
            <w:hideMark/>
          </w:tcPr>
          <w:p w14:paraId="5261FBC6" w14:textId="77777777" w:rsidR="00D91799" w:rsidRPr="004460CA" w:rsidRDefault="00D91799" w:rsidP="00E23607">
            <w:pPr>
              <w:jc w:val="center"/>
              <w:rPr>
                <w:b/>
                <w:sz w:val="28"/>
                <w:szCs w:val="28"/>
              </w:rPr>
            </w:pPr>
            <w:r w:rsidRPr="004460CA">
              <w:rPr>
                <w:b/>
                <w:sz w:val="28"/>
                <w:szCs w:val="28"/>
              </w:rPr>
              <w:t xml:space="preserve">ПОСТАНОВЛЕНИЕ </w:t>
            </w:r>
          </w:p>
          <w:p w14:paraId="1404C961" w14:textId="77777777" w:rsidR="00D91799" w:rsidRPr="004460CA" w:rsidRDefault="00D91799" w:rsidP="00E23607">
            <w:pPr>
              <w:jc w:val="center"/>
              <w:rPr>
                <w:b/>
                <w:sz w:val="22"/>
                <w:szCs w:val="22"/>
              </w:rPr>
            </w:pPr>
            <w:r w:rsidRPr="004460CA">
              <w:rPr>
                <w:b/>
                <w:sz w:val="28"/>
                <w:szCs w:val="28"/>
              </w:rPr>
              <w:t>ПРАВЛЕНИЯ</w:t>
            </w:r>
          </w:p>
        </w:tc>
      </w:tr>
      <w:tr w:rsidR="00D91799" w:rsidRPr="004460CA" w14:paraId="0B9B67BB" w14:textId="77777777" w:rsidTr="00D91799">
        <w:trPr>
          <w:trHeight w:val="691"/>
        </w:trPr>
        <w:tc>
          <w:tcPr>
            <w:tcW w:w="4249" w:type="dxa"/>
            <w:hideMark/>
          </w:tcPr>
          <w:p w14:paraId="380D24C8" w14:textId="77777777" w:rsidR="00D91799" w:rsidRPr="004460CA" w:rsidRDefault="00D91799" w:rsidP="00E23607">
            <w:pPr>
              <w:jc w:val="center"/>
              <w:rPr>
                <w:sz w:val="22"/>
                <w:szCs w:val="22"/>
              </w:rPr>
            </w:pPr>
          </w:p>
          <w:p w14:paraId="6B48CFA4" w14:textId="77777777" w:rsidR="00D91799" w:rsidRPr="004460CA" w:rsidRDefault="00D91799" w:rsidP="00E23607">
            <w:pPr>
              <w:jc w:val="center"/>
              <w:rPr>
                <w:b/>
                <w:sz w:val="22"/>
                <w:szCs w:val="22"/>
              </w:rPr>
            </w:pPr>
            <w:r w:rsidRPr="004460CA">
              <w:rPr>
                <w:sz w:val="22"/>
                <w:szCs w:val="22"/>
              </w:rPr>
              <w:t>Алматы қаласы</w:t>
            </w:r>
          </w:p>
        </w:tc>
        <w:tc>
          <w:tcPr>
            <w:tcW w:w="1561" w:type="dxa"/>
          </w:tcPr>
          <w:p w14:paraId="6352AF40" w14:textId="77777777" w:rsidR="00D91799" w:rsidRPr="004460CA" w:rsidRDefault="00D91799" w:rsidP="00E23607">
            <w:pPr>
              <w:ind w:left="158"/>
            </w:pPr>
          </w:p>
        </w:tc>
        <w:tc>
          <w:tcPr>
            <w:tcW w:w="4405" w:type="dxa"/>
            <w:gridSpan w:val="2"/>
          </w:tcPr>
          <w:p w14:paraId="761A2102" w14:textId="77777777" w:rsidR="00D91799" w:rsidRPr="004460CA" w:rsidRDefault="00D91799" w:rsidP="00E23607">
            <w:pPr>
              <w:jc w:val="center"/>
              <w:rPr>
                <w:sz w:val="22"/>
                <w:szCs w:val="22"/>
              </w:rPr>
            </w:pPr>
          </w:p>
          <w:p w14:paraId="6371461B" w14:textId="77777777" w:rsidR="00D91799" w:rsidRPr="004460CA" w:rsidRDefault="00D91799" w:rsidP="00E23607">
            <w:pPr>
              <w:jc w:val="center"/>
              <w:rPr>
                <w:b/>
                <w:sz w:val="22"/>
                <w:szCs w:val="22"/>
              </w:rPr>
            </w:pPr>
            <w:r w:rsidRPr="004460CA">
              <w:rPr>
                <w:sz w:val="22"/>
                <w:szCs w:val="22"/>
              </w:rPr>
              <w:t xml:space="preserve">город Алматы </w:t>
            </w:r>
          </w:p>
        </w:tc>
      </w:tr>
    </w:tbl>
    <w:p w14:paraId="63E73651" w14:textId="77777777" w:rsidR="00D91799" w:rsidRPr="004460CA" w:rsidRDefault="00D91799" w:rsidP="00E23607">
      <w:pPr>
        <w:jc w:val="center"/>
        <w:rPr>
          <w:rFonts w:eastAsiaTheme="minorHAnsi"/>
          <w:b/>
          <w:bCs/>
          <w:sz w:val="28"/>
          <w:szCs w:val="28"/>
        </w:rPr>
      </w:pPr>
    </w:p>
    <w:p w14:paraId="126AD4DF" w14:textId="59988700" w:rsidR="00F01706" w:rsidRPr="004460CA" w:rsidRDefault="00C46A4E" w:rsidP="00E23607">
      <w:pPr>
        <w:jc w:val="center"/>
        <w:rPr>
          <w:rFonts w:eastAsiaTheme="minorHAnsi"/>
          <w:b/>
          <w:bCs/>
          <w:sz w:val="28"/>
          <w:szCs w:val="28"/>
        </w:rPr>
      </w:pPr>
      <w:r w:rsidRPr="004460CA">
        <w:rPr>
          <w:rFonts w:eastAsiaTheme="minorHAnsi"/>
          <w:b/>
          <w:bCs/>
          <w:sz w:val="28"/>
          <w:szCs w:val="28"/>
        </w:rPr>
        <w:t xml:space="preserve">Об установлении значений </w:t>
      </w:r>
      <w:bookmarkStart w:id="1" w:name="_Hlk199835193"/>
      <w:r w:rsidRPr="004460CA">
        <w:rPr>
          <w:rFonts w:eastAsiaTheme="minorHAnsi"/>
          <w:b/>
          <w:bCs/>
          <w:sz w:val="28"/>
          <w:szCs w:val="28"/>
        </w:rPr>
        <w:t>финансово-экономических и иных признаков ухудшения финансовой устойчивости банка</w:t>
      </w:r>
      <w:bookmarkEnd w:id="1"/>
    </w:p>
    <w:p w14:paraId="5ECD2036" w14:textId="112C9928" w:rsidR="00F01706" w:rsidRPr="004460CA" w:rsidRDefault="00F01706" w:rsidP="00E23607">
      <w:pPr>
        <w:jc w:val="center"/>
        <w:rPr>
          <w:rFonts w:eastAsiaTheme="majorEastAsia"/>
          <w:sz w:val="28"/>
          <w:szCs w:val="28"/>
        </w:rPr>
      </w:pPr>
    </w:p>
    <w:p w14:paraId="1159ACCD" w14:textId="0B4F0C6D" w:rsidR="00C46A4E" w:rsidRPr="004460CA" w:rsidRDefault="00C46A4E" w:rsidP="00E23607">
      <w:pPr>
        <w:ind w:firstLine="709"/>
        <w:jc w:val="both"/>
        <w:rPr>
          <w:rFonts w:eastAsiaTheme="majorEastAsia"/>
          <w:b/>
          <w:sz w:val="28"/>
          <w:szCs w:val="28"/>
        </w:rPr>
      </w:pPr>
      <w:r w:rsidRPr="004460CA">
        <w:rPr>
          <w:rFonts w:eastAsiaTheme="majorEastAsia"/>
          <w:sz w:val="28"/>
          <w:szCs w:val="28"/>
        </w:rPr>
        <w:t xml:space="preserve">В соответствии с </w:t>
      </w:r>
      <w:r w:rsidR="00797B76" w:rsidRPr="004460CA">
        <w:rPr>
          <w:rFonts w:eastAsiaTheme="majorEastAsia"/>
          <w:sz w:val="28"/>
          <w:szCs w:val="28"/>
        </w:rPr>
        <w:t>частью 2</w:t>
      </w:r>
      <w:r w:rsidRPr="004460CA">
        <w:rPr>
          <w:rFonts w:eastAsiaTheme="majorEastAsia"/>
          <w:sz w:val="28"/>
          <w:szCs w:val="28"/>
        </w:rPr>
        <w:t xml:space="preserve"> пункта 2 статьи 85 Закона Республики Казахстан «О банках и банковской деятельности в Республике Казахстан» Правление Агентства Республики Казахстан по регулированию и развитию финансового рынка </w:t>
      </w:r>
      <w:r w:rsidRPr="004460CA">
        <w:rPr>
          <w:rFonts w:eastAsiaTheme="majorEastAsia"/>
          <w:b/>
          <w:sz w:val="28"/>
          <w:szCs w:val="28"/>
        </w:rPr>
        <w:t>ПОСТАНОВЛЯЕТ</w:t>
      </w:r>
      <w:r w:rsidRPr="004460CA">
        <w:rPr>
          <w:rFonts w:eastAsiaTheme="majorEastAsia"/>
          <w:sz w:val="28"/>
          <w:szCs w:val="28"/>
        </w:rPr>
        <w:t>:</w:t>
      </w:r>
    </w:p>
    <w:p w14:paraId="3846DF42" w14:textId="6545F04A" w:rsidR="00C46A4E" w:rsidRPr="004460CA" w:rsidRDefault="00C46A4E" w:rsidP="00E23607">
      <w:pPr>
        <w:ind w:firstLine="708"/>
        <w:jc w:val="both"/>
        <w:rPr>
          <w:sz w:val="28"/>
          <w:szCs w:val="28"/>
        </w:rPr>
      </w:pPr>
      <w:r w:rsidRPr="004460CA">
        <w:rPr>
          <w:bCs/>
          <w:sz w:val="28"/>
          <w:szCs w:val="28"/>
        </w:rPr>
        <w:t>1.</w:t>
      </w:r>
      <w:r w:rsidRPr="004460CA">
        <w:rPr>
          <w:rFonts w:eastAsia="Calibri"/>
          <w:sz w:val="28"/>
          <w:szCs w:val="28"/>
        </w:rPr>
        <w:t xml:space="preserve"> </w:t>
      </w:r>
      <w:r w:rsidRPr="004460CA">
        <w:rPr>
          <w:rFonts w:eastAsiaTheme="minorHAnsi"/>
          <w:bCs/>
          <w:sz w:val="28"/>
          <w:szCs w:val="28"/>
        </w:rPr>
        <w:t xml:space="preserve">Установить </w:t>
      </w:r>
      <w:bookmarkStart w:id="2" w:name="_Hlk226633909"/>
      <w:r w:rsidR="00BF3C73" w:rsidRPr="004460CA">
        <w:rPr>
          <w:rFonts w:eastAsiaTheme="minorHAnsi"/>
          <w:bCs/>
          <w:sz w:val="28"/>
          <w:szCs w:val="28"/>
        </w:rPr>
        <w:t>значения финансово-экономических и иных признаков ухудшения финансовой устойчивости банка</w:t>
      </w:r>
      <w:bookmarkEnd w:id="2"/>
      <w:r w:rsidRPr="004460CA">
        <w:rPr>
          <w:rFonts w:eastAsiaTheme="minorHAnsi"/>
          <w:bCs/>
          <w:sz w:val="28"/>
          <w:szCs w:val="28"/>
        </w:rPr>
        <w:t>, согласно приложению к настоящему постановлению</w:t>
      </w:r>
      <w:r w:rsidRPr="004460CA">
        <w:rPr>
          <w:rFonts w:eastAsia="Calibri"/>
          <w:sz w:val="28"/>
          <w:szCs w:val="28"/>
        </w:rPr>
        <w:t>.</w:t>
      </w:r>
    </w:p>
    <w:p w14:paraId="0AECB49D" w14:textId="169E8967" w:rsidR="00D91799" w:rsidRPr="004460CA" w:rsidRDefault="003B030B" w:rsidP="00E23607">
      <w:pPr>
        <w:ind w:firstLine="709"/>
        <w:jc w:val="both"/>
        <w:rPr>
          <w:sz w:val="28"/>
          <w:szCs w:val="28"/>
        </w:rPr>
      </w:pPr>
      <w:r w:rsidRPr="004460CA">
        <w:rPr>
          <w:sz w:val="28"/>
          <w:szCs w:val="28"/>
        </w:rPr>
        <w:t>2</w:t>
      </w:r>
      <w:r w:rsidR="00D91799" w:rsidRPr="004460CA">
        <w:rPr>
          <w:sz w:val="28"/>
          <w:szCs w:val="28"/>
        </w:rPr>
        <w:t>. Департаменту ___________________________ в установленном законодательством Республики Казахстан порядке обеспечить:</w:t>
      </w:r>
    </w:p>
    <w:p w14:paraId="35D9A94D" w14:textId="77777777" w:rsidR="00D91799" w:rsidRPr="004460CA" w:rsidRDefault="00D91799" w:rsidP="00E23607">
      <w:pPr>
        <w:ind w:firstLine="709"/>
        <w:jc w:val="both"/>
        <w:rPr>
          <w:sz w:val="28"/>
          <w:szCs w:val="28"/>
        </w:rPr>
      </w:pPr>
      <w:r w:rsidRPr="004460CA">
        <w:rPr>
          <w:sz w:val="28"/>
          <w:szCs w:val="28"/>
        </w:rPr>
        <w:t>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p w14:paraId="7A40C6A3" w14:textId="77777777" w:rsidR="00D91799" w:rsidRPr="004460CA" w:rsidRDefault="00D91799" w:rsidP="00E23607">
      <w:pPr>
        <w:ind w:firstLine="709"/>
        <w:jc w:val="both"/>
        <w:rPr>
          <w:sz w:val="28"/>
          <w:szCs w:val="28"/>
        </w:rPr>
      </w:pPr>
      <w:r w:rsidRPr="004460CA">
        <w:rPr>
          <w:sz w:val="28"/>
          <w:szCs w:val="28"/>
        </w:rPr>
        <w:t>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p w14:paraId="221148FD" w14:textId="77777777" w:rsidR="00D91799" w:rsidRPr="004460CA" w:rsidRDefault="00D91799" w:rsidP="00E23607">
      <w:pPr>
        <w:ind w:firstLine="709"/>
        <w:jc w:val="both"/>
        <w:rPr>
          <w:sz w:val="28"/>
          <w:szCs w:val="28"/>
        </w:rPr>
      </w:pPr>
      <w:r w:rsidRPr="004460CA">
        <w:rPr>
          <w:sz w:val="28"/>
          <w:szCs w:val="28"/>
        </w:rPr>
        <w:t xml:space="preserve">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</w:t>
      </w:r>
      <w:r w:rsidRPr="004460CA">
        <w:rPr>
          <w:sz w:val="28"/>
          <w:szCs w:val="28"/>
        </w:rPr>
        <w:br/>
        <w:t>2) настоящего пункта.</w:t>
      </w:r>
    </w:p>
    <w:p w14:paraId="0C29C96F" w14:textId="12C9A6EF" w:rsidR="00D91799" w:rsidRPr="004460CA" w:rsidRDefault="00B616B7" w:rsidP="00E23607">
      <w:pPr>
        <w:ind w:firstLine="709"/>
        <w:jc w:val="both"/>
        <w:rPr>
          <w:sz w:val="28"/>
          <w:szCs w:val="28"/>
        </w:rPr>
      </w:pPr>
      <w:r w:rsidRPr="004460CA">
        <w:rPr>
          <w:sz w:val="28"/>
          <w:szCs w:val="28"/>
        </w:rPr>
        <w:t>3</w:t>
      </w:r>
      <w:r w:rsidR="00D91799" w:rsidRPr="004460CA">
        <w:rPr>
          <w:sz w:val="28"/>
          <w:szCs w:val="28"/>
        </w:rPr>
        <w:t>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p w14:paraId="3A2171A7" w14:textId="27F573DF" w:rsidR="00D91799" w:rsidRPr="004460CA" w:rsidRDefault="00B616B7" w:rsidP="00E23607">
      <w:pPr>
        <w:ind w:firstLine="709"/>
        <w:jc w:val="both"/>
        <w:rPr>
          <w:rFonts w:eastAsia="Calibri"/>
          <w:sz w:val="28"/>
          <w:szCs w:val="28"/>
        </w:rPr>
      </w:pPr>
      <w:r w:rsidRPr="004460CA">
        <w:rPr>
          <w:rFonts w:eastAsia="Calibri"/>
          <w:sz w:val="28"/>
          <w:szCs w:val="28"/>
        </w:rPr>
        <w:t>4</w:t>
      </w:r>
      <w:r w:rsidR="00D91799" w:rsidRPr="004460CA">
        <w:rPr>
          <w:rFonts w:eastAsia="Calibri"/>
          <w:sz w:val="28"/>
          <w:szCs w:val="28"/>
        </w:rPr>
        <w:t>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 w14:paraId="3011F4B4" w14:textId="77777777" w:rsidR="00D91799" w:rsidRPr="004460CA" w:rsidRDefault="00D91799" w:rsidP="00E23607">
      <w:pPr>
        <w:tabs>
          <w:tab w:val="left" w:pos="6830"/>
        </w:tabs>
        <w:ind w:left="709"/>
        <w:rPr>
          <w:b/>
          <w:sz w:val="28"/>
          <w:szCs w:val="28"/>
        </w:rPr>
      </w:pPr>
    </w:p>
    <w:p w14:paraId="5A16F14B" w14:textId="77777777" w:rsidR="0059121A" w:rsidRDefault="0059121A" w:rsidP="00E23607">
      <w:pPr>
        <w:ind w:left="708"/>
        <w:rPr>
          <w:b/>
          <w:sz w:val="28"/>
          <w:szCs w:val="28"/>
        </w:rPr>
      </w:pPr>
    </w:p>
    <w:p w14:paraId="02640392" w14:textId="77777777" w:rsidR="0059121A" w:rsidRDefault="0059121A" w:rsidP="00E23607">
      <w:pPr>
        <w:ind w:left="708"/>
        <w:rPr>
          <w:b/>
          <w:sz w:val="28"/>
          <w:szCs w:val="28"/>
        </w:rPr>
      </w:pPr>
    </w:p>
    <w:p w14:paraId="669BFA78" w14:textId="77777777" w:rsidR="0059121A" w:rsidRDefault="0059121A" w:rsidP="00E23607">
      <w:pPr>
        <w:ind w:left="708"/>
        <w:rPr>
          <w:b/>
          <w:sz w:val="28"/>
          <w:szCs w:val="28"/>
        </w:rPr>
      </w:pPr>
    </w:p>
    <w:p w14:paraId="5ED8829A" w14:textId="4A003C14" w:rsidR="00D91799" w:rsidRPr="004460CA" w:rsidRDefault="0059121A" w:rsidP="00E23607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>Должность</w:t>
      </w:r>
      <w:r w:rsidR="00D91799" w:rsidRPr="004460CA">
        <w:rPr>
          <w:b/>
          <w:sz w:val="28"/>
          <w:szCs w:val="28"/>
        </w:rPr>
        <w:t xml:space="preserve">    </w:t>
      </w:r>
      <w:r w:rsidR="00D91799" w:rsidRPr="004460CA">
        <w:rPr>
          <w:b/>
          <w:sz w:val="28"/>
          <w:szCs w:val="28"/>
        </w:rPr>
        <w:tab/>
      </w:r>
      <w:r w:rsidR="00D91799" w:rsidRPr="004460CA">
        <w:rPr>
          <w:b/>
          <w:sz w:val="28"/>
          <w:szCs w:val="28"/>
        </w:rPr>
        <w:tab/>
      </w:r>
      <w:r w:rsidR="00D91799" w:rsidRPr="004460CA">
        <w:rPr>
          <w:b/>
          <w:sz w:val="28"/>
          <w:szCs w:val="28"/>
        </w:rPr>
        <w:tab/>
      </w:r>
      <w:r w:rsidR="00D91799" w:rsidRPr="004460CA">
        <w:rPr>
          <w:b/>
          <w:sz w:val="28"/>
          <w:szCs w:val="28"/>
        </w:rPr>
        <w:tab/>
      </w:r>
      <w:r w:rsidR="00D91799" w:rsidRPr="004460CA"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ФИО</w:t>
      </w:r>
    </w:p>
    <w:p w14:paraId="2E95D4D1" w14:textId="604C0AD3" w:rsidR="008A4610" w:rsidRPr="004460CA" w:rsidRDefault="008A4610" w:rsidP="00E23607">
      <w:pPr>
        <w:pStyle w:val="pj"/>
        <w:ind w:left="4678" w:firstLine="709"/>
        <w:jc w:val="right"/>
        <w:rPr>
          <w:b/>
          <w:sz w:val="28"/>
          <w:szCs w:val="28"/>
        </w:rPr>
      </w:pPr>
      <w:r w:rsidRPr="004460CA">
        <w:rPr>
          <w:sz w:val="28"/>
          <w:szCs w:val="28"/>
          <w:shd w:val="clear" w:color="auto" w:fill="FFFFFF"/>
        </w:rPr>
        <w:lastRenderedPageBreak/>
        <w:t>Приложение 1</w:t>
      </w:r>
      <w:r w:rsidRPr="004460CA">
        <w:rPr>
          <w:sz w:val="28"/>
          <w:szCs w:val="28"/>
        </w:rPr>
        <w:br/>
      </w:r>
      <w:r w:rsidRPr="004460CA">
        <w:rPr>
          <w:sz w:val="28"/>
          <w:szCs w:val="28"/>
          <w:shd w:val="clear" w:color="auto" w:fill="FFFFFF"/>
        </w:rPr>
        <w:t>к постановлению Правления</w:t>
      </w:r>
      <w:r w:rsidRPr="004460CA">
        <w:rPr>
          <w:sz w:val="28"/>
          <w:szCs w:val="28"/>
        </w:rPr>
        <w:br/>
      </w:r>
      <w:r w:rsidRPr="004460CA">
        <w:rPr>
          <w:sz w:val="28"/>
          <w:szCs w:val="28"/>
          <w:shd w:val="clear" w:color="auto" w:fill="FFFFFF"/>
        </w:rPr>
        <w:t xml:space="preserve">Агентства Республики Казахстан по регулированию и развитию финансового рынка </w:t>
      </w:r>
    </w:p>
    <w:p w14:paraId="52703371" w14:textId="77777777" w:rsidR="00E0045A" w:rsidRPr="004460CA" w:rsidRDefault="00E0045A" w:rsidP="00E23607">
      <w:pPr>
        <w:widowControl w:val="0"/>
        <w:ind w:firstLine="708"/>
        <w:jc w:val="center"/>
        <w:rPr>
          <w:b/>
          <w:color w:val="000000" w:themeColor="text1"/>
          <w:sz w:val="28"/>
          <w:szCs w:val="28"/>
        </w:rPr>
      </w:pPr>
    </w:p>
    <w:p w14:paraId="259BAD63" w14:textId="77777777" w:rsidR="00BC1617" w:rsidRPr="004460CA" w:rsidRDefault="00BC1617" w:rsidP="00E23607">
      <w:pPr>
        <w:jc w:val="center"/>
        <w:rPr>
          <w:rFonts w:eastAsiaTheme="minorHAnsi"/>
          <w:b/>
          <w:bCs/>
          <w:sz w:val="28"/>
          <w:szCs w:val="28"/>
        </w:rPr>
      </w:pPr>
      <w:r w:rsidRPr="004460CA">
        <w:rPr>
          <w:rFonts w:eastAsiaTheme="minorHAnsi"/>
          <w:b/>
          <w:bCs/>
          <w:sz w:val="28"/>
          <w:szCs w:val="28"/>
        </w:rPr>
        <w:t>Об установлении значений финансово-экономических и иных признаков ухудшения финансовой устойчивости банка</w:t>
      </w:r>
    </w:p>
    <w:p w14:paraId="6A195FAA" w14:textId="77777777" w:rsidR="00BF3C73" w:rsidRPr="004460CA" w:rsidRDefault="00BF3C73" w:rsidP="00E23607">
      <w:pPr>
        <w:widowControl w:val="0"/>
        <w:jc w:val="center"/>
        <w:rPr>
          <w:color w:val="000000" w:themeColor="text1"/>
          <w:sz w:val="28"/>
          <w:szCs w:val="28"/>
        </w:rPr>
      </w:pPr>
    </w:p>
    <w:p w14:paraId="50D70BBE" w14:textId="77777777" w:rsidR="00E0045A" w:rsidRPr="004460CA" w:rsidRDefault="00E0045A" w:rsidP="00E23607">
      <w:pPr>
        <w:widowControl w:val="0"/>
        <w:jc w:val="center"/>
        <w:rPr>
          <w:b/>
          <w:color w:val="000000" w:themeColor="text1"/>
          <w:sz w:val="28"/>
          <w:szCs w:val="28"/>
        </w:rPr>
      </w:pPr>
      <w:r w:rsidRPr="004460CA">
        <w:rPr>
          <w:b/>
          <w:color w:val="000000" w:themeColor="text1"/>
          <w:sz w:val="28"/>
          <w:szCs w:val="28"/>
        </w:rPr>
        <w:t>Глава 1. Общие положения</w:t>
      </w:r>
    </w:p>
    <w:p w14:paraId="64EA6917" w14:textId="77777777" w:rsidR="00E0045A" w:rsidRPr="004460CA" w:rsidRDefault="00E0045A" w:rsidP="00E23607">
      <w:pPr>
        <w:widowControl w:val="0"/>
        <w:rPr>
          <w:color w:val="000000" w:themeColor="text1"/>
          <w:sz w:val="28"/>
          <w:szCs w:val="28"/>
        </w:rPr>
      </w:pPr>
    </w:p>
    <w:p w14:paraId="45AE8F01" w14:textId="3681E19B" w:rsidR="00BF3C73" w:rsidRPr="004460CA" w:rsidRDefault="00E0045A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bookmarkStart w:id="3" w:name="z19"/>
      <w:bookmarkEnd w:id="0"/>
      <w:r w:rsidRPr="004460CA">
        <w:rPr>
          <w:color w:val="000000" w:themeColor="text1"/>
          <w:sz w:val="28"/>
          <w:szCs w:val="28"/>
        </w:rPr>
        <w:t xml:space="preserve">1. </w:t>
      </w:r>
      <w:r w:rsidR="00AE7E94" w:rsidRPr="004460CA">
        <w:rPr>
          <w:color w:val="000000" w:themeColor="text1"/>
          <w:sz w:val="28"/>
          <w:szCs w:val="28"/>
        </w:rPr>
        <w:t>Настоящие значения финансово-экономических и иных признаков ухудшения финансовой устойчивости банка (далее – Признаки ухудшения) разработаны в соответствии с частью 2 пункта 2 статьи 85 Закона Республики Казахстан «О банках и банковской деятельности в Республике Казахстан»</w:t>
      </w:r>
      <w:r w:rsidR="00E61F86" w:rsidRPr="004460CA">
        <w:rPr>
          <w:color w:val="000000" w:themeColor="text1"/>
          <w:sz w:val="28"/>
          <w:szCs w:val="28"/>
        </w:rPr>
        <w:t xml:space="preserve"> (далее – Закон о банках) </w:t>
      </w:r>
      <w:r w:rsidR="00AE7E94" w:rsidRPr="004460CA">
        <w:rPr>
          <w:color w:val="000000" w:themeColor="text1"/>
          <w:sz w:val="28"/>
          <w:szCs w:val="28"/>
        </w:rPr>
        <w:t>в целях своевременного выявления рисков ухудшения финансовой устойчивости банка, идентификации стадий ухудшения его финансового состояния, а также применения режимов регулирования, предусмотренных пунктом 3 статьи 85 Закона о банках.</w:t>
      </w:r>
    </w:p>
    <w:p w14:paraId="0B40AE60" w14:textId="465F9335" w:rsidR="00586B48" w:rsidRPr="004460CA" w:rsidRDefault="0040139C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bookmarkStart w:id="4" w:name="z20"/>
      <w:bookmarkEnd w:id="3"/>
      <w:r w:rsidRPr="004460CA">
        <w:rPr>
          <w:color w:val="000000" w:themeColor="text1"/>
          <w:sz w:val="28"/>
          <w:szCs w:val="28"/>
        </w:rPr>
        <w:t>2</w:t>
      </w:r>
      <w:r w:rsidR="00764893" w:rsidRPr="004460CA">
        <w:rPr>
          <w:color w:val="000000" w:themeColor="text1"/>
          <w:sz w:val="28"/>
          <w:szCs w:val="28"/>
        </w:rPr>
        <w:t>.</w:t>
      </w:r>
      <w:r w:rsidR="00586B48" w:rsidRPr="004460CA">
        <w:rPr>
          <w:color w:val="000000" w:themeColor="text1"/>
          <w:sz w:val="28"/>
          <w:szCs w:val="28"/>
        </w:rPr>
        <w:t xml:space="preserve"> Для целей Признаков ухудшения используются понятия, предусмотренные Законом о банках, Законом Республики Казахстан «О государственном регулировании, контроле и надзоре финансового рынка и финансовых организаций», а также следующие понятия:</w:t>
      </w:r>
      <w:r w:rsidR="00764893" w:rsidRPr="004460CA">
        <w:rPr>
          <w:color w:val="000000" w:themeColor="text1"/>
          <w:sz w:val="28"/>
          <w:szCs w:val="28"/>
        </w:rPr>
        <w:t xml:space="preserve"> </w:t>
      </w:r>
    </w:p>
    <w:p w14:paraId="69A9D75A" w14:textId="00BF132B" w:rsidR="003D6666" w:rsidRPr="004460CA" w:rsidRDefault="004B0DAF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t>1)</w:t>
      </w:r>
      <w:r w:rsidR="000E775E" w:rsidRPr="004460CA">
        <w:rPr>
          <w:color w:val="000000" w:themeColor="text1"/>
          <w:sz w:val="28"/>
          <w:szCs w:val="28"/>
        </w:rPr>
        <w:t xml:space="preserve"> </w:t>
      </w:r>
      <w:r w:rsidRPr="004460CA">
        <w:rPr>
          <w:color w:val="000000" w:themeColor="text1"/>
          <w:sz w:val="28"/>
          <w:szCs w:val="28"/>
        </w:rPr>
        <w:t>п</w:t>
      </w:r>
      <w:r w:rsidR="003D6666" w:rsidRPr="004460CA">
        <w:rPr>
          <w:color w:val="000000" w:themeColor="text1"/>
          <w:sz w:val="28"/>
          <w:szCs w:val="28"/>
        </w:rPr>
        <w:t>ризнак ухудшения финансовой устойчивости</w:t>
      </w:r>
      <w:r w:rsidR="004A70D4" w:rsidRPr="004460CA">
        <w:rPr>
          <w:color w:val="000000" w:themeColor="text1"/>
          <w:sz w:val="28"/>
          <w:szCs w:val="28"/>
        </w:rPr>
        <w:t xml:space="preserve"> банка</w:t>
      </w:r>
      <w:r w:rsidR="007F10C5" w:rsidRPr="004460CA">
        <w:rPr>
          <w:color w:val="000000" w:themeColor="text1"/>
          <w:sz w:val="28"/>
          <w:szCs w:val="28"/>
        </w:rPr>
        <w:t xml:space="preserve">, </w:t>
      </w:r>
      <w:r w:rsidR="000472F7" w:rsidRPr="004460CA">
        <w:rPr>
          <w:color w:val="000000" w:themeColor="text1"/>
          <w:sz w:val="28"/>
          <w:szCs w:val="28"/>
        </w:rPr>
        <w:t xml:space="preserve">определяемый </w:t>
      </w:r>
      <w:r w:rsidR="003D6666" w:rsidRPr="004460CA">
        <w:rPr>
          <w:color w:val="000000" w:themeColor="text1"/>
          <w:sz w:val="28"/>
          <w:szCs w:val="28"/>
        </w:rPr>
        <w:t xml:space="preserve">на основании количественных показателей </w:t>
      </w:r>
      <w:r w:rsidR="000472F7" w:rsidRPr="004460CA">
        <w:rPr>
          <w:rFonts w:eastAsia="Calibri"/>
          <w:color w:val="000000" w:themeColor="text1"/>
          <w:sz w:val="28"/>
          <w:szCs w:val="28"/>
          <w:lang w:eastAsia="zh-CN"/>
        </w:rPr>
        <w:t>–</w:t>
      </w:r>
      <w:r w:rsidR="003D6666" w:rsidRPr="004460CA">
        <w:rPr>
          <w:color w:val="000000" w:themeColor="text1"/>
          <w:sz w:val="28"/>
          <w:szCs w:val="28"/>
        </w:rPr>
        <w:t xml:space="preserve"> отклонени</w:t>
      </w:r>
      <w:r w:rsidR="00990FAB" w:rsidRPr="004460CA">
        <w:rPr>
          <w:color w:val="000000" w:themeColor="text1"/>
          <w:sz w:val="28"/>
          <w:szCs w:val="28"/>
        </w:rPr>
        <w:t>е</w:t>
      </w:r>
      <w:r w:rsidR="003D6666" w:rsidRPr="004460CA">
        <w:rPr>
          <w:color w:val="000000" w:themeColor="text1"/>
          <w:sz w:val="28"/>
          <w:szCs w:val="28"/>
        </w:rPr>
        <w:t xml:space="preserve"> значений финансовых-экономических показателей банка от </w:t>
      </w:r>
      <w:r w:rsidR="000E775E" w:rsidRPr="004460CA">
        <w:rPr>
          <w:color w:val="000000" w:themeColor="text1"/>
          <w:sz w:val="28"/>
          <w:szCs w:val="28"/>
        </w:rPr>
        <w:t>пороговых значений</w:t>
      </w:r>
      <w:r w:rsidR="00990FAB" w:rsidRPr="004460CA">
        <w:rPr>
          <w:color w:val="000000" w:themeColor="text1"/>
          <w:sz w:val="28"/>
          <w:szCs w:val="28"/>
        </w:rPr>
        <w:t xml:space="preserve">, </w:t>
      </w:r>
      <w:r w:rsidR="003D6666" w:rsidRPr="004460CA">
        <w:rPr>
          <w:color w:val="000000" w:themeColor="text1"/>
          <w:sz w:val="28"/>
          <w:szCs w:val="28"/>
        </w:rPr>
        <w:t>установленных Приложением</w:t>
      </w:r>
      <w:r w:rsidR="00BB2818" w:rsidRPr="004460CA">
        <w:rPr>
          <w:color w:val="000000" w:themeColor="text1"/>
          <w:sz w:val="28"/>
          <w:szCs w:val="28"/>
        </w:rPr>
        <w:t> </w:t>
      </w:r>
      <w:r w:rsidR="003D6666" w:rsidRPr="004460CA">
        <w:rPr>
          <w:color w:val="000000" w:themeColor="text1"/>
          <w:sz w:val="28"/>
          <w:szCs w:val="28"/>
        </w:rPr>
        <w:t>1</w:t>
      </w:r>
      <w:r w:rsidR="00CD4583" w:rsidRPr="004460CA">
        <w:rPr>
          <w:color w:val="000000" w:themeColor="text1"/>
          <w:sz w:val="28"/>
          <w:szCs w:val="28"/>
        </w:rPr>
        <w:t xml:space="preserve"> </w:t>
      </w:r>
      <w:r w:rsidR="00990FAB" w:rsidRPr="004460CA">
        <w:rPr>
          <w:color w:val="000000" w:themeColor="text1"/>
          <w:sz w:val="28"/>
          <w:szCs w:val="28"/>
        </w:rPr>
        <w:t>к Признакам ухудшения</w:t>
      </w:r>
      <w:r w:rsidR="003D6666" w:rsidRPr="004460CA">
        <w:rPr>
          <w:color w:val="000000" w:themeColor="text1"/>
          <w:sz w:val="28"/>
          <w:szCs w:val="28"/>
        </w:rPr>
        <w:t xml:space="preserve">, фиксируемых в результате осуществления уполномоченным органом </w:t>
      </w:r>
      <w:r w:rsidR="00D7636D" w:rsidRPr="004460CA">
        <w:rPr>
          <w:rFonts w:eastAsia="Calibri"/>
          <w:sz w:val="28"/>
          <w:szCs w:val="28"/>
          <w:lang w:eastAsia="zh-CN"/>
        </w:rPr>
        <w:t>по регулированию, контролю и надзору финансового рынка и финансовых организаций (да</w:t>
      </w:r>
      <w:r w:rsidR="00D15365" w:rsidRPr="004460CA">
        <w:rPr>
          <w:rFonts w:eastAsia="Calibri"/>
          <w:sz w:val="28"/>
          <w:szCs w:val="28"/>
          <w:lang w:eastAsia="zh-CN"/>
        </w:rPr>
        <w:t xml:space="preserve">лее – уполномоченный орган) </w:t>
      </w:r>
      <w:r w:rsidR="003D6666" w:rsidRPr="004460CA">
        <w:rPr>
          <w:color w:val="000000" w:themeColor="text1"/>
          <w:sz w:val="28"/>
          <w:szCs w:val="28"/>
        </w:rPr>
        <w:t>контрольно-надзорных функций, и</w:t>
      </w:r>
      <w:r w:rsidR="00A22B88" w:rsidRPr="004460CA">
        <w:rPr>
          <w:color w:val="000000" w:themeColor="text1"/>
          <w:sz w:val="28"/>
          <w:szCs w:val="28"/>
        </w:rPr>
        <w:t>,</w:t>
      </w:r>
      <w:r w:rsidR="003D6666" w:rsidRPr="004460CA">
        <w:rPr>
          <w:color w:val="000000" w:themeColor="text1"/>
          <w:sz w:val="28"/>
          <w:szCs w:val="28"/>
        </w:rPr>
        <w:t xml:space="preserve"> указывающих на повышенные риски снижения капитала, ликвидности, качества активов</w:t>
      </w:r>
      <w:r w:rsidR="00D06D19" w:rsidRPr="004460CA">
        <w:rPr>
          <w:color w:val="000000" w:themeColor="text1"/>
          <w:sz w:val="28"/>
          <w:szCs w:val="28"/>
        </w:rPr>
        <w:t xml:space="preserve">, </w:t>
      </w:r>
      <w:r w:rsidR="003D6666" w:rsidRPr="004460CA">
        <w:rPr>
          <w:color w:val="000000" w:themeColor="text1"/>
          <w:sz w:val="28"/>
          <w:szCs w:val="28"/>
        </w:rPr>
        <w:t xml:space="preserve">прибыльности. </w:t>
      </w:r>
    </w:p>
    <w:p w14:paraId="68DFCCAF" w14:textId="34DF4164" w:rsidR="000B0C07" w:rsidRPr="004460CA" w:rsidRDefault="000E775E" w:rsidP="00E23607">
      <w:pPr>
        <w:widowControl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zh-CN"/>
        </w:rPr>
      </w:pPr>
      <w:r w:rsidRPr="004460CA">
        <w:rPr>
          <w:rFonts w:eastAsia="Calibri"/>
          <w:color w:val="000000" w:themeColor="text1"/>
          <w:sz w:val="28"/>
          <w:szCs w:val="28"/>
          <w:lang w:eastAsia="zh-CN"/>
        </w:rPr>
        <w:t>2</w:t>
      </w:r>
      <w:r w:rsidR="00990FAB" w:rsidRPr="004460CA">
        <w:rPr>
          <w:rFonts w:eastAsia="Calibri"/>
          <w:color w:val="000000" w:themeColor="text1"/>
          <w:sz w:val="28"/>
          <w:szCs w:val="28"/>
          <w:lang w:eastAsia="zh-CN"/>
        </w:rPr>
        <w:t>) п</w:t>
      </w:r>
      <w:r w:rsidR="003D6666" w:rsidRPr="004460CA">
        <w:rPr>
          <w:rFonts w:eastAsia="Calibri"/>
          <w:color w:val="000000" w:themeColor="text1"/>
          <w:sz w:val="28"/>
          <w:szCs w:val="28"/>
          <w:lang w:eastAsia="zh-CN"/>
        </w:rPr>
        <w:t>ризнак ухудшения финансовой устойчивости</w:t>
      </w:r>
      <w:r w:rsidR="004A70D4" w:rsidRPr="004460CA">
        <w:rPr>
          <w:rFonts w:eastAsia="Calibri"/>
          <w:color w:val="000000" w:themeColor="text1"/>
          <w:sz w:val="28"/>
          <w:szCs w:val="28"/>
          <w:lang w:eastAsia="zh-CN"/>
        </w:rPr>
        <w:t xml:space="preserve"> банка</w:t>
      </w:r>
      <w:r w:rsidR="007F10C5" w:rsidRPr="004460CA">
        <w:rPr>
          <w:rFonts w:eastAsia="Calibri"/>
          <w:color w:val="000000" w:themeColor="text1"/>
          <w:sz w:val="28"/>
          <w:szCs w:val="28"/>
          <w:lang w:eastAsia="zh-CN"/>
        </w:rPr>
        <w:t xml:space="preserve">, </w:t>
      </w:r>
      <w:r w:rsidR="007F10C5" w:rsidRPr="004460CA">
        <w:rPr>
          <w:color w:val="000000" w:themeColor="text1"/>
          <w:sz w:val="28"/>
          <w:szCs w:val="28"/>
        </w:rPr>
        <w:t>определяемы</w:t>
      </w:r>
      <w:r w:rsidR="00990FAB" w:rsidRPr="004460CA">
        <w:rPr>
          <w:color w:val="000000" w:themeColor="text1"/>
          <w:sz w:val="28"/>
          <w:szCs w:val="28"/>
        </w:rPr>
        <w:t>й</w:t>
      </w:r>
      <w:r w:rsidR="003D6666" w:rsidRPr="004460CA">
        <w:rPr>
          <w:rFonts w:eastAsia="Calibri"/>
          <w:color w:val="000000" w:themeColor="text1"/>
          <w:sz w:val="28"/>
          <w:szCs w:val="28"/>
          <w:lang w:eastAsia="zh-CN"/>
        </w:rPr>
        <w:t xml:space="preserve"> на основании качественных </w:t>
      </w:r>
      <w:r w:rsidR="004A0E5F" w:rsidRPr="004460CA">
        <w:rPr>
          <w:rFonts w:eastAsia="Calibri"/>
          <w:color w:val="000000" w:themeColor="text1"/>
          <w:sz w:val="28"/>
          <w:szCs w:val="28"/>
          <w:lang w:eastAsia="zh-CN"/>
        </w:rPr>
        <w:t>показателей</w:t>
      </w:r>
      <w:r w:rsidR="00990FAB" w:rsidRPr="004460CA">
        <w:rPr>
          <w:rFonts w:eastAsia="Calibri"/>
          <w:color w:val="000000" w:themeColor="text1"/>
          <w:sz w:val="28"/>
          <w:szCs w:val="28"/>
          <w:lang w:eastAsia="zh-CN"/>
        </w:rPr>
        <w:t xml:space="preserve"> – наличие</w:t>
      </w:r>
      <w:r w:rsidR="003D6666" w:rsidRPr="004460CA">
        <w:rPr>
          <w:rFonts w:eastAsia="Calibri"/>
          <w:color w:val="000000" w:themeColor="text1"/>
          <w:sz w:val="28"/>
          <w:szCs w:val="28"/>
          <w:lang w:eastAsia="zh-CN"/>
        </w:rPr>
        <w:t xml:space="preserve"> событий, факторов или обстоятельств, </w:t>
      </w:r>
      <w:r w:rsidR="00990FAB" w:rsidRPr="004460CA">
        <w:rPr>
          <w:rFonts w:eastAsia="Calibri"/>
          <w:color w:val="000000" w:themeColor="text1"/>
          <w:sz w:val="28"/>
          <w:szCs w:val="28"/>
          <w:lang w:eastAsia="zh-CN"/>
        </w:rPr>
        <w:t xml:space="preserve">перечень которых </w:t>
      </w:r>
      <w:r w:rsidR="004D1771" w:rsidRPr="004460CA">
        <w:rPr>
          <w:color w:val="000000" w:themeColor="text1"/>
          <w:sz w:val="28"/>
          <w:szCs w:val="28"/>
        </w:rPr>
        <w:t xml:space="preserve">установлен Приложением </w:t>
      </w:r>
      <w:r w:rsidR="0097399D" w:rsidRPr="004460CA">
        <w:rPr>
          <w:color w:val="000000" w:themeColor="text1"/>
          <w:sz w:val="28"/>
          <w:szCs w:val="28"/>
        </w:rPr>
        <w:t>4</w:t>
      </w:r>
      <w:r w:rsidR="004D1771" w:rsidRPr="004460CA">
        <w:rPr>
          <w:color w:val="000000" w:themeColor="text1"/>
          <w:sz w:val="28"/>
          <w:szCs w:val="28"/>
        </w:rPr>
        <w:t xml:space="preserve"> к Признакам ухудшения,  </w:t>
      </w:r>
      <w:r w:rsidR="00990FAB" w:rsidRPr="004460CA">
        <w:rPr>
          <w:color w:val="000000" w:themeColor="text1"/>
          <w:sz w:val="28"/>
          <w:szCs w:val="28"/>
        </w:rPr>
        <w:t xml:space="preserve">которые </w:t>
      </w:r>
      <w:r w:rsidR="003D6666" w:rsidRPr="004460CA">
        <w:rPr>
          <w:rFonts w:eastAsia="Calibri"/>
          <w:color w:val="000000" w:themeColor="text1"/>
          <w:sz w:val="28"/>
          <w:szCs w:val="28"/>
          <w:lang w:eastAsia="zh-CN"/>
        </w:rPr>
        <w:t>не имею</w:t>
      </w:r>
      <w:r w:rsidR="00990FAB" w:rsidRPr="004460CA">
        <w:rPr>
          <w:rFonts w:eastAsia="Calibri"/>
          <w:color w:val="000000" w:themeColor="text1"/>
          <w:sz w:val="28"/>
          <w:szCs w:val="28"/>
          <w:lang w:eastAsia="zh-CN"/>
        </w:rPr>
        <w:t>т</w:t>
      </w:r>
      <w:r w:rsidR="003D6666" w:rsidRPr="004460CA">
        <w:rPr>
          <w:rFonts w:eastAsia="Calibri"/>
          <w:color w:val="000000" w:themeColor="text1"/>
          <w:sz w:val="28"/>
          <w:szCs w:val="28"/>
          <w:lang w:eastAsia="zh-CN"/>
        </w:rPr>
        <w:t xml:space="preserve"> количественного выражения, но указываю</w:t>
      </w:r>
      <w:r w:rsidR="00990FAB" w:rsidRPr="004460CA">
        <w:rPr>
          <w:rFonts w:eastAsia="Calibri"/>
          <w:color w:val="000000" w:themeColor="text1"/>
          <w:sz w:val="28"/>
          <w:szCs w:val="28"/>
          <w:lang w:eastAsia="zh-CN"/>
        </w:rPr>
        <w:t>т</w:t>
      </w:r>
      <w:r w:rsidR="003D6666" w:rsidRPr="004460CA">
        <w:rPr>
          <w:rFonts w:eastAsia="Calibri"/>
          <w:color w:val="000000" w:themeColor="text1"/>
          <w:sz w:val="28"/>
          <w:szCs w:val="28"/>
          <w:lang w:eastAsia="zh-CN"/>
        </w:rPr>
        <w:t xml:space="preserve"> на возможное ухудшение финансового состояния банка, снижение эффективности управления рисками </w:t>
      </w:r>
      <w:r w:rsidR="00990FAB" w:rsidRPr="004460CA">
        <w:rPr>
          <w:rFonts w:eastAsia="Calibri"/>
          <w:color w:val="000000" w:themeColor="text1"/>
          <w:sz w:val="28"/>
          <w:szCs w:val="28"/>
          <w:lang w:eastAsia="zh-CN"/>
        </w:rPr>
        <w:t>и/</w:t>
      </w:r>
      <w:r w:rsidR="003D6666" w:rsidRPr="004460CA">
        <w:rPr>
          <w:rFonts w:eastAsia="Calibri"/>
          <w:color w:val="000000" w:themeColor="text1"/>
          <w:sz w:val="28"/>
          <w:szCs w:val="28"/>
          <w:lang w:eastAsia="zh-CN"/>
        </w:rPr>
        <w:t>или повышение вероятности наступления неблагоприятных последствий для его деятельности.</w:t>
      </w:r>
    </w:p>
    <w:p w14:paraId="1BAFFF26" w14:textId="1389F6F7" w:rsidR="00320AAE" w:rsidRPr="004460CA" w:rsidRDefault="000E775E" w:rsidP="00E23607">
      <w:pPr>
        <w:widowControl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zh-CN"/>
        </w:rPr>
      </w:pPr>
      <w:r w:rsidRPr="004460CA">
        <w:rPr>
          <w:rFonts w:eastAsia="Calibri"/>
          <w:color w:val="000000" w:themeColor="text1"/>
          <w:sz w:val="28"/>
          <w:szCs w:val="28"/>
          <w:lang w:eastAsia="zh-CN"/>
        </w:rPr>
        <w:t>3</w:t>
      </w:r>
      <w:r w:rsidR="00320AAE" w:rsidRPr="004460CA">
        <w:rPr>
          <w:rFonts w:eastAsia="Calibri"/>
          <w:color w:val="000000" w:themeColor="text1"/>
          <w:sz w:val="28"/>
          <w:szCs w:val="28"/>
          <w:lang w:eastAsia="zh-CN"/>
        </w:rPr>
        <w:t xml:space="preserve">) нормативное значение – значение показателя, установленное </w:t>
      </w:r>
      <w:r w:rsidR="00CC4C6E" w:rsidRPr="004460CA">
        <w:rPr>
          <w:rFonts w:eastAsia="Calibri"/>
          <w:color w:val="000000" w:themeColor="text1"/>
          <w:sz w:val="28"/>
          <w:szCs w:val="28"/>
          <w:lang w:eastAsia="zh-CN"/>
        </w:rPr>
        <w:t xml:space="preserve">для банка </w:t>
      </w:r>
      <w:r w:rsidR="001C2DCC" w:rsidRPr="004460CA">
        <w:rPr>
          <w:rFonts w:eastAsia="Calibri"/>
          <w:color w:val="000000" w:themeColor="text1"/>
          <w:sz w:val="28"/>
          <w:szCs w:val="28"/>
          <w:lang w:eastAsia="zh-CN"/>
        </w:rPr>
        <w:t>Пруденциальными нормативами и лимитами, обязательными к соблюдению банками с универсальной банковской лицензией, банками с базовой банковской лицензией, исламскими банками</w:t>
      </w:r>
      <w:r w:rsidR="00320AAE" w:rsidRPr="004460CA">
        <w:rPr>
          <w:rFonts w:eastAsia="Calibri"/>
          <w:color w:val="000000" w:themeColor="text1"/>
          <w:sz w:val="28"/>
          <w:szCs w:val="28"/>
          <w:lang w:eastAsia="zh-CN"/>
        </w:rPr>
        <w:t xml:space="preserve">, утвержденными постановлением Правления Агентства Республики Казахстан по регулированию и развитию финансового рынка </w:t>
      </w:r>
      <w:r w:rsidR="00320AAE" w:rsidRPr="004460CA">
        <w:rPr>
          <w:rFonts w:eastAsia="Calibri"/>
          <w:color w:val="000000" w:themeColor="text1"/>
          <w:sz w:val="28"/>
          <w:szCs w:val="28"/>
          <w:lang w:eastAsia="zh-CN"/>
        </w:rPr>
        <w:lastRenderedPageBreak/>
        <w:t xml:space="preserve">от </w:t>
      </w:r>
      <w:r w:rsidR="001C2DCC" w:rsidRPr="004460CA">
        <w:rPr>
          <w:rFonts w:eastAsia="Calibri"/>
          <w:color w:val="000000" w:themeColor="text1"/>
          <w:sz w:val="28"/>
          <w:szCs w:val="28"/>
          <w:lang w:eastAsia="zh-CN"/>
        </w:rPr>
        <w:t xml:space="preserve">28 апреля </w:t>
      </w:r>
      <w:r w:rsidR="00320AAE" w:rsidRPr="004460CA">
        <w:rPr>
          <w:rFonts w:eastAsia="Calibri"/>
          <w:color w:val="000000" w:themeColor="text1"/>
          <w:sz w:val="28"/>
          <w:szCs w:val="28"/>
          <w:lang w:eastAsia="zh-CN"/>
        </w:rPr>
        <w:t>2</w:t>
      </w:r>
      <w:r w:rsidR="001C2DCC" w:rsidRPr="004460CA">
        <w:rPr>
          <w:rFonts w:eastAsia="Calibri"/>
          <w:color w:val="000000" w:themeColor="text1"/>
          <w:sz w:val="28"/>
          <w:szCs w:val="28"/>
          <w:lang w:eastAsia="zh-CN"/>
        </w:rPr>
        <w:t xml:space="preserve">026 </w:t>
      </w:r>
      <w:r w:rsidR="00320AAE" w:rsidRPr="004460CA">
        <w:rPr>
          <w:rFonts w:eastAsia="Calibri"/>
          <w:color w:val="000000" w:themeColor="text1"/>
          <w:sz w:val="28"/>
          <w:szCs w:val="28"/>
          <w:lang w:eastAsia="zh-CN"/>
        </w:rPr>
        <w:t xml:space="preserve">года № </w:t>
      </w:r>
      <w:r w:rsidR="00CC4C6E" w:rsidRPr="004460CA">
        <w:rPr>
          <w:rFonts w:eastAsia="Calibri"/>
          <w:color w:val="000000" w:themeColor="text1"/>
          <w:sz w:val="28"/>
          <w:szCs w:val="28"/>
          <w:lang w:eastAsia="zh-CN"/>
        </w:rPr>
        <w:t>85, для филиала-банка нерезидента Республики Казахстан Пруденциальными нормативами и лимитами для филиалов банков-нерезидентов Республики Казахстан, утвержденны</w:t>
      </w:r>
      <w:r w:rsidR="00DC6CB5" w:rsidRPr="004460CA">
        <w:rPr>
          <w:rFonts w:eastAsia="Calibri"/>
          <w:color w:val="000000" w:themeColor="text1"/>
          <w:sz w:val="28"/>
          <w:szCs w:val="28"/>
          <w:lang w:eastAsia="zh-CN"/>
        </w:rPr>
        <w:t>ми</w:t>
      </w:r>
      <w:r w:rsidR="00CC4C6E" w:rsidRPr="004460CA">
        <w:rPr>
          <w:rFonts w:eastAsia="Calibri"/>
          <w:color w:val="000000" w:themeColor="text1"/>
          <w:sz w:val="28"/>
          <w:szCs w:val="28"/>
          <w:lang w:eastAsia="zh-CN"/>
        </w:rPr>
        <w:t xml:space="preserve"> Постановлением Правления Агентства Республики Казахстан по регулированию и развитию финансового рынка от 20 апреля 2026 года № 73.</w:t>
      </w:r>
    </w:p>
    <w:p w14:paraId="601D44DB" w14:textId="7CC85900" w:rsidR="000E775E" w:rsidRPr="004460CA" w:rsidRDefault="000E775E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t xml:space="preserve">4) пороговое значение – значение количественного показателя, установленное Приложением 1 к Признакам ухудшения, </w:t>
      </w:r>
      <w:r w:rsidR="00D819C8" w:rsidRPr="004460CA">
        <w:rPr>
          <w:color w:val="000000" w:themeColor="text1"/>
          <w:sz w:val="28"/>
          <w:szCs w:val="28"/>
        </w:rPr>
        <w:t>отклонение значения</w:t>
      </w:r>
      <w:r w:rsidRPr="004460CA">
        <w:rPr>
          <w:color w:val="000000" w:themeColor="text1"/>
          <w:sz w:val="28"/>
          <w:szCs w:val="28"/>
        </w:rPr>
        <w:t xml:space="preserve"> которого свидетельствует о возникновении признаков ухудшения финансового состояния, повышенного уровня риска и является достаточным основанием для применения одного из следующих режимов, предусмотренных пунктом 3 статьи 85 Закона о банках: </w:t>
      </w:r>
    </w:p>
    <w:p w14:paraId="5DE77EB8" w14:textId="77777777" w:rsidR="000E775E" w:rsidRPr="004460CA" w:rsidRDefault="000E775E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t>режим усиленного надзора;</w:t>
      </w:r>
    </w:p>
    <w:p w14:paraId="14F53EAD" w14:textId="77777777" w:rsidR="000E775E" w:rsidRPr="004460CA" w:rsidRDefault="000E775E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t>режим восстановления финансовой устойчивости;</w:t>
      </w:r>
    </w:p>
    <w:p w14:paraId="02F3DACB" w14:textId="0190E7D4" w:rsidR="000E775E" w:rsidRPr="004460CA" w:rsidRDefault="000E775E" w:rsidP="00E23607">
      <w:pPr>
        <w:widowControl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zh-CN"/>
        </w:rPr>
      </w:pPr>
      <w:r w:rsidRPr="004460CA">
        <w:rPr>
          <w:color w:val="000000" w:themeColor="text1"/>
          <w:sz w:val="28"/>
          <w:szCs w:val="28"/>
        </w:rPr>
        <w:t>режим урегулирования</w:t>
      </w:r>
      <w:r w:rsidR="0016077B">
        <w:rPr>
          <w:color w:val="000000" w:themeColor="text1"/>
          <w:sz w:val="28"/>
          <w:szCs w:val="28"/>
        </w:rPr>
        <w:t>.</w:t>
      </w:r>
    </w:p>
    <w:p w14:paraId="6777CDE2" w14:textId="1B143497" w:rsidR="00CD4583" w:rsidRPr="004460CA" w:rsidRDefault="00990FAB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t>3</w:t>
      </w:r>
      <w:r w:rsidR="007E5EE5" w:rsidRPr="004460CA">
        <w:rPr>
          <w:color w:val="000000" w:themeColor="text1"/>
          <w:sz w:val="28"/>
          <w:szCs w:val="28"/>
        </w:rPr>
        <w:t xml:space="preserve">. </w:t>
      </w:r>
      <w:r w:rsidR="004D1771" w:rsidRPr="004460CA">
        <w:rPr>
          <w:color w:val="000000" w:themeColor="text1"/>
          <w:sz w:val="28"/>
          <w:szCs w:val="28"/>
        </w:rPr>
        <w:t xml:space="preserve">В зависимости </w:t>
      </w:r>
      <w:r w:rsidR="004D3A51" w:rsidRPr="004460CA">
        <w:rPr>
          <w:color w:val="000000" w:themeColor="text1"/>
          <w:sz w:val="28"/>
          <w:szCs w:val="28"/>
        </w:rPr>
        <w:t>от наличия отклонени</w:t>
      </w:r>
      <w:r w:rsidR="00FC7640" w:rsidRPr="004460CA">
        <w:rPr>
          <w:color w:val="000000" w:themeColor="text1"/>
          <w:sz w:val="28"/>
          <w:szCs w:val="28"/>
        </w:rPr>
        <w:t>й</w:t>
      </w:r>
      <w:r w:rsidR="004D3A51" w:rsidRPr="004460CA">
        <w:rPr>
          <w:color w:val="000000" w:themeColor="text1"/>
          <w:sz w:val="28"/>
          <w:szCs w:val="28"/>
        </w:rPr>
        <w:t xml:space="preserve"> количественных показателей от пороговых значений</w:t>
      </w:r>
      <w:r w:rsidR="004D1771" w:rsidRPr="004460CA">
        <w:rPr>
          <w:color w:val="000000" w:themeColor="text1"/>
          <w:sz w:val="28"/>
          <w:szCs w:val="28"/>
        </w:rPr>
        <w:t xml:space="preserve">, установленных Приложением 1 к Признакам ухудшения, и/или выявления </w:t>
      </w:r>
      <w:r w:rsidR="004D1771" w:rsidRPr="004460CA">
        <w:rPr>
          <w:rFonts w:eastAsia="Calibri"/>
          <w:color w:val="000000" w:themeColor="text1"/>
          <w:sz w:val="28"/>
          <w:szCs w:val="28"/>
          <w:lang w:eastAsia="zh-CN"/>
        </w:rPr>
        <w:t xml:space="preserve">признаков ухудшения финансовой устойчивости, </w:t>
      </w:r>
      <w:r w:rsidR="004D1771" w:rsidRPr="004460CA">
        <w:rPr>
          <w:color w:val="000000" w:themeColor="text1"/>
          <w:sz w:val="28"/>
          <w:szCs w:val="28"/>
        </w:rPr>
        <w:t>определяемы</w:t>
      </w:r>
      <w:r w:rsidR="00FC7640" w:rsidRPr="004460CA">
        <w:rPr>
          <w:color w:val="000000" w:themeColor="text1"/>
          <w:sz w:val="28"/>
          <w:szCs w:val="28"/>
        </w:rPr>
        <w:t>х</w:t>
      </w:r>
      <w:r w:rsidR="004D1771" w:rsidRPr="004460CA">
        <w:rPr>
          <w:rFonts w:eastAsia="Calibri"/>
          <w:color w:val="000000" w:themeColor="text1"/>
          <w:sz w:val="28"/>
          <w:szCs w:val="28"/>
          <w:lang w:eastAsia="zh-CN"/>
        </w:rPr>
        <w:t xml:space="preserve"> на основании качественных показателей</w:t>
      </w:r>
      <w:r w:rsidR="004D1771" w:rsidRPr="004460CA">
        <w:rPr>
          <w:color w:val="000000" w:themeColor="text1"/>
          <w:sz w:val="28"/>
          <w:szCs w:val="28"/>
        </w:rPr>
        <w:t xml:space="preserve">, установленных Приложением </w:t>
      </w:r>
      <w:r w:rsidR="004D3A51" w:rsidRPr="004460CA">
        <w:rPr>
          <w:color w:val="000000" w:themeColor="text1"/>
          <w:sz w:val="28"/>
          <w:szCs w:val="28"/>
        </w:rPr>
        <w:t>4</w:t>
      </w:r>
      <w:r w:rsidR="004D1771" w:rsidRPr="004460CA">
        <w:rPr>
          <w:color w:val="000000" w:themeColor="text1"/>
          <w:sz w:val="28"/>
          <w:szCs w:val="28"/>
        </w:rPr>
        <w:t xml:space="preserve"> к Признакам ухудшения, активируется соответствующий режим регулирования. </w:t>
      </w:r>
      <w:r w:rsidR="00CD4583" w:rsidRPr="004460CA">
        <w:rPr>
          <w:color w:val="000000" w:themeColor="text1"/>
          <w:sz w:val="28"/>
          <w:szCs w:val="28"/>
        </w:rPr>
        <w:t xml:space="preserve"> </w:t>
      </w:r>
    </w:p>
    <w:p w14:paraId="48EC3B9A" w14:textId="2E0ECFD2" w:rsidR="00CD4583" w:rsidRPr="004460CA" w:rsidRDefault="00CD4583" w:rsidP="00E23607">
      <w:pPr>
        <w:widowControl w:val="0"/>
        <w:ind w:firstLine="709"/>
        <w:jc w:val="both"/>
        <w:rPr>
          <w:color w:val="000000"/>
          <w:sz w:val="28"/>
        </w:rPr>
      </w:pPr>
      <w:r w:rsidRPr="004460CA">
        <w:rPr>
          <w:color w:val="000000"/>
          <w:sz w:val="28"/>
        </w:rPr>
        <w:t>Режим урегулирования применяется в случае, если результаты оценки жизнеспособности банка, проведенной в соответствии со статьей 91 Закона о банках, подтверждают возможность и целесообразность применения к банку инструментов урегулирования по сравнению с принудительной ликвидацией банка.</w:t>
      </w:r>
    </w:p>
    <w:p w14:paraId="11DB2441" w14:textId="77777777" w:rsidR="00CD4583" w:rsidRPr="004460CA" w:rsidRDefault="00CD4583" w:rsidP="00E23607">
      <w:pPr>
        <w:widowControl w:val="0"/>
        <w:ind w:firstLine="709"/>
        <w:jc w:val="both"/>
      </w:pPr>
    </w:p>
    <w:p w14:paraId="6EFC6416" w14:textId="77777777" w:rsidR="006673F7" w:rsidRPr="004460CA" w:rsidRDefault="006673F7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</w:p>
    <w:p w14:paraId="2F801E1B" w14:textId="7583E09A" w:rsidR="00E0045A" w:rsidRPr="004460CA" w:rsidRDefault="00E0045A" w:rsidP="00E23607">
      <w:pPr>
        <w:widowControl w:val="0"/>
        <w:jc w:val="center"/>
        <w:rPr>
          <w:b/>
          <w:color w:val="000000" w:themeColor="text1"/>
          <w:sz w:val="28"/>
          <w:szCs w:val="28"/>
        </w:rPr>
      </w:pPr>
      <w:r w:rsidRPr="004460CA">
        <w:rPr>
          <w:b/>
          <w:color w:val="000000" w:themeColor="text1"/>
          <w:sz w:val="28"/>
          <w:szCs w:val="28"/>
        </w:rPr>
        <w:t>Глава 2. Признаки ухудшения финансовой устойчивости</w:t>
      </w:r>
      <w:r w:rsidR="003F1ECF" w:rsidRPr="004460CA">
        <w:rPr>
          <w:b/>
          <w:color w:val="000000" w:themeColor="text1"/>
          <w:sz w:val="28"/>
          <w:szCs w:val="28"/>
        </w:rPr>
        <w:t xml:space="preserve"> банка</w:t>
      </w:r>
      <w:r w:rsidR="007F10C5" w:rsidRPr="004460CA">
        <w:rPr>
          <w:b/>
          <w:color w:val="000000" w:themeColor="text1"/>
          <w:sz w:val="28"/>
          <w:szCs w:val="28"/>
        </w:rPr>
        <w:t>, определяемые</w:t>
      </w:r>
      <w:r w:rsidRPr="004460CA">
        <w:rPr>
          <w:b/>
          <w:color w:val="000000" w:themeColor="text1"/>
          <w:sz w:val="28"/>
          <w:szCs w:val="28"/>
        </w:rPr>
        <w:t xml:space="preserve"> на основании количественных показателей</w:t>
      </w:r>
    </w:p>
    <w:p w14:paraId="610FAC7A" w14:textId="77777777" w:rsidR="00E0045A" w:rsidRPr="004460CA" w:rsidRDefault="00E0045A" w:rsidP="00E23607">
      <w:pPr>
        <w:widowControl w:val="0"/>
        <w:jc w:val="center"/>
        <w:rPr>
          <w:b/>
          <w:color w:val="000000" w:themeColor="text1"/>
          <w:sz w:val="28"/>
          <w:szCs w:val="28"/>
        </w:rPr>
      </w:pPr>
    </w:p>
    <w:p w14:paraId="3B6C6872" w14:textId="4B91EB8B" w:rsidR="00182C95" w:rsidRPr="004460CA" w:rsidRDefault="00990FAB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t>4</w:t>
      </w:r>
      <w:r w:rsidR="003A58BB" w:rsidRPr="004460CA">
        <w:rPr>
          <w:color w:val="000000" w:themeColor="text1"/>
          <w:sz w:val="28"/>
          <w:szCs w:val="28"/>
        </w:rPr>
        <w:t xml:space="preserve">. </w:t>
      </w:r>
      <w:r w:rsidR="008E2406" w:rsidRPr="004460CA">
        <w:rPr>
          <w:color w:val="000000" w:themeColor="text1"/>
          <w:sz w:val="28"/>
          <w:szCs w:val="28"/>
        </w:rPr>
        <w:t>К</w:t>
      </w:r>
      <w:r w:rsidR="003D6666" w:rsidRPr="004460CA">
        <w:rPr>
          <w:color w:val="000000" w:themeColor="text1"/>
          <w:sz w:val="28"/>
          <w:szCs w:val="28"/>
        </w:rPr>
        <w:t>оличественные</w:t>
      </w:r>
      <w:r w:rsidR="00182C95" w:rsidRPr="004460CA">
        <w:rPr>
          <w:color w:val="000000" w:themeColor="text1"/>
          <w:sz w:val="28"/>
          <w:szCs w:val="28"/>
        </w:rPr>
        <w:t xml:space="preserve"> показатели,</w:t>
      </w:r>
      <w:r w:rsidR="003D6666" w:rsidRPr="004460CA">
        <w:rPr>
          <w:color w:val="000000" w:themeColor="text1"/>
        </w:rPr>
        <w:t xml:space="preserve"> </w:t>
      </w:r>
      <w:r w:rsidR="003D6666" w:rsidRPr="004460CA">
        <w:rPr>
          <w:color w:val="000000" w:themeColor="text1"/>
          <w:sz w:val="28"/>
          <w:szCs w:val="28"/>
        </w:rPr>
        <w:t>характеризующие финансово-экономические и иные признаки ухудшения финансовой устойчивости банка,</w:t>
      </w:r>
      <w:r w:rsidR="00182C95" w:rsidRPr="004460CA">
        <w:rPr>
          <w:color w:val="000000" w:themeColor="text1"/>
          <w:sz w:val="28"/>
          <w:szCs w:val="28"/>
        </w:rPr>
        <w:t xml:space="preserve"> по которым устанавливаются </w:t>
      </w:r>
      <w:r w:rsidR="00CD4583" w:rsidRPr="004460CA">
        <w:rPr>
          <w:color w:val="000000" w:themeColor="text1"/>
          <w:sz w:val="28"/>
          <w:szCs w:val="28"/>
        </w:rPr>
        <w:t>пороговые значения</w:t>
      </w:r>
      <w:r w:rsidR="00182C95" w:rsidRPr="004460CA">
        <w:rPr>
          <w:color w:val="000000" w:themeColor="text1"/>
          <w:sz w:val="28"/>
          <w:szCs w:val="28"/>
        </w:rPr>
        <w:t xml:space="preserve">, подразделяются на следующие </w:t>
      </w:r>
      <w:r w:rsidR="009667CA" w:rsidRPr="004460CA">
        <w:rPr>
          <w:color w:val="000000" w:themeColor="text1"/>
          <w:sz w:val="28"/>
          <w:szCs w:val="28"/>
        </w:rPr>
        <w:t>категории</w:t>
      </w:r>
      <w:r w:rsidR="00182C95" w:rsidRPr="004460CA">
        <w:rPr>
          <w:color w:val="000000" w:themeColor="text1"/>
          <w:sz w:val="28"/>
          <w:szCs w:val="28"/>
        </w:rPr>
        <w:t>:</w:t>
      </w:r>
    </w:p>
    <w:p w14:paraId="2454D957" w14:textId="0A51BFD6" w:rsidR="00A945A8" w:rsidRPr="004460CA" w:rsidRDefault="00182C95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t>1)</w:t>
      </w:r>
      <w:r w:rsidR="002A03B6" w:rsidRPr="004460CA">
        <w:rPr>
          <w:color w:val="000000" w:themeColor="text1"/>
          <w:sz w:val="28"/>
          <w:szCs w:val="28"/>
        </w:rPr>
        <w:t> </w:t>
      </w:r>
      <w:r w:rsidRPr="004460CA">
        <w:rPr>
          <w:color w:val="000000" w:themeColor="text1"/>
          <w:sz w:val="28"/>
          <w:szCs w:val="28"/>
        </w:rPr>
        <w:t xml:space="preserve">Показатели рисков капитала </w:t>
      </w:r>
      <w:r w:rsidR="00D64882" w:rsidRPr="004460CA">
        <w:rPr>
          <w:color w:val="000000" w:themeColor="text1"/>
          <w:sz w:val="28"/>
          <w:szCs w:val="28"/>
        </w:rPr>
        <w:t>–</w:t>
      </w:r>
      <w:r w:rsidRPr="004460CA">
        <w:rPr>
          <w:color w:val="000000" w:themeColor="text1"/>
          <w:sz w:val="28"/>
          <w:szCs w:val="28"/>
        </w:rPr>
        <w:t xml:space="preserve"> </w:t>
      </w:r>
      <w:r w:rsidR="00A945A8" w:rsidRPr="004460CA">
        <w:rPr>
          <w:color w:val="000000" w:themeColor="text1"/>
          <w:sz w:val="28"/>
          <w:szCs w:val="28"/>
        </w:rPr>
        <w:t>показатели, характеризующие уровень достаточности и качества капитала банка, а также его способность покрывать риски, принимаемые банком в процессе деятельности, и обеспечивать устойчивость капитала при воздействии неблагоприятных факторов</w:t>
      </w:r>
      <w:r w:rsidR="008155C0" w:rsidRPr="004460CA">
        <w:rPr>
          <w:color w:val="000000" w:themeColor="text1"/>
          <w:sz w:val="28"/>
          <w:szCs w:val="28"/>
        </w:rPr>
        <w:t>;</w:t>
      </w:r>
    </w:p>
    <w:p w14:paraId="5C3E39F1" w14:textId="48B622DA" w:rsidR="00182C95" w:rsidRPr="004460CA" w:rsidRDefault="002A03B6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t>2</w:t>
      </w:r>
      <w:r w:rsidR="00182C95" w:rsidRPr="004460CA">
        <w:rPr>
          <w:color w:val="000000" w:themeColor="text1"/>
          <w:sz w:val="28"/>
          <w:szCs w:val="28"/>
        </w:rPr>
        <w:t>)</w:t>
      </w:r>
      <w:r w:rsidR="00021B74" w:rsidRPr="004460CA">
        <w:rPr>
          <w:color w:val="000000" w:themeColor="text1"/>
          <w:sz w:val="28"/>
          <w:szCs w:val="28"/>
        </w:rPr>
        <w:t> </w:t>
      </w:r>
      <w:r w:rsidR="00182C95" w:rsidRPr="004460CA">
        <w:rPr>
          <w:color w:val="000000" w:themeColor="text1"/>
          <w:sz w:val="28"/>
          <w:szCs w:val="28"/>
        </w:rPr>
        <w:t>Показатели кредитного риска</w:t>
      </w:r>
      <w:r w:rsidR="00D64882" w:rsidRPr="004460CA">
        <w:rPr>
          <w:color w:val="000000" w:themeColor="text1"/>
          <w:sz w:val="28"/>
          <w:szCs w:val="28"/>
        </w:rPr>
        <w:t xml:space="preserve"> – </w:t>
      </w:r>
      <w:r w:rsidR="00462CA8" w:rsidRPr="004460CA">
        <w:rPr>
          <w:color w:val="000000" w:themeColor="text1"/>
          <w:sz w:val="28"/>
          <w:szCs w:val="28"/>
        </w:rPr>
        <w:t xml:space="preserve">показатели, характеризующие подверженность банка кредитному риску и отражающие качество, концентрацию и покрытие </w:t>
      </w:r>
      <w:r w:rsidR="00683242" w:rsidRPr="004460CA">
        <w:rPr>
          <w:color w:val="000000" w:themeColor="text1"/>
          <w:sz w:val="28"/>
          <w:szCs w:val="28"/>
        </w:rPr>
        <w:t xml:space="preserve">провизиями </w:t>
      </w:r>
      <w:r w:rsidR="00462CA8" w:rsidRPr="004460CA">
        <w:rPr>
          <w:color w:val="000000" w:themeColor="text1"/>
          <w:sz w:val="28"/>
          <w:szCs w:val="28"/>
        </w:rPr>
        <w:t>кредитного портфеля;</w:t>
      </w:r>
    </w:p>
    <w:p w14:paraId="6421167C" w14:textId="53991426" w:rsidR="001E70E4" w:rsidRPr="004460CA" w:rsidRDefault="00014DAC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t>3</w:t>
      </w:r>
      <w:r w:rsidR="002A03B6" w:rsidRPr="004460CA">
        <w:rPr>
          <w:color w:val="000000" w:themeColor="text1"/>
          <w:sz w:val="28"/>
          <w:szCs w:val="28"/>
        </w:rPr>
        <w:t>)</w:t>
      </w:r>
      <w:r w:rsidR="00021B74" w:rsidRPr="004460CA">
        <w:rPr>
          <w:color w:val="000000" w:themeColor="text1"/>
          <w:sz w:val="28"/>
          <w:szCs w:val="28"/>
        </w:rPr>
        <w:t> </w:t>
      </w:r>
      <w:r w:rsidR="002A03B6" w:rsidRPr="004460CA">
        <w:rPr>
          <w:color w:val="000000" w:themeColor="text1"/>
          <w:sz w:val="28"/>
          <w:szCs w:val="28"/>
        </w:rPr>
        <w:t>Показатели риска ликвидности</w:t>
      </w:r>
      <w:r w:rsidR="002D7CF2" w:rsidRPr="004460CA">
        <w:rPr>
          <w:color w:val="000000" w:themeColor="text1"/>
          <w:sz w:val="28"/>
          <w:szCs w:val="28"/>
        </w:rPr>
        <w:t xml:space="preserve"> – </w:t>
      </w:r>
      <w:r w:rsidR="001E70E4" w:rsidRPr="004460CA">
        <w:rPr>
          <w:color w:val="000000" w:themeColor="text1"/>
          <w:sz w:val="28"/>
          <w:szCs w:val="28"/>
        </w:rPr>
        <w:t xml:space="preserve">показатели, характеризующие способность банка своевременно </w:t>
      </w:r>
      <w:r w:rsidR="004B5E0E" w:rsidRPr="004460CA">
        <w:rPr>
          <w:color w:val="000000" w:themeColor="text1"/>
          <w:sz w:val="28"/>
          <w:szCs w:val="28"/>
        </w:rPr>
        <w:t xml:space="preserve">и в полном объёме </w:t>
      </w:r>
      <w:r w:rsidR="001E70E4" w:rsidRPr="004460CA">
        <w:rPr>
          <w:color w:val="000000" w:themeColor="text1"/>
          <w:sz w:val="28"/>
          <w:szCs w:val="28"/>
        </w:rPr>
        <w:t xml:space="preserve">исполнять </w:t>
      </w:r>
      <w:r w:rsidR="004B5E0E" w:rsidRPr="004460CA">
        <w:rPr>
          <w:color w:val="000000" w:themeColor="text1"/>
          <w:sz w:val="28"/>
          <w:szCs w:val="28"/>
        </w:rPr>
        <w:t xml:space="preserve">свои </w:t>
      </w:r>
      <w:r w:rsidR="001E70E4" w:rsidRPr="004460CA">
        <w:rPr>
          <w:color w:val="000000" w:themeColor="text1"/>
          <w:sz w:val="28"/>
          <w:szCs w:val="28"/>
        </w:rPr>
        <w:t xml:space="preserve">обязательства </w:t>
      </w:r>
      <w:r w:rsidR="004B5E0E" w:rsidRPr="004460CA">
        <w:rPr>
          <w:color w:val="000000" w:themeColor="text1"/>
          <w:sz w:val="28"/>
          <w:szCs w:val="28"/>
        </w:rPr>
        <w:t xml:space="preserve">перед клиентами и контрагентами. </w:t>
      </w:r>
      <w:r w:rsidR="001E70E4" w:rsidRPr="004460CA">
        <w:rPr>
          <w:color w:val="000000" w:themeColor="text1"/>
          <w:sz w:val="28"/>
          <w:szCs w:val="28"/>
        </w:rPr>
        <w:t>при воздействии неблагоприятных факторов</w:t>
      </w:r>
      <w:r w:rsidR="00D452FA" w:rsidRPr="004460CA">
        <w:rPr>
          <w:color w:val="000000" w:themeColor="text1"/>
          <w:sz w:val="28"/>
          <w:szCs w:val="28"/>
        </w:rPr>
        <w:t>;</w:t>
      </w:r>
    </w:p>
    <w:p w14:paraId="4F0F8DAE" w14:textId="444500F1" w:rsidR="00021B74" w:rsidRPr="004460CA" w:rsidRDefault="00014DAC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t>4</w:t>
      </w:r>
      <w:r w:rsidR="002A03B6" w:rsidRPr="004460CA">
        <w:rPr>
          <w:color w:val="000000" w:themeColor="text1"/>
          <w:sz w:val="28"/>
          <w:szCs w:val="28"/>
        </w:rPr>
        <w:t>)</w:t>
      </w:r>
      <w:r w:rsidR="00021B74" w:rsidRPr="004460CA">
        <w:rPr>
          <w:color w:val="000000" w:themeColor="text1"/>
          <w:sz w:val="28"/>
          <w:szCs w:val="28"/>
        </w:rPr>
        <w:t> </w:t>
      </w:r>
      <w:r w:rsidR="002A03B6" w:rsidRPr="004460CA">
        <w:rPr>
          <w:color w:val="000000" w:themeColor="text1"/>
          <w:sz w:val="28"/>
          <w:szCs w:val="28"/>
        </w:rPr>
        <w:t>Показатели валютного риск</w:t>
      </w:r>
      <w:r w:rsidR="001E70E4" w:rsidRPr="004460CA">
        <w:rPr>
          <w:color w:val="000000" w:themeColor="text1"/>
          <w:sz w:val="28"/>
          <w:szCs w:val="28"/>
        </w:rPr>
        <w:t>а</w:t>
      </w:r>
      <w:r w:rsidR="00D64882" w:rsidRPr="004460CA">
        <w:rPr>
          <w:color w:val="000000" w:themeColor="text1"/>
          <w:sz w:val="28"/>
          <w:szCs w:val="28"/>
        </w:rPr>
        <w:t xml:space="preserve"> –</w:t>
      </w:r>
      <w:r w:rsidR="002A03B6" w:rsidRPr="004460CA">
        <w:rPr>
          <w:color w:val="000000" w:themeColor="text1"/>
          <w:sz w:val="28"/>
          <w:szCs w:val="28"/>
        </w:rPr>
        <w:t xml:space="preserve"> </w:t>
      </w:r>
      <w:r w:rsidR="00021B74" w:rsidRPr="004460CA">
        <w:rPr>
          <w:color w:val="000000" w:themeColor="text1"/>
          <w:sz w:val="28"/>
          <w:szCs w:val="28"/>
        </w:rPr>
        <w:t xml:space="preserve">показатели, характеризующие подверженность банка риску убытков, возникающему вследствие изменений </w:t>
      </w:r>
      <w:r w:rsidR="00021B74" w:rsidRPr="004460CA">
        <w:rPr>
          <w:color w:val="000000" w:themeColor="text1"/>
          <w:sz w:val="28"/>
          <w:szCs w:val="28"/>
        </w:rPr>
        <w:lastRenderedPageBreak/>
        <w:t xml:space="preserve">валютных курсов, </w:t>
      </w:r>
      <w:r w:rsidR="00CF422A" w:rsidRPr="004460CA">
        <w:rPr>
          <w:color w:val="000000" w:themeColor="text1"/>
          <w:sz w:val="28"/>
          <w:szCs w:val="28"/>
        </w:rPr>
        <w:t>а также</w:t>
      </w:r>
      <w:r w:rsidR="00021B74" w:rsidRPr="004460CA">
        <w:rPr>
          <w:color w:val="000000" w:themeColor="text1"/>
          <w:sz w:val="28"/>
          <w:szCs w:val="28"/>
        </w:rPr>
        <w:t xml:space="preserve"> способность банка своевременно исполнять обязательства в иностранной валюте</w:t>
      </w:r>
      <w:r w:rsidR="00D452FA" w:rsidRPr="004460CA">
        <w:rPr>
          <w:color w:val="000000" w:themeColor="text1"/>
          <w:sz w:val="28"/>
          <w:szCs w:val="28"/>
        </w:rPr>
        <w:t>;</w:t>
      </w:r>
    </w:p>
    <w:p w14:paraId="301B1E86" w14:textId="4B498E2C" w:rsidR="00F45CB6" w:rsidRPr="004460CA" w:rsidRDefault="00A66B07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t>5</w:t>
      </w:r>
      <w:r w:rsidR="00F45CB6" w:rsidRPr="004460CA">
        <w:rPr>
          <w:color w:val="000000" w:themeColor="text1"/>
          <w:sz w:val="28"/>
          <w:szCs w:val="28"/>
        </w:rPr>
        <w:t>)</w:t>
      </w:r>
      <w:r w:rsidR="006136FD" w:rsidRPr="004460CA">
        <w:rPr>
          <w:color w:val="000000" w:themeColor="text1"/>
          <w:sz w:val="28"/>
          <w:szCs w:val="28"/>
        </w:rPr>
        <w:t> </w:t>
      </w:r>
      <w:r w:rsidR="00F45CB6" w:rsidRPr="004460CA">
        <w:rPr>
          <w:color w:val="000000" w:themeColor="text1"/>
          <w:sz w:val="28"/>
          <w:szCs w:val="28"/>
        </w:rPr>
        <w:t xml:space="preserve">Показатели прибыльности </w:t>
      </w:r>
      <w:r w:rsidR="00D64882" w:rsidRPr="004460CA">
        <w:rPr>
          <w:color w:val="000000" w:themeColor="text1"/>
          <w:sz w:val="28"/>
          <w:szCs w:val="28"/>
        </w:rPr>
        <w:t>–</w:t>
      </w:r>
      <w:r w:rsidR="00F45CB6" w:rsidRPr="004460CA">
        <w:rPr>
          <w:color w:val="000000" w:themeColor="text1"/>
          <w:sz w:val="28"/>
          <w:szCs w:val="28"/>
        </w:rPr>
        <w:t xml:space="preserve"> </w:t>
      </w:r>
      <w:r w:rsidR="00021B74" w:rsidRPr="004460CA">
        <w:rPr>
          <w:color w:val="000000" w:themeColor="text1"/>
          <w:sz w:val="28"/>
          <w:szCs w:val="28"/>
        </w:rPr>
        <w:t>показатели, характеризующие эффективность деятельности банка и устойчивость его финансовых результатов</w:t>
      </w:r>
      <w:r w:rsidR="00D452FA" w:rsidRPr="004460CA">
        <w:rPr>
          <w:color w:val="000000" w:themeColor="text1"/>
          <w:sz w:val="28"/>
          <w:szCs w:val="28"/>
        </w:rPr>
        <w:t>;</w:t>
      </w:r>
    </w:p>
    <w:p w14:paraId="3D260A50" w14:textId="6DC72BB6" w:rsidR="00AA60A0" w:rsidRPr="004460CA" w:rsidRDefault="00AA60A0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t>6) Иные показатели, характеризующие ухудшение финансовой устойчивости банка</w:t>
      </w:r>
      <w:r w:rsidR="00DF6220" w:rsidRPr="004460CA">
        <w:rPr>
          <w:color w:val="000000" w:themeColor="text1"/>
          <w:sz w:val="28"/>
          <w:szCs w:val="28"/>
        </w:rPr>
        <w:t xml:space="preserve">. </w:t>
      </w:r>
    </w:p>
    <w:p w14:paraId="61CB4EE7" w14:textId="5512AC63" w:rsidR="006673F7" w:rsidRPr="004460CA" w:rsidRDefault="00990FAB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t>5</w:t>
      </w:r>
      <w:r w:rsidR="006673F7" w:rsidRPr="004460CA">
        <w:rPr>
          <w:color w:val="000000" w:themeColor="text1"/>
          <w:sz w:val="28"/>
          <w:szCs w:val="28"/>
        </w:rPr>
        <w:t>. Количественные показатели, характеризующие финансово-экономические и иные признаки ухудшения финансовой устойчивости банка, подразделяются на основные и вспомогательные согласно Приложению</w:t>
      </w:r>
      <w:r w:rsidR="00797B76" w:rsidRPr="004460CA">
        <w:rPr>
          <w:color w:val="000000" w:themeColor="text1"/>
          <w:sz w:val="28"/>
          <w:szCs w:val="28"/>
        </w:rPr>
        <w:t xml:space="preserve"> 2 к Признакам ухудшения</w:t>
      </w:r>
      <w:r w:rsidR="006673F7" w:rsidRPr="004460CA">
        <w:rPr>
          <w:color w:val="000000" w:themeColor="text1"/>
          <w:sz w:val="28"/>
          <w:szCs w:val="28"/>
        </w:rPr>
        <w:t xml:space="preserve">. </w:t>
      </w:r>
    </w:p>
    <w:p w14:paraId="6CAB9B43" w14:textId="531C6C87" w:rsidR="0072344C" w:rsidRPr="004460CA" w:rsidRDefault="0072344C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t xml:space="preserve">Основные количественные показатели – количественные показатели, отклонение значений которых от </w:t>
      </w:r>
      <w:r w:rsidR="00CD4583" w:rsidRPr="004460CA">
        <w:rPr>
          <w:color w:val="000000" w:themeColor="text1"/>
          <w:sz w:val="28"/>
          <w:szCs w:val="28"/>
        </w:rPr>
        <w:t>пороговых значений</w:t>
      </w:r>
      <w:r w:rsidRPr="004460CA">
        <w:rPr>
          <w:color w:val="000000" w:themeColor="text1"/>
          <w:sz w:val="28"/>
          <w:szCs w:val="28"/>
        </w:rPr>
        <w:t xml:space="preserve">, установленных </w:t>
      </w:r>
      <w:r w:rsidR="000D75A3" w:rsidRPr="004460CA">
        <w:rPr>
          <w:color w:val="000000" w:themeColor="text1"/>
          <w:sz w:val="28"/>
          <w:szCs w:val="28"/>
        </w:rPr>
        <w:t>П</w:t>
      </w:r>
      <w:r w:rsidRPr="004460CA">
        <w:rPr>
          <w:color w:val="000000" w:themeColor="text1"/>
          <w:sz w:val="28"/>
          <w:szCs w:val="28"/>
        </w:rPr>
        <w:t>риложением 1 к Признакам ухудшения, указыва</w:t>
      </w:r>
      <w:r w:rsidR="00BA21E9" w:rsidRPr="004460CA">
        <w:rPr>
          <w:color w:val="000000" w:themeColor="text1"/>
          <w:sz w:val="28"/>
          <w:szCs w:val="28"/>
        </w:rPr>
        <w:t>е</w:t>
      </w:r>
      <w:r w:rsidRPr="004460CA">
        <w:rPr>
          <w:color w:val="000000" w:themeColor="text1"/>
          <w:sz w:val="28"/>
          <w:szCs w:val="28"/>
        </w:rPr>
        <w:t>т на существенное ухудшение финансовой устойчивости банка и служ</w:t>
      </w:r>
      <w:r w:rsidR="00BA21E9" w:rsidRPr="004460CA">
        <w:rPr>
          <w:color w:val="000000" w:themeColor="text1"/>
          <w:sz w:val="28"/>
          <w:szCs w:val="28"/>
        </w:rPr>
        <w:t>и</w:t>
      </w:r>
      <w:r w:rsidRPr="004460CA">
        <w:rPr>
          <w:color w:val="000000" w:themeColor="text1"/>
          <w:sz w:val="28"/>
          <w:szCs w:val="28"/>
        </w:rPr>
        <w:t>т достаточным основанием для применения соответствующего режима регулирования</w:t>
      </w:r>
      <w:r w:rsidR="008B103A" w:rsidRPr="004460CA">
        <w:rPr>
          <w:color w:val="000000" w:themeColor="text1"/>
          <w:sz w:val="28"/>
          <w:szCs w:val="28"/>
        </w:rPr>
        <w:t xml:space="preserve"> в порядке, предусмотренном пунктом 6 настоящей Главы</w:t>
      </w:r>
      <w:r w:rsidRPr="004460CA">
        <w:rPr>
          <w:color w:val="000000" w:themeColor="text1"/>
          <w:sz w:val="28"/>
          <w:szCs w:val="28"/>
        </w:rPr>
        <w:t>.</w:t>
      </w:r>
    </w:p>
    <w:p w14:paraId="59611EA0" w14:textId="4A23A0A8" w:rsidR="008B103A" w:rsidRPr="004460CA" w:rsidRDefault="006673F7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t xml:space="preserve">Вспомогательные </w:t>
      </w:r>
      <w:r w:rsidR="007E5EE5" w:rsidRPr="004460CA">
        <w:rPr>
          <w:color w:val="000000" w:themeColor="text1"/>
          <w:sz w:val="28"/>
          <w:szCs w:val="28"/>
        </w:rPr>
        <w:t xml:space="preserve">количественные </w:t>
      </w:r>
      <w:r w:rsidRPr="004460CA">
        <w:rPr>
          <w:color w:val="000000" w:themeColor="text1"/>
          <w:sz w:val="28"/>
          <w:szCs w:val="28"/>
        </w:rPr>
        <w:t>показатели –</w:t>
      </w:r>
      <w:r w:rsidR="007E5EE5" w:rsidRPr="004460CA">
        <w:rPr>
          <w:color w:val="000000" w:themeColor="text1"/>
          <w:sz w:val="28"/>
          <w:szCs w:val="28"/>
        </w:rPr>
        <w:t xml:space="preserve"> </w:t>
      </w:r>
      <w:r w:rsidR="0072344C" w:rsidRPr="004460CA">
        <w:rPr>
          <w:color w:val="000000" w:themeColor="text1"/>
          <w:sz w:val="28"/>
          <w:szCs w:val="28"/>
        </w:rPr>
        <w:t>количественные показатели</w:t>
      </w:r>
      <w:r w:rsidRPr="004460CA">
        <w:rPr>
          <w:color w:val="000000" w:themeColor="text1"/>
          <w:sz w:val="28"/>
          <w:szCs w:val="28"/>
        </w:rPr>
        <w:t xml:space="preserve">, </w:t>
      </w:r>
      <w:r w:rsidR="0072344C" w:rsidRPr="004460CA">
        <w:rPr>
          <w:color w:val="000000" w:themeColor="text1"/>
          <w:sz w:val="28"/>
          <w:szCs w:val="28"/>
        </w:rPr>
        <w:t xml:space="preserve">отклонение значений которых от </w:t>
      </w:r>
      <w:r w:rsidR="00CD4583" w:rsidRPr="004460CA">
        <w:rPr>
          <w:color w:val="000000" w:themeColor="text1"/>
          <w:sz w:val="28"/>
          <w:szCs w:val="28"/>
        </w:rPr>
        <w:t>пороговых значений</w:t>
      </w:r>
      <w:r w:rsidR="0072344C" w:rsidRPr="004460CA">
        <w:rPr>
          <w:color w:val="000000" w:themeColor="text1"/>
          <w:sz w:val="28"/>
          <w:szCs w:val="28"/>
        </w:rPr>
        <w:t xml:space="preserve">, установленных </w:t>
      </w:r>
      <w:r w:rsidR="000D75A3" w:rsidRPr="004460CA">
        <w:rPr>
          <w:color w:val="000000" w:themeColor="text1"/>
          <w:sz w:val="28"/>
          <w:szCs w:val="28"/>
        </w:rPr>
        <w:t>П</w:t>
      </w:r>
      <w:r w:rsidR="0072344C" w:rsidRPr="004460CA">
        <w:rPr>
          <w:color w:val="000000" w:themeColor="text1"/>
          <w:sz w:val="28"/>
          <w:szCs w:val="28"/>
        </w:rPr>
        <w:t xml:space="preserve">риложением 1 к Признакам ухудшения, </w:t>
      </w:r>
      <w:r w:rsidRPr="004460CA">
        <w:rPr>
          <w:color w:val="000000" w:themeColor="text1"/>
          <w:sz w:val="28"/>
          <w:szCs w:val="28"/>
        </w:rPr>
        <w:t xml:space="preserve">отражает отдельные признаки ухудшения финансовой устойчивости банка и используется в совокупности с другими </w:t>
      </w:r>
      <w:r w:rsidR="0072344C" w:rsidRPr="004460CA">
        <w:rPr>
          <w:color w:val="000000" w:themeColor="text1"/>
          <w:sz w:val="28"/>
          <w:szCs w:val="28"/>
        </w:rPr>
        <w:t xml:space="preserve">вспомогательными </w:t>
      </w:r>
      <w:r w:rsidRPr="004460CA">
        <w:rPr>
          <w:color w:val="000000" w:themeColor="text1"/>
          <w:sz w:val="28"/>
          <w:szCs w:val="28"/>
        </w:rPr>
        <w:t xml:space="preserve">показателями для </w:t>
      </w:r>
      <w:r w:rsidR="0072344C" w:rsidRPr="004460CA">
        <w:rPr>
          <w:color w:val="000000" w:themeColor="text1"/>
          <w:sz w:val="28"/>
          <w:szCs w:val="28"/>
        </w:rPr>
        <w:t xml:space="preserve">применения </w:t>
      </w:r>
      <w:r w:rsidR="00B36BEE" w:rsidRPr="004460CA">
        <w:rPr>
          <w:color w:val="000000" w:themeColor="text1"/>
          <w:sz w:val="28"/>
          <w:szCs w:val="28"/>
        </w:rPr>
        <w:t>соответствующего</w:t>
      </w:r>
      <w:r w:rsidRPr="004460CA">
        <w:rPr>
          <w:color w:val="000000" w:themeColor="text1"/>
          <w:sz w:val="28"/>
          <w:szCs w:val="28"/>
        </w:rPr>
        <w:t xml:space="preserve"> режима регулирования</w:t>
      </w:r>
      <w:r w:rsidR="008B103A" w:rsidRPr="004460CA">
        <w:rPr>
          <w:color w:val="000000" w:themeColor="text1"/>
          <w:sz w:val="28"/>
          <w:szCs w:val="28"/>
        </w:rPr>
        <w:t>, в порядке, предусмотренном пунктом 6 настоящей Главы.</w:t>
      </w:r>
    </w:p>
    <w:p w14:paraId="5001D45A" w14:textId="495CC5DE" w:rsidR="00143E2D" w:rsidRPr="004460CA" w:rsidRDefault="00990FAB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t>6</w:t>
      </w:r>
      <w:r w:rsidR="00000B23" w:rsidRPr="004460CA">
        <w:rPr>
          <w:color w:val="000000" w:themeColor="text1"/>
          <w:sz w:val="28"/>
          <w:szCs w:val="28"/>
        </w:rPr>
        <w:t xml:space="preserve">. </w:t>
      </w:r>
      <w:r w:rsidR="00E0045A" w:rsidRPr="004460CA">
        <w:rPr>
          <w:color w:val="000000" w:themeColor="text1"/>
          <w:sz w:val="28"/>
          <w:szCs w:val="28"/>
        </w:rPr>
        <w:t xml:space="preserve">Уполномоченный орган в случае выявления одного </w:t>
      </w:r>
      <w:r w:rsidR="007C3169" w:rsidRPr="004460CA">
        <w:rPr>
          <w:color w:val="000000" w:themeColor="text1"/>
          <w:sz w:val="28"/>
          <w:szCs w:val="28"/>
        </w:rPr>
        <w:t xml:space="preserve">признака на основании </w:t>
      </w:r>
      <w:r w:rsidR="007E5EE5" w:rsidRPr="004460CA">
        <w:rPr>
          <w:color w:val="000000" w:themeColor="text1"/>
          <w:sz w:val="28"/>
          <w:szCs w:val="28"/>
        </w:rPr>
        <w:t xml:space="preserve">одного </w:t>
      </w:r>
      <w:r w:rsidR="007C3169" w:rsidRPr="004460CA">
        <w:rPr>
          <w:color w:val="000000" w:themeColor="text1"/>
          <w:sz w:val="28"/>
          <w:szCs w:val="28"/>
        </w:rPr>
        <w:t>основного</w:t>
      </w:r>
      <w:r w:rsidR="007E5EE5" w:rsidRPr="004460CA">
        <w:rPr>
          <w:color w:val="000000" w:themeColor="text1"/>
          <w:sz w:val="28"/>
          <w:szCs w:val="28"/>
        </w:rPr>
        <w:t xml:space="preserve"> количественного </w:t>
      </w:r>
      <w:r w:rsidR="007C3169" w:rsidRPr="004460CA">
        <w:rPr>
          <w:color w:val="000000" w:themeColor="text1"/>
          <w:sz w:val="28"/>
          <w:szCs w:val="28"/>
        </w:rPr>
        <w:t>показателя,</w:t>
      </w:r>
      <w:r w:rsidR="00E0045A" w:rsidRPr="004460CA">
        <w:rPr>
          <w:color w:val="000000" w:themeColor="text1"/>
          <w:sz w:val="28"/>
          <w:szCs w:val="28"/>
        </w:rPr>
        <w:t xml:space="preserve"> или </w:t>
      </w:r>
      <w:r w:rsidR="00055DC6" w:rsidRPr="004460CA">
        <w:rPr>
          <w:color w:val="000000" w:themeColor="text1"/>
          <w:sz w:val="28"/>
          <w:szCs w:val="28"/>
        </w:rPr>
        <w:t xml:space="preserve">комбинации </w:t>
      </w:r>
      <w:r w:rsidR="007C3169" w:rsidRPr="004460CA">
        <w:rPr>
          <w:color w:val="000000" w:themeColor="text1"/>
          <w:sz w:val="28"/>
          <w:szCs w:val="28"/>
        </w:rPr>
        <w:t>признаков на основании</w:t>
      </w:r>
      <w:r w:rsidR="00E0045A" w:rsidRPr="004460CA">
        <w:rPr>
          <w:color w:val="000000" w:themeColor="text1"/>
          <w:sz w:val="28"/>
          <w:szCs w:val="28"/>
        </w:rPr>
        <w:t xml:space="preserve"> вспомогательных </w:t>
      </w:r>
      <w:r w:rsidR="007E5EE5" w:rsidRPr="004460CA">
        <w:rPr>
          <w:color w:val="000000" w:themeColor="text1"/>
          <w:sz w:val="28"/>
          <w:szCs w:val="28"/>
        </w:rPr>
        <w:t>количественных</w:t>
      </w:r>
      <w:r w:rsidR="00D75663" w:rsidRPr="004460CA">
        <w:rPr>
          <w:color w:val="000000" w:themeColor="text1"/>
          <w:sz w:val="28"/>
          <w:szCs w:val="28"/>
        </w:rPr>
        <w:t xml:space="preserve"> </w:t>
      </w:r>
      <w:r w:rsidR="00D11CEA" w:rsidRPr="004460CA">
        <w:rPr>
          <w:color w:val="000000" w:themeColor="text1"/>
          <w:sz w:val="28"/>
          <w:szCs w:val="28"/>
        </w:rPr>
        <w:t>показателей</w:t>
      </w:r>
      <w:r w:rsidR="00E0045A" w:rsidRPr="004460CA">
        <w:rPr>
          <w:color w:val="000000" w:themeColor="text1"/>
          <w:sz w:val="28"/>
          <w:szCs w:val="28"/>
        </w:rPr>
        <w:t xml:space="preserve"> ухудшения финансовой устойчивости, предусмотренны</w:t>
      </w:r>
      <w:r w:rsidR="00C96BB0" w:rsidRPr="004460CA">
        <w:rPr>
          <w:color w:val="000000" w:themeColor="text1"/>
          <w:sz w:val="28"/>
          <w:szCs w:val="28"/>
        </w:rPr>
        <w:t>х</w:t>
      </w:r>
      <w:r w:rsidR="00E0045A" w:rsidRPr="004460CA">
        <w:rPr>
          <w:color w:val="000000" w:themeColor="text1"/>
          <w:sz w:val="28"/>
          <w:szCs w:val="28"/>
        </w:rPr>
        <w:t xml:space="preserve"> пунктами </w:t>
      </w:r>
      <w:r w:rsidR="00277280" w:rsidRPr="004460CA">
        <w:rPr>
          <w:color w:val="000000" w:themeColor="text1"/>
          <w:sz w:val="28"/>
          <w:szCs w:val="28"/>
        </w:rPr>
        <w:t>7</w:t>
      </w:r>
      <w:r w:rsidR="00E0045A" w:rsidRPr="004460CA">
        <w:rPr>
          <w:color w:val="000000" w:themeColor="text1"/>
          <w:sz w:val="28"/>
          <w:szCs w:val="28"/>
        </w:rPr>
        <w:t xml:space="preserve">, </w:t>
      </w:r>
      <w:r w:rsidR="00277280" w:rsidRPr="004460CA">
        <w:rPr>
          <w:color w:val="000000" w:themeColor="text1"/>
          <w:sz w:val="28"/>
          <w:szCs w:val="28"/>
        </w:rPr>
        <w:t xml:space="preserve">8, </w:t>
      </w:r>
      <w:r w:rsidR="00E0045A" w:rsidRPr="004460CA">
        <w:rPr>
          <w:color w:val="000000" w:themeColor="text1"/>
          <w:sz w:val="28"/>
          <w:szCs w:val="28"/>
        </w:rPr>
        <w:t>9</w:t>
      </w:r>
      <w:r w:rsidR="00BA47FB" w:rsidRPr="004460CA">
        <w:rPr>
          <w:color w:val="000000" w:themeColor="text1"/>
          <w:sz w:val="28"/>
          <w:szCs w:val="28"/>
        </w:rPr>
        <w:t xml:space="preserve">, </w:t>
      </w:r>
      <w:r w:rsidR="00E0045A" w:rsidRPr="004460CA">
        <w:rPr>
          <w:color w:val="000000" w:themeColor="text1"/>
          <w:sz w:val="28"/>
          <w:szCs w:val="28"/>
        </w:rPr>
        <w:t>10</w:t>
      </w:r>
      <w:r w:rsidR="00BA47FB" w:rsidRPr="004460CA">
        <w:rPr>
          <w:color w:val="000000" w:themeColor="text1"/>
          <w:sz w:val="28"/>
          <w:szCs w:val="28"/>
        </w:rPr>
        <w:t>, 11, 12</w:t>
      </w:r>
      <w:r w:rsidR="00E50820" w:rsidRPr="004460CA">
        <w:rPr>
          <w:color w:val="000000" w:themeColor="text1"/>
          <w:sz w:val="28"/>
          <w:szCs w:val="28"/>
        </w:rPr>
        <w:t xml:space="preserve"> настоящей Главы</w:t>
      </w:r>
      <w:r w:rsidR="003A58BB" w:rsidRPr="004460CA">
        <w:rPr>
          <w:color w:val="000000" w:themeColor="text1"/>
          <w:sz w:val="28"/>
          <w:szCs w:val="28"/>
        </w:rPr>
        <w:t xml:space="preserve">, </w:t>
      </w:r>
      <w:r w:rsidR="002D7CF2" w:rsidRPr="004460CA">
        <w:rPr>
          <w:color w:val="000000" w:themeColor="text1"/>
          <w:sz w:val="28"/>
          <w:szCs w:val="28"/>
        </w:rPr>
        <w:t xml:space="preserve">при </w:t>
      </w:r>
      <w:r w:rsidR="00143E2D" w:rsidRPr="004460CA">
        <w:rPr>
          <w:color w:val="000000" w:themeColor="text1"/>
          <w:sz w:val="28"/>
          <w:szCs w:val="28"/>
        </w:rPr>
        <w:t xml:space="preserve">их отклонении от </w:t>
      </w:r>
      <w:r w:rsidR="00CD4583" w:rsidRPr="004460CA">
        <w:rPr>
          <w:color w:val="000000" w:themeColor="text1"/>
          <w:sz w:val="28"/>
          <w:szCs w:val="28"/>
        </w:rPr>
        <w:t>пороговых значений</w:t>
      </w:r>
      <w:r w:rsidR="008E6389" w:rsidRPr="004460CA">
        <w:rPr>
          <w:color w:val="000000" w:themeColor="text1"/>
          <w:sz w:val="28"/>
          <w:szCs w:val="28"/>
        </w:rPr>
        <w:t>, установленных Приложением 1</w:t>
      </w:r>
      <w:r w:rsidR="008B103A" w:rsidRPr="004460CA">
        <w:rPr>
          <w:color w:val="000000" w:themeColor="text1"/>
          <w:sz w:val="28"/>
          <w:szCs w:val="28"/>
        </w:rPr>
        <w:t xml:space="preserve"> к Признакам ухудшения</w:t>
      </w:r>
      <w:r w:rsidR="008E6389" w:rsidRPr="004460CA">
        <w:rPr>
          <w:color w:val="000000" w:themeColor="text1"/>
          <w:sz w:val="28"/>
          <w:szCs w:val="28"/>
        </w:rPr>
        <w:t>,</w:t>
      </w:r>
      <w:r w:rsidR="00143E2D" w:rsidRPr="004460CA">
        <w:rPr>
          <w:color w:val="000000" w:themeColor="text1"/>
          <w:sz w:val="28"/>
          <w:szCs w:val="28"/>
        </w:rPr>
        <w:t xml:space="preserve"> </w:t>
      </w:r>
      <w:r w:rsidR="003A58BB" w:rsidRPr="004460CA">
        <w:rPr>
          <w:color w:val="000000" w:themeColor="text1"/>
          <w:sz w:val="28"/>
          <w:szCs w:val="28"/>
        </w:rPr>
        <w:t>вправе применить к банку один из режимов</w:t>
      </w:r>
      <w:r w:rsidR="00021B74" w:rsidRPr="004460CA">
        <w:rPr>
          <w:color w:val="000000" w:themeColor="text1"/>
          <w:sz w:val="28"/>
          <w:szCs w:val="28"/>
        </w:rPr>
        <w:t xml:space="preserve"> регулирования,</w:t>
      </w:r>
      <w:r w:rsidR="00BA47FB" w:rsidRPr="004460CA">
        <w:rPr>
          <w:color w:val="000000" w:themeColor="text1"/>
          <w:sz w:val="28"/>
          <w:szCs w:val="28"/>
        </w:rPr>
        <w:t xml:space="preserve"> </w:t>
      </w:r>
      <w:r w:rsidR="00021B74" w:rsidRPr="004460CA">
        <w:rPr>
          <w:color w:val="000000" w:themeColor="text1"/>
          <w:sz w:val="28"/>
          <w:szCs w:val="28"/>
        </w:rPr>
        <w:t>предусмотренных пунктом 3 статьи 85 Закона о банках</w:t>
      </w:r>
      <w:r w:rsidR="005659DB" w:rsidRPr="004460CA">
        <w:rPr>
          <w:color w:val="000000" w:themeColor="text1"/>
          <w:sz w:val="28"/>
          <w:szCs w:val="28"/>
        </w:rPr>
        <w:t xml:space="preserve">. </w:t>
      </w:r>
    </w:p>
    <w:p w14:paraId="66B7CCC5" w14:textId="20D5C774" w:rsidR="005659DB" w:rsidRPr="004460CA" w:rsidRDefault="002F74BA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t xml:space="preserve">Порядок применения вспомогательных количественных показателей ухудшения финансовой устойчивости банка, наличие которых является основанием для установления режима усиленного надзора или режима восстановления финансовой устойчивости, определяется </w:t>
      </w:r>
      <w:r w:rsidR="00143E2D" w:rsidRPr="004460CA">
        <w:rPr>
          <w:color w:val="000000" w:themeColor="text1"/>
          <w:sz w:val="28"/>
          <w:szCs w:val="28"/>
        </w:rPr>
        <w:t>П</w:t>
      </w:r>
      <w:r w:rsidRPr="004460CA">
        <w:rPr>
          <w:color w:val="000000" w:themeColor="text1"/>
          <w:sz w:val="28"/>
          <w:szCs w:val="28"/>
        </w:rPr>
        <w:t xml:space="preserve">риложением </w:t>
      </w:r>
      <w:r w:rsidR="00143E2D" w:rsidRPr="004460CA">
        <w:rPr>
          <w:color w:val="000000" w:themeColor="text1"/>
          <w:sz w:val="28"/>
          <w:szCs w:val="28"/>
        </w:rPr>
        <w:t>3</w:t>
      </w:r>
      <w:r w:rsidRPr="004460CA">
        <w:rPr>
          <w:color w:val="000000" w:themeColor="text1"/>
          <w:sz w:val="28"/>
          <w:szCs w:val="28"/>
        </w:rPr>
        <w:t xml:space="preserve"> к Признакам ухудшения.</w:t>
      </w:r>
    </w:p>
    <w:p w14:paraId="0B8BC15F" w14:textId="6772FC48" w:rsidR="00E0045A" w:rsidRPr="004460CA" w:rsidRDefault="00990FAB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t>7</w:t>
      </w:r>
      <w:r w:rsidR="00E0045A" w:rsidRPr="004460CA">
        <w:rPr>
          <w:color w:val="000000" w:themeColor="text1"/>
          <w:sz w:val="28"/>
          <w:szCs w:val="28"/>
        </w:rPr>
        <w:t xml:space="preserve">. </w:t>
      </w:r>
      <w:r w:rsidR="00BA47FB" w:rsidRPr="004460CA">
        <w:rPr>
          <w:color w:val="000000" w:themeColor="text1"/>
          <w:sz w:val="28"/>
          <w:szCs w:val="28"/>
        </w:rPr>
        <w:t>П</w:t>
      </w:r>
      <w:r w:rsidR="00BA47FB" w:rsidRPr="004460CA">
        <w:rPr>
          <w:rFonts w:eastAsia="Calibri"/>
          <w:color w:val="000000" w:themeColor="text1"/>
          <w:sz w:val="28"/>
          <w:szCs w:val="28"/>
          <w:lang w:eastAsia="zh-CN"/>
        </w:rPr>
        <w:t>ризнаками ухудшения финансовой устойчивости, определяемы</w:t>
      </w:r>
      <w:r w:rsidR="008E6389" w:rsidRPr="004460CA">
        <w:rPr>
          <w:rFonts w:eastAsia="Calibri"/>
          <w:color w:val="000000" w:themeColor="text1"/>
          <w:sz w:val="28"/>
          <w:szCs w:val="28"/>
          <w:lang w:eastAsia="zh-CN"/>
        </w:rPr>
        <w:t>ми</w:t>
      </w:r>
      <w:r w:rsidR="00BA47FB" w:rsidRPr="004460CA">
        <w:rPr>
          <w:rFonts w:eastAsia="Calibri"/>
          <w:color w:val="000000" w:themeColor="text1"/>
          <w:sz w:val="28"/>
          <w:szCs w:val="28"/>
          <w:lang w:eastAsia="zh-CN"/>
        </w:rPr>
        <w:t xml:space="preserve"> на основании </w:t>
      </w:r>
      <w:r w:rsidR="008E6389" w:rsidRPr="004460CA">
        <w:rPr>
          <w:rFonts w:eastAsia="Calibri"/>
          <w:color w:val="000000" w:themeColor="text1"/>
          <w:sz w:val="28"/>
          <w:szCs w:val="28"/>
          <w:lang w:eastAsia="zh-CN"/>
        </w:rPr>
        <w:t>показателей рисков капитала, явля</w:t>
      </w:r>
      <w:r w:rsidR="00542EEA" w:rsidRPr="004460CA">
        <w:rPr>
          <w:rFonts w:eastAsia="Calibri"/>
          <w:color w:val="000000" w:themeColor="text1"/>
          <w:sz w:val="28"/>
          <w:szCs w:val="28"/>
          <w:lang w:eastAsia="zh-CN"/>
        </w:rPr>
        <w:t>ю</w:t>
      </w:r>
      <w:r w:rsidR="008E6389" w:rsidRPr="004460CA">
        <w:rPr>
          <w:rFonts w:eastAsia="Calibri"/>
          <w:color w:val="000000" w:themeColor="text1"/>
          <w:sz w:val="28"/>
          <w:szCs w:val="28"/>
          <w:lang w:eastAsia="zh-CN"/>
        </w:rPr>
        <w:t>тся</w:t>
      </w:r>
      <w:r w:rsidR="00E0045A" w:rsidRPr="004460CA">
        <w:rPr>
          <w:color w:val="000000" w:themeColor="text1"/>
          <w:sz w:val="28"/>
          <w:szCs w:val="28"/>
        </w:rPr>
        <w:t xml:space="preserve">: </w:t>
      </w:r>
    </w:p>
    <w:p w14:paraId="0B86105D" w14:textId="0EEAC6AD" w:rsidR="00E0045A" w:rsidRPr="004460CA" w:rsidRDefault="00E0045A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t>1)</w:t>
      </w:r>
      <w:r w:rsidR="00BA2245" w:rsidRPr="004460CA">
        <w:rPr>
          <w:color w:val="000000" w:themeColor="text1"/>
          <w:sz w:val="28"/>
          <w:szCs w:val="28"/>
        </w:rPr>
        <w:t> </w:t>
      </w:r>
      <w:r w:rsidRPr="004460CA">
        <w:rPr>
          <w:color w:val="000000" w:themeColor="text1"/>
          <w:sz w:val="28"/>
          <w:szCs w:val="28"/>
        </w:rPr>
        <w:t xml:space="preserve">снижение коэффициента достаточности основного капитала (k1), рассчитываемого в соответствии </w:t>
      </w:r>
      <w:r w:rsidR="00CF620D" w:rsidRPr="004460CA">
        <w:rPr>
          <w:color w:val="000000" w:themeColor="text1"/>
          <w:sz w:val="28"/>
          <w:szCs w:val="28"/>
        </w:rPr>
        <w:t xml:space="preserve">с </w:t>
      </w:r>
      <w:r w:rsidR="00CF620D" w:rsidRPr="004460CA">
        <w:rPr>
          <w:rFonts w:eastAsia="Calibri"/>
          <w:color w:val="000000" w:themeColor="text1"/>
          <w:sz w:val="28"/>
          <w:szCs w:val="28"/>
          <w:lang w:eastAsia="zh-CN"/>
        </w:rPr>
        <w:t xml:space="preserve">Пруденциальными нормативами и лимитами, обязательными к соблюдению банками с универсальной банковской лицензией, банками с базовой банковской лицензией, исламскими банками, утвержденными постановлением Правления Агентства Республики Казахстан по регулированию и развитию финансового рынка от 28 апреля 2026 года № 85 </w:t>
      </w:r>
      <w:r w:rsidR="00CF620D" w:rsidRPr="004460CA">
        <w:rPr>
          <w:color w:val="000000" w:themeColor="text1"/>
          <w:sz w:val="28"/>
          <w:szCs w:val="28"/>
        </w:rPr>
        <w:t xml:space="preserve"> </w:t>
      </w:r>
      <w:r w:rsidR="00C73CD5" w:rsidRPr="004460CA">
        <w:rPr>
          <w:color w:val="000000" w:themeColor="text1"/>
          <w:sz w:val="28"/>
          <w:szCs w:val="28"/>
        </w:rPr>
        <w:t>(</w:t>
      </w:r>
      <w:r w:rsidR="002214D1" w:rsidRPr="004460CA">
        <w:rPr>
          <w:color w:val="000000" w:themeColor="text1"/>
          <w:sz w:val="28"/>
          <w:szCs w:val="28"/>
        </w:rPr>
        <w:t>далее –</w:t>
      </w:r>
      <w:r w:rsidR="00C73CD5" w:rsidRPr="004460CA">
        <w:rPr>
          <w:color w:val="000000" w:themeColor="text1"/>
          <w:sz w:val="28"/>
          <w:szCs w:val="28"/>
        </w:rPr>
        <w:t xml:space="preserve"> </w:t>
      </w:r>
      <w:r w:rsidR="00E43E0C" w:rsidRPr="004460CA">
        <w:rPr>
          <w:color w:val="000000" w:themeColor="text1"/>
          <w:sz w:val="28"/>
          <w:szCs w:val="28"/>
        </w:rPr>
        <w:t>Пруденциальные нормативы</w:t>
      </w:r>
      <w:r w:rsidR="00C73CD5" w:rsidRPr="004460CA">
        <w:rPr>
          <w:color w:val="000000" w:themeColor="text1"/>
          <w:sz w:val="28"/>
          <w:szCs w:val="28"/>
        </w:rPr>
        <w:t>)</w:t>
      </w:r>
      <w:r w:rsidRPr="004460CA">
        <w:rPr>
          <w:color w:val="000000" w:themeColor="text1"/>
          <w:sz w:val="28"/>
          <w:szCs w:val="28"/>
        </w:rPr>
        <w:t xml:space="preserve">, </w:t>
      </w:r>
      <w:r w:rsidR="00BA47FB" w:rsidRPr="004460CA">
        <w:rPr>
          <w:color w:val="000000" w:themeColor="text1"/>
          <w:sz w:val="28"/>
          <w:szCs w:val="28"/>
        </w:rPr>
        <w:t>до значени</w:t>
      </w:r>
      <w:r w:rsidR="00DF4B1C" w:rsidRPr="004460CA">
        <w:rPr>
          <w:color w:val="000000" w:themeColor="text1"/>
          <w:sz w:val="28"/>
          <w:szCs w:val="28"/>
        </w:rPr>
        <w:t>я</w:t>
      </w:r>
      <w:r w:rsidR="00BA47FB" w:rsidRPr="004460CA">
        <w:rPr>
          <w:color w:val="000000" w:themeColor="text1"/>
          <w:sz w:val="28"/>
          <w:szCs w:val="28"/>
        </w:rPr>
        <w:t xml:space="preserve"> </w:t>
      </w:r>
      <w:r w:rsidRPr="004460CA">
        <w:rPr>
          <w:color w:val="000000" w:themeColor="text1"/>
          <w:sz w:val="28"/>
          <w:szCs w:val="28"/>
        </w:rPr>
        <w:t>ниже</w:t>
      </w:r>
      <w:r w:rsidR="00DF4B1C" w:rsidRPr="004460CA">
        <w:rPr>
          <w:color w:val="000000" w:themeColor="text1"/>
          <w:sz w:val="28"/>
          <w:szCs w:val="28"/>
        </w:rPr>
        <w:t xml:space="preserve"> установленного</w:t>
      </w:r>
      <w:r w:rsidRPr="004460CA">
        <w:rPr>
          <w:color w:val="000000" w:themeColor="text1"/>
          <w:sz w:val="28"/>
          <w:szCs w:val="28"/>
        </w:rPr>
        <w:t xml:space="preserve"> </w:t>
      </w:r>
      <w:r w:rsidR="00CD4583" w:rsidRPr="004460CA">
        <w:rPr>
          <w:color w:val="000000" w:themeColor="text1"/>
          <w:sz w:val="28"/>
          <w:szCs w:val="28"/>
        </w:rPr>
        <w:t>порогового значения</w:t>
      </w:r>
      <w:r w:rsidR="00DF4B1C" w:rsidRPr="004460CA">
        <w:rPr>
          <w:color w:val="000000" w:themeColor="text1"/>
          <w:sz w:val="28"/>
          <w:szCs w:val="28"/>
        </w:rPr>
        <w:t>;</w:t>
      </w:r>
    </w:p>
    <w:p w14:paraId="25A5DDCC" w14:textId="5A0F0B92" w:rsidR="002F3C5F" w:rsidRPr="004460CA" w:rsidRDefault="00551E7B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t>2</w:t>
      </w:r>
      <w:r w:rsidR="002F3C5F" w:rsidRPr="004460CA">
        <w:rPr>
          <w:color w:val="000000" w:themeColor="text1"/>
          <w:sz w:val="28"/>
          <w:szCs w:val="28"/>
        </w:rPr>
        <w:t>)</w:t>
      </w:r>
      <w:r w:rsidR="00BA2245" w:rsidRPr="004460CA">
        <w:rPr>
          <w:color w:val="000000" w:themeColor="text1"/>
          <w:sz w:val="28"/>
          <w:szCs w:val="28"/>
        </w:rPr>
        <w:t> </w:t>
      </w:r>
      <w:r w:rsidR="00E005C8" w:rsidRPr="004460CA">
        <w:rPr>
          <w:color w:val="000000" w:themeColor="text1"/>
          <w:sz w:val="28"/>
          <w:szCs w:val="28"/>
        </w:rPr>
        <w:t xml:space="preserve">последовательное </w:t>
      </w:r>
      <w:r w:rsidR="002F3C5F" w:rsidRPr="004460CA">
        <w:rPr>
          <w:color w:val="000000" w:themeColor="text1"/>
          <w:sz w:val="28"/>
          <w:szCs w:val="28"/>
        </w:rPr>
        <w:t xml:space="preserve">снижение коэффициента достаточности основного </w:t>
      </w:r>
      <w:r w:rsidR="00E43E0C" w:rsidRPr="004460CA">
        <w:rPr>
          <w:color w:val="000000" w:themeColor="text1"/>
          <w:sz w:val="28"/>
          <w:szCs w:val="28"/>
        </w:rPr>
        <w:lastRenderedPageBreak/>
        <w:t>капитала</w:t>
      </w:r>
      <w:r w:rsidR="004053A2" w:rsidRPr="004460CA">
        <w:rPr>
          <w:color w:val="000000" w:themeColor="text1"/>
          <w:sz w:val="28"/>
          <w:szCs w:val="28"/>
        </w:rPr>
        <w:t xml:space="preserve"> (k1)</w:t>
      </w:r>
      <w:r w:rsidR="00E43E0C" w:rsidRPr="004460CA">
        <w:rPr>
          <w:color w:val="000000" w:themeColor="text1"/>
          <w:sz w:val="28"/>
          <w:szCs w:val="28"/>
        </w:rPr>
        <w:t xml:space="preserve">, рассчитываемого в соответствии с Пруденциальными нормативами, </w:t>
      </w:r>
      <w:r w:rsidR="002F3C5F" w:rsidRPr="004460CA">
        <w:rPr>
          <w:color w:val="000000" w:themeColor="text1"/>
          <w:sz w:val="28"/>
          <w:szCs w:val="28"/>
        </w:rPr>
        <w:t>в течение 3</w:t>
      </w:r>
      <w:r w:rsidR="00837E95" w:rsidRPr="004460CA">
        <w:rPr>
          <w:color w:val="000000" w:themeColor="text1"/>
          <w:sz w:val="28"/>
          <w:szCs w:val="28"/>
        </w:rPr>
        <w:t xml:space="preserve"> (трех)</w:t>
      </w:r>
      <w:r w:rsidR="002F3C5F" w:rsidRPr="004460CA">
        <w:rPr>
          <w:color w:val="000000" w:themeColor="text1"/>
          <w:sz w:val="28"/>
          <w:szCs w:val="28"/>
        </w:rPr>
        <w:t xml:space="preserve"> месяцев в размере, превышающем </w:t>
      </w:r>
      <w:r w:rsidR="00CD4583" w:rsidRPr="004460CA">
        <w:rPr>
          <w:color w:val="000000" w:themeColor="text1"/>
          <w:sz w:val="28"/>
          <w:szCs w:val="28"/>
        </w:rPr>
        <w:t>пороговое значение</w:t>
      </w:r>
      <w:r w:rsidR="00837E95" w:rsidRPr="004460CA">
        <w:rPr>
          <w:color w:val="000000" w:themeColor="text1"/>
          <w:sz w:val="28"/>
          <w:szCs w:val="28"/>
        </w:rPr>
        <w:t>,</w:t>
      </w:r>
      <w:r w:rsidR="002F3C5F" w:rsidRPr="004460CA">
        <w:rPr>
          <w:color w:val="000000" w:themeColor="text1"/>
          <w:sz w:val="28"/>
          <w:szCs w:val="28"/>
        </w:rPr>
        <w:t xml:space="preserve"> при условии, </w:t>
      </w:r>
      <w:r w:rsidR="007D7A52" w:rsidRPr="004460CA">
        <w:rPr>
          <w:color w:val="000000" w:themeColor="text1"/>
          <w:sz w:val="28"/>
          <w:szCs w:val="28"/>
        </w:rPr>
        <w:t xml:space="preserve">что </w:t>
      </w:r>
      <w:r w:rsidR="004053A2" w:rsidRPr="004460CA">
        <w:rPr>
          <w:color w:val="000000" w:themeColor="text1"/>
          <w:sz w:val="28"/>
          <w:szCs w:val="28"/>
        </w:rPr>
        <w:t xml:space="preserve">данное </w:t>
      </w:r>
      <w:r w:rsidR="007D7A52" w:rsidRPr="004460CA">
        <w:rPr>
          <w:color w:val="000000" w:themeColor="text1"/>
          <w:sz w:val="28"/>
          <w:szCs w:val="28"/>
        </w:rPr>
        <w:t>снижение</w:t>
      </w:r>
      <w:r w:rsidR="002F3C5F" w:rsidRPr="004460CA">
        <w:rPr>
          <w:color w:val="000000" w:themeColor="text1"/>
          <w:sz w:val="28"/>
          <w:szCs w:val="28"/>
        </w:rPr>
        <w:t xml:space="preserve"> </w:t>
      </w:r>
      <w:r w:rsidR="00F13F7B" w:rsidRPr="004460CA">
        <w:rPr>
          <w:color w:val="000000" w:themeColor="text1"/>
          <w:sz w:val="28"/>
          <w:szCs w:val="28"/>
        </w:rPr>
        <w:t>(</w:t>
      </w:r>
      <w:r w:rsidR="002F3C5F" w:rsidRPr="004460CA">
        <w:rPr>
          <w:color w:val="000000" w:themeColor="text1"/>
          <w:sz w:val="28"/>
          <w:szCs w:val="28"/>
        </w:rPr>
        <w:t>k1</w:t>
      </w:r>
      <w:r w:rsidR="00F13F7B" w:rsidRPr="004460CA">
        <w:rPr>
          <w:color w:val="000000" w:themeColor="text1"/>
          <w:sz w:val="28"/>
          <w:szCs w:val="28"/>
        </w:rPr>
        <w:t>)</w:t>
      </w:r>
      <w:r w:rsidR="002F3C5F" w:rsidRPr="004460CA">
        <w:rPr>
          <w:color w:val="000000" w:themeColor="text1"/>
          <w:sz w:val="28"/>
          <w:szCs w:val="28"/>
        </w:rPr>
        <w:t xml:space="preserve"> приводит </w:t>
      </w:r>
      <w:r w:rsidR="00837E95" w:rsidRPr="004460CA">
        <w:rPr>
          <w:color w:val="000000" w:themeColor="text1"/>
          <w:sz w:val="28"/>
          <w:szCs w:val="28"/>
        </w:rPr>
        <w:t>к достижению</w:t>
      </w:r>
      <w:r w:rsidR="002F3C5F" w:rsidRPr="004460CA">
        <w:rPr>
          <w:color w:val="000000" w:themeColor="text1"/>
          <w:sz w:val="28"/>
          <w:szCs w:val="28"/>
        </w:rPr>
        <w:t xml:space="preserve"> </w:t>
      </w:r>
      <w:r w:rsidR="00837E95" w:rsidRPr="004460CA">
        <w:rPr>
          <w:color w:val="000000" w:themeColor="text1"/>
          <w:sz w:val="28"/>
          <w:szCs w:val="28"/>
        </w:rPr>
        <w:t>у</w:t>
      </w:r>
      <w:r w:rsidR="002F3C5F" w:rsidRPr="004460CA">
        <w:rPr>
          <w:color w:val="000000" w:themeColor="text1"/>
          <w:sz w:val="28"/>
          <w:szCs w:val="28"/>
        </w:rPr>
        <w:t xml:space="preserve">ровня 1,75-кратного минимального требования достаточности </w:t>
      </w:r>
      <w:r w:rsidR="004053A2" w:rsidRPr="004460CA">
        <w:rPr>
          <w:color w:val="000000" w:themeColor="text1"/>
          <w:sz w:val="28"/>
          <w:szCs w:val="28"/>
        </w:rPr>
        <w:t xml:space="preserve">основного </w:t>
      </w:r>
      <w:r w:rsidR="002F3C5F" w:rsidRPr="004460CA">
        <w:rPr>
          <w:color w:val="000000" w:themeColor="text1"/>
          <w:sz w:val="28"/>
          <w:szCs w:val="28"/>
        </w:rPr>
        <w:t>капитала;</w:t>
      </w:r>
    </w:p>
    <w:p w14:paraId="03BAFF01" w14:textId="705D9AED" w:rsidR="0099788B" w:rsidRPr="004460CA" w:rsidRDefault="00551E7B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t>3</w:t>
      </w:r>
      <w:r w:rsidR="00E0045A" w:rsidRPr="004460CA">
        <w:rPr>
          <w:color w:val="000000" w:themeColor="text1"/>
          <w:sz w:val="28"/>
          <w:szCs w:val="28"/>
        </w:rPr>
        <w:t>)</w:t>
      </w:r>
      <w:r w:rsidR="00BA2245" w:rsidRPr="004460CA">
        <w:rPr>
          <w:color w:val="000000" w:themeColor="text1"/>
          <w:sz w:val="28"/>
          <w:szCs w:val="28"/>
        </w:rPr>
        <w:t> </w:t>
      </w:r>
      <w:r w:rsidR="00E0045A" w:rsidRPr="004460CA">
        <w:rPr>
          <w:color w:val="000000" w:themeColor="text1"/>
          <w:sz w:val="28"/>
          <w:szCs w:val="28"/>
        </w:rPr>
        <w:t xml:space="preserve">снижение коэффициента </w:t>
      </w:r>
      <w:r w:rsidR="0068647D" w:rsidRPr="004460CA">
        <w:rPr>
          <w:color w:val="000000" w:themeColor="text1"/>
          <w:sz w:val="28"/>
          <w:szCs w:val="28"/>
        </w:rPr>
        <w:t>левериджа</w:t>
      </w:r>
      <w:r w:rsidR="00E0045A" w:rsidRPr="004460CA">
        <w:rPr>
          <w:color w:val="000000" w:themeColor="text1"/>
          <w:sz w:val="28"/>
          <w:szCs w:val="28"/>
        </w:rPr>
        <w:t xml:space="preserve">, </w:t>
      </w:r>
      <w:r w:rsidR="00E43E0C" w:rsidRPr="004460CA">
        <w:rPr>
          <w:color w:val="000000" w:themeColor="text1"/>
          <w:sz w:val="28"/>
          <w:szCs w:val="28"/>
        </w:rPr>
        <w:t>рассчитываемого в соответствии с Пруденциальными нормативами</w:t>
      </w:r>
      <w:r w:rsidR="00E0045A" w:rsidRPr="004460CA">
        <w:rPr>
          <w:color w:val="000000" w:themeColor="text1"/>
          <w:sz w:val="28"/>
          <w:szCs w:val="28"/>
        </w:rPr>
        <w:t xml:space="preserve">, </w:t>
      </w:r>
      <w:r w:rsidR="00DF4B1C" w:rsidRPr="004460CA">
        <w:rPr>
          <w:color w:val="000000" w:themeColor="text1"/>
          <w:sz w:val="28"/>
          <w:szCs w:val="28"/>
        </w:rPr>
        <w:t xml:space="preserve">до значения ниже установленного </w:t>
      </w:r>
      <w:r w:rsidR="00CD4583" w:rsidRPr="004460CA">
        <w:rPr>
          <w:color w:val="000000" w:themeColor="text1"/>
          <w:sz w:val="28"/>
          <w:szCs w:val="28"/>
        </w:rPr>
        <w:t>порогового значения</w:t>
      </w:r>
      <w:r w:rsidR="00DF4B1C" w:rsidRPr="004460CA">
        <w:rPr>
          <w:color w:val="000000" w:themeColor="text1"/>
          <w:sz w:val="28"/>
          <w:szCs w:val="28"/>
        </w:rPr>
        <w:t>;</w:t>
      </w:r>
    </w:p>
    <w:p w14:paraId="3A9AAD43" w14:textId="7450BEF0" w:rsidR="0099788B" w:rsidRPr="004460CA" w:rsidRDefault="00551E7B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t>4</w:t>
      </w:r>
      <w:r w:rsidR="0099788B" w:rsidRPr="004460CA">
        <w:rPr>
          <w:color w:val="000000" w:themeColor="text1"/>
          <w:sz w:val="28"/>
          <w:szCs w:val="28"/>
        </w:rPr>
        <w:t>)</w:t>
      </w:r>
      <w:r w:rsidR="00BA2245" w:rsidRPr="004460CA">
        <w:rPr>
          <w:color w:val="000000" w:themeColor="text1"/>
          <w:sz w:val="28"/>
          <w:szCs w:val="28"/>
        </w:rPr>
        <w:t> </w:t>
      </w:r>
      <w:r w:rsidR="002859B9" w:rsidRPr="004460CA">
        <w:rPr>
          <w:color w:val="000000" w:themeColor="text1"/>
          <w:sz w:val="28"/>
          <w:szCs w:val="28"/>
        </w:rPr>
        <w:t>превышение установленного порогового значения коэффициента риска на одного заемщика, не связанного с банком особыми отношениями (к3), рассчитываемого в соответствии с Пруденциальными нормативами;</w:t>
      </w:r>
    </w:p>
    <w:p w14:paraId="0B8A8AD7" w14:textId="5ADE8F2F" w:rsidR="00DF4B1C" w:rsidRPr="004460CA" w:rsidRDefault="00551E7B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t>5</w:t>
      </w:r>
      <w:r w:rsidR="00E0045A" w:rsidRPr="004460CA">
        <w:rPr>
          <w:color w:val="000000" w:themeColor="text1"/>
          <w:sz w:val="28"/>
          <w:szCs w:val="28"/>
        </w:rPr>
        <w:t>)</w:t>
      </w:r>
      <w:r w:rsidR="00BA2245" w:rsidRPr="004460CA">
        <w:rPr>
          <w:color w:val="000000" w:themeColor="text1"/>
          <w:sz w:val="28"/>
          <w:szCs w:val="28"/>
        </w:rPr>
        <w:t> </w:t>
      </w:r>
      <w:r w:rsidR="00E0045A" w:rsidRPr="004460CA">
        <w:rPr>
          <w:color w:val="000000" w:themeColor="text1"/>
          <w:sz w:val="28"/>
          <w:szCs w:val="28"/>
        </w:rPr>
        <w:t>превышение</w:t>
      </w:r>
      <w:r w:rsidR="00DF4B1C" w:rsidRPr="004460CA">
        <w:rPr>
          <w:color w:val="000000" w:themeColor="text1"/>
          <w:sz w:val="28"/>
          <w:szCs w:val="28"/>
        </w:rPr>
        <w:t xml:space="preserve"> установленного</w:t>
      </w:r>
      <w:r w:rsidR="00E0045A" w:rsidRPr="004460CA">
        <w:rPr>
          <w:color w:val="000000" w:themeColor="text1"/>
          <w:sz w:val="28"/>
          <w:szCs w:val="28"/>
        </w:rPr>
        <w:t xml:space="preserve"> </w:t>
      </w:r>
      <w:r w:rsidR="00CD4583" w:rsidRPr="004460CA">
        <w:rPr>
          <w:color w:val="000000" w:themeColor="text1"/>
          <w:sz w:val="28"/>
          <w:szCs w:val="28"/>
        </w:rPr>
        <w:t>порогового значения</w:t>
      </w:r>
      <w:r w:rsidR="00CC77FC" w:rsidRPr="004460CA">
        <w:rPr>
          <w:color w:val="000000" w:themeColor="text1"/>
          <w:sz w:val="28"/>
          <w:szCs w:val="28"/>
        </w:rPr>
        <w:t xml:space="preserve"> </w:t>
      </w:r>
      <w:r w:rsidR="00E0045A" w:rsidRPr="004460CA">
        <w:rPr>
          <w:color w:val="000000" w:themeColor="text1"/>
          <w:sz w:val="28"/>
          <w:szCs w:val="28"/>
        </w:rPr>
        <w:t>коэффициента риска на одного</w:t>
      </w:r>
      <w:r w:rsidR="00BA2245" w:rsidRPr="004460CA">
        <w:rPr>
          <w:color w:val="000000" w:themeColor="text1"/>
          <w:sz w:val="28"/>
          <w:szCs w:val="28"/>
        </w:rPr>
        <w:t> </w:t>
      </w:r>
      <w:r w:rsidR="00E0045A" w:rsidRPr="004460CA">
        <w:rPr>
          <w:color w:val="000000" w:themeColor="text1"/>
          <w:sz w:val="28"/>
          <w:szCs w:val="28"/>
        </w:rPr>
        <w:t>заемщика, связанного с банком особыми отношениями</w:t>
      </w:r>
      <w:r w:rsidR="00BA2245" w:rsidRPr="004460CA">
        <w:rPr>
          <w:color w:val="000000" w:themeColor="text1"/>
          <w:sz w:val="28"/>
          <w:szCs w:val="28"/>
        </w:rPr>
        <w:t xml:space="preserve"> </w:t>
      </w:r>
      <w:r w:rsidR="00E0045A" w:rsidRPr="004460CA">
        <w:rPr>
          <w:color w:val="000000" w:themeColor="text1"/>
          <w:sz w:val="28"/>
          <w:szCs w:val="28"/>
        </w:rPr>
        <w:t xml:space="preserve">(к3-1), рассчитываемого </w:t>
      </w:r>
      <w:r w:rsidR="0025282A" w:rsidRPr="004460CA">
        <w:rPr>
          <w:color w:val="000000" w:themeColor="text1"/>
          <w:sz w:val="28"/>
          <w:szCs w:val="28"/>
        </w:rPr>
        <w:t>в соответствии с Пруденциальными нормативами</w:t>
      </w:r>
      <w:r w:rsidR="00DF4B1C" w:rsidRPr="004460CA">
        <w:rPr>
          <w:color w:val="000000" w:themeColor="text1"/>
          <w:sz w:val="28"/>
          <w:szCs w:val="28"/>
        </w:rPr>
        <w:t>;</w:t>
      </w:r>
    </w:p>
    <w:p w14:paraId="2D578DBE" w14:textId="237AA00B" w:rsidR="002859B9" w:rsidRPr="004460CA" w:rsidRDefault="00A26A27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t>6</w:t>
      </w:r>
      <w:r w:rsidR="00E0045A" w:rsidRPr="004460CA">
        <w:rPr>
          <w:color w:val="000000" w:themeColor="text1"/>
          <w:sz w:val="28"/>
          <w:szCs w:val="28"/>
        </w:rPr>
        <w:t>)</w:t>
      </w:r>
      <w:r w:rsidR="00AC2F9D" w:rsidRPr="004460CA">
        <w:rPr>
          <w:color w:val="000000" w:themeColor="text1"/>
          <w:sz w:val="28"/>
          <w:szCs w:val="28"/>
        </w:rPr>
        <w:t> </w:t>
      </w:r>
      <w:r w:rsidR="00367015" w:rsidRPr="004460CA">
        <w:rPr>
          <w:color w:val="000000" w:themeColor="text1"/>
          <w:sz w:val="28"/>
          <w:szCs w:val="28"/>
        </w:rPr>
        <w:t>снижение коэффициента достаточности</w:t>
      </w:r>
      <w:r w:rsidR="00E0045A" w:rsidRPr="004460CA">
        <w:rPr>
          <w:color w:val="000000" w:themeColor="text1"/>
          <w:sz w:val="28"/>
          <w:szCs w:val="28"/>
        </w:rPr>
        <w:t xml:space="preserve"> основного капитала (k1</w:t>
      </w:r>
      <w:r w:rsidR="00367015" w:rsidRPr="004460CA">
        <w:rPr>
          <w:color w:val="000000" w:themeColor="text1"/>
          <w:sz w:val="28"/>
          <w:szCs w:val="28"/>
        </w:rPr>
        <w:t>)</w:t>
      </w:r>
      <w:r w:rsidR="00E0045A" w:rsidRPr="004460CA">
        <w:rPr>
          <w:color w:val="000000" w:themeColor="text1"/>
          <w:sz w:val="28"/>
          <w:szCs w:val="28"/>
        </w:rPr>
        <w:t xml:space="preserve"> по итогам проведения уполномоченным органом ежегодного надзорного стресс-тестирования банков</w:t>
      </w:r>
      <w:r w:rsidR="00367015" w:rsidRPr="004460CA">
        <w:rPr>
          <w:color w:val="000000" w:themeColor="text1"/>
          <w:sz w:val="28"/>
          <w:szCs w:val="28"/>
        </w:rPr>
        <w:t xml:space="preserve"> до значения ниже установленного </w:t>
      </w:r>
      <w:r w:rsidR="00CD4583" w:rsidRPr="004460CA">
        <w:rPr>
          <w:color w:val="000000" w:themeColor="text1"/>
          <w:sz w:val="28"/>
          <w:szCs w:val="28"/>
        </w:rPr>
        <w:t>порогового значения</w:t>
      </w:r>
      <w:r w:rsidR="002859B9" w:rsidRPr="004460CA">
        <w:rPr>
          <w:color w:val="000000" w:themeColor="text1"/>
          <w:sz w:val="28"/>
          <w:szCs w:val="28"/>
        </w:rPr>
        <w:t>;</w:t>
      </w:r>
    </w:p>
    <w:p w14:paraId="3781513B" w14:textId="5503FC58" w:rsidR="00854B74" w:rsidRPr="004460CA" w:rsidRDefault="00A26A27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t>7</w:t>
      </w:r>
      <w:r w:rsidR="002859B9" w:rsidRPr="004460CA">
        <w:rPr>
          <w:color w:val="000000" w:themeColor="text1"/>
          <w:sz w:val="28"/>
          <w:szCs w:val="28"/>
        </w:rPr>
        <w:t>)</w:t>
      </w:r>
      <w:r w:rsidR="00D452FA" w:rsidRPr="004460CA">
        <w:rPr>
          <w:color w:val="000000" w:themeColor="text1"/>
          <w:sz w:val="28"/>
          <w:szCs w:val="28"/>
        </w:rPr>
        <w:t> </w:t>
      </w:r>
      <w:r w:rsidR="002859B9" w:rsidRPr="004460CA">
        <w:rPr>
          <w:color w:val="000000" w:themeColor="text1"/>
          <w:sz w:val="28"/>
          <w:szCs w:val="28"/>
        </w:rPr>
        <w:t xml:space="preserve">снижение минимального размера обязательств по инструментам, обеспечивающим общую способность поглощения (покрытия) убытков, рассчитываемого в соответствии с Пруденциальными нормативами, до значения ниже </w:t>
      </w:r>
      <w:r w:rsidR="00854B74" w:rsidRPr="004460CA">
        <w:rPr>
          <w:color w:val="000000" w:themeColor="text1"/>
          <w:sz w:val="28"/>
          <w:szCs w:val="28"/>
        </w:rPr>
        <w:t>установленного порогового значения, в том числе допущенное однократно либо повторно в течение установленного периода</w:t>
      </w:r>
      <w:r w:rsidR="00236C2F" w:rsidRPr="004460CA">
        <w:rPr>
          <w:color w:val="000000" w:themeColor="text1"/>
          <w:sz w:val="28"/>
          <w:szCs w:val="28"/>
        </w:rPr>
        <w:t>, с применением соответствующего режима регулирования в зависимости от числа случаев такого снижения в течение установленного периода.</w:t>
      </w:r>
    </w:p>
    <w:p w14:paraId="50D24240" w14:textId="2850A863" w:rsidR="00E0045A" w:rsidRPr="004460CA" w:rsidRDefault="0052617A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t>8</w:t>
      </w:r>
      <w:r w:rsidR="00E0045A" w:rsidRPr="004460CA">
        <w:rPr>
          <w:color w:val="000000" w:themeColor="text1"/>
          <w:sz w:val="28"/>
          <w:szCs w:val="28"/>
        </w:rPr>
        <w:t xml:space="preserve">. </w:t>
      </w:r>
      <w:r w:rsidR="003426A1" w:rsidRPr="004460CA">
        <w:rPr>
          <w:color w:val="000000" w:themeColor="text1"/>
          <w:sz w:val="28"/>
          <w:szCs w:val="28"/>
        </w:rPr>
        <w:t>П</w:t>
      </w:r>
      <w:r w:rsidR="003426A1" w:rsidRPr="004460CA">
        <w:rPr>
          <w:rFonts w:eastAsia="Calibri"/>
          <w:color w:val="000000" w:themeColor="text1"/>
          <w:sz w:val="28"/>
          <w:szCs w:val="28"/>
          <w:lang w:eastAsia="zh-CN"/>
        </w:rPr>
        <w:t>ризнаками ухудшения финансовой устойчивости, определяемыми на основании показателей кредитного риска, явля</w:t>
      </w:r>
      <w:r w:rsidR="002B12B3" w:rsidRPr="004460CA">
        <w:rPr>
          <w:rFonts w:eastAsia="Calibri"/>
          <w:color w:val="000000" w:themeColor="text1"/>
          <w:sz w:val="28"/>
          <w:szCs w:val="28"/>
          <w:lang w:eastAsia="zh-CN"/>
        </w:rPr>
        <w:t>ю</w:t>
      </w:r>
      <w:r w:rsidR="003426A1" w:rsidRPr="004460CA">
        <w:rPr>
          <w:rFonts w:eastAsia="Calibri"/>
          <w:color w:val="000000" w:themeColor="text1"/>
          <w:sz w:val="28"/>
          <w:szCs w:val="28"/>
          <w:lang w:eastAsia="zh-CN"/>
        </w:rPr>
        <w:t>тся</w:t>
      </w:r>
      <w:r w:rsidR="00E0045A" w:rsidRPr="004460CA">
        <w:rPr>
          <w:color w:val="000000" w:themeColor="text1"/>
          <w:sz w:val="28"/>
          <w:szCs w:val="28"/>
        </w:rPr>
        <w:t xml:space="preserve">: </w:t>
      </w:r>
    </w:p>
    <w:p w14:paraId="0538FAA0" w14:textId="642AAA0A" w:rsidR="00054447" w:rsidRPr="004460CA" w:rsidRDefault="00E0045A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t xml:space="preserve">1) превышение </w:t>
      </w:r>
      <w:r w:rsidR="00CE445B" w:rsidRPr="004460CA">
        <w:rPr>
          <w:color w:val="000000" w:themeColor="text1"/>
          <w:sz w:val="28"/>
          <w:szCs w:val="28"/>
        </w:rPr>
        <w:t xml:space="preserve">установленного </w:t>
      </w:r>
      <w:r w:rsidR="00CD4583" w:rsidRPr="004460CA">
        <w:rPr>
          <w:color w:val="000000" w:themeColor="text1"/>
          <w:sz w:val="28"/>
          <w:szCs w:val="28"/>
        </w:rPr>
        <w:t xml:space="preserve">порогового значения </w:t>
      </w:r>
      <w:r w:rsidRPr="004460CA">
        <w:rPr>
          <w:color w:val="000000" w:themeColor="text1"/>
          <w:sz w:val="28"/>
          <w:szCs w:val="28"/>
        </w:rPr>
        <w:t>коэффициента доли</w:t>
      </w:r>
      <w:r w:rsidR="006A1076" w:rsidRPr="004460CA">
        <w:rPr>
          <w:color w:val="000000" w:themeColor="text1"/>
          <w:sz w:val="28"/>
          <w:szCs w:val="28"/>
        </w:rPr>
        <w:t xml:space="preserve"> </w:t>
      </w:r>
      <w:r w:rsidR="006A1076" w:rsidRPr="004460CA">
        <w:rPr>
          <w:color w:val="000000" w:themeColor="text1"/>
          <w:sz w:val="28"/>
        </w:rPr>
        <w:t xml:space="preserve">кредитно-обесцененных </w:t>
      </w:r>
      <w:r w:rsidR="00D74128" w:rsidRPr="004460CA">
        <w:rPr>
          <w:color w:val="000000" w:themeColor="text1"/>
          <w:sz w:val="28"/>
        </w:rPr>
        <w:t xml:space="preserve">финансовых </w:t>
      </w:r>
      <w:r w:rsidR="006A1076" w:rsidRPr="004460CA">
        <w:rPr>
          <w:color w:val="000000" w:themeColor="text1"/>
          <w:sz w:val="28"/>
        </w:rPr>
        <w:t xml:space="preserve">активов </w:t>
      </w:r>
      <w:r w:rsidR="00D74128" w:rsidRPr="004460CA">
        <w:rPr>
          <w:color w:val="000000" w:themeColor="text1"/>
          <w:sz w:val="28"/>
        </w:rPr>
        <w:t xml:space="preserve">(далее – </w:t>
      </w:r>
      <w:r w:rsidR="0011258E" w:rsidRPr="004460CA">
        <w:rPr>
          <w:color w:val="000000" w:themeColor="text1"/>
          <w:sz w:val="28"/>
          <w:szCs w:val="28"/>
        </w:rPr>
        <w:t>кредит</w:t>
      </w:r>
      <w:r w:rsidR="00D74128" w:rsidRPr="004460CA">
        <w:rPr>
          <w:color w:val="000000" w:themeColor="text1"/>
          <w:sz w:val="28"/>
          <w:szCs w:val="28"/>
        </w:rPr>
        <w:t xml:space="preserve">ы </w:t>
      </w:r>
      <w:r w:rsidR="00DC4151" w:rsidRPr="004460CA">
        <w:rPr>
          <w:color w:val="000000" w:themeColor="text1"/>
          <w:sz w:val="28"/>
          <w:szCs w:val="28"/>
        </w:rPr>
        <w:t xml:space="preserve">3 </w:t>
      </w:r>
      <w:r w:rsidR="0011258E" w:rsidRPr="004460CA">
        <w:rPr>
          <w:color w:val="000000" w:themeColor="text1"/>
          <w:sz w:val="28"/>
          <w:szCs w:val="28"/>
        </w:rPr>
        <w:t>стадии</w:t>
      </w:r>
      <w:r w:rsidR="00D74128" w:rsidRPr="004460CA">
        <w:rPr>
          <w:color w:val="000000" w:themeColor="text1"/>
          <w:sz w:val="28"/>
          <w:szCs w:val="28"/>
        </w:rPr>
        <w:t xml:space="preserve">) </w:t>
      </w:r>
      <w:r w:rsidRPr="004460CA">
        <w:rPr>
          <w:color w:val="000000" w:themeColor="text1"/>
          <w:sz w:val="28"/>
          <w:szCs w:val="28"/>
        </w:rPr>
        <w:t xml:space="preserve">и </w:t>
      </w:r>
      <w:r w:rsidR="001B0E04" w:rsidRPr="004460CA">
        <w:rPr>
          <w:color w:val="000000" w:themeColor="text1"/>
          <w:sz w:val="28"/>
          <w:szCs w:val="28"/>
        </w:rPr>
        <w:t xml:space="preserve">приобретенных или созданных финансовых активов (далее –  </w:t>
      </w:r>
      <w:r w:rsidR="00C206E2" w:rsidRPr="004460CA">
        <w:rPr>
          <w:color w:val="000000" w:themeColor="text1"/>
          <w:sz w:val="28"/>
          <w:szCs w:val="28"/>
        </w:rPr>
        <w:t>ПСКО</w:t>
      </w:r>
      <w:r w:rsidR="001B0E04" w:rsidRPr="004460CA">
        <w:rPr>
          <w:color w:val="000000" w:themeColor="text1"/>
          <w:sz w:val="28"/>
          <w:szCs w:val="28"/>
        </w:rPr>
        <w:t>)</w:t>
      </w:r>
      <w:r w:rsidRPr="004460CA">
        <w:rPr>
          <w:color w:val="000000" w:themeColor="text1"/>
          <w:sz w:val="28"/>
          <w:szCs w:val="28"/>
        </w:rPr>
        <w:t xml:space="preserve"> от ссудного портфеля</w:t>
      </w:r>
      <w:r w:rsidR="00074C2C" w:rsidRPr="004460CA">
        <w:rPr>
          <w:color w:val="000000" w:themeColor="text1"/>
          <w:sz w:val="28"/>
          <w:szCs w:val="28"/>
        </w:rPr>
        <w:t xml:space="preserve"> при одновременном выполнении условия, что коэффициент покрытия провизиями кредитов </w:t>
      </w:r>
      <w:r w:rsidR="00DC4151" w:rsidRPr="004460CA">
        <w:rPr>
          <w:color w:val="000000" w:themeColor="text1"/>
          <w:sz w:val="28"/>
          <w:szCs w:val="28"/>
        </w:rPr>
        <w:t xml:space="preserve">3 </w:t>
      </w:r>
      <w:r w:rsidR="00074C2C" w:rsidRPr="004460CA">
        <w:rPr>
          <w:color w:val="000000" w:themeColor="text1"/>
          <w:sz w:val="28"/>
          <w:szCs w:val="28"/>
        </w:rPr>
        <w:t>стадии</w:t>
      </w:r>
      <w:r w:rsidR="00DC4151" w:rsidRPr="004460CA">
        <w:rPr>
          <w:color w:val="000000" w:themeColor="text1"/>
          <w:sz w:val="28"/>
          <w:szCs w:val="28"/>
        </w:rPr>
        <w:t xml:space="preserve"> </w:t>
      </w:r>
      <w:r w:rsidR="00074C2C" w:rsidRPr="004460CA">
        <w:rPr>
          <w:color w:val="000000" w:themeColor="text1"/>
          <w:sz w:val="28"/>
          <w:szCs w:val="28"/>
        </w:rPr>
        <w:t>и ПСКО ниже уровня, установленного Приложением</w:t>
      </w:r>
      <w:r w:rsidR="0050759C" w:rsidRPr="004460CA">
        <w:rPr>
          <w:color w:val="000000" w:themeColor="text1"/>
          <w:sz w:val="28"/>
          <w:szCs w:val="28"/>
        </w:rPr>
        <w:t> </w:t>
      </w:r>
      <w:r w:rsidR="00074C2C" w:rsidRPr="004460CA">
        <w:rPr>
          <w:color w:val="000000" w:themeColor="text1"/>
          <w:sz w:val="28"/>
          <w:szCs w:val="28"/>
        </w:rPr>
        <w:t>1</w:t>
      </w:r>
      <w:r w:rsidR="0050759C" w:rsidRPr="004460CA">
        <w:rPr>
          <w:color w:val="000000" w:themeColor="text1"/>
          <w:sz w:val="28"/>
          <w:szCs w:val="28"/>
        </w:rPr>
        <w:t xml:space="preserve"> к Признакам ухудшения</w:t>
      </w:r>
      <w:r w:rsidR="00054447" w:rsidRPr="004460CA">
        <w:rPr>
          <w:color w:val="000000" w:themeColor="text1"/>
          <w:sz w:val="28"/>
          <w:szCs w:val="28"/>
        </w:rPr>
        <w:t>, рассчитываемого по следующей формуле:</w:t>
      </w:r>
    </w:p>
    <w:p w14:paraId="07845072" w14:textId="77777777" w:rsidR="001952B3" w:rsidRPr="004460CA" w:rsidRDefault="001952B3" w:rsidP="00E23607">
      <w:pPr>
        <w:ind w:firstLine="709"/>
        <w:jc w:val="both"/>
        <w:rPr>
          <w:color w:val="000000" w:themeColor="text1"/>
          <w:sz w:val="28"/>
          <w:szCs w:val="28"/>
          <w:lang w:bidi="ru-RU"/>
        </w:rPr>
      </w:pPr>
    </w:p>
    <w:p w14:paraId="7A0ED045" w14:textId="37DE311B" w:rsidR="001952B3" w:rsidRPr="004460CA" w:rsidRDefault="00B663A3" w:rsidP="00E23607">
      <w:pPr>
        <w:ind w:firstLine="709"/>
        <w:rPr>
          <w:color w:val="000000" w:themeColor="text1"/>
          <w:sz w:val="26"/>
          <w:szCs w:val="26"/>
          <w:lang w:bidi="ru-RU"/>
        </w:rPr>
      </w:pPr>
      <w:bookmarkStart w:id="5" w:name="_Hlk230273734"/>
      <m:oMathPara>
        <m:oMath>
          <m:r>
            <m:rPr>
              <m:sty m:val="p"/>
            </m:rPr>
            <w:rPr>
              <w:rFonts w:ascii="Cambria Math" w:hAnsi="Cambria Math"/>
              <w:color w:val="000000" w:themeColor="text1"/>
              <w:sz w:val="26"/>
              <w:szCs w:val="26"/>
              <w:lang w:bidi="ru-RU"/>
            </w:rPr>
            <m:t>Коэффициент кредитов 3 стадии и ПСКО</m:t>
          </m:r>
          <m:r>
            <w:rPr>
              <w:rFonts w:ascii="Cambria Math" w:hAnsi="Cambria Math"/>
              <w:color w:val="000000" w:themeColor="text1"/>
              <w:sz w:val="26"/>
              <w:szCs w:val="26"/>
              <w:lang w:bidi="ru-RU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  <w:sz w:val="26"/>
                  <w:szCs w:val="26"/>
                  <w:lang w:bidi="ru-RU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  <w:sz w:val="26"/>
                  <w:szCs w:val="26"/>
                  <w:lang w:bidi="ru-RU"/>
                </w:rPr>
                <m:t>Кредиты 3 стадии и ПСКО</m:t>
              </m:r>
            </m:num>
            <m:den>
              <m:r>
                <w:rPr>
                  <w:rFonts w:ascii="Cambria Math" w:hAnsi="Cambria Math"/>
                  <w:color w:val="000000" w:themeColor="text1"/>
                  <w:sz w:val="26"/>
                  <w:szCs w:val="26"/>
                  <w:lang w:bidi="ru-RU"/>
                </w:rPr>
                <m:t>Ссудный портфель</m:t>
              </m:r>
            </m:den>
          </m:f>
        </m:oMath>
      </m:oMathPara>
    </w:p>
    <w:bookmarkEnd w:id="5"/>
    <w:p w14:paraId="2A22492B" w14:textId="77777777" w:rsidR="00DC4151" w:rsidRPr="004460CA" w:rsidRDefault="00DC4151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</w:p>
    <w:p w14:paraId="658D995B" w14:textId="005DCCB8" w:rsidR="0010533B" w:rsidRPr="004460CA" w:rsidRDefault="006C311A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t>где,</w:t>
      </w:r>
    </w:p>
    <w:p w14:paraId="15EC7095" w14:textId="172A164A" w:rsidR="0011258E" w:rsidRPr="004460CA" w:rsidRDefault="009B1D25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t>С</w:t>
      </w:r>
      <w:r w:rsidR="006C311A" w:rsidRPr="004460CA">
        <w:rPr>
          <w:color w:val="000000" w:themeColor="text1"/>
          <w:sz w:val="28"/>
          <w:szCs w:val="28"/>
        </w:rPr>
        <w:t>судный портфель рассчитывается</w:t>
      </w:r>
      <w:r w:rsidR="00176F2B" w:rsidRPr="004460CA">
        <w:rPr>
          <w:color w:val="000000" w:themeColor="text1"/>
          <w:sz w:val="28"/>
          <w:szCs w:val="28"/>
        </w:rPr>
        <w:t xml:space="preserve"> б</w:t>
      </w:r>
      <w:r w:rsidR="0011258E" w:rsidRPr="004460CA">
        <w:rPr>
          <w:color w:val="000000" w:themeColor="text1"/>
          <w:sz w:val="28"/>
          <w:szCs w:val="28"/>
        </w:rPr>
        <w:t xml:space="preserve">ез учета </w:t>
      </w:r>
      <w:r w:rsidR="00176F2B" w:rsidRPr="004460CA">
        <w:rPr>
          <w:color w:val="000000" w:themeColor="text1"/>
          <w:sz w:val="28"/>
          <w:szCs w:val="28"/>
        </w:rPr>
        <w:t xml:space="preserve">счетов дисконтов и премий, корректировок и провизий. </w:t>
      </w:r>
    </w:p>
    <w:p w14:paraId="004A4281" w14:textId="3C48CFC1" w:rsidR="00176F2B" w:rsidRPr="004460CA" w:rsidRDefault="00176F2B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t xml:space="preserve">Кредиты </w:t>
      </w:r>
      <w:r w:rsidR="00DC4151" w:rsidRPr="004460CA">
        <w:rPr>
          <w:color w:val="000000" w:themeColor="text1"/>
          <w:sz w:val="28"/>
          <w:szCs w:val="28"/>
        </w:rPr>
        <w:t xml:space="preserve">3 </w:t>
      </w:r>
      <w:r w:rsidRPr="004460CA">
        <w:rPr>
          <w:color w:val="000000" w:themeColor="text1"/>
          <w:sz w:val="28"/>
          <w:szCs w:val="28"/>
        </w:rPr>
        <w:t xml:space="preserve">стадии включают кредиты, по которым выявлены события, являющиеся объективными подтверждениями обесценения: </w:t>
      </w:r>
    </w:p>
    <w:p w14:paraId="3BE60E54" w14:textId="2AB318AD" w:rsidR="00176F2B" w:rsidRPr="004460CA" w:rsidRDefault="00176F2B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t>значительные финансовые затруднения заемщика, в том числе ожидаемое финансовое затруднение;</w:t>
      </w:r>
    </w:p>
    <w:p w14:paraId="03C08097" w14:textId="7D7F40FE" w:rsidR="00176F2B" w:rsidRPr="004460CA" w:rsidRDefault="00176F2B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t>нарушение условий договора;</w:t>
      </w:r>
    </w:p>
    <w:p w14:paraId="0B11DB14" w14:textId="4E34D30C" w:rsidR="00176F2B" w:rsidRPr="004460CA" w:rsidRDefault="00176F2B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lastRenderedPageBreak/>
        <w:t>вынужденная реструктуризация займа;</w:t>
      </w:r>
    </w:p>
    <w:p w14:paraId="470E46E9" w14:textId="70934BF7" w:rsidR="00176F2B" w:rsidRPr="004460CA" w:rsidRDefault="00176F2B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t>нецелевое использование кредитных средств;</w:t>
      </w:r>
    </w:p>
    <w:p w14:paraId="09C33EC7" w14:textId="7BD06AD0" w:rsidR="00176F2B" w:rsidRPr="004460CA" w:rsidRDefault="00176F2B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t>иные события, установленные Методикой расчета провизий (резервов) банка.</w:t>
      </w:r>
    </w:p>
    <w:p w14:paraId="099D6FAD" w14:textId="68559F0C" w:rsidR="00176F2B" w:rsidRPr="004460CA" w:rsidRDefault="00176F2B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t xml:space="preserve">ПСКО </w:t>
      </w:r>
      <w:r w:rsidRPr="004460CA">
        <w:rPr>
          <w:color w:val="000000" w:themeColor="text1"/>
          <w:sz w:val="28"/>
          <w:szCs w:val="28"/>
          <w:lang w:bidi="ru-RU"/>
        </w:rPr>
        <w:t>–</w:t>
      </w:r>
      <w:r w:rsidRPr="004460CA">
        <w:rPr>
          <w:color w:val="000000" w:themeColor="text1"/>
          <w:sz w:val="28"/>
          <w:szCs w:val="28"/>
        </w:rPr>
        <w:t xml:space="preserve"> приобретенный или созданный финансовый актив, по которому имелось подтверждение об обесценении на момент первоначального признания</w:t>
      </w:r>
      <w:r w:rsidR="009B1D25" w:rsidRPr="004460CA">
        <w:rPr>
          <w:color w:val="000000" w:themeColor="text1"/>
          <w:sz w:val="28"/>
          <w:szCs w:val="28"/>
        </w:rPr>
        <w:t>.</w:t>
      </w:r>
    </w:p>
    <w:p w14:paraId="040E98DB" w14:textId="33869BB0" w:rsidR="00CB7C6C" w:rsidRPr="004460CA" w:rsidRDefault="00074C2C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t xml:space="preserve">Коэффициент покрытия провизиями кредитов 3 стадии и ПСКО </w:t>
      </w:r>
      <w:r w:rsidR="00CB7C6C" w:rsidRPr="004460CA">
        <w:rPr>
          <w:color w:val="000000" w:themeColor="text1"/>
          <w:sz w:val="28"/>
          <w:szCs w:val="28"/>
        </w:rPr>
        <w:t>рассчитывается по следующей формуле:</w:t>
      </w:r>
    </w:p>
    <w:p w14:paraId="50F32125" w14:textId="77777777" w:rsidR="00CB7C6C" w:rsidRPr="004460CA" w:rsidRDefault="00CB7C6C" w:rsidP="00E23607">
      <w:pPr>
        <w:ind w:firstLine="709"/>
        <w:jc w:val="both"/>
        <w:rPr>
          <w:color w:val="000000" w:themeColor="text1"/>
          <w:sz w:val="28"/>
          <w:szCs w:val="28"/>
          <w:lang w:bidi="ru-RU"/>
        </w:rPr>
      </w:pPr>
    </w:p>
    <w:p w14:paraId="1A4B6FB2" w14:textId="2862A067" w:rsidR="00CB7C6C" w:rsidRPr="004460CA" w:rsidRDefault="00B663A3" w:rsidP="00E23607">
      <w:pPr>
        <w:ind w:firstLine="709"/>
        <w:rPr>
          <w:color w:val="000000" w:themeColor="text1"/>
          <w:sz w:val="26"/>
          <w:szCs w:val="26"/>
          <w:lang w:bidi="ru-RU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000000" w:themeColor="text1"/>
              <w:sz w:val="26"/>
              <w:szCs w:val="26"/>
              <w:lang w:bidi="ru-RU"/>
            </w:rPr>
            <m:t>Коэффициент покрытия провизиями</m:t>
          </m:r>
          <m:r>
            <w:rPr>
              <w:rFonts w:ascii="Cambria Math" w:hAnsi="Cambria Math"/>
              <w:color w:val="000000" w:themeColor="text1"/>
              <w:sz w:val="26"/>
              <w:szCs w:val="26"/>
              <w:lang w:bidi="ru-RU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  <w:sz w:val="26"/>
                  <w:szCs w:val="26"/>
                  <w:lang w:bidi="ru-RU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  <w:sz w:val="26"/>
                  <w:szCs w:val="26"/>
                  <w:lang w:bidi="ru-RU"/>
                </w:rPr>
                <m:t>Провизии 3 стадии</m:t>
              </m:r>
            </m:num>
            <m:den>
              <m:r>
                <w:rPr>
                  <w:rFonts w:ascii="Cambria Math" w:hAnsi="Cambria Math"/>
                  <w:color w:val="000000" w:themeColor="text1"/>
                  <w:sz w:val="26"/>
                  <w:szCs w:val="26"/>
                  <w:lang w:bidi="ru-RU"/>
                </w:rPr>
                <m:t>Кредиты 3 стадии и ПСКО</m:t>
              </m:r>
            </m:den>
          </m:f>
        </m:oMath>
      </m:oMathPara>
    </w:p>
    <w:p w14:paraId="3031ED21" w14:textId="77777777" w:rsidR="00E35DA2" w:rsidRPr="004460CA" w:rsidRDefault="00E35DA2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</w:p>
    <w:p w14:paraId="4A34F67C" w14:textId="5AB21AAE" w:rsidR="00E0045A" w:rsidRPr="004460CA" w:rsidRDefault="00607423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t>2</w:t>
      </w:r>
      <w:r w:rsidR="00E0045A" w:rsidRPr="004460CA">
        <w:rPr>
          <w:color w:val="000000" w:themeColor="text1"/>
          <w:sz w:val="28"/>
          <w:szCs w:val="28"/>
        </w:rPr>
        <w:t xml:space="preserve">) превышение </w:t>
      </w:r>
      <w:r w:rsidR="00863BD7" w:rsidRPr="004460CA">
        <w:rPr>
          <w:color w:val="000000" w:themeColor="text1"/>
          <w:sz w:val="28"/>
          <w:szCs w:val="28"/>
        </w:rPr>
        <w:t xml:space="preserve">установленного </w:t>
      </w:r>
      <w:r w:rsidR="00CD4583" w:rsidRPr="004460CA">
        <w:rPr>
          <w:color w:val="000000" w:themeColor="text1"/>
          <w:sz w:val="28"/>
          <w:szCs w:val="28"/>
        </w:rPr>
        <w:t xml:space="preserve">порогового значения </w:t>
      </w:r>
      <w:r w:rsidR="0050759C" w:rsidRPr="004460CA">
        <w:rPr>
          <w:color w:val="000000" w:themeColor="text1"/>
          <w:sz w:val="28"/>
          <w:szCs w:val="28"/>
        </w:rPr>
        <w:t xml:space="preserve">доли </w:t>
      </w:r>
      <w:r w:rsidR="00176F2B" w:rsidRPr="004460CA">
        <w:rPr>
          <w:color w:val="000000" w:themeColor="text1"/>
          <w:sz w:val="28"/>
          <w:szCs w:val="28"/>
        </w:rPr>
        <w:t xml:space="preserve">кредитов </w:t>
      </w:r>
      <w:r w:rsidR="00DC4151" w:rsidRPr="004460CA">
        <w:rPr>
          <w:color w:val="000000" w:themeColor="text1"/>
          <w:sz w:val="28"/>
          <w:szCs w:val="28"/>
        </w:rPr>
        <w:t xml:space="preserve">3 </w:t>
      </w:r>
      <w:r w:rsidR="00176F2B" w:rsidRPr="004460CA">
        <w:rPr>
          <w:color w:val="000000" w:themeColor="text1"/>
          <w:sz w:val="28"/>
          <w:szCs w:val="28"/>
        </w:rPr>
        <w:t>стадии</w:t>
      </w:r>
      <w:r w:rsidR="00DC4151" w:rsidRPr="004460CA">
        <w:rPr>
          <w:color w:val="000000" w:themeColor="text1"/>
          <w:sz w:val="28"/>
          <w:szCs w:val="28"/>
        </w:rPr>
        <w:t xml:space="preserve"> </w:t>
      </w:r>
      <w:r w:rsidR="00176F2B" w:rsidRPr="004460CA">
        <w:rPr>
          <w:color w:val="000000" w:themeColor="text1"/>
          <w:sz w:val="28"/>
          <w:szCs w:val="28"/>
        </w:rPr>
        <w:t>и ПСКО</w:t>
      </w:r>
      <w:r w:rsidR="00E0045A" w:rsidRPr="004460CA">
        <w:rPr>
          <w:color w:val="000000" w:themeColor="text1"/>
          <w:sz w:val="28"/>
          <w:szCs w:val="28"/>
        </w:rPr>
        <w:t xml:space="preserve"> в течение 6 последовательных месяцев</w:t>
      </w:r>
      <w:r w:rsidR="00074C2C" w:rsidRPr="004460CA">
        <w:rPr>
          <w:color w:val="000000" w:themeColor="text1"/>
          <w:sz w:val="28"/>
          <w:szCs w:val="28"/>
        </w:rPr>
        <w:t xml:space="preserve"> при одновременном выполнении условия, что коэффициент покрытия провизиями кредитов 3 стадии и ПСКО ниже</w:t>
      </w:r>
      <w:r w:rsidRPr="004460CA">
        <w:rPr>
          <w:color w:val="000000" w:themeColor="text1"/>
          <w:sz w:val="28"/>
          <w:szCs w:val="28"/>
        </w:rPr>
        <w:t xml:space="preserve"> </w:t>
      </w:r>
      <w:r w:rsidR="00A66B07" w:rsidRPr="004460CA">
        <w:rPr>
          <w:color w:val="000000" w:themeColor="text1"/>
          <w:sz w:val="28"/>
          <w:szCs w:val="28"/>
        </w:rPr>
        <w:t>порогового значения</w:t>
      </w:r>
      <w:r w:rsidR="00074C2C" w:rsidRPr="004460CA">
        <w:rPr>
          <w:color w:val="000000" w:themeColor="text1"/>
          <w:sz w:val="28"/>
          <w:szCs w:val="28"/>
        </w:rPr>
        <w:t>, установленного Приложением 1</w:t>
      </w:r>
      <w:r w:rsidR="0025282A" w:rsidRPr="004460CA">
        <w:rPr>
          <w:color w:val="000000" w:themeColor="text1"/>
          <w:sz w:val="28"/>
          <w:szCs w:val="28"/>
        </w:rPr>
        <w:t xml:space="preserve"> к Признакам ухудшения</w:t>
      </w:r>
      <w:r w:rsidR="0005039B" w:rsidRPr="004460CA">
        <w:rPr>
          <w:color w:val="000000" w:themeColor="text1"/>
          <w:sz w:val="28"/>
          <w:szCs w:val="28"/>
        </w:rPr>
        <w:t>, в течение 6 последовательных месяцев</w:t>
      </w:r>
      <w:r w:rsidR="00863BD7" w:rsidRPr="004460CA">
        <w:rPr>
          <w:color w:val="000000" w:themeColor="text1"/>
          <w:sz w:val="28"/>
          <w:szCs w:val="28"/>
        </w:rPr>
        <w:t>;</w:t>
      </w:r>
    </w:p>
    <w:p w14:paraId="6CE0E0F7" w14:textId="08883DDC" w:rsidR="00E0045A" w:rsidRPr="004460CA" w:rsidRDefault="00607423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t>3</w:t>
      </w:r>
      <w:r w:rsidR="00E0045A" w:rsidRPr="004460CA">
        <w:rPr>
          <w:color w:val="000000" w:themeColor="text1"/>
          <w:sz w:val="28"/>
          <w:szCs w:val="28"/>
        </w:rPr>
        <w:t xml:space="preserve">) мгновенный рост </w:t>
      </w:r>
      <w:r w:rsidR="00AF1CCD" w:rsidRPr="004460CA">
        <w:rPr>
          <w:color w:val="000000" w:themeColor="text1"/>
          <w:sz w:val="28"/>
          <w:szCs w:val="28"/>
        </w:rPr>
        <w:t xml:space="preserve">доли </w:t>
      </w:r>
      <w:r w:rsidR="00176F2B" w:rsidRPr="004460CA">
        <w:rPr>
          <w:color w:val="000000" w:themeColor="text1"/>
          <w:sz w:val="28"/>
          <w:szCs w:val="28"/>
        </w:rPr>
        <w:t xml:space="preserve">кредитов </w:t>
      </w:r>
      <w:r w:rsidR="00DC4151" w:rsidRPr="004460CA">
        <w:rPr>
          <w:color w:val="000000" w:themeColor="text1"/>
          <w:sz w:val="28"/>
          <w:szCs w:val="28"/>
        </w:rPr>
        <w:t xml:space="preserve">3 </w:t>
      </w:r>
      <w:r w:rsidR="00176F2B" w:rsidRPr="004460CA">
        <w:rPr>
          <w:color w:val="000000" w:themeColor="text1"/>
          <w:sz w:val="28"/>
          <w:szCs w:val="28"/>
        </w:rPr>
        <w:t>стадии и ПСКО</w:t>
      </w:r>
      <w:r w:rsidR="00E0045A" w:rsidRPr="004460CA">
        <w:rPr>
          <w:color w:val="000000" w:themeColor="text1"/>
          <w:sz w:val="28"/>
          <w:szCs w:val="28"/>
        </w:rPr>
        <w:t xml:space="preserve"> </w:t>
      </w:r>
      <w:r w:rsidR="008F7D41" w:rsidRPr="004460CA">
        <w:rPr>
          <w:color w:val="000000" w:themeColor="text1"/>
          <w:sz w:val="28"/>
          <w:szCs w:val="28"/>
        </w:rPr>
        <w:t xml:space="preserve">в течение месяца </w:t>
      </w:r>
      <w:r w:rsidR="00E0045A" w:rsidRPr="004460CA">
        <w:rPr>
          <w:color w:val="000000" w:themeColor="text1"/>
          <w:sz w:val="28"/>
          <w:szCs w:val="28"/>
        </w:rPr>
        <w:t xml:space="preserve">на </w:t>
      </w:r>
      <w:r w:rsidR="003E7904" w:rsidRPr="004460CA">
        <w:rPr>
          <w:color w:val="000000" w:themeColor="text1"/>
          <w:sz w:val="28"/>
          <w:szCs w:val="28"/>
        </w:rPr>
        <w:t>величину, превышающую установленн</w:t>
      </w:r>
      <w:r w:rsidR="00CD4583" w:rsidRPr="004460CA">
        <w:rPr>
          <w:color w:val="000000" w:themeColor="text1"/>
          <w:sz w:val="28"/>
          <w:szCs w:val="28"/>
        </w:rPr>
        <w:t>ое</w:t>
      </w:r>
      <w:r w:rsidR="00863BD7" w:rsidRPr="004460CA">
        <w:rPr>
          <w:color w:val="000000" w:themeColor="text1"/>
          <w:sz w:val="28"/>
          <w:szCs w:val="28"/>
        </w:rPr>
        <w:t xml:space="preserve"> </w:t>
      </w:r>
      <w:r w:rsidR="00CD4583" w:rsidRPr="004460CA">
        <w:rPr>
          <w:color w:val="000000" w:themeColor="text1"/>
          <w:sz w:val="28"/>
          <w:szCs w:val="28"/>
        </w:rPr>
        <w:t xml:space="preserve">пороговое значение </w:t>
      </w:r>
      <w:r w:rsidR="00074C2C" w:rsidRPr="004460CA">
        <w:rPr>
          <w:color w:val="000000" w:themeColor="text1"/>
          <w:sz w:val="28"/>
          <w:szCs w:val="28"/>
        </w:rPr>
        <w:t xml:space="preserve">при одновременном выполнении условия, что коэффициент покрытия провизиями кредитов 3 стадии и ПСКО ниже </w:t>
      </w:r>
      <w:r w:rsidR="00A66B07" w:rsidRPr="004460CA">
        <w:rPr>
          <w:color w:val="000000" w:themeColor="text1"/>
          <w:sz w:val="28"/>
          <w:szCs w:val="28"/>
        </w:rPr>
        <w:t>порогового значения</w:t>
      </w:r>
      <w:r w:rsidR="00074C2C" w:rsidRPr="004460CA">
        <w:rPr>
          <w:color w:val="000000" w:themeColor="text1"/>
          <w:sz w:val="28"/>
          <w:szCs w:val="28"/>
        </w:rPr>
        <w:t>, установленного Приложением 1</w:t>
      </w:r>
      <w:r w:rsidR="0025282A" w:rsidRPr="004460CA">
        <w:rPr>
          <w:color w:val="000000" w:themeColor="text1"/>
          <w:sz w:val="28"/>
          <w:szCs w:val="28"/>
        </w:rPr>
        <w:t xml:space="preserve"> к Признакам ухудшения</w:t>
      </w:r>
      <w:r w:rsidR="003E7904" w:rsidRPr="004460CA">
        <w:rPr>
          <w:color w:val="000000" w:themeColor="text1"/>
          <w:sz w:val="28"/>
          <w:szCs w:val="28"/>
        </w:rPr>
        <w:t>;</w:t>
      </w:r>
    </w:p>
    <w:p w14:paraId="5D326D68" w14:textId="04888D56" w:rsidR="005D50B8" w:rsidRPr="004460CA" w:rsidRDefault="00607423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t>4</w:t>
      </w:r>
      <w:r w:rsidR="00E0045A" w:rsidRPr="004460CA">
        <w:rPr>
          <w:color w:val="000000" w:themeColor="text1"/>
          <w:sz w:val="28"/>
          <w:szCs w:val="28"/>
        </w:rPr>
        <w:t>) снижение показателя отношения</w:t>
      </w:r>
      <w:r w:rsidR="005D50B8" w:rsidRPr="004460CA">
        <w:rPr>
          <w:color w:val="000000" w:themeColor="text1"/>
        </w:rPr>
        <w:t xml:space="preserve"> </w:t>
      </w:r>
      <w:r w:rsidR="005D50B8" w:rsidRPr="004460CA">
        <w:rPr>
          <w:color w:val="000000" w:themeColor="text1"/>
          <w:sz w:val="28"/>
          <w:szCs w:val="28"/>
        </w:rPr>
        <w:t>доли уплаченного вознаграждения</w:t>
      </w:r>
      <w:r w:rsidR="00A442B2" w:rsidRPr="004460CA">
        <w:rPr>
          <w:color w:val="000000" w:themeColor="text1"/>
          <w:sz w:val="28"/>
          <w:szCs w:val="28"/>
        </w:rPr>
        <w:t xml:space="preserve"> за период</w:t>
      </w:r>
      <w:r w:rsidR="005D50B8" w:rsidRPr="004460CA">
        <w:rPr>
          <w:color w:val="000000" w:themeColor="text1"/>
          <w:sz w:val="28"/>
          <w:szCs w:val="28"/>
        </w:rPr>
        <w:t xml:space="preserve"> к начисленным процентным доходам</w:t>
      </w:r>
      <w:r w:rsidR="00A442B2" w:rsidRPr="004460CA">
        <w:rPr>
          <w:color w:val="000000" w:themeColor="text1"/>
          <w:sz w:val="28"/>
          <w:szCs w:val="28"/>
        </w:rPr>
        <w:t xml:space="preserve"> за период</w:t>
      </w:r>
      <w:r w:rsidR="00E0045A" w:rsidRPr="004460CA">
        <w:rPr>
          <w:color w:val="000000" w:themeColor="text1"/>
          <w:sz w:val="28"/>
          <w:szCs w:val="28"/>
        </w:rPr>
        <w:t xml:space="preserve"> </w:t>
      </w:r>
      <w:r w:rsidR="005D50B8" w:rsidRPr="004460CA">
        <w:rPr>
          <w:color w:val="000000" w:themeColor="text1"/>
          <w:sz w:val="28"/>
          <w:szCs w:val="28"/>
        </w:rPr>
        <w:t>до значения ниже установленного</w:t>
      </w:r>
      <w:r w:rsidR="00004F6F" w:rsidRPr="004460CA">
        <w:rPr>
          <w:color w:val="000000" w:themeColor="text1"/>
          <w:sz w:val="28"/>
          <w:szCs w:val="28"/>
        </w:rPr>
        <w:t xml:space="preserve"> порогового значения.</w:t>
      </w:r>
    </w:p>
    <w:p w14:paraId="16A290C7" w14:textId="1091A8D3" w:rsidR="00A827A1" w:rsidRPr="004460CA" w:rsidRDefault="00A827A1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t xml:space="preserve">5) превышение установленного порогового значения показателя концентрации крупных требований (К), рассчитываемый как отношение совокупной суммы задолженности </w:t>
      </w:r>
      <w:r w:rsidRPr="004460CA">
        <w:rPr>
          <w:color w:val="000000" w:themeColor="text1"/>
          <w:sz w:val="28"/>
        </w:rPr>
        <w:t xml:space="preserve">20 </w:t>
      </w:r>
      <w:r w:rsidRPr="004460CA">
        <w:rPr>
          <w:color w:val="000000" w:themeColor="text1"/>
          <w:sz w:val="28"/>
          <w:szCs w:val="28"/>
        </w:rPr>
        <w:t xml:space="preserve">крупных </w:t>
      </w:r>
      <w:r w:rsidRPr="004460CA">
        <w:rPr>
          <w:color w:val="000000" w:themeColor="text1"/>
          <w:sz w:val="28"/>
        </w:rPr>
        <w:t>заемщиков</w:t>
      </w:r>
      <w:r w:rsidRPr="004460CA">
        <w:rPr>
          <w:color w:val="000000" w:themeColor="text1"/>
          <w:sz w:val="28"/>
          <w:szCs w:val="28"/>
        </w:rPr>
        <w:t xml:space="preserve"> к основному капиталу банка при одновременном выполнении условия, что доля кредитов 3 стадии и ПСКО от задолженности 20 крупных заемщиков превышает 10%, где данный показатель рассчитывается по следующей формуле:</w:t>
      </w:r>
    </w:p>
    <w:p w14:paraId="7598E101" w14:textId="77777777" w:rsidR="00A827A1" w:rsidRPr="004460CA" w:rsidRDefault="00A827A1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</w:p>
    <w:p w14:paraId="04FCE4D8" w14:textId="77777777" w:rsidR="00A827A1" w:rsidRPr="004460CA" w:rsidRDefault="00A827A1" w:rsidP="00E23607">
      <w:pPr>
        <w:ind w:firstLine="709"/>
        <w:rPr>
          <w:color w:val="000000" w:themeColor="text1"/>
          <w:sz w:val="26"/>
          <w:szCs w:val="26"/>
          <w:lang w:bidi="ru-RU"/>
        </w:rPr>
      </w:pPr>
      <m:oMathPara>
        <m:oMath>
          <m:r>
            <w:rPr>
              <w:rFonts w:ascii="Cambria Math" w:hAnsi="Cambria Math"/>
              <w:color w:val="000000" w:themeColor="text1"/>
              <w:sz w:val="26"/>
              <w:szCs w:val="26"/>
              <w:lang w:bidi="ru-RU"/>
            </w:rPr>
            <m:t xml:space="preserve">К= 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  <w:sz w:val="26"/>
                  <w:szCs w:val="26"/>
                  <w:lang w:bidi="ru-RU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  <w:sz w:val="26"/>
                  <w:szCs w:val="26"/>
                  <w:lang w:bidi="ru-RU"/>
                </w:rPr>
                <m:t xml:space="preserve">Сумма задолженности 20 крупных заемщиков   </m:t>
              </m:r>
            </m:num>
            <m:den>
              <m:r>
                <w:rPr>
                  <w:rFonts w:ascii="Cambria Math" w:hAnsi="Cambria Math"/>
                  <w:color w:val="000000" w:themeColor="text1"/>
                  <w:sz w:val="26"/>
                  <w:szCs w:val="26"/>
                  <w:lang w:bidi="ru-RU"/>
                </w:rPr>
                <m:t>Основной капитал</m:t>
              </m:r>
            </m:den>
          </m:f>
        </m:oMath>
      </m:oMathPara>
    </w:p>
    <w:p w14:paraId="74E3E125" w14:textId="77777777" w:rsidR="00A827A1" w:rsidRPr="004460CA" w:rsidRDefault="00A827A1" w:rsidP="00E23607">
      <w:pPr>
        <w:ind w:firstLine="709"/>
        <w:rPr>
          <w:color w:val="000000" w:themeColor="text1"/>
          <w:sz w:val="28"/>
          <w:szCs w:val="28"/>
          <w:lang w:bidi="ru-RU"/>
        </w:rPr>
      </w:pPr>
    </w:p>
    <w:p w14:paraId="65414EDC" w14:textId="77777777" w:rsidR="00A827A1" w:rsidRPr="004460CA" w:rsidRDefault="00A827A1" w:rsidP="00E23607">
      <w:pPr>
        <w:ind w:firstLine="709"/>
        <w:rPr>
          <w:color w:val="000000" w:themeColor="text1"/>
          <w:sz w:val="28"/>
          <w:szCs w:val="28"/>
          <w:lang w:bidi="ru-RU"/>
        </w:rPr>
      </w:pPr>
      <w:r w:rsidRPr="004460CA">
        <w:rPr>
          <w:color w:val="000000" w:themeColor="text1"/>
          <w:sz w:val="28"/>
          <w:szCs w:val="28"/>
          <w:lang w:bidi="ru-RU"/>
        </w:rPr>
        <w:t xml:space="preserve">где, </w:t>
      </w:r>
    </w:p>
    <w:p w14:paraId="157B4908" w14:textId="77777777" w:rsidR="00A827A1" w:rsidRPr="004460CA" w:rsidRDefault="00A827A1" w:rsidP="00E23607">
      <w:pPr>
        <w:ind w:firstLine="709"/>
        <w:jc w:val="both"/>
        <w:rPr>
          <w:color w:val="000000" w:themeColor="text1"/>
          <w:sz w:val="28"/>
          <w:szCs w:val="28"/>
        </w:rPr>
      </w:pPr>
    </w:p>
    <w:p w14:paraId="35AD7C18" w14:textId="77777777" w:rsidR="00A827A1" w:rsidRPr="004460CA" w:rsidRDefault="00A827A1" w:rsidP="00E23607">
      <w:pPr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t>Для целей настоящего подпункта:</w:t>
      </w:r>
    </w:p>
    <w:p w14:paraId="5B7E636F" w14:textId="77777777" w:rsidR="00A827A1" w:rsidRPr="004460CA" w:rsidRDefault="00A827A1" w:rsidP="00E23607">
      <w:pPr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t>под крупным заемщиком понимается физическое или юридическое лицо, имеющее задолженность перед банком и рассматриваемое отдельно, без объединения с иными лицами в группу заемщиков;</w:t>
      </w:r>
    </w:p>
    <w:p w14:paraId="1AB97471" w14:textId="77777777" w:rsidR="00A827A1" w:rsidRPr="004460CA" w:rsidRDefault="00A827A1" w:rsidP="00E23607">
      <w:pPr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t>сумма задолженности крупных заемщиков:</w:t>
      </w:r>
    </w:p>
    <w:p w14:paraId="57B4C1BB" w14:textId="77777777" w:rsidR="00A827A1" w:rsidRPr="004460CA" w:rsidRDefault="00A827A1" w:rsidP="00E23607">
      <w:pPr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t>включает в себя просроченную задолженность по основному долгу и вознаграждению;</w:t>
      </w:r>
    </w:p>
    <w:p w14:paraId="4C7902FE" w14:textId="77777777" w:rsidR="00A827A1" w:rsidRPr="004460CA" w:rsidRDefault="00A827A1" w:rsidP="00E23607">
      <w:pPr>
        <w:ind w:firstLine="709"/>
        <w:jc w:val="both"/>
        <w:rPr>
          <w:color w:val="000000" w:themeColor="text1"/>
          <w:sz w:val="28"/>
          <w:szCs w:val="28"/>
          <w:lang w:bidi="ru-RU"/>
        </w:rPr>
      </w:pPr>
      <w:r w:rsidRPr="004460CA">
        <w:rPr>
          <w:color w:val="000000" w:themeColor="text1"/>
          <w:sz w:val="28"/>
          <w:szCs w:val="28"/>
          <w:lang w:bidi="ru-RU"/>
        </w:rPr>
        <w:lastRenderedPageBreak/>
        <w:t xml:space="preserve">не включает </w:t>
      </w:r>
      <w:r w:rsidRPr="004460CA">
        <w:rPr>
          <w:color w:val="000000" w:themeColor="text1"/>
          <w:sz w:val="28"/>
          <w:szCs w:val="28"/>
        </w:rPr>
        <w:t xml:space="preserve">операции РЕПО и межбанковские займы одного заемщика, </w:t>
      </w:r>
      <w:r w:rsidRPr="004460CA">
        <w:rPr>
          <w:sz w:val="28"/>
          <w:szCs w:val="28"/>
        </w:rPr>
        <w:t>требования к Правительству Республики Казахстан, Национальному Банку Республики Казахстан, акционерному обществу «Фонд национального благосостояния «</w:t>
      </w:r>
      <w:proofErr w:type="spellStart"/>
      <w:r w:rsidRPr="004460CA">
        <w:rPr>
          <w:sz w:val="28"/>
          <w:szCs w:val="28"/>
        </w:rPr>
        <w:t>Самрук-Қазына</w:t>
      </w:r>
      <w:proofErr w:type="spellEnd"/>
      <w:r w:rsidRPr="004460CA">
        <w:rPr>
          <w:sz w:val="28"/>
          <w:szCs w:val="28"/>
        </w:rPr>
        <w:t>», акционерному обществу «Национальный инвестиционный холдинг «Байтерек», требования банка к заемщику, списанные с баланса банка, требования банка к заемщику, по которым сформировано 100 (сто) процентов резервов в соответствии с международными стандартами финансовой отчетности.</w:t>
      </w:r>
    </w:p>
    <w:p w14:paraId="59749EDE" w14:textId="77777777" w:rsidR="00A827A1" w:rsidRPr="004460CA" w:rsidRDefault="00A827A1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t>Основной капитал рассчитывается в соответствии с Пруденциальными нормативами.</w:t>
      </w:r>
    </w:p>
    <w:p w14:paraId="250A20D0" w14:textId="0026BAA1" w:rsidR="00AA3FE2" w:rsidRPr="004460CA" w:rsidRDefault="006C2052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t>9</w:t>
      </w:r>
      <w:r w:rsidR="00E0045A" w:rsidRPr="004460CA">
        <w:rPr>
          <w:color w:val="000000" w:themeColor="text1"/>
          <w:sz w:val="28"/>
          <w:szCs w:val="28"/>
        </w:rPr>
        <w:t xml:space="preserve">. </w:t>
      </w:r>
      <w:r w:rsidR="00AA3FE2" w:rsidRPr="004460CA">
        <w:rPr>
          <w:color w:val="000000" w:themeColor="text1"/>
          <w:sz w:val="28"/>
          <w:szCs w:val="28"/>
        </w:rPr>
        <w:t>П</w:t>
      </w:r>
      <w:r w:rsidR="00AA3FE2" w:rsidRPr="004460CA">
        <w:rPr>
          <w:rFonts w:eastAsia="Calibri"/>
          <w:color w:val="000000" w:themeColor="text1"/>
          <w:sz w:val="28"/>
          <w:szCs w:val="28"/>
          <w:lang w:eastAsia="zh-CN"/>
        </w:rPr>
        <w:t>ризнаками ухудшения финансовой устойчивости, определяемыми на основании показателей валютного риска, явля</w:t>
      </w:r>
      <w:r w:rsidR="00DC4151" w:rsidRPr="004460CA">
        <w:rPr>
          <w:rFonts w:eastAsia="Calibri"/>
          <w:color w:val="000000" w:themeColor="text1"/>
          <w:sz w:val="28"/>
          <w:szCs w:val="28"/>
          <w:lang w:eastAsia="zh-CN"/>
        </w:rPr>
        <w:t>ю</w:t>
      </w:r>
      <w:r w:rsidR="00AA3FE2" w:rsidRPr="004460CA">
        <w:rPr>
          <w:rFonts w:eastAsia="Calibri"/>
          <w:color w:val="000000" w:themeColor="text1"/>
          <w:sz w:val="28"/>
          <w:szCs w:val="28"/>
          <w:lang w:eastAsia="zh-CN"/>
        </w:rPr>
        <w:t>тся</w:t>
      </w:r>
      <w:r w:rsidR="00AA3FE2" w:rsidRPr="004460CA">
        <w:rPr>
          <w:color w:val="000000" w:themeColor="text1"/>
          <w:sz w:val="28"/>
          <w:szCs w:val="28"/>
        </w:rPr>
        <w:t xml:space="preserve">: </w:t>
      </w:r>
    </w:p>
    <w:p w14:paraId="0B2B3C2B" w14:textId="6B96A5EB" w:rsidR="003A3E44" w:rsidRPr="004460CA" w:rsidRDefault="00E0045A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t xml:space="preserve">1) </w:t>
      </w:r>
      <w:r w:rsidR="00AA3FE2" w:rsidRPr="004460CA">
        <w:rPr>
          <w:color w:val="000000" w:themeColor="text1"/>
          <w:sz w:val="28"/>
          <w:szCs w:val="28"/>
        </w:rPr>
        <w:t xml:space="preserve">превышение установленного </w:t>
      </w:r>
      <w:r w:rsidR="009D0573" w:rsidRPr="004460CA">
        <w:rPr>
          <w:color w:val="000000" w:themeColor="text1"/>
          <w:sz w:val="28"/>
          <w:szCs w:val="28"/>
        </w:rPr>
        <w:t>порогового значения</w:t>
      </w:r>
      <w:r w:rsidRPr="004460CA">
        <w:rPr>
          <w:color w:val="000000" w:themeColor="text1"/>
          <w:sz w:val="28"/>
          <w:szCs w:val="28"/>
        </w:rPr>
        <w:t xml:space="preserve"> </w:t>
      </w:r>
      <w:r w:rsidR="000213E8" w:rsidRPr="004460CA">
        <w:rPr>
          <w:color w:val="000000" w:themeColor="text1"/>
          <w:sz w:val="28"/>
          <w:szCs w:val="28"/>
        </w:rPr>
        <w:t xml:space="preserve">лимита </w:t>
      </w:r>
      <w:r w:rsidR="003A3E44" w:rsidRPr="004460CA">
        <w:rPr>
          <w:color w:val="000000" w:themeColor="text1"/>
          <w:sz w:val="28"/>
          <w:szCs w:val="28"/>
        </w:rPr>
        <w:t>открытой валютной позиции (длинной и короткой</w:t>
      </w:r>
      <w:r w:rsidR="00354AE6" w:rsidRPr="004460CA">
        <w:rPr>
          <w:color w:val="000000" w:themeColor="text1"/>
          <w:sz w:val="28"/>
          <w:szCs w:val="28"/>
        </w:rPr>
        <w:t>), определяемо</w:t>
      </w:r>
      <w:r w:rsidR="004C43DF" w:rsidRPr="004460CA">
        <w:rPr>
          <w:color w:val="000000" w:themeColor="text1"/>
          <w:sz w:val="28"/>
          <w:szCs w:val="28"/>
        </w:rPr>
        <w:t>й</w:t>
      </w:r>
      <w:r w:rsidR="00354AE6" w:rsidRPr="004460CA">
        <w:rPr>
          <w:color w:val="000000" w:themeColor="text1"/>
          <w:sz w:val="28"/>
          <w:szCs w:val="28"/>
        </w:rPr>
        <w:t xml:space="preserve"> в соответствии с Пруденциальными нормативами,</w:t>
      </w:r>
      <w:r w:rsidR="003A3E44" w:rsidRPr="004460CA">
        <w:rPr>
          <w:color w:val="000000" w:themeColor="text1"/>
          <w:sz w:val="28"/>
          <w:szCs w:val="28"/>
        </w:rPr>
        <w:t xml:space="preserve"> </w:t>
      </w:r>
      <w:r w:rsidR="002318C6" w:rsidRPr="004460CA">
        <w:rPr>
          <w:color w:val="000000" w:themeColor="text1"/>
          <w:sz w:val="28"/>
          <w:szCs w:val="28"/>
        </w:rPr>
        <w:t xml:space="preserve">по иностранным валютам государств, </w:t>
      </w:r>
      <w:r w:rsidR="007152AC" w:rsidRPr="004460CA">
        <w:rPr>
          <w:color w:val="000000"/>
          <w:sz w:val="28"/>
        </w:rPr>
        <w:t xml:space="preserve">имеющих суверенный рейтинг не ниже </w:t>
      </w:r>
      <w:r w:rsidR="00EA57D9" w:rsidRPr="004460CA">
        <w:rPr>
          <w:color w:val="000000"/>
          <w:sz w:val="28"/>
        </w:rPr>
        <w:t>«</w:t>
      </w:r>
      <w:r w:rsidR="007152AC" w:rsidRPr="004460CA">
        <w:rPr>
          <w:color w:val="000000"/>
          <w:sz w:val="28"/>
        </w:rPr>
        <w:t>А</w:t>
      </w:r>
      <w:r w:rsidR="00EA57D9" w:rsidRPr="004460CA">
        <w:rPr>
          <w:color w:val="000000"/>
          <w:sz w:val="28"/>
        </w:rPr>
        <w:t>»</w:t>
      </w:r>
      <w:r w:rsidR="007152AC" w:rsidRPr="004460CA">
        <w:rPr>
          <w:color w:val="000000"/>
          <w:sz w:val="28"/>
        </w:rPr>
        <w:t xml:space="preserve"> агентства </w:t>
      </w:r>
      <w:proofErr w:type="spellStart"/>
      <w:r w:rsidR="007152AC" w:rsidRPr="004460CA">
        <w:rPr>
          <w:color w:val="000000"/>
          <w:sz w:val="28"/>
        </w:rPr>
        <w:t>Standard</w:t>
      </w:r>
      <w:proofErr w:type="spellEnd"/>
      <w:r w:rsidR="007152AC" w:rsidRPr="004460CA">
        <w:rPr>
          <w:color w:val="000000"/>
          <w:sz w:val="28"/>
        </w:rPr>
        <w:t xml:space="preserve"> &amp; </w:t>
      </w:r>
      <w:proofErr w:type="spellStart"/>
      <w:r w:rsidR="007152AC" w:rsidRPr="004460CA">
        <w:rPr>
          <w:color w:val="000000"/>
          <w:sz w:val="28"/>
        </w:rPr>
        <w:t>Poor's</w:t>
      </w:r>
      <w:proofErr w:type="spellEnd"/>
      <w:r w:rsidR="007152AC" w:rsidRPr="004460CA">
        <w:rPr>
          <w:color w:val="000000"/>
          <w:sz w:val="28"/>
        </w:rPr>
        <w:t xml:space="preserve"> (</w:t>
      </w:r>
      <w:proofErr w:type="spellStart"/>
      <w:r w:rsidR="007152AC" w:rsidRPr="004460CA">
        <w:rPr>
          <w:color w:val="000000"/>
          <w:sz w:val="28"/>
        </w:rPr>
        <w:t>Стандард</w:t>
      </w:r>
      <w:proofErr w:type="spellEnd"/>
      <w:r w:rsidR="007152AC" w:rsidRPr="004460CA">
        <w:rPr>
          <w:color w:val="000000"/>
          <w:sz w:val="28"/>
        </w:rPr>
        <w:t xml:space="preserve"> энд </w:t>
      </w:r>
      <w:proofErr w:type="spellStart"/>
      <w:r w:rsidR="007152AC" w:rsidRPr="004460CA">
        <w:rPr>
          <w:color w:val="000000"/>
          <w:sz w:val="28"/>
        </w:rPr>
        <w:t>Пурс</w:t>
      </w:r>
      <w:proofErr w:type="spellEnd"/>
      <w:r w:rsidR="007152AC" w:rsidRPr="004460CA">
        <w:rPr>
          <w:color w:val="000000"/>
          <w:sz w:val="28"/>
        </w:rPr>
        <w:t xml:space="preserve">) или рейтингов аналогичного уровня рейтинговых агентств </w:t>
      </w:r>
      <w:proofErr w:type="spellStart"/>
      <w:r w:rsidR="007152AC" w:rsidRPr="004460CA">
        <w:rPr>
          <w:color w:val="000000"/>
          <w:sz w:val="28"/>
        </w:rPr>
        <w:t>Moody’s</w:t>
      </w:r>
      <w:proofErr w:type="spellEnd"/>
      <w:r w:rsidR="007152AC" w:rsidRPr="004460CA">
        <w:rPr>
          <w:color w:val="000000"/>
          <w:sz w:val="28"/>
        </w:rPr>
        <w:t xml:space="preserve"> </w:t>
      </w:r>
      <w:proofErr w:type="spellStart"/>
      <w:r w:rsidR="007152AC" w:rsidRPr="004460CA">
        <w:rPr>
          <w:color w:val="000000"/>
          <w:sz w:val="28"/>
        </w:rPr>
        <w:t>Investors</w:t>
      </w:r>
      <w:proofErr w:type="spellEnd"/>
      <w:r w:rsidR="007152AC" w:rsidRPr="004460CA">
        <w:rPr>
          <w:color w:val="000000"/>
          <w:sz w:val="28"/>
        </w:rPr>
        <w:t xml:space="preserve"> </w:t>
      </w:r>
      <w:proofErr w:type="spellStart"/>
      <w:r w:rsidR="007152AC" w:rsidRPr="004460CA">
        <w:rPr>
          <w:color w:val="000000"/>
          <w:sz w:val="28"/>
        </w:rPr>
        <w:t>Service</w:t>
      </w:r>
      <w:proofErr w:type="spellEnd"/>
      <w:r w:rsidR="007152AC" w:rsidRPr="004460CA">
        <w:rPr>
          <w:color w:val="000000"/>
          <w:sz w:val="28"/>
        </w:rPr>
        <w:t xml:space="preserve"> (</w:t>
      </w:r>
      <w:proofErr w:type="spellStart"/>
      <w:r w:rsidR="007152AC" w:rsidRPr="004460CA">
        <w:rPr>
          <w:color w:val="000000"/>
          <w:sz w:val="28"/>
        </w:rPr>
        <w:t>Мудис</w:t>
      </w:r>
      <w:proofErr w:type="spellEnd"/>
      <w:r w:rsidR="007152AC" w:rsidRPr="004460CA">
        <w:rPr>
          <w:color w:val="000000"/>
          <w:sz w:val="28"/>
        </w:rPr>
        <w:t xml:space="preserve"> </w:t>
      </w:r>
      <w:proofErr w:type="spellStart"/>
      <w:r w:rsidR="007152AC" w:rsidRPr="004460CA">
        <w:rPr>
          <w:color w:val="000000"/>
          <w:sz w:val="28"/>
        </w:rPr>
        <w:t>Инвесторс</w:t>
      </w:r>
      <w:proofErr w:type="spellEnd"/>
      <w:r w:rsidR="007152AC" w:rsidRPr="004460CA">
        <w:rPr>
          <w:color w:val="000000"/>
          <w:sz w:val="28"/>
        </w:rPr>
        <w:t xml:space="preserve"> Сервис), </w:t>
      </w:r>
      <w:proofErr w:type="spellStart"/>
      <w:r w:rsidR="007152AC" w:rsidRPr="004460CA">
        <w:rPr>
          <w:color w:val="000000"/>
          <w:sz w:val="28"/>
        </w:rPr>
        <w:t>Fitch</w:t>
      </w:r>
      <w:proofErr w:type="spellEnd"/>
      <w:r w:rsidR="007152AC" w:rsidRPr="004460CA">
        <w:rPr>
          <w:color w:val="000000"/>
          <w:sz w:val="28"/>
        </w:rPr>
        <w:t xml:space="preserve"> (Фич), и валюте «евро», а также аффинированным драгоценным металлам </w:t>
      </w:r>
      <w:r w:rsidR="00354AE6" w:rsidRPr="004460CA">
        <w:rPr>
          <w:color w:val="000000" w:themeColor="text1"/>
          <w:sz w:val="28"/>
          <w:szCs w:val="28"/>
        </w:rPr>
        <w:t>3 (три) и более раза в течение 6 (шести) месяцев</w:t>
      </w:r>
      <w:r w:rsidR="002318C6" w:rsidRPr="004460CA">
        <w:rPr>
          <w:color w:val="000000" w:themeColor="text1"/>
          <w:sz w:val="28"/>
          <w:szCs w:val="28"/>
        </w:rPr>
        <w:t>;</w:t>
      </w:r>
    </w:p>
    <w:p w14:paraId="7B6D1C56" w14:textId="31B768E0" w:rsidR="004561A9" w:rsidRPr="004460CA" w:rsidRDefault="00E0045A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t xml:space="preserve">2) </w:t>
      </w:r>
      <w:r w:rsidR="00AA3FE2" w:rsidRPr="004460CA">
        <w:rPr>
          <w:color w:val="000000" w:themeColor="text1"/>
          <w:sz w:val="28"/>
          <w:szCs w:val="28"/>
        </w:rPr>
        <w:t xml:space="preserve">превышение </w:t>
      </w:r>
      <w:r w:rsidR="009D0573" w:rsidRPr="004460CA">
        <w:rPr>
          <w:color w:val="000000" w:themeColor="text1"/>
          <w:sz w:val="28"/>
          <w:szCs w:val="28"/>
        </w:rPr>
        <w:t xml:space="preserve">установленного порогового значения </w:t>
      </w:r>
      <w:r w:rsidR="000213E8" w:rsidRPr="004460CA">
        <w:rPr>
          <w:color w:val="000000" w:themeColor="text1"/>
          <w:sz w:val="28"/>
          <w:szCs w:val="28"/>
        </w:rPr>
        <w:t xml:space="preserve">лимита </w:t>
      </w:r>
      <w:r w:rsidRPr="004460CA">
        <w:rPr>
          <w:color w:val="000000" w:themeColor="text1"/>
          <w:sz w:val="28"/>
          <w:szCs w:val="28"/>
        </w:rPr>
        <w:t>открытой валютной позиции</w:t>
      </w:r>
      <w:r w:rsidR="000213E8" w:rsidRPr="004460CA">
        <w:rPr>
          <w:color w:val="000000" w:themeColor="text1"/>
          <w:sz w:val="28"/>
          <w:szCs w:val="28"/>
        </w:rPr>
        <w:t>, определяемо</w:t>
      </w:r>
      <w:r w:rsidR="004C43DF" w:rsidRPr="004460CA">
        <w:rPr>
          <w:color w:val="000000" w:themeColor="text1"/>
          <w:sz w:val="28"/>
          <w:szCs w:val="28"/>
        </w:rPr>
        <w:t>й</w:t>
      </w:r>
      <w:r w:rsidR="000213E8" w:rsidRPr="004460CA">
        <w:rPr>
          <w:color w:val="000000" w:themeColor="text1"/>
          <w:sz w:val="28"/>
          <w:szCs w:val="28"/>
        </w:rPr>
        <w:t xml:space="preserve"> в соответствии с Пруденциальными нормативами, </w:t>
      </w:r>
      <w:r w:rsidRPr="004460CA">
        <w:rPr>
          <w:color w:val="000000" w:themeColor="text1"/>
          <w:sz w:val="28"/>
          <w:szCs w:val="28"/>
        </w:rPr>
        <w:t>по иностранным валютам стран,</w:t>
      </w:r>
      <w:r w:rsidR="007152AC" w:rsidRPr="004460CA">
        <w:rPr>
          <w:color w:val="000000" w:themeColor="text1"/>
          <w:sz w:val="28"/>
          <w:szCs w:val="28"/>
        </w:rPr>
        <w:t xml:space="preserve"> </w:t>
      </w:r>
      <w:r w:rsidR="007152AC" w:rsidRPr="004460CA">
        <w:rPr>
          <w:color w:val="000000"/>
          <w:sz w:val="28"/>
        </w:rPr>
        <w:t xml:space="preserve">имеющих суверенный рейтинг ниже «А» агентства </w:t>
      </w:r>
      <w:proofErr w:type="spellStart"/>
      <w:r w:rsidR="007152AC" w:rsidRPr="004460CA">
        <w:rPr>
          <w:color w:val="000000"/>
          <w:sz w:val="28"/>
        </w:rPr>
        <w:t>Standard</w:t>
      </w:r>
      <w:proofErr w:type="spellEnd"/>
      <w:r w:rsidR="007152AC" w:rsidRPr="004460CA">
        <w:rPr>
          <w:color w:val="000000"/>
          <w:sz w:val="28"/>
        </w:rPr>
        <w:t xml:space="preserve"> &amp; </w:t>
      </w:r>
      <w:proofErr w:type="spellStart"/>
      <w:r w:rsidR="007152AC" w:rsidRPr="004460CA">
        <w:rPr>
          <w:color w:val="000000"/>
          <w:sz w:val="28"/>
        </w:rPr>
        <w:t>Poor's</w:t>
      </w:r>
      <w:proofErr w:type="spellEnd"/>
      <w:r w:rsidR="007152AC" w:rsidRPr="004460CA">
        <w:rPr>
          <w:color w:val="000000"/>
          <w:sz w:val="28"/>
        </w:rPr>
        <w:t xml:space="preserve"> (</w:t>
      </w:r>
      <w:proofErr w:type="spellStart"/>
      <w:r w:rsidR="007152AC" w:rsidRPr="004460CA">
        <w:rPr>
          <w:color w:val="000000"/>
          <w:sz w:val="28"/>
        </w:rPr>
        <w:t>Стандард</w:t>
      </w:r>
      <w:proofErr w:type="spellEnd"/>
      <w:r w:rsidR="007152AC" w:rsidRPr="004460CA">
        <w:rPr>
          <w:color w:val="000000"/>
          <w:sz w:val="28"/>
        </w:rPr>
        <w:t xml:space="preserve"> энд </w:t>
      </w:r>
      <w:proofErr w:type="spellStart"/>
      <w:r w:rsidR="007152AC" w:rsidRPr="004460CA">
        <w:rPr>
          <w:color w:val="000000"/>
          <w:sz w:val="28"/>
        </w:rPr>
        <w:t>Пурс</w:t>
      </w:r>
      <w:proofErr w:type="spellEnd"/>
      <w:r w:rsidR="007152AC" w:rsidRPr="004460CA">
        <w:rPr>
          <w:color w:val="000000"/>
          <w:sz w:val="28"/>
        </w:rPr>
        <w:t xml:space="preserve">) или рейтингов аналогичного уровня рейтинговых агентств </w:t>
      </w:r>
      <w:proofErr w:type="spellStart"/>
      <w:r w:rsidR="007152AC" w:rsidRPr="004460CA">
        <w:rPr>
          <w:color w:val="000000"/>
          <w:sz w:val="28"/>
        </w:rPr>
        <w:t>Moody’s</w:t>
      </w:r>
      <w:proofErr w:type="spellEnd"/>
      <w:r w:rsidR="007152AC" w:rsidRPr="004460CA">
        <w:rPr>
          <w:color w:val="000000"/>
          <w:sz w:val="28"/>
        </w:rPr>
        <w:t xml:space="preserve"> </w:t>
      </w:r>
      <w:proofErr w:type="spellStart"/>
      <w:r w:rsidR="007152AC" w:rsidRPr="004460CA">
        <w:rPr>
          <w:color w:val="000000"/>
          <w:sz w:val="28"/>
        </w:rPr>
        <w:t>Investors</w:t>
      </w:r>
      <w:proofErr w:type="spellEnd"/>
      <w:r w:rsidR="007152AC" w:rsidRPr="004460CA">
        <w:rPr>
          <w:color w:val="000000"/>
          <w:sz w:val="28"/>
        </w:rPr>
        <w:t xml:space="preserve"> </w:t>
      </w:r>
      <w:proofErr w:type="spellStart"/>
      <w:r w:rsidR="007152AC" w:rsidRPr="004460CA">
        <w:rPr>
          <w:color w:val="000000"/>
          <w:sz w:val="28"/>
        </w:rPr>
        <w:t>Service</w:t>
      </w:r>
      <w:proofErr w:type="spellEnd"/>
      <w:r w:rsidR="007152AC" w:rsidRPr="004460CA">
        <w:rPr>
          <w:color w:val="000000"/>
          <w:sz w:val="28"/>
        </w:rPr>
        <w:t xml:space="preserve"> (</w:t>
      </w:r>
      <w:proofErr w:type="spellStart"/>
      <w:r w:rsidR="007152AC" w:rsidRPr="004460CA">
        <w:rPr>
          <w:color w:val="000000"/>
          <w:sz w:val="28"/>
        </w:rPr>
        <w:t>Мудис</w:t>
      </w:r>
      <w:proofErr w:type="spellEnd"/>
      <w:r w:rsidR="007152AC" w:rsidRPr="004460CA">
        <w:rPr>
          <w:color w:val="000000"/>
          <w:sz w:val="28"/>
        </w:rPr>
        <w:t xml:space="preserve"> </w:t>
      </w:r>
      <w:proofErr w:type="spellStart"/>
      <w:r w:rsidR="007152AC" w:rsidRPr="004460CA">
        <w:rPr>
          <w:color w:val="000000"/>
          <w:sz w:val="28"/>
        </w:rPr>
        <w:t>Инвесторс</w:t>
      </w:r>
      <w:proofErr w:type="spellEnd"/>
      <w:r w:rsidR="007152AC" w:rsidRPr="004460CA">
        <w:rPr>
          <w:color w:val="000000"/>
          <w:sz w:val="28"/>
        </w:rPr>
        <w:t xml:space="preserve"> Сервис), </w:t>
      </w:r>
      <w:proofErr w:type="spellStart"/>
      <w:r w:rsidR="007152AC" w:rsidRPr="004460CA">
        <w:rPr>
          <w:color w:val="000000"/>
          <w:sz w:val="28"/>
        </w:rPr>
        <w:t>Fitch</w:t>
      </w:r>
      <w:proofErr w:type="spellEnd"/>
      <w:r w:rsidR="007152AC" w:rsidRPr="004460CA">
        <w:rPr>
          <w:color w:val="000000"/>
          <w:sz w:val="28"/>
        </w:rPr>
        <w:t xml:space="preserve"> (Фич), а также по стейблкоинам, </w:t>
      </w:r>
      <w:r w:rsidR="004561A9" w:rsidRPr="004460CA">
        <w:rPr>
          <w:color w:val="000000" w:themeColor="text1"/>
          <w:sz w:val="28"/>
          <w:szCs w:val="28"/>
        </w:rPr>
        <w:t>3 (три) и более раза в течение 6 (шести) месяцев;</w:t>
      </w:r>
    </w:p>
    <w:p w14:paraId="44B7AC2B" w14:textId="679A89FE" w:rsidR="00AA3FE2" w:rsidRPr="004460CA" w:rsidRDefault="00E0045A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t xml:space="preserve">3) </w:t>
      </w:r>
      <w:r w:rsidR="00AA3FE2" w:rsidRPr="004460CA">
        <w:rPr>
          <w:color w:val="000000" w:themeColor="text1"/>
          <w:sz w:val="28"/>
          <w:szCs w:val="28"/>
        </w:rPr>
        <w:t xml:space="preserve">превышение </w:t>
      </w:r>
      <w:r w:rsidR="009D0573" w:rsidRPr="004460CA">
        <w:rPr>
          <w:color w:val="000000" w:themeColor="text1"/>
          <w:sz w:val="28"/>
          <w:szCs w:val="28"/>
        </w:rPr>
        <w:t xml:space="preserve">установленного порогового значения </w:t>
      </w:r>
      <w:r w:rsidR="004C43DF" w:rsidRPr="004460CA">
        <w:rPr>
          <w:color w:val="000000" w:themeColor="text1"/>
          <w:sz w:val="28"/>
          <w:szCs w:val="28"/>
        </w:rPr>
        <w:t>лимита</w:t>
      </w:r>
      <w:r w:rsidRPr="004460CA">
        <w:rPr>
          <w:color w:val="000000" w:themeColor="text1"/>
          <w:sz w:val="28"/>
          <w:szCs w:val="28"/>
        </w:rPr>
        <w:t xml:space="preserve"> валютной нетто-позиции, </w:t>
      </w:r>
      <w:r w:rsidR="004C43DF" w:rsidRPr="004460CA">
        <w:rPr>
          <w:color w:val="000000" w:themeColor="text1"/>
          <w:sz w:val="28"/>
          <w:szCs w:val="28"/>
        </w:rPr>
        <w:t>определяемой</w:t>
      </w:r>
      <w:r w:rsidR="00AA3FE2" w:rsidRPr="004460CA">
        <w:rPr>
          <w:color w:val="000000" w:themeColor="text1"/>
          <w:sz w:val="28"/>
          <w:szCs w:val="28"/>
        </w:rPr>
        <w:t xml:space="preserve"> </w:t>
      </w:r>
      <w:r w:rsidR="00FE29EA" w:rsidRPr="004460CA">
        <w:rPr>
          <w:color w:val="000000" w:themeColor="text1"/>
          <w:sz w:val="28"/>
          <w:szCs w:val="28"/>
        </w:rPr>
        <w:t>в соответствии с Пруденциальными нормативами</w:t>
      </w:r>
      <w:r w:rsidR="004C43DF" w:rsidRPr="004460CA">
        <w:rPr>
          <w:color w:val="000000" w:themeColor="text1"/>
          <w:sz w:val="28"/>
          <w:szCs w:val="28"/>
        </w:rPr>
        <w:t>, 3 (три) и более раза в течение 6 (шести) месяцев</w:t>
      </w:r>
      <w:r w:rsidR="00AA3FE2" w:rsidRPr="004460CA">
        <w:rPr>
          <w:color w:val="000000" w:themeColor="text1"/>
          <w:sz w:val="28"/>
          <w:szCs w:val="28"/>
        </w:rPr>
        <w:t>;</w:t>
      </w:r>
    </w:p>
    <w:p w14:paraId="66E49414" w14:textId="57594842" w:rsidR="00AA3FE2" w:rsidRPr="004460CA" w:rsidRDefault="00E0045A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t xml:space="preserve">4) </w:t>
      </w:r>
      <w:r w:rsidR="00AA3FE2" w:rsidRPr="004460CA">
        <w:rPr>
          <w:color w:val="000000" w:themeColor="text1"/>
          <w:sz w:val="28"/>
          <w:szCs w:val="28"/>
        </w:rPr>
        <w:t xml:space="preserve">превышение </w:t>
      </w:r>
      <w:r w:rsidR="009D0573" w:rsidRPr="004460CA">
        <w:rPr>
          <w:color w:val="000000" w:themeColor="text1"/>
          <w:sz w:val="28"/>
          <w:szCs w:val="28"/>
        </w:rPr>
        <w:t xml:space="preserve">установленного порогового значения </w:t>
      </w:r>
      <w:r w:rsidR="004C43DF" w:rsidRPr="004460CA">
        <w:rPr>
          <w:color w:val="000000" w:themeColor="text1"/>
          <w:sz w:val="28"/>
          <w:szCs w:val="28"/>
        </w:rPr>
        <w:t xml:space="preserve">лимита </w:t>
      </w:r>
      <w:r w:rsidR="00215D10" w:rsidRPr="004460CA">
        <w:rPr>
          <w:color w:val="000000" w:themeColor="text1"/>
          <w:sz w:val="28"/>
          <w:szCs w:val="28"/>
        </w:rPr>
        <w:t>открытой длинной и (или) короткой позиции по производным финансовым инструментам в валюте отдельного иностранного государства (группы иностранных государств), открытых на счетах условных требований и на счетах условных обязательств</w:t>
      </w:r>
      <w:r w:rsidRPr="004460CA">
        <w:rPr>
          <w:color w:val="000000" w:themeColor="text1"/>
          <w:sz w:val="28"/>
          <w:szCs w:val="28"/>
        </w:rPr>
        <w:t>,</w:t>
      </w:r>
      <w:r w:rsidR="00AA3FE2" w:rsidRPr="004460CA">
        <w:rPr>
          <w:color w:val="000000" w:themeColor="text1"/>
          <w:sz w:val="28"/>
          <w:szCs w:val="28"/>
        </w:rPr>
        <w:t xml:space="preserve"> </w:t>
      </w:r>
      <w:r w:rsidR="004C43DF" w:rsidRPr="004460CA">
        <w:rPr>
          <w:color w:val="000000" w:themeColor="text1"/>
          <w:sz w:val="28"/>
          <w:szCs w:val="28"/>
        </w:rPr>
        <w:t>определяемой</w:t>
      </w:r>
      <w:r w:rsidR="00AA3FE2" w:rsidRPr="004460CA">
        <w:rPr>
          <w:color w:val="000000" w:themeColor="text1"/>
          <w:sz w:val="28"/>
          <w:szCs w:val="28"/>
        </w:rPr>
        <w:t xml:space="preserve"> </w:t>
      </w:r>
      <w:r w:rsidR="00FE29EA" w:rsidRPr="004460CA">
        <w:rPr>
          <w:color w:val="000000" w:themeColor="text1"/>
          <w:sz w:val="28"/>
          <w:szCs w:val="28"/>
        </w:rPr>
        <w:t>в соответствии с Пруденциальными нормативами</w:t>
      </w:r>
      <w:r w:rsidR="004C43DF" w:rsidRPr="004460CA">
        <w:rPr>
          <w:color w:val="000000" w:themeColor="text1"/>
          <w:sz w:val="28"/>
          <w:szCs w:val="28"/>
        </w:rPr>
        <w:t>, 3 (три) и более раза в течение 6 (шести) месяцев</w:t>
      </w:r>
      <w:r w:rsidR="00AA3FE2" w:rsidRPr="004460CA">
        <w:rPr>
          <w:color w:val="000000" w:themeColor="text1"/>
          <w:sz w:val="28"/>
          <w:szCs w:val="28"/>
        </w:rPr>
        <w:t xml:space="preserve">. </w:t>
      </w:r>
    </w:p>
    <w:p w14:paraId="4B1A3989" w14:textId="68B01CA5" w:rsidR="009C2B46" w:rsidRPr="004460CA" w:rsidRDefault="00AD0E48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t>1</w:t>
      </w:r>
      <w:r w:rsidR="006C2052" w:rsidRPr="004460CA">
        <w:rPr>
          <w:color w:val="000000" w:themeColor="text1"/>
          <w:sz w:val="28"/>
          <w:szCs w:val="28"/>
        </w:rPr>
        <w:t>0</w:t>
      </w:r>
      <w:r w:rsidR="00E0045A" w:rsidRPr="004460CA">
        <w:rPr>
          <w:color w:val="000000" w:themeColor="text1"/>
          <w:sz w:val="28"/>
          <w:szCs w:val="28"/>
        </w:rPr>
        <w:t xml:space="preserve">. </w:t>
      </w:r>
      <w:r w:rsidR="009C2B46" w:rsidRPr="004460CA">
        <w:rPr>
          <w:color w:val="000000" w:themeColor="text1"/>
          <w:sz w:val="28"/>
          <w:szCs w:val="28"/>
        </w:rPr>
        <w:t>П</w:t>
      </w:r>
      <w:r w:rsidR="009C2B46" w:rsidRPr="004460CA">
        <w:rPr>
          <w:rFonts w:eastAsia="Calibri"/>
          <w:color w:val="000000" w:themeColor="text1"/>
          <w:sz w:val="28"/>
          <w:szCs w:val="28"/>
          <w:lang w:eastAsia="zh-CN"/>
        </w:rPr>
        <w:t>ризнаками ухудшения финансовой устойчивости, определяемыми на основании показателей риска ликвидности, явля</w:t>
      </w:r>
      <w:r w:rsidR="00DC4151" w:rsidRPr="004460CA">
        <w:rPr>
          <w:rFonts w:eastAsia="Calibri"/>
          <w:color w:val="000000" w:themeColor="text1"/>
          <w:sz w:val="28"/>
          <w:szCs w:val="28"/>
          <w:lang w:eastAsia="zh-CN"/>
        </w:rPr>
        <w:t>ю</w:t>
      </w:r>
      <w:r w:rsidR="009C2B46" w:rsidRPr="004460CA">
        <w:rPr>
          <w:rFonts w:eastAsia="Calibri"/>
          <w:color w:val="000000" w:themeColor="text1"/>
          <w:sz w:val="28"/>
          <w:szCs w:val="28"/>
          <w:lang w:eastAsia="zh-CN"/>
        </w:rPr>
        <w:t>тся</w:t>
      </w:r>
      <w:r w:rsidR="009C2B46" w:rsidRPr="004460CA">
        <w:rPr>
          <w:color w:val="000000" w:themeColor="text1"/>
          <w:sz w:val="28"/>
          <w:szCs w:val="28"/>
        </w:rPr>
        <w:t xml:space="preserve">: </w:t>
      </w:r>
    </w:p>
    <w:p w14:paraId="2E721933" w14:textId="7A6C8103" w:rsidR="00AC07DD" w:rsidRPr="004460CA" w:rsidRDefault="00E0045A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t>1)</w:t>
      </w:r>
      <w:r w:rsidR="00B54BB5" w:rsidRPr="004460CA">
        <w:rPr>
          <w:color w:val="000000" w:themeColor="text1"/>
          <w:sz w:val="28"/>
          <w:szCs w:val="28"/>
        </w:rPr>
        <w:t> </w:t>
      </w:r>
      <w:r w:rsidRPr="004460CA">
        <w:rPr>
          <w:color w:val="000000" w:themeColor="text1"/>
          <w:sz w:val="28"/>
          <w:szCs w:val="28"/>
        </w:rPr>
        <w:t>снижение коэффициента покрытия ликвидности</w:t>
      </w:r>
      <w:r w:rsidR="00AA3769" w:rsidRPr="004460CA">
        <w:rPr>
          <w:color w:val="000000" w:themeColor="text1"/>
          <w:sz w:val="28"/>
          <w:szCs w:val="28"/>
        </w:rPr>
        <w:t xml:space="preserve">, рассчитываемого </w:t>
      </w:r>
      <w:r w:rsidR="00FE29EA" w:rsidRPr="004460CA">
        <w:rPr>
          <w:color w:val="000000" w:themeColor="text1"/>
          <w:sz w:val="28"/>
          <w:szCs w:val="28"/>
        </w:rPr>
        <w:t>в соответствии с Пруденциальными нормативами,</w:t>
      </w:r>
      <w:r w:rsidR="00AA3769" w:rsidRPr="004460CA">
        <w:rPr>
          <w:color w:val="000000" w:themeColor="text1"/>
          <w:sz w:val="28"/>
          <w:szCs w:val="28"/>
        </w:rPr>
        <w:t xml:space="preserve"> </w:t>
      </w:r>
      <w:r w:rsidR="00AC07DD" w:rsidRPr="004460CA">
        <w:rPr>
          <w:color w:val="000000" w:themeColor="text1"/>
          <w:sz w:val="28"/>
          <w:szCs w:val="28"/>
        </w:rPr>
        <w:t xml:space="preserve">до значения ниже </w:t>
      </w:r>
      <w:r w:rsidR="009D0573" w:rsidRPr="004460CA">
        <w:rPr>
          <w:color w:val="000000" w:themeColor="text1"/>
          <w:sz w:val="28"/>
          <w:szCs w:val="28"/>
        </w:rPr>
        <w:t xml:space="preserve">установленного порогового значения </w:t>
      </w:r>
      <w:r w:rsidR="00074C2C" w:rsidRPr="004460CA">
        <w:rPr>
          <w:color w:val="000000" w:themeColor="text1"/>
          <w:sz w:val="28"/>
          <w:szCs w:val="28"/>
        </w:rPr>
        <w:t xml:space="preserve">при одновременном выполнении условия, что доля высоколиквидных активов от общего объема активов банка </w:t>
      </w:r>
      <w:r w:rsidR="00607423" w:rsidRPr="004460CA">
        <w:rPr>
          <w:color w:val="000000" w:themeColor="text1"/>
          <w:sz w:val="28"/>
          <w:szCs w:val="28"/>
        </w:rPr>
        <w:t>ниже уровня</w:t>
      </w:r>
      <w:r w:rsidR="00074C2C" w:rsidRPr="004460CA">
        <w:rPr>
          <w:color w:val="000000" w:themeColor="text1"/>
          <w:sz w:val="28"/>
          <w:szCs w:val="28"/>
        </w:rPr>
        <w:t>, установленного Приложением 1</w:t>
      </w:r>
      <w:r w:rsidR="00AC07DD" w:rsidRPr="004460CA">
        <w:rPr>
          <w:color w:val="000000" w:themeColor="text1"/>
          <w:sz w:val="28"/>
          <w:szCs w:val="28"/>
        </w:rPr>
        <w:t>;</w:t>
      </w:r>
    </w:p>
    <w:p w14:paraId="54AAAD15" w14:textId="781C8F94" w:rsidR="00AC07DD" w:rsidRPr="004460CA" w:rsidRDefault="00E0045A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lastRenderedPageBreak/>
        <w:t>2)</w:t>
      </w:r>
      <w:r w:rsidR="00176F2B" w:rsidRPr="004460CA">
        <w:rPr>
          <w:color w:val="000000" w:themeColor="text1"/>
          <w:sz w:val="28"/>
          <w:szCs w:val="28"/>
        </w:rPr>
        <w:t> </w:t>
      </w:r>
      <w:r w:rsidRPr="004460CA">
        <w:rPr>
          <w:color w:val="000000" w:themeColor="text1"/>
          <w:sz w:val="28"/>
          <w:szCs w:val="28"/>
        </w:rPr>
        <w:t>снижение коэффициента нетто стабильного фондирования</w:t>
      </w:r>
      <w:r w:rsidR="00AA3769" w:rsidRPr="004460CA">
        <w:rPr>
          <w:color w:val="000000" w:themeColor="text1"/>
          <w:sz w:val="28"/>
          <w:szCs w:val="28"/>
        </w:rPr>
        <w:t xml:space="preserve">, рассчитываемого </w:t>
      </w:r>
      <w:r w:rsidR="00FE29EA" w:rsidRPr="004460CA">
        <w:rPr>
          <w:color w:val="000000" w:themeColor="text1"/>
          <w:sz w:val="28"/>
          <w:szCs w:val="28"/>
        </w:rPr>
        <w:t>в соответствии с Пруденциальными нормативами,</w:t>
      </w:r>
      <w:r w:rsidRPr="004460CA">
        <w:rPr>
          <w:color w:val="000000" w:themeColor="text1"/>
          <w:sz w:val="28"/>
          <w:szCs w:val="28"/>
        </w:rPr>
        <w:t xml:space="preserve"> </w:t>
      </w:r>
      <w:r w:rsidR="00AC07DD" w:rsidRPr="004460CA">
        <w:rPr>
          <w:color w:val="000000" w:themeColor="text1"/>
          <w:sz w:val="28"/>
          <w:szCs w:val="28"/>
        </w:rPr>
        <w:t xml:space="preserve">до значения ниже </w:t>
      </w:r>
      <w:r w:rsidR="009D0573" w:rsidRPr="004460CA">
        <w:rPr>
          <w:color w:val="000000" w:themeColor="text1"/>
          <w:sz w:val="28"/>
          <w:szCs w:val="28"/>
        </w:rPr>
        <w:t>установленного порогового значения</w:t>
      </w:r>
      <w:r w:rsidR="00AC07DD" w:rsidRPr="004460CA">
        <w:rPr>
          <w:color w:val="000000" w:themeColor="text1"/>
          <w:sz w:val="28"/>
          <w:szCs w:val="28"/>
        </w:rPr>
        <w:t>;</w:t>
      </w:r>
    </w:p>
    <w:p w14:paraId="63C3F43B" w14:textId="348B23F4" w:rsidR="00E0045A" w:rsidRPr="004460CA" w:rsidRDefault="00A9198A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t>3</w:t>
      </w:r>
      <w:r w:rsidR="00E0045A" w:rsidRPr="004460CA">
        <w:rPr>
          <w:color w:val="000000" w:themeColor="text1"/>
          <w:sz w:val="28"/>
          <w:szCs w:val="28"/>
        </w:rPr>
        <w:t>)</w:t>
      </w:r>
      <w:r w:rsidR="00AC07DD" w:rsidRPr="004460CA">
        <w:rPr>
          <w:color w:val="000000" w:themeColor="text1"/>
          <w:sz w:val="28"/>
          <w:szCs w:val="28"/>
        </w:rPr>
        <w:t xml:space="preserve"> превышение </w:t>
      </w:r>
      <w:r w:rsidR="009D0573" w:rsidRPr="004460CA">
        <w:rPr>
          <w:color w:val="000000" w:themeColor="text1"/>
          <w:sz w:val="28"/>
          <w:szCs w:val="28"/>
        </w:rPr>
        <w:t xml:space="preserve">установленного порогового значения </w:t>
      </w:r>
      <w:r w:rsidR="00A917FF" w:rsidRPr="004460CA">
        <w:rPr>
          <w:color w:val="000000" w:themeColor="text1"/>
          <w:sz w:val="28"/>
          <w:szCs w:val="28"/>
        </w:rPr>
        <w:t xml:space="preserve">объема </w:t>
      </w:r>
      <w:r w:rsidR="00E0045A" w:rsidRPr="004460CA">
        <w:rPr>
          <w:color w:val="000000" w:themeColor="text1"/>
          <w:sz w:val="28"/>
          <w:szCs w:val="28"/>
        </w:rPr>
        <w:t>нетто-оттока депозитной базы</w:t>
      </w:r>
      <w:r w:rsidR="00E01A35" w:rsidRPr="004460CA">
        <w:rPr>
          <w:color w:val="000000" w:themeColor="text1"/>
          <w:sz w:val="28"/>
          <w:szCs w:val="28"/>
        </w:rPr>
        <w:t xml:space="preserve"> в</w:t>
      </w:r>
      <w:r w:rsidR="00E0045A" w:rsidRPr="004460CA">
        <w:rPr>
          <w:color w:val="000000" w:themeColor="text1"/>
          <w:sz w:val="28"/>
          <w:szCs w:val="28"/>
        </w:rPr>
        <w:t xml:space="preserve"> </w:t>
      </w:r>
      <w:r w:rsidR="00E01A35" w:rsidRPr="004460CA">
        <w:rPr>
          <w:color w:val="000000" w:themeColor="text1"/>
          <w:sz w:val="28"/>
          <w:szCs w:val="28"/>
        </w:rPr>
        <w:t xml:space="preserve">течение </w:t>
      </w:r>
      <w:r w:rsidR="00176F2B" w:rsidRPr="004460CA">
        <w:rPr>
          <w:color w:val="000000" w:themeColor="text1"/>
          <w:sz w:val="28"/>
          <w:szCs w:val="28"/>
        </w:rPr>
        <w:t>1 (одн</w:t>
      </w:r>
      <w:r w:rsidR="00E01A35" w:rsidRPr="004460CA">
        <w:rPr>
          <w:color w:val="000000" w:themeColor="text1"/>
          <w:sz w:val="28"/>
          <w:szCs w:val="28"/>
        </w:rPr>
        <w:t>ой</w:t>
      </w:r>
      <w:r w:rsidR="00176F2B" w:rsidRPr="004460CA">
        <w:rPr>
          <w:color w:val="000000" w:themeColor="text1"/>
          <w:sz w:val="28"/>
          <w:szCs w:val="28"/>
        </w:rPr>
        <w:t>) недел</w:t>
      </w:r>
      <w:r w:rsidR="00E01A35" w:rsidRPr="004460CA">
        <w:rPr>
          <w:color w:val="000000" w:themeColor="text1"/>
          <w:sz w:val="28"/>
          <w:szCs w:val="28"/>
        </w:rPr>
        <w:t>и</w:t>
      </w:r>
      <w:r w:rsidR="00AC07DD" w:rsidRPr="004460CA">
        <w:rPr>
          <w:color w:val="000000" w:themeColor="text1"/>
          <w:sz w:val="28"/>
          <w:szCs w:val="28"/>
        </w:rPr>
        <w:t>;</w:t>
      </w:r>
    </w:p>
    <w:p w14:paraId="6F7D55B8" w14:textId="08818FD0" w:rsidR="00E0045A" w:rsidRPr="004460CA" w:rsidRDefault="00A9198A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t>4</w:t>
      </w:r>
      <w:r w:rsidR="00E0045A" w:rsidRPr="004460CA">
        <w:rPr>
          <w:color w:val="000000" w:themeColor="text1"/>
          <w:sz w:val="28"/>
          <w:szCs w:val="28"/>
        </w:rPr>
        <w:t>)</w:t>
      </w:r>
      <w:r w:rsidR="00B54BB5" w:rsidRPr="004460CA">
        <w:rPr>
          <w:color w:val="000000" w:themeColor="text1"/>
          <w:sz w:val="28"/>
          <w:szCs w:val="28"/>
        </w:rPr>
        <w:t> </w:t>
      </w:r>
      <w:r w:rsidR="00AC07DD" w:rsidRPr="004460CA">
        <w:rPr>
          <w:color w:val="000000" w:themeColor="text1"/>
          <w:sz w:val="28"/>
          <w:szCs w:val="28"/>
        </w:rPr>
        <w:t xml:space="preserve">превышение </w:t>
      </w:r>
      <w:r w:rsidR="009D0573" w:rsidRPr="004460CA">
        <w:rPr>
          <w:color w:val="000000" w:themeColor="text1"/>
          <w:sz w:val="28"/>
          <w:szCs w:val="28"/>
        </w:rPr>
        <w:t xml:space="preserve">установленного порогового значения </w:t>
      </w:r>
      <w:r w:rsidR="00E0045A" w:rsidRPr="004460CA">
        <w:rPr>
          <w:color w:val="000000" w:themeColor="text1"/>
          <w:sz w:val="28"/>
          <w:szCs w:val="28"/>
        </w:rPr>
        <w:t xml:space="preserve">нетто-оттока депозитной базы </w:t>
      </w:r>
      <w:r w:rsidR="00E01A35" w:rsidRPr="004460CA">
        <w:rPr>
          <w:color w:val="000000" w:themeColor="text1"/>
          <w:sz w:val="28"/>
          <w:szCs w:val="28"/>
        </w:rPr>
        <w:t xml:space="preserve">в течение </w:t>
      </w:r>
      <w:r w:rsidR="00E0045A" w:rsidRPr="004460CA">
        <w:rPr>
          <w:color w:val="000000" w:themeColor="text1"/>
          <w:sz w:val="28"/>
          <w:szCs w:val="28"/>
        </w:rPr>
        <w:t>1 (од</w:t>
      </w:r>
      <w:r w:rsidR="00E01A35" w:rsidRPr="004460CA">
        <w:rPr>
          <w:color w:val="000000" w:themeColor="text1"/>
          <w:sz w:val="28"/>
          <w:szCs w:val="28"/>
        </w:rPr>
        <w:t>ного</w:t>
      </w:r>
      <w:r w:rsidR="00E0045A" w:rsidRPr="004460CA">
        <w:rPr>
          <w:color w:val="000000" w:themeColor="text1"/>
          <w:sz w:val="28"/>
          <w:szCs w:val="28"/>
        </w:rPr>
        <w:t>) календарн</w:t>
      </w:r>
      <w:r w:rsidR="00E01A35" w:rsidRPr="004460CA">
        <w:rPr>
          <w:color w:val="000000" w:themeColor="text1"/>
          <w:sz w:val="28"/>
          <w:szCs w:val="28"/>
        </w:rPr>
        <w:t>ого</w:t>
      </w:r>
      <w:r w:rsidR="00E0045A" w:rsidRPr="004460CA">
        <w:rPr>
          <w:color w:val="000000" w:themeColor="text1"/>
          <w:sz w:val="28"/>
          <w:szCs w:val="28"/>
        </w:rPr>
        <w:t xml:space="preserve"> месяц</w:t>
      </w:r>
      <w:r w:rsidR="00E01A35" w:rsidRPr="004460CA">
        <w:rPr>
          <w:color w:val="000000" w:themeColor="text1"/>
          <w:sz w:val="28"/>
          <w:szCs w:val="28"/>
        </w:rPr>
        <w:t>а</w:t>
      </w:r>
      <w:r w:rsidR="00AC07DD" w:rsidRPr="004460CA">
        <w:rPr>
          <w:color w:val="000000" w:themeColor="text1"/>
          <w:sz w:val="28"/>
          <w:szCs w:val="28"/>
        </w:rPr>
        <w:t>;</w:t>
      </w:r>
    </w:p>
    <w:p w14:paraId="364E6F54" w14:textId="7FF4EE5C" w:rsidR="00E0045A" w:rsidRPr="004460CA" w:rsidRDefault="00A9198A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t>5</w:t>
      </w:r>
      <w:r w:rsidR="00E0045A" w:rsidRPr="004460CA">
        <w:rPr>
          <w:color w:val="000000" w:themeColor="text1"/>
          <w:sz w:val="28"/>
          <w:szCs w:val="28"/>
        </w:rPr>
        <w:t>)</w:t>
      </w:r>
      <w:r w:rsidR="00B54BB5" w:rsidRPr="004460CA">
        <w:rPr>
          <w:color w:val="000000" w:themeColor="text1"/>
          <w:sz w:val="28"/>
          <w:szCs w:val="28"/>
        </w:rPr>
        <w:t> </w:t>
      </w:r>
      <w:r w:rsidR="00AC07DD" w:rsidRPr="004460CA">
        <w:rPr>
          <w:color w:val="000000" w:themeColor="text1"/>
          <w:sz w:val="28"/>
          <w:szCs w:val="28"/>
        </w:rPr>
        <w:t xml:space="preserve">превышение </w:t>
      </w:r>
      <w:r w:rsidR="009D0573" w:rsidRPr="004460CA">
        <w:rPr>
          <w:color w:val="000000" w:themeColor="text1"/>
          <w:sz w:val="28"/>
          <w:szCs w:val="28"/>
        </w:rPr>
        <w:t xml:space="preserve">установленного порогового значения </w:t>
      </w:r>
      <w:r w:rsidR="00E0045A" w:rsidRPr="004460CA">
        <w:rPr>
          <w:color w:val="000000" w:themeColor="text1"/>
          <w:sz w:val="28"/>
          <w:szCs w:val="28"/>
        </w:rPr>
        <w:t xml:space="preserve">нетто-оттока депозитной базы </w:t>
      </w:r>
      <w:r w:rsidR="00E01A35" w:rsidRPr="004460CA">
        <w:rPr>
          <w:color w:val="000000" w:themeColor="text1"/>
          <w:sz w:val="28"/>
          <w:szCs w:val="28"/>
        </w:rPr>
        <w:t>в течение 3</w:t>
      </w:r>
      <w:r w:rsidR="00AC2F9D" w:rsidRPr="004460CA">
        <w:rPr>
          <w:color w:val="000000" w:themeColor="text1"/>
          <w:sz w:val="28"/>
          <w:szCs w:val="28"/>
        </w:rPr>
        <w:t xml:space="preserve"> </w:t>
      </w:r>
      <w:r w:rsidR="00E01A35" w:rsidRPr="004460CA">
        <w:rPr>
          <w:color w:val="000000" w:themeColor="text1"/>
          <w:sz w:val="28"/>
          <w:szCs w:val="28"/>
        </w:rPr>
        <w:t>(трех</w:t>
      </w:r>
      <w:r w:rsidR="00AC2F9D" w:rsidRPr="004460CA">
        <w:rPr>
          <w:color w:val="000000" w:themeColor="text1"/>
          <w:sz w:val="28"/>
          <w:szCs w:val="28"/>
        </w:rPr>
        <w:t xml:space="preserve">) </w:t>
      </w:r>
      <w:r w:rsidR="00E01A35" w:rsidRPr="004460CA">
        <w:rPr>
          <w:color w:val="000000" w:themeColor="text1"/>
          <w:sz w:val="28"/>
          <w:szCs w:val="28"/>
        </w:rPr>
        <w:t>последовательных месяцев</w:t>
      </w:r>
      <w:r w:rsidR="00AC07DD" w:rsidRPr="004460CA">
        <w:rPr>
          <w:color w:val="000000" w:themeColor="text1"/>
          <w:sz w:val="28"/>
          <w:szCs w:val="28"/>
        </w:rPr>
        <w:t>;</w:t>
      </w:r>
    </w:p>
    <w:p w14:paraId="2A12D829" w14:textId="118A27ED" w:rsidR="00AC07DD" w:rsidRPr="004460CA" w:rsidRDefault="00A9198A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t>6</w:t>
      </w:r>
      <w:r w:rsidR="00E0045A" w:rsidRPr="004460CA">
        <w:rPr>
          <w:color w:val="000000" w:themeColor="text1"/>
          <w:sz w:val="28"/>
          <w:szCs w:val="28"/>
        </w:rPr>
        <w:t>)</w:t>
      </w:r>
      <w:r w:rsidR="00B54BB5" w:rsidRPr="004460CA">
        <w:rPr>
          <w:color w:val="000000" w:themeColor="text1"/>
          <w:sz w:val="28"/>
          <w:szCs w:val="28"/>
        </w:rPr>
        <w:t> </w:t>
      </w:r>
      <w:r w:rsidR="00E0045A" w:rsidRPr="004460CA">
        <w:rPr>
          <w:color w:val="000000" w:themeColor="text1"/>
          <w:sz w:val="28"/>
          <w:szCs w:val="28"/>
        </w:rPr>
        <w:t>снижение объема высоколиквидных активов</w:t>
      </w:r>
      <w:r w:rsidR="00535033" w:rsidRPr="004460CA">
        <w:rPr>
          <w:color w:val="000000" w:themeColor="text1"/>
          <w:sz w:val="28"/>
          <w:szCs w:val="28"/>
        </w:rPr>
        <w:t>, рассчитываемых в соответствии с Пруденциальными нормативами,</w:t>
      </w:r>
      <w:r w:rsidR="00E0045A" w:rsidRPr="004460CA">
        <w:rPr>
          <w:color w:val="000000" w:themeColor="text1"/>
          <w:sz w:val="28"/>
          <w:szCs w:val="28"/>
        </w:rPr>
        <w:t xml:space="preserve"> в течение </w:t>
      </w:r>
      <w:r w:rsidR="001E52ED" w:rsidRPr="004460CA">
        <w:rPr>
          <w:color w:val="000000" w:themeColor="text1"/>
          <w:sz w:val="28"/>
          <w:szCs w:val="28"/>
        </w:rPr>
        <w:t>3 (трех) последовательных месяцев</w:t>
      </w:r>
      <w:r w:rsidR="00E0045A" w:rsidRPr="004460CA">
        <w:rPr>
          <w:color w:val="000000" w:themeColor="text1"/>
          <w:sz w:val="28"/>
          <w:szCs w:val="28"/>
        </w:rPr>
        <w:t xml:space="preserve"> на величину, превышающую </w:t>
      </w:r>
      <w:r w:rsidR="009D0573" w:rsidRPr="004460CA">
        <w:rPr>
          <w:color w:val="000000" w:themeColor="text1"/>
          <w:sz w:val="28"/>
          <w:szCs w:val="28"/>
        </w:rPr>
        <w:t>установленное пороговое значение</w:t>
      </w:r>
      <w:r w:rsidR="00535033" w:rsidRPr="004460CA">
        <w:rPr>
          <w:color w:val="000000" w:themeColor="text1"/>
          <w:sz w:val="28"/>
          <w:szCs w:val="28"/>
        </w:rPr>
        <w:t>.</w:t>
      </w:r>
    </w:p>
    <w:p w14:paraId="0D029FFE" w14:textId="7A5C6F98" w:rsidR="00E0045A" w:rsidRPr="004460CA" w:rsidRDefault="00E0045A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t>1</w:t>
      </w:r>
      <w:r w:rsidR="006C2052" w:rsidRPr="004460CA">
        <w:rPr>
          <w:color w:val="000000" w:themeColor="text1"/>
          <w:sz w:val="28"/>
          <w:szCs w:val="28"/>
        </w:rPr>
        <w:t>1</w:t>
      </w:r>
      <w:r w:rsidRPr="004460CA">
        <w:rPr>
          <w:color w:val="000000" w:themeColor="text1"/>
          <w:sz w:val="28"/>
          <w:szCs w:val="28"/>
        </w:rPr>
        <w:t xml:space="preserve">. Признаками ухудшения </w:t>
      </w:r>
      <w:r w:rsidR="006C2052" w:rsidRPr="004460CA">
        <w:rPr>
          <w:color w:val="000000" w:themeColor="text1"/>
          <w:sz w:val="28"/>
          <w:szCs w:val="28"/>
        </w:rPr>
        <w:t xml:space="preserve">показателей </w:t>
      </w:r>
      <w:r w:rsidRPr="004460CA">
        <w:rPr>
          <w:color w:val="000000" w:themeColor="text1"/>
          <w:sz w:val="28"/>
          <w:szCs w:val="28"/>
        </w:rPr>
        <w:t>прибыльности являются:</w:t>
      </w:r>
    </w:p>
    <w:p w14:paraId="38C090CA" w14:textId="5FDC3195" w:rsidR="00E0045A" w:rsidRPr="004460CA" w:rsidRDefault="00E0045A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t xml:space="preserve">1) </w:t>
      </w:r>
      <w:r w:rsidR="00E3421D" w:rsidRPr="004460CA">
        <w:rPr>
          <w:color w:val="000000" w:themeColor="text1"/>
          <w:sz w:val="28"/>
          <w:szCs w:val="28"/>
        </w:rPr>
        <w:t>снижение</w:t>
      </w:r>
      <w:r w:rsidRPr="004460CA">
        <w:rPr>
          <w:color w:val="000000" w:themeColor="text1"/>
          <w:sz w:val="28"/>
          <w:szCs w:val="28"/>
        </w:rPr>
        <w:t xml:space="preserve"> показателя доходности активов</w:t>
      </w:r>
      <w:r w:rsidR="00E3421D" w:rsidRPr="004460CA">
        <w:rPr>
          <w:color w:val="000000" w:themeColor="text1"/>
          <w:sz w:val="28"/>
          <w:szCs w:val="28"/>
        </w:rPr>
        <w:t xml:space="preserve"> </w:t>
      </w:r>
      <w:r w:rsidR="00777541" w:rsidRPr="004460CA">
        <w:rPr>
          <w:color w:val="000000" w:themeColor="text1"/>
          <w:sz w:val="28"/>
          <w:szCs w:val="28"/>
        </w:rPr>
        <w:t xml:space="preserve">банка </w:t>
      </w:r>
      <w:r w:rsidR="00B113BF" w:rsidRPr="004460CA">
        <w:rPr>
          <w:color w:val="000000" w:themeColor="text1"/>
          <w:sz w:val="28"/>
          <w:szCs w:val="28"/>
        </w:rPr>
        <w:t xml:space="preserve">до значения ниже </w:t>
      </w:r>
      <w:r w:rsidR="009D0573" w:rsidRPr="004460CA">
        <w:rPr>
          <w:color w:val="000000" w:themeColor="text1"/>
          <w:sz w:val="28"/>
          <w:szCs w:val="28"/>
        </w:rPr>
        <w:t>установленного порогового значения</w:t>
      </w:r>
      <w:r w:rsidR="00B113BF" w:rsidRPr="004460CA">
        <w:rPr>
          <w:color w:val="000000" w:themeColor="text1"/>
          <w:sz w:val="28"/>
          <w:szCs w:val="28"/>
        </w:rPr>
        <w:t xml:space="preserve">, </w:t>
      </w:r>
      <w:r w:rsidR="00E3421D" w:rsidRPr="004460CA">
        <w:rPr>
          <w:color w:val="000000" w:themeColor="text1"/>
          <w:sz w:val="28"/>
          <w:szCs w:val="28"/>
        </w:rPr>
        <w:t xml:space="preserve">где данный показатель рассчитывается по следующей формуле: </w:t>
      </w:r>
    </w:p>
    <w:p w14:paraId="60C394C6" w14:textId="4A2F5528" w:rsidR="001560EE" w:rsidRPr="004460CA" w:rsidRDefault="001560EE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</w:p>
    <w:p w14:paraId="3A3DAB9E" w14:textId="54D4C59C" w:rsidR="001560EE" w:rsidRPr="004460CA" w:rsidRDefault="00B663A3" w:rsidP="00E23607">
      <w:pPr>
        <w:ind w:firstLine="709"/>
        <w:jc w:val="both"/>
        <w:rPr>
          <w:i/>
          <w:color w:val="000000" w:themeColor="text1"/>
          <w:szCs w:val="28"/>
          <w:lang w:bidi="ru-RU"/>
        </w:rPr>
      </w:pPr>
      <m:oMathPara>
        <m:oMath>
          <m:r>
            <w:rPr>
              <w:rFonts w:ascii="Cambria Math" w:hAnsi="Cambria Math"/>
              <w:color w:val="000000" w:themeColor="text1"/>
              <w:szCs w:val="28"/>
              <w:lang w:bidi="ru-RU"/>
            </w:rPr>
            <m:t xml:space="preserve">Доходность активов= 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  <w:szCs w:val="28"/>
                  <w:lang w:bidi="ru-RU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  <w:szCs w:val="28"/>
                  <w:lang w:bidi="ru-RU"/>
                </w:rPr>
                <m:t>НЧП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Cs w:val="28"/>
                      <w:lang w:bidi="ru-RU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Cs w:val="28"/>
                      <w:lang w:bidi="ru-RU"/>
                    </w:rPr>
                    <m:t>НУ</m:t>
                  </m:r>
                </m:e>
              </m:d>
              <m:r>
                <w:rPr>
                  <w:rFonts w:ascii="Cambria Math" w:hAnsi="Cambria Math"/>
                  <w:color w:val="000000" w:themeColor="text1"/>
                  <w:szCs w:val="28"/>
                  <w:lang w:bidi="ru-RU"/>
                </w:rPr>
                <m:t>-ННПД</m:t>
              </m:r>
            </m:num>
            <m:den>
              <m:r>
                <w:rPr>
                  <w:rFonts w:ascii="Cambria Math" w:hAnsi="Cambria Math"/>
                  <w:color w:val="000000" w:themeColor="text1"/>
                  <w:szCs w:val="28"/>
                  <w:lang w:bidi="ru-RU"/>
                </w:rPr>
                <m:t>Совокупные активы</m:t>
              </m:r>
            </m:den>
          </m:f>
        </m:oMath>
      </m:oMathPara>
    </w:p>
    <w:p w14:paraId="6AEDA629" w14:textId="77777777" w:rsidR="001560EE" w:rsidRPr="004460CA" w:rsidRDefault="001560EE" w:rsidP="00E23607">
      <w:pPr>
        <w:ind w:firstLine="709"/>
        <w:jc w:val="both"/>
        <w:rPr>
          <w:color w:val="000000" w:themeColor="text1"/>
          <w:sz w:val="28"/>
          <w:szCs w:val="28"/>
          <w:lang w:bidi="ru-RU"/>
        </w:rPr>
      </w:pPr>
      <w:r w:rsidRPr="004460CA">
        <w:rPr>
          <w:color w:val="000000" w:themeColor="text1"/>
          <w:sz w:val="28"/>
          <w:szCs w:val="28"/>
          <w:lang w:bidi="ru-RU"/>
        </w:rPr>
        <w:t>где:</w:t>
      </w:r>
    </w:p>
    <w:p w14:paraId="3A0C63F6" w14:textId="1678B901" w:rsidR="001560EE" w:rsidRPr="004460CA" w:rsidRDefault="001560EE" w:rsidP="00E23607">
      <w:pPr>
        <w:ind w:firstLine="709"/>
        <w:jc w:val="both"/>
        <w:rPr>
          <w:color w:val="000000" w:themeColor="text1"/>
          <w:sz w:val="28"/>
          <w:szCs w:val="28"/>
          <w:lang w:bidi="ru-RU"/>
        </w:rPr>
      </w:pPr>
      <w:r w:rsidRPr="004460CA">
        <w:rPr>
          <w:color w:val="000000" w:themeColor="text1"/>
          <w:sz w:val="28"/>
          <w:szCs w:val="28"/>
          <w:lang w:bidi="ru-RU"/>
        </w:rPr>
        <w:t xml:space="preserve">НЧП (НУ) </w:t>
      </w:r>
      <w:r w:rsidR="00777541" w:rsidRPr="004460CA">
        <w:rPr>
          <w:color w:val="000000" w:themeColor="text1"/>
          <w:sz w:val="28"/>
          <w:szCs w:val="28"/>
          <w:lang w:bidi="ru-RU"/>
        </w:rPr>
        <w:t>–</w:t>
      </w:r>
      <w:r w:rsidRPr="004460CA">
        <w:rPr>
          <w:color w:val="000000" w:themeColor="text1"/>
          <w:sz w:val="28"/>
          <w:szCs w:val="28"/>
          <w:lang w:bidi="ru-RU"/>
        </w:rPr>
        <w:t xml:space="preserve"> нераспределенная чистая прибыль (непокрытый убыток)</w:t>
      </w:r>
      <w:r w:rsidR="003D64D9" w:rsidRPr="004460CA">
        <w:rPr>
          <w:color w:val="000000" w:themeColor="text1"/>
          <w:sz w:val="28"/>
          <w:szCs w:val="28"/>
          <w:lang w:bidi="ru-RU"/>
        </w:rPr>
        <w:t xml:space="preserve"> за </w:t>
      </w:r>
      <w:r w:rsidR="00F83B22" w:rsidRPr="004460CA">
        <w:rPr>
          <w:color w:val="000000" w:themeColor="text1"/>
          <w:sz w:val="28"/>
          <w:szCs w:val="28"/>
          <w:lang w:bidi="ru-RU"/>
        </w:rPr>
        <w:t xml:space="preserve">последние </w:t>
      </w:r>
      <w:r w:rsidR="008F7814" w:rsidRPr="004460CA">
        <w:rPr>
          <w:color w:val="000000" w:themeColor="text1"/>
          <w:sz w:val="28"/>
          <w:szCs w:val="28"/>
          <w:lang w:bidi="ru-RU"/>
        </w:rPr>
        <w:t>двенадцать месяцев</w:t>
      </w:r>
      <w:r w:rsidRPr="004460CA">
        <w:rPr>
          <w:color w:val="000000" w:themeColor="text1"/>
          <w:sz w:val="28"/>
          <w:szCs w:val="28"/>
          <w:lang w:bidi="ru-RU"/>
        </w:rPr>
        <w:t>;</w:t>
      </w:r>
    </w:p>
    <w:p w14:paraId="0863B1F5" w14:textId="47AB6CC6" w:rsidR="001560EE" w:rsidRPr="004460CA" w:rsidRDefault="001560EE" w:rsidP="00E23607">
      <w:pPr>
        <w:ind w:firstLine="709"/>
        <w:jc w:val="both"/>
        <w:rPr>
          <w:color w:val="000000" w:themeColor="text1"/>
          <w:sz w:val="28"/>
          <w:szCs w:val="28"/>
          <w:lang w:bidi="ru-RU"/>
        </w:rPr>
      </w:pPr>
      <w:r w:rsidRPr="004460CA">
        <w:rPr>
          <w:color w:val="000000" w:themeColor="text1"/>
          <w:sz w:val="28"/>
          <w:szCs w:val="28"/>
          <w:lang w:bidi="ru-RU"/>
        </w:rPr>
        <w:t>ННПД – начисленный, но неполученный процентный доход – разница между начисленными процентными доходами из отчета о прибылях и убытках и полученными процентными доходами из отчета о движении денежных средств</w:t>
      </w:r>
      <w:r w:rsidR="003D64D9" w:rsidRPr="004460CA">
        <w:rPr>
          <w:color w:val="000000" w:themeColor="text1"/>
          <w:sz w:val="28"/>
          <w:szCs w:val="28"/>
          <w:lang w:bidi="ru-RU"/>
        </w:rPr>
        <w:t xml:space="preserve"> </w:t>
      </w:r>
      <w:r w:rsidR="008F7814" w:rsidRPr="004460CA">
        <w:rPr>
          <w:color w:val="000000" w:themeColor="text1"/>
          <w:sz w:val="28"/>
          <w:szCs w:val="28"/>
          <w:lang w:bidi="ru-RU"/>
        </w:rPr>
        <w:t>за последние двенадцать месяцев</w:t>
      </w:r>
      <w:r w:rsidRPr="004460CA">
        <w:rPr>
          <w:color w:val="000000" w:themeColor="text1"/>
          <w:sz w:val="28"/>
          <w:szCs w:val="28"/>
          <w:lang w:bidi="ru-RU"/>
        </w:rPr>
        <w:t>;</w:t>
      </w:r>
    </w:p>
    <w:p w14:paraId="73AEB275" w14:textId="0B1ADB44" w:rsidR="001560EE" w:rsidRPr="004460CA" w:rsidRDefault="001560EE" w:rsidP="00E23607">
      <w:pPr>
        <w:ind w:firstLine="709"/>
        <w:jc w:val="both"/>
        <w:rPr>
          <w:color w:val="000000" w:themeColor="text1"/>
          <w:sz w:val="28"/>
          <w:szCs w:val="28"/>
          <w:lang w:bidi="ru-RU"/>
        </w:rPr>
      </w:pPr>
      <w:r w:rsidRPr="004460CA">
        <w:rPr>
          <w:color w:val="000000" w:themeColor="text1"/>
          <w:sz w:val="28"/>
          <w:szCs w:val="28"/>
          <w:lang w:bidi="ru-RU"/>
        </w:rPr>
        <w:t xml:space="preserve">Совокупные активы – среднее значение совокупных активов </w:t>
      </w:r>
      <w:r w:rsidR="008F7814" w:rsidRPr="004460CA">
        <w:rPr>
          <w:color w:val="000000" w:themeColor="text1"/>
          <w:sz w:val="28"/>
          <w:szCs w:val="28"/>
          <w:lang w:bidi="ru-RU"/>
        </w:rPr>
        <w:t>за последние двенадцать месяцев</w:t>
      </w:r>
      <w:r w:rsidRPr="004460CA">
        <w:rPr>
          <w:color w:val="000000" w:themeColor="text1"/>
          <w:sz w:val="28"/>
          <w:szCs w:val="28"/>
          <w:lang w:bidi="ru-RU"/>
        </w:rPr>
        <w:t>;</w:t>
      </w:r>
    </w:p>
    <w:p w14:paraId="3FA214BA" w14:textId="2610E7FC" w:rsidR="00A33302" w:rsidRPr="004460CA" w:rsidRDefault="00607423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t>2</w:t>
      </w:r>
      <w:r w:rsidR="00A33302" w:rsidRPr="004460CA">
        <w:rPr>
          <w:color w:val="000000" w:themeColor="text1"/>
          <w:sz w:val="28"/>
          <w:szCs w:val="28"/>
        </w:rPr>
        <w:t xml:space="preserve">) снижение </w:t>
      </w:r>
      <w:r w:rsidR="00235F49" w:rsidRPr="004460CA">
        <w:rPr>
          <w:color w:val="000000" w:themeColor="text1"/>
          <w:sz w:val="28"/>
          <w:szCs w:val="28"/>
        </w:rPr>
        <w:t xml:space="preserve">процентного спреда </w:t>
      </w:r>
      <w:r w:rsidR="00A33302" w:rsidRPr="004460CA">
        <w:rPr>
          <w:color w:val="000000" w:themeColor="text1"/>
          <w:sz w:val="28"/>
          <w:szCs w:val="28"/>
        </w:rPr>
        <w:t xml:space="preserve">до значения ниже </w:t>
      </w:r>
      <w:r w:rsidR="009D0573" w:rsidRPr="004460CA">
        <w:rPr>
          <w:color w:val="000000" w:themeColor="text1"/>
          <w:sz w:val="28"/>
          <w:szCs w:val="28"/>
        </w:rPr>
        <w:t xml:space="preserve">установленного порогового значения </w:t>
      </w:r>
      <w:r w:rsidRPr="004460CA">
        <w:rPr>
          <w:color w:val="000000" w:themeColor="text1"/>
          <w:sz w:val="28"/>
          <w:szCs w:val="28"/>
        </w:rPr>
        <w:t>при одновременном выполнении условия, что доля непроцентных доходов от общего объема доходов банка ниже уровня, установленного Приложением 1</w:t>
      </w:r>
      <w:r w:rsidR="00D81E57" w:rsidRPr="004460CA">
        <w:rPr>
          <w:color w:val="000000" w:themeColor="text1"/>
          <w:sz w:val="28"/>
          <w:szCs w:val="28"/>
        </w:rPr>
        <w:t xml:space="preserve"> к Признакам ухудшения</w:t>
      </w:r>
      <w:r w:rsidR="00F719E1" w:rsidRPr="004460CA">
        <w:rPr>
          <w:color w:val="000000" w:themeColor="text1"/>
          <w:sz w:val="28"/>
          <w:szCs w:val="28"/>
        </w:rPr>
        <w:t>, за отчетный период</w:t>
      </w:r>
      <w:r w:rsidR="00A33302" w:rsidRPr="004460CA">
        <w:rPr>
          <w:color w:val="000000" w:themeColor="text1"/>
          <w:sz w:val="28"/>
          <w:szCs w:val="28"/>
        </w:rPr>
        <w:t xml:space="preserve">. </w:t>
      </w:r>
    </w:p>
    <w:p w14:paraId="71A07773" w14:textId="65785F9A" w:rsidR="007B71AA" w:rsidRPr="004460CA" w:rsidRDefault="007B71AA" w:rsidP="00E23607">
      <w:pPr>
        <w:widowControl w:val="0"/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4460CA">
        <w:rPr>
          <w:color w:val="000000" w:themeColor="text1"/>
          <w:sz w:val="28"/>
          <w:szCs w:val="28"/>
          <w:lang w:val="kk-KZ"/>
        </w:rPr>
        <w:t>Для целей настоящего подпункта процентный спред –</w:t>
      </w:r>
      <w:r w:rsidR="005F34C4" w:rsidRPr="004460CA">
        <w:rPr>
          <w:color w:val="000000" w:themeColor="text1"/>
          <w:sz w:val="28"/>
          <w:szCs w:val="28"/>
          <w:lang w:val="kk-KZ"/>
        </w:rPr>
        <w:t xml:space="preserve"> </w:t>
      </w:r>
      <w:r w:rsidR="005F34C4" w:rsidRPr="004460CA">
        <w:rPr>
          <w:color w:val="000000" w:themeColor="text1"/>
          <w:sz w:val="28"/>
          <w:szCs w:val="28"/>
        </w:rPr>
        <w:t>это разница между средней доходностью активов, приносящих доход, и средней стоимостью обязательств, связанных с выплатой вознаграждения.</w:t>
      </w:r>
    </w:p>
    <w:p w14:paraId="06065BF9" w14:textId="4D4C7FD8" w:rsidR="00C73E65" w:rsidRPr="004460CA" w:rsidRDefault="00C73E65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t xml:space="preserve">3) превышение установленного </w:t>
      </w:r>
      <w:r w:rsidR="003B0A78" w:rsidRPr="004460CA">
        <w:rPr>
          <w:color w:val="000000" w:themeColor="text1"/>
          <w:sz w:val="28"/>
          <w:szCs w:val="28"/>
        </w:rPr>
        <w:t xml:space="preserve">порогового значения </w:t>
      </w:r>
      <w:r w:rsidRPr="004460CA">
        <w:rPr>
          <w:color w:val="000000" w:themeColor="text1"/>
          <w:sz w:val="28"/>
          <w:szCs w:val="28"/>
        </w:rPr>
        <w:t>показателя соотношения суммы операционных расходов к сумме операционных доходов банка, где данный показатель рассчитывается по следующей формуле:</w:t>
      </w:r>
    </w:p>
    <w:p w14:paraId="4A9816B4" w14:textId="77777777" w:rsidR="003B0A78" w:rsidRPr="004460CA" w:rsidRDefault="003B0A78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</w:p>
    <w:p w14:paraId="4EA2A311" w14:textId="256137CA" w:rsidR="003B0A78" w:rsidRPr="004460CA" w:rsidRDefault="003B0A78" w:rsidP="00E23607">
      <w:pPr>
        <w:ind w:firstLine="709"/>
        <w:jc w:val="both"/>
        <w:rPr>
          <w:color w:val="000000" w:themeColor="text1"/>
          <w:szCs w:val="28"/>
          <w:lang w:bidi="ru-RU"/>
        </w:rPr>
      </w:pPr>
      <m:oMathPara>
        <m:oMath>
          <m:r>
            <w:rPr>
              <w:rFonts w:ascii="Cambria Math" w:hAnsi="Cambria Math"/>
              <w:color w:val="000000" w:themeColor="text1"/>
              <w:szCs w:val="28"/>
              <w:lang w:val="en-US" w:bidi="ru-RU"/>
            </w:rPr>
            <m:t xml:space="preserve">Отношение операционных расходов к доходам= 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  <w:szCs w:val="28"/>
                  <w:lang w:val="en-US" w:bidi="ru-RU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  <w:szCs w:val="28"/>
                  <w:lang w:bidi="ru-RU"/>
                </w:rPr>
                <m:t xml:space="preserve">Операционные расходы 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Cs w:val="28"/>
                  <w:lang w:bidi="ru-RU"/>
                </w:rPr>
                <m:t xml:space="preserve">Операционные доходы </m:t>
              </m:r>
            </m:den>
          </m:f>
        </m:oMath>
      </m:oMathPara>
    </w:p>
    <w:p w14:paraId="3D030466" w14:textId="03F2F89D" w:rsidR="00C73E65" w:rsidRPr="004460CA" w:rsidRDefault="00C73E65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</w:p>
    <w:p w14:paraId="3C2D9EBD" w14:textId="77777777" w:rsidR="00C73E65" w:rsidRPr="004460CA" w:rsidRDefault="00C73E65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lastRenderedPageBreak/>
        <w:t>где:</w:t>
      </w:r>
    </w:p>
    <w:p w14:paraId="3D2F8AEF" w14:textId="77777777" w:rsidR="00C73E65" w:rsidRPr="004460CA" w:rsidRDefault="00C73E65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t>под операционными расходами включаются расходы по оплате труда и обязательным отчислениям, общехозяйственные расходы, налоги и другие обязательные платежи в бюджет, кроме КПН, амортизационные отчисления; расходы по аренде; расходы от акцептов; расходы по полученным банком гарантиям.</w:t>
      </w:r>
    </w:p>
    <w:p w14:paraId="24495076" w14:textId="1CC57615" w:rsidR="00C73E65" w:rsidRPr="004460CA" w:rsidRDefault="00C73E65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t>под операционными доходами понимаются чистый процентный доход, скорректированный на сумму ННППД; чистый комиссионный доход, чистый доход по финансовым операциям (разница между доходами и расходами, связанными с положительной/отрицательной корректировкой, дилинговыми операциями, переоценкой, продажами финансовых инструментов, с изменением доли участия в уставном капитале юридических лиц)</w:t>
      </w:r>
      <w:r w:rsidR="003B0A78" w:rsidRPr="004460CA">
        <w:rPr>
          <w:color w:val="000000" w:themeColor="text1"/>
          <w:sz w:val="28"/>
          <w:szCs w:val="28"/>
        </w:rPr>
        <w:t>.</w:t>
      </w:r>
    </w:p>
    <w:p w14:paraId="176CE0E2" w14:textId="1469146E" w:rsidR="00551E7B" w:rsidRPr="004460CA" w:rsidRDefault="00DF6220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t>1</w:t>
      </w:r>
      <w:r w:rsidR="006C2052" w:rsidRPr="004460CA">
        <w:rPr>
          <w:color w:val="000000" w:themeColor="text1"/>
          <w:sz w:val="28"/>
          <w:szCs w:val="28"/>
        </w:rPr>
        <w:t>2</w:t>
      </w:r>
      <w:r w:rsidRPr="004460CA">
        <w:rPr>
          <w:color w:val="000000" w:themeColor="text1"/>
          <w:sz w:val="28"/>
          <w:szCs w:val="28"/>
        </w:rPr>
        <w:t>. К иным показателям, характеризующим ухудшение финансовой устойчивости банка</w:t>
      </w:r>
      <w:r w:rsidR="00551E7B" w:rsidRPr="004460CA">
        <w:rPr>
          <w:color w:val="000000" w:themeColor="text1"/>
          <w:sz w:val="28"/>
          <w:szCs w:val="28"/>
        </w:rPr>
        <w:t xml:space="preserve"> относится понижение кредитного рейтинга банка или его выпусков ценных бумаг, присвоенного рейтинговыми агентствами, признаваемыми в соответствии с Пруденциальными нормативами, на количество </w:t>
      </w:r>
      <w:r w:rsidR="00F719E1" w:rsidRPr="004460CA">
        <w:rPr>
          <w:color w:val="000000" w:themeColor="text1"/>
          <w:sz w:val="28"/>
          <w:szCs w:val="28"/>
        </w:rPr>
        <w:t>ступеней</w:t>
      </w:r>
      <w:r w:rsidR="00551E7B" w:rsidRPr="004460CA">
        <w:rPr>
          <w:color w:val="000000" w:themeColor="text1"/>
          <w:sz w:val="28"/>
          <w:szCs w:val="28"/>
        </w:rPr>
        <w:t>, установленных Приложением 1 к Признакам ухудшения, за исключением случаев, когда такое снижение обусловлено:</w:t>
      </w:r>
    </w:p>
    <w:p w14:paraId="46FBF9BF" w14:textId="77777777" w:rsidR="00551E7B" w:rsidRPr="004460CA" w:rsidRDefault="00551E7B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t>понижением суверенного кредитного рейтинга государства, в юрисдикции которого зарегистрирован банк, при условии, что снижение рейтинга банка не превышает по величине снижение соответствующего суверенного рейтинга;</w:t>
      </w:r>
    </w:p>
    <w:p w14:paraId="4BA8DE57" w14:textId="0CDEE237" w:rsidR="00551E7B" w:rsidRPr="004460CA" w:rsidRDefault="00551E7B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t xml:space="preserve">изменением страновых или макроэкономических факторов, затрагивающих </w:t>
      </w:r>
      <w:r w:rsidR="003779A0" w:rsidRPr="004460CA">
        <w:rPr>
          <w:color w:val="000000" w:themeColor="text1"/>
          <w:sz w:val="28"/>
          <w:szCs w:val="28"/>
        </w:rPr>
        <w:t xml:space="preserve">в совокупности </w:t>
      </w:r>
      <w:r w:rsidRPr="004460CA">
        <w:rPr>
          <w:color w:val="000000" w:themeColor="text1"/>
          <w:sz w:val="28"/>
          <w:szCs w:val="28"/>
        </w:rPr>
        <w:t>банковский сектор.</w:t>
      </w:r>
    </w:p>
    <w:p w14:paraId="074068E0" w14:textId="77777777" w:rsidR="002722AC" w:rsidRPr="004460CA" w:rsidRDefault="002722AC" w:rsidP="00E23607">
      <w:pPr>
        <w:widowControl w:val="0"/>
        <w:jc w:val="center"/>
        <w:rPr>
          <w:color w:val="000000" w:themeColor="text1"/>
          <w:sz w:val="28"/>
          <w:szCs w:val="28"/>
        </w:rPr>
      </w:pPr>
    </w:p>
    <w:p w14:paraId="3630AB76" w14:textId="77777777" w:rsidR="003805E2" w:rsidRPr="004460CA" w:rsidRDefault="003805E2" w:rsidP="00E23607">
      <w:pPr>
        <w:widowControl w:val="0"/>
        <w:jc w:val="center"/>
        <w:rPr>
          <w:b/>
          <w:color w:val="000000" w:themeColor="text1"/>
          <w:sz w:val="28"/>
          <w:szCs w:val="28"/>
        </w:rPr>
      </w:pPr>
    </w:p>
    <w:p w14:paraId="5F97C491" w14:textId="76FA33FB" w:rsidR="00B541FB" w:rsidRPr="004460CA" w:rsidRDefault="00B541FB" w:rsidP="00E23607">
      <w:pPr>
        <w:widowControl w:val="0"/>
        <w:jc w:val="center"/>
        <w:rPr>
          <w:b/>
          <w:color w:val="000000" w:themeColor="text1"/>
          <w:sz w:val="28"/>
          <w:szCs w:val="28"/>
        </w:rPr>
      </w:pPr>
      <w:r w:rsidRPr="004460CA">
        <w:rPr>
          <w:b/>
          <w:color w:val="000000" w:themeColor="text1"/>
          <w:sz w:val="28"/>
          <w:szCs w:val="28"/>
        </w:rPr>
        <w:t>Глава 3. Признаки ухудшения финансовой устойчивости</w:t>
      </w:r>
      <w:r w:rsidR="003F1ECF" w:rsidRPr="004460CA">
        <w:rPr>
          <w:b/>
          <w:color w:val="000000" w:themeColor="text1"/>
          <w:sz w:val="28"/>
          <w:szCs w:val="28"/>
        </w:rPr>
        <w:t xml:space="preserve"> банка</w:t>
      </w:r>
      <w:r w:rsidRPr="004460CA">
        <w:rPr>
          <w:b/>
          <w:color w:val="000000" w:themeColor="text1"/>
          <w:sz w:val="28"/>
          <w:szCs w:val="28"/>
        </w:rPr>
        <w:t xml:space="preserve"> на основании качественных показателей</w:t>
      </w:r>
    </w:p>
    <w:p w14:paraId="5C5CE31D" w14:textId="77777777" w:rsidR="00B541FB" w:rsidRPr="004460CA" w:rsidRDefault="00B541FB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</w:p>
    <w:p w14:paraId="311E5EDC" w14:textId="6419B868" w:rsidR="00807138" w:rsidRPr="004460CA" w:rsidRDefault="00B541FB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t>1</w:t>
      </w:r>
      <w:r w:rsidR="000F784C" w:rsidRPr="004460CA">
        <w:rPr>
          <w:color w:val="000000" w:themeColor="text1"/>
          <w:sz w:val="28"/>
          <w:szCs w:val="28"/>
        </w:rPr>
        <w:t>3</w:t>
      </w:r>
      <w:r w:rsidRPr="004460CA">
        <w:rPr>
          <w:color w:val="000000" w:themeColor="text1"/>
          <w:sz w:val="28"/>
          <w:szCs w:val="28"/>
        </w:rPr>
        <w:t xml:space="preserve">. </w:t>
      </w:r>
      <w:r w:rsidR="001B4701" w:rsidRPr="004460CA">
        <w:rPr>
          <w:color w:val="000000" w:themeColor="text1"/>
          <w:sz w:val="28"/>
          <w:szCs w:val="28"/>
        </w:rPr>
        <w:t>Перечень качественных показателей, характеризующих признаки ухудшения финансовой устойчивости банка, установлен Приложением 4 к Признакам ухудшения.</w:t>
      </w:r>
    </w:p>
    <w:p w14:paraId="789F8EE5" w14:textId="6FF27784" w:rsidR="005A6403" w:rsidRPr="004460CA" w:rsidRDefault="001B4701" w:rsidP="00E23607">
      <w:pPr>
        <w:widowControl w:val="0"/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4460CA">
        <w:rPr>
          <w:color w:val="000000" w:themeColor="text1"/>
          <w:sz w:val="28"/>
          <w:szCs w:val="28"/>
        </w:rPr>
        <w:t xml:space="preserve">14. </w:t>
      </w:r>
      <w:r w:rsidR="00B541FB" w:rsidRPr="004460CA">
        <w:rPr>
          <w:color w:val="000000" w:themeColor="text1"/>
          <w:sz w:val="28"/>
          <w:szCs w:val="28"/>
        </w:rPr>
        <w:t>Уполномоченный орган вправе применять режим усиленного надзора при</w:t>
      </w:r>
      <w:r w:rsidR="002F23A3" w:rsidRPr="004460CA">
        <w:rPr>
          <w:color w:val="000000" w:themeColor="text1"/>
          <w:sz w:val="28"/>
          <w:szCs w:val="28"/>
        </w:rPr>
        <w:t xml:space="preserve"> </w:t>
      </w:r>
      <w:r w:rsidR="009B568A" w:rsidRPr="004460CA">
        <w:rPr>
          <w:color w:val="000000" w:themeColor="text1"/>
          <w:sz w:val="28"/>
          <w:szCs w:val="28"/>
        </w:rPr>
        <w:t xml:space="preserve">выявлении </w:t>
      </w:r>
      <w:r w:rsidR="00471A88" w:rsidRPr="004460CA">
        <w:rPr>
          <w:color w:val="000000" w:themeColor="text1"/>
          <w:sz w:val="28"/>
          <w:szCs w:val="28"/>
        </w:rPr>
        <w:t xml:space="preserve">любого из </w:t>
      </w:r>
      <w:r w:rsidR="009B568A" w:rsidRPr="004460CA">
        <w:rPr>
          <w:color w:val="000000" w:themeColor="text1"/>
          <w:sz w:val="28"/>
          <w:szCs w:val="28"/>
        </w:rPr>
        <w:t>следующих признаков ухудшения финансовой устойчивости</w:t>
      </w:r>
      <w:r w:rsidR="00491F73" w:rsidRPr="004460CA">
        <w:rPr>
          <w:color w:val="000000" w:themeColor="text1"/>
          <w:sz w:val="28"/>
          <w:szCs w:val="28"/>
          <w:lang w:val="kk-KZ"/>
        </w:rPr>
        <w:t>:</w:t>
      </w:r>
    </w:p>
    <w:p w14:paraId="07365D37" w14:textId="411CDEEF" w:rsidR="005A6403" w:rsidRPr="004460CA" w:rsidRDefault="005A6403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t>1) существенные недостатки в корпоративном управлении и (или) системе управления рисками и внутреннего контроля банка, которые существенно негативно влияют на финансовую устойчивость банка;</w:t>
      </w:r>
    </w:p>
    <w:p w14:paraId="50C54BE2" w14:textId="3B96E579" w:rsidR="005A6403" w:rsidRPr="004460CA" w:rsidRDefault="005A6403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t>2) наличие существенных искажений в регуляторной или финансовой отчетности банка, в том числе преднамеренное искажение или непризнание убытков, манипулирование учетной политикой;</w:t>
      </w:r>
    </w:p>
    <w:p w14:paraId="4EEBC10A" w14:textId="1D09FFB1" w:rsidR="00B541FB" w:rsidRPr="004460CA" w:rsidRDefault="005A6403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t>3)</w:t>
      </w:r>
      <w:r w:rsidR="00B541FB" w:rsidRPr="004460CA">
        <w:rPr>
          <w:color w:val="000000" w:themeColor="text1"/>
          <w:sz w:val="28"/>
          <w:szCs w:val="28"/>
        </w:rPr>
        <w:t xml:space="preserve"> </w:t>
      </w:r>
      <w:r w:rsidR="0011129F" w:rsidRPr="004460CA">
        <w:rPr>
          <w:color w:val="000000" w:themeColor="text1"/>
          <w:sz w:val="28"/>
          <w:szCs w:val="28"/>
        </w:rPr>
        <w:t xml:space="preserve">в случае </w:t>
      </w:r>
      <w:r w:rsidR="00B541FB" w:rsidRPr="004460CA">
        <w:rPr>
          <w:color w:val="000000" w:themeColor="text1"/>
          <w:sz w:val="28"/>
          <w:szCs w:val="28"/>
        </w:rPr>
        <w:t>выявлени</w:t>
      </w:r>
      <w:r w:rsidR="0011129F" w:rsidRPr="004460CA">
        <w:rPr>
          <w:color w:val="000000" w:themeColor="text1"/>
          <w:sz w:val="28"/>
          <w:szCs w:val="28"/>
        </w:rPr>
        <w:t>я</w:t>
      </w:r>
      <w:r w:rsidR="00B541FB" w:rsidRPr="004460CA">
        <w:rPr>
          <w:color w:val="000000" w:themeColor="text1"/>
          <w:sz w:val="28"/>
          <w:szCs w:val="28"/>
        </w:rPr>
        <w:t xml:space="preserve"> уполномоченным органом в рамках надзорных функций признаков, которые могут привести к созданию положения, угрожающего финансовой устойчивости банка, и (или) правам и законным интересам его депозиторов, иных кредиторов и клиентов и (или) стабильности финансовой </w:t>
      </w:r>
      <w:r w:rsidR="00B541FB" w:rsidRPr="004460CA">
        <w:rPr>
          <w:color w:val="000000" w:themeColor="text1"/>
          <w:sz w:val="28"/>
          <w:szCs w:val="28"/>
        </w:rPr>
        <w:lastRenderedPageBreak/>
        <w:t>системы</w:t>
      </w:r>
      <w:r w:rsidR="00715174" w:rsidRPr="004460CA">
        <w:rPr>
          <w:color w:val="000000" w:themeColor="text1"/>
          <w:sz w:val="28"/>
          <w:szCs w:val="28"/>
        </w:rPr>
        <w:t>.</w:t>
      </w:r>
    </w:p>
    <w:p w14:paraId="3DC1A9CF" w14:textId="78B864C9" w:rsidR="00B541FB" w:rsidRPr="004460CA" w:rsidRDefault="00B541FB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t>1</w:t>
      </w:r>
      <w:r w:rsidR="001B4701" w:rsidRPr="004460CA">
        <w:rPr>
          <w:color w:val="000000" w:themeColor="text1"/>
          <w:sz w:val="28"/>
          <w:szCs w:val="28"/>
        </w:rPr>
        <w:t>5</w:t>
      </w:r>
      <w:r w:rsidRPr="004460CA">
        <w:rPr>
          <w:color w:val="000000" w:themeColor="text1"/>
          <w:sz w:val="28"/>
          <w:szCs w:val="28"/>
        </w:rPr>
        <w:t xml:space="preserve">. Уполномоченный орган вправе применять режим восстановления финансовой устойчивости при выявлении </w:t>
      </w:r>
      <w:r w:rsidR="005A37E5" w:rsidRPr="004460CA">
        <w:rPr>
          <w:color w:val="000000" w:themeColor="text1"/>
          <w:sz w:val="28"/>
          <w:szCs w:val="28"/>
        </w:rPr>
        <w:t xml:space="preserve">любого из </w:t>
      </w:r>
      <w:r w:rsidRPr="004460CA">
        <w:rPr>
          <w:color w:val="000000" w:themeColor="text1"/>
          <w:sz w:val="28"/>
          <w:szCs w:val="28"/>
        </w:rPr>
        <w:t>следующих признаков ухудшения финансовой устойчивости:</w:t>
      </w:r>
    </w:p>
    <w:p w14:paraId="499C2FE2" w14:textId="77777777" w:rsidR="00B541FB" w:rsidRPr="004460CA" w:rsidRDefault="00B541FB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t>1) неисполнение банком денежных обязательств перед депозиторами и кредиторами в связи с отсутствием или недостаточностью денег;</w:t>
      </w:r>
    </w:p>
    <w:p w14:paraId="07E5C819" w14:textId="77777777" w:rsidR="00B541FB" w:rsidRPr="004460CA" w:rsidRDefault="00B541FB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t>2) ненадлежащее исполнение банком договорных обязательств по переводным операциям в связи с отсутствием или недостаточностью денег;</w:t>
      </w:r>
    </w:p>
    <w:p w14:paraId="153A1624" w14:textId="6A0C3CFC" w:rsidR="00B541FB" w:rsidRPr="004460CA" w:rsidRDefault="005A6403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t>3</w:t>
      </w:r>
      <w:r w:rsidR="00B541FB" w:rsidRPr="004460CA">
        <w:rPr>
          <w:color w:val="000000" w:themeColor="text1"/>
          <w:sz w:val="28"/>
          <w:szCs w:val="28"/>
        </w:rPr>
        <w:t>) существенные недостатки в корпоративном управлении и (или) системе управления рисками и внутреннего контроля банка, которые существенно негативно влияют на финансовую устойчивость банка;</w:t>
      </w:r>
    </w:p>
    <w:p w14:paraId="70701940" w14:textId="7933287F" w:rsidR="00B541FB" w:rsidRPr="004460CA" w:rsidRDefault="005A6403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t>4</w:t>
      </w:r>
      <w:r w:rsidR="00B541FB" w:rsidRPr="004460CA">
        <w:rPr>
          <w:color w:val="000000" w:themeColor="text1"/>
          <w:sz w:val="28"/>
          <w:szCs w:val="28"/>
        </w:rPr>
        <w:t>) наличие существенных искажений в регуляторной или финансовой отчетности банка, в том числе преднамеренное искажение или непризнание убытков, манипулирование учетной политикой;</w:t>
      </w:r>
    </w:p>
    <w:p w14:paraId="1785929B" w14:textId="7C0C91DF" w:rsidR="00B541FB" w:rsidRPr="004460CA" w:rsidRDefault="005A6403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t>5</w:t>
      </w:r>
      <w:r w:rsidR="00B541FB" w:rsidRPr="004460CA">
        <w:rPr>
          <w:color w:val="000000" w:themeColor="text1"/>
          <w:sz w:val="28"/>
          <w:szCs w:val="28"/>
        </w:rPr>
        <w:t>) выявление уполномоченным органом в рамках надзорных функций признаков, которые могут привести к созданию положения, угрожающего финансовой устойчивости банка и (или) правам и законным интересам его депозиторов, иных кредиторов, клиентов и корреспондентов и (или) стабильности финансовой системы;</w:t>
      </w:r>
    </w:p>
    <w:p w14:paraId="4FC7A36A" w14:textId="37AE0B1C" w:rsidR="00B541FB" w:rsidRPr="004460CA" w:rsidRDefault="005A6403" w:rsidP="00E23607">
      <w:pPr>
        <w:widowControl w:val="0"/>
        <w:ind w:firstLine="709"/>
        <w:jc w:val="both"/>
        <w:rPr>
          <w:color w:val="000000" w:themeColor="text1"/>
          <w:sz w:val="28"/>
          <w:lang w:val="kk-KZ"/>
        </w:rPr>
      </w:pPr>
      <w:r w:rsidRPr="004460CA">
        <w:rPr>
          <w:color w:val="000000" w:themeColor="text1"/>
          <w:sz w:val="28"/>
          <w:szCs w:val="28"/>
        </w:rPr>
        <w:t>6</w:t>
      </w:r>
      <w:r w:rsidR="00B541FB" w:rsidRPr="004460CA">
        <w:rPr>
          <w:color w:val="000000" w:themeColor="text1"/>
          <w:sz w:val="28"/>
          <w:szCs w:val="28"/>
        </w:rPr>
        <w:t xml:space="preserve">) неисполнение мер по улучшению финансового состояния и (или) минимизации рисков, предусмотренных статьей 80 </w:t>
      </w:r>
      <w:r w:rsidR="00D81E57" w:rsidRPr="004460CA">
        <w:rPr>
          <w:color w:val="000000" w:themeColor="text1"/>
          <w:sz w:val="28"/>
          <w:szCs w:val="28"/>
        </w:rPr>
        <w:t>Закона о банках</w:t>
      </w:r>
      <w:r w:rsidR="00B541FB" w:rsidRPr="004460CA">
        <w:rPr>
          <w:color w:val="000000" w:themeColor="text1"/>
          <w:sz w:val="28"/>
          <w:szCs w:val="28"/>
        </w:rPr>
        <w:t>, и (или) принудительных мер надзорного реагирования, предусмотренных статьей 81</w:t>
      </w:r>
      <w:r w:rsidR="006441D5" w:rsidRPr="004460CA">
        <w:rPr>
          <w:color w:val="000000" w:themeColor="text1"/>
          <w:sz w:val="28"/>
          <w:szCs w:val="28"/>
        </w:rPr>
        <w:t xml:space="preserve"> Закона о банках</w:t>
      </w:r>
      <w:r w:rsidR="000F784C" w:rsidRPr="004460CA">
        <w:rPr>
          <w:color w:val="000000" w:themeColor="text1"/>
          <w:sz w:val="28"/>
          <w:szCs w:val="28"/>
        </w:rPr>
        <w:t>.</w:t>
      </w:r>
    </w:p>
    <w:p w14:paraId="7E1153F9" w14:textId="2B17269B" w:rsidR="003B0A78" w:rsidRPr="004460CA" w:rsidRDefault="006A1076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t>1</w:t>
      </w:r>
      <w:r w:rsidR="001B4701" w:rsidRPr="004460CA">
        <w:rPr>
          <w:color w:val="000000" w:themeColor="text1"/>
          <w:sz w:val="28"/>
          <w:szCs w:val="28"/>
        </w:rPr>
        <w:t>6</w:t>
      </w:r>
      <w:r w:rsidR="00B541FB" w:rsidRPr="004460CA">
        <w:rPr>
          <w:color w:val="000000" w:themeColor="text1"/>
          <w:sz w:val="28"/>
          <w:szCs w:val="28"/>
        </w:rPr>
        <w:t xml:space="preserve">. </w:t>
      </w:r>
      <w:r w:rsidR="00756DF3" w:rsidRPr="004460CA">
        <w:rPr>
          <w:color w:val="000000" w:themeColor="text1"/>
          <w:sz w:val="28"/>
          <w:szCs w:val="28"/>
        </w:rPr>
        <w:t>Уполномоченный орган вправе применять режим урегулирования по результатам оценки жизнеспособности банка, проведенной в соответствии со статьей 91 Закона о банках при выявлении любого из оснований, предусмотренных пунктом 2 статьи 91 Закона о банках, в случае если указанная оценка подтверждает возможность и целесообразность применения к банку инструментов урегулирования по сравнению с принудительной ликвидацией банка.</w:t>
      </w:r>
    </w:p>
    <w:p w14:paraId="3230E18D" w14:textId="77777777" w:rsidR="00756DF3" w:rsidRPr="004460CA" w:rsidRDefault="00756DF3" w:rsidP="00E23607">
      <w:pPr>
        <w:widowControl w:val="0"/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7FF10D5E" w14:textId="1293ECF5" w:rsidR="0040139C" w:rsidRPr="004460CA" w:rsidRDefault="0040139C" w:rsidP="00E23607">
      <w:pPr>
        <w:widowControl w:val="0"/>
        <w:ind w:firstLine="709"/>
        <w:jc w:val="center"/>
        <w:rPr>
          <w:b/>
          <w:color w:val="000000" w:themeColor="text1"/>
          <w:sz w:val="28"/>
          <w:szCs w:val="28"/>
        </w:rPr>
      </w:pPr>
      <w:r w:rsidRPr="004460CA">
        <w:rPr>
          <w:b/>
          <w:color w:val="000000" w:themeColor="text1"/>
          <w:sz w:val="28"/>
          <w:szCs w:val="28"/>
        </w:rPr>
        <w:t>Глава 4</w:t>
      </w:r>
      <w:r w:rsidR="00DD4B4C" w:rsidRPr="004460CA">
        <w:rPr>
          <w:b/>
          <w:color w:val="000000" w:themeColor="text1"/>
          <w:sz w:val="28"/>
          <w:szCs w:val="28"/>
        </w:rPr>
        <w:t>.</w:t>
      </w:r>
      <w:r w:rsidR="00542EEA" w:rsidRPr="004460CA">
        <w:rPr>
          <w:b/>
          <w:color w:val="000000" w:themeColor="text1"/>
        </w:rPr>
        <w:t xml:space="preserve"> </w:t>
      </w:r>
      <w:r w:rsidR="00542EEA" w:rsidRPr="004460CA">
        <w:rPr>
          <w:b/>
          <w:color w:val="000000" w:themeColor="text1"/>
          <w:sz w:val="28"/>
          <w:szCs w:val="28"/>
        </w:rPr>
        <w:t xml:space="preserve">Порядок </w:t>
      </w:r>
      <w:r w:rsidR="00170143" w:rsidRPr="004460CA">
        <w:rPr>
          <w:b/>
          <w:color w:val="000000" w:themeColor="text1"/>
          <w:sz w:val="28"/>
          <w:szCs w:val="28"/>
        </w:rPr>
        <w:t xml:space="preserve">расчета и </w:t>
      </w:r>
      <w:r w:rsidR="00542EEA" w:rsidRPr="004460CA">
        <w:rPr>
          <w:b/>
          <w:color w:val="000000" w:themeColor="text1"/>
          <w:sz w:val="28"/>
          <w:szCs w:val="28"/>
        </w:rPr>
        <w:t>пересмотра</w:t>
      </w:r>
      <w:r w:rsidR="00A26A27" w:rsidRPr="004460CA">
        <w:rPr>
          <w:b/>
          <w:color w:val="000000" w:themeColor="text1"/>
          <w:sz w:val="28"/>
          <w:szCs w:val="28"/>
        </w:rPr>
        <w:t xml:space="preserve"> количественных </w:t>
      </w:r>
      <w:r w:rsidR="00542EEA" w:rsidRPr="004460CA">
        <w:rPr>
          <w:b/>
          <w:color w:val="000000" w:themeColor="text1"/>
          <w:sz w:val="28"/>
          <w:szCs w:val="28"/>
        </w:rPr>
        <w:t>показателей</w:t>
      </w:r>
      <w:r w:rsidR="00A26A27" w:rsidRPr="004460CA">
        <w:rPr>
          <w:b/>
          <w:color w:val="000000" w:themeColor="text1"/>
          <w:sz w:val="28"/>
          <w:szCs w:val="28"/>
        </w:rPr>
        <w:t xml:space="preserve"> ухудшения финансовой устойчивости банков</w:t>
      </w:r>
      <w:r w:rsidR="00542EEA" w:rsidRPr="004460CA">
        <w:rPr>
          <w:b/>
          <w:color w:val="000000" w:themeColor="text1"/>
          <w:sz w:val="28"/>
          <w:szCs w:val="28"/>
        </w:rPr>
        <w:t xml:space="preserve"> и </w:t>
      </w:r>
      <w:r w:rsidR="00E5786A" w:rsidRPr="004460CA">
        <w:rPr>
          <w:b/>
          <w:color w:val="000000" w:themeColor="text1"/>
          <w:sz w:val="28"/>
          <w:szCs w:val="28"/>
        </w:rPr>
        <w:t xml:space="preserve">их </w:t>
      </w:r>
      <w:r w:rsidR="00C775C7" w:rsidRPr="004460CA">
        <w:rPr>
          <w:b/>
          <w:color w:val="000000" w:themeColor="text1"/>
          <w:sz w:val="28"/>
          <w:szCs w:val="28"/>
        </w:rPr>
        <w:t>пороговых значений</w:t>
      </w:r>
    </w:p>
    <w:bookmarkEnd w:id="4"/>
    <w:p w14:paraId="081CF1DB" w14:textId="77777777" w:rsidR="00E0045A" w:rsidRPr="004460CA" w:rsidRDefault="00E0045A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</w:p>
    <w:p w14:paraId="59926DF8" w14:textId="25BD2D53" w:rsidR="00542EEA" w:rsidRPr="004460CA" w:rsidRDefault="00E3421D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t>1</w:t>
      </w:r>
      <w:r w:rsidR="001B4701" w:rsidRPr="004460CA">
        <w:rPr>
          <w:color w:val="000000" w:themeColor="text1"/>
          <w:sz w:val="28"/>
          <w:szCs w:val="28"/>
        </w:rPr>
        <w:t>7</w:t>
      </w:r>
      <w:r w:rsidRPr="004460CA">
        <w:rPr>
          <w:color w:val="000000" w:themeColor="text1"/>
          <w:sz w:val="28"/>
          <w:szCs w:val="28"/>
        </w:rPr>
        <w:t xml:space="preserve">. </w:t>
      </w:r>
      <w:r w:rsidR="00A22FDC" w:rsidRPr="004460CA">
        <w:rPr>
          <w:color w:val="000000" w:themeColor="text1"/>
          <w:sz w:val="28"/>
          <w:szCs w:val="28"/>
        </w:rPr>
        <w:t xml:space="preserve">Пересмотр </w:t>
      </w:r>
      <w:r w:rsidR="00C775C7" w:rsidRPr="004460CA">
        <w:rPr>
          <w:color w:val="000000" w:themeColor="text1"/>
          <w:sz w:val="28"/>
          <w:szCs w:val="28"/>
        </w:rPr>
        <w:t>пороговых значений</w:t>
      </w:r>
      <w:r w:rsidR="00A22FDC" w:rsidRPr="004460CA">
        <w:rPr>
          <w:color w:val="000000" w:themeColor="text1"/>
          <w:sz w:val="28"/>
          <w:szCs w:val="28"/>
        </w:rPr>
        <w:t xml:space="preserve"> </w:t>
      </w:r>
      <w:r w:rsidR="00066078" w:rsidRPr="004460CA">
        <w:rPr>
          <w:color w:val="000000" w:themeColor="text1"/>
          <w:sz w:val="28"/>
          <w:szCs w:val="28"/>
        </w:rPr>
        <w:t xml:space="preserve">количественных </w:t>
      </w:r>
      <w:r w:rsidR="00A22FDC" w:rsidRPr="004460CA">
        <w:rPr>
          <w:color w:val="000000" w:themeColor="text1"/>
          <w:sz w:val="28"/>
          <w:szCs w:val="28"/>
        </w:rPr>
        <w:t xml:space="preserve">показателей проводится уполномоченным органом по мере необходимости, исходя из анализа динамики </w:t>
      </w:r>
      <w:r w:rsidR="00AA6473" w:rsidRPr="004460CA">
        <w:rPr>
          <w:color w:val="000000" w:themeColor="text1"/>
          <w:sz w:val="28"/>
          <w:szCs w:val="28"/>
        </w:rPr>
        <w:t xml:space="preserve">финансовых показателей </w:t>
      </w:r>
      <w:r w:rsidR="00A22FDC" w:rsidRPr="004460CA">
        <w:rPr>
          <w:color w:val="000000" w:themeColor="text1"/>
          <w:sz w:val="28"/>
          <w:szCs w:val="28"/>
        </w:rPr>
        <w:t xml:space="preserve">финансового сектора, изменений макроэкономических условий, нормативных требований, а также применяемых </w:t>
      </w:r>
      <w:r w:rsidR="00447247" w:rsidRPr="004460CA">
        <w:rPr>
          <w:color w:val="000000" w:themeColor="text1"/>
          <w:sz w:val="28"/>
          <w:szCs w:val="28"/>
        </w:rPr>
        <w:t xml:space="preserve">подходов </w:t>
      </w:r>
      <w:r w:rsidR="00A22FDC" w:rsidRPr="004460CA">
        <w:rPr>
          <w:color w:val="000000" w:themeColor="text1"/>
          <w:sz w:val="28"/>
          <w:szCs w:val="28"/>
        </w:rPr>
        <w:t>пруденциальн</w:t>
      </w:r>
      <w:r w:rsidR="00447247" w:rsidRPr="004460CA">
        <w:rPr>
          <w:color w:val="000000" w:themeColor="text1"/>
          <w:sz w:val="28"/>
          <w:szCs w:val="28"/>
        </w:rPr>
        <w:t>ого</w:t>
      </w:r>
      <w:r w:rsidR="00A22FDC" w:rsidRPr="004460CA">
        <w:rPr>
          <w:color w:val="000000" w:themeColor="text1"/>
          <w:sz w:val="28"/>
          <w:szCs w:val="28"/>
        </w:rPr>
        <w:t xml:space="preserve"> </w:t>
      </w:r>
      <w:r w:rsidR="00447247" w:rsidRPr="004460CA">
        <w:rPr>
          <w:color w:val="000000" w:themeColor="text1"/>
          <w:sz w:val="28"/>
          <w:szCs w:val="28"/>
        </w:rPr>
        <w:t>регулирования</w:t>
      </w:r>
      <w:r w:rsidR="00A22FDC" w:rsidRPr="004460CA">
        <w:rPr>
          <w:color w:val="000000" w:themeColor="text1"/>
          <w:sz w:val="28"/>
          <w:szCs w:val="28"/>
        </w:rPr>
        <w:t>, но не реже одного раза в три года.</w:t>
      </w:r>
    </w:p>
    <w:p w14:paraId="1AEE8AD2" w14:textId="10369BC3" w:rsidR="00E35DA2" w:rsidRPr="004460CA" w:rsidRDefault="00E35DA2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t>1</w:t>
      </w:r>
      <w:r w:rsidR="001B4701" w:rsidRPr="004460CA">
        <w:rPr>
          <w:color w:val="000000" w:themeColor="text1"/>
          <w:sz w:val="28"/>
          <w:szCs w:val="28"/>
        </w:rPr>
        <w:t>8</w:t>
      </w:r>
      <w:r w:rsidRPr="004460CA">
        <w:rPr>
          <w:color w:val="000000" w:themeColor="text1"/>
          <w:sz w:val="28"/>
          <w:szCs w:val="28"/>
        </w:rPr>
        <w:t xml:space="preserve">. Расчет показателей осуществляется на основании данных регуляторной отчетности, консолидированных финансовых отчетов </w:t>
      </w:r>
      <w:r w:rsidR="00AC5A40" w:rsidRPr="004460CA">
        <w:rPr>
          <w:color w:val="000000" w:themeColor="text1"/>
          <w:sz w:val="28"/>
          <w:szCs w:val="28"/>
        </w:rPr>
        <w:t xml:space="preserve">банков </w:t>
      </w:r>
      <w:r w:rsidRPr="004460CA">
        <w:rPr>
          <w:color w:val="000000" w:themeColor="text1"/>
          <w:sz w:val="28"/>
          <w:szCs w:val="28"/>
        </w:rPr>
        <w:t>и дополнительной информации, предоставляемой по запросу уполномоченного органа.</w:t>
      </w:r>
    </w:p>
    <w:p w14:paraId="500946F9" w14:textId="231B9C31" w:rsidR="00217005" w:rsidRPr="004460CA" w:rsidRDefault="000F784C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t>1</w:t>
      </w:r>
      <w:r w:rsidR="001B4701" w:rsidRPr="004460CA">
        <w:rPr>
          <w:color w:val="000000" w:themeColor="text1"/>
          <w:sz w:val="28"/>
          <w:szCs w:val="28"/>
        </w:rPr>
        <w:t>9</w:t>
      </w:r>
      <w:r w:rsidR="00217005" w:rsidRPr="004460CA">
        <w:rPr>
          <w:color w:val="000000" w:themeColor="text1"/>
          <w:sz w:val="28"/>
          <w:szCs w:val="28"/>
        </w:rPr>
        <w:t>.</w:t>
      </w:r>
      <w:r w:rsidR="00F4345A" w:rsidRPr="004460CA">
        <w:t xml:space="preserve"> </w:t>
      </w:r>
      <w:r w:rsidR="00217005" w:rsidRPr="004460CA">
        <w:rPr>
          <w:color w:val="000000" w:themeColor="text1"/>
          <w:sz w:val="28"/>
          <w:szCs w:val="28"/>
        </w:rPr>
        <w:t>Мониторинг количественных показателей осуществляется с периодичностью, установленной Приложением</w:t>
      </w:r>
      <w:r w:rsidR="00FC33F3" w:rsidRPr="004460CA">
        <w:rPr>
          <w:color w:val="000000" w:themeColor="text1"/>
          <w:sz w:val="28"/>
          <w:szCs w:val="28"/>
        </w:rPr>
        <w:t xml:space="preserve"> </w:t>
      </w:r>
      <w:r w:rsidRPr="004460CA">
        <w:rPr>
          <w:color w:val="000000" w:themeColor="text1"/>
          <w:sz w:val="28"/>
          <w:szCs w:val="28"/>
        </w:rPr>
        <w:t>2</w:t>
      </w:r>
      <w:r w:rsidR="00FC33F3" w:rsidRPr="004460CA">
        <w:rPr>
          <w:color w:val="000000" w:themeColor="text1"/>
          <w:sz w:val="28"/>
          <w:szCs w:val="28"/>
        </w:rPr>
        <w:t xml:space="preserve"> </w:t>
      </w:r>
      <w:r w:rsidR="00217005" w:rsidRPr="004460CA">
        <w:rPr>
          <w:color w:val="000000" w:themeColor="text1"/>
          <w:sz w:val="28"/>
          <w:szCs w:val="28"/>
        </w:rPr>
        <w:t>к Признакам ухудшения.</w:t>
      </w:r>
    </w:p>
    <w:p w14:paraId="7543D013" w14:textId="77777777" w:rsidR="00A37888" w:rsidRPr="004460CA" w:rsidRDefault="00A37888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</w:p>
    <w:p w14:paraId="3A479587" w14:textId="3ED439C1" w:rsidR="0091376D" w:rsidRPr="004460CA" w:rsidRDefault="0091376D" w:rsidP="00E23607">
      <w:pPr>
        <w:widowControl w:val="0"/>
        <w:ind w:firstLine="709"/>
        <w:jc w:val="center"/>
        <w:rPr>
          <w:b/>
          <w:color w:val="000000" w:themeColor="text1"/>
          <w:sz w:val="28"/>
          <w:szCs w:val="28"/>
        </w:rPr>
      </w:pPr>
      <w:r w:rsidRPr="004460CA">
        <w:rPr>
          <w:b/>
          <w:color w:val="000000" w:themeColor="text1"/>
          <w:sz w:val="28"/>
          <w:szCs w:val="28"/>
        </w:rPr>
        <w:t>Глава 5</w:t>
      </w:r>
      <w:r w:rsidR="00DD4B4C" w:rsidRPr="004460CA">
        <w:rPr>
          <w:b/>
          <w:color w:val="000000" w:themeColor="text1"/>
          <w:sz w:val="28"/>
          <w:szCs w:val="28"/>
        </w:rPr>
        <w:t>.</w:t>
      </w:r>
      <w:r w:rsidR="006E4D84" w:rsidRPr="004460CA">
        <w:rPr>
          <w:b/>
          <w:color w:val="000000" w:themeColor="text1"/>
          <w:sz w:val="28"/>
          <w:szCs w:val="28"/>
        </w:rPr>
        <w:t xml:space="preserve"> </w:t>
      </w:r>
      <w:r w:rsidR="00C05355" w:rsidRPr="004460CA">
        <w:rPr>
          <w:b/>
          <w:color w:val="000000" w:themeColor="text1"/>
          <w:sz w:val="28"/>
          <w:szCs w:val="28"/>
        </w:rPr>
        <w:t xml:space="preserve">Особенности применения </w:t>
      </w:r>
      <w:r w:rsidR="00702058" w:rsidRPr="004460CA">
        <w:rPr>
          <w:b/>
          <w:color w:val="000000" w:themeColor="text1"/>
          <w:sz w:val="28"/>
          <w:szCs w:val="28"/>
        </w:rPr>
        <w:t xml:space="preserve">к </w:t>
      </w:r>
      <w:r w:rsidR="00C05355" w:rsidRPr="004460CA">
        <w:rPr>
          <w:b/>
          <w:color w:val="000000" w:themeColor="text1"/>
          <w:sz w:val="28"/>
          <w:szCs w:val="28"/>
        </w:rPr>
        <w:t>отдельным категориям банков</w:t>
      </w:r>
    </w:p>
    <w:p w14:paraId="6CD4C99E" w14:textId="77777777" w:rsidR="0091376D" w:rsidRPr="004460CA" w:rsidRDefault="0091376D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</w:p>
    <w:p w14:paraId="537393B9" w14:textId="4FF6ADB9" w:rsidR="00EC667C" w:rsidRPr="004460CA" w:rsidRDefault="001B4701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t>20</w:t>
      </w:r>
      <w:r w:rsidR="0091376D" w:rsidRPr="004460CA">
        <w:rPr>
          <w:color w:val="000000" w:themeColor="text1"/>
          <w:sz w:val="28"/>
          <w:szCs w:val="28"/>
        </w:rPr>
        <w:t xml:space="preserve">. </w:t>
      </w:r>
      <w:r w:rsidR="00EC667C" w:rsidRPr="004460CA">
        <w:rPr>
          <w:color w:val="000000" w:themeColor="text1"/>
          <w:sz w:val="28"/>
          <w:szCs w:val="28"/>
        </w:rPr>
        <w:t>В отношении исламских банков, а также банков, созданных путем конвертации из микрофинансовых организаций, для оценки ухудшения финансовой устойчивости применяются только качественные показатели, предусмотренные Главой 3 настоящих Признаков ухудшения, при этом в отношении банков, созданных путем конвертации из микрофинансовых организаций, указанный подход применяется в течение переходного периода, не превышающего двух лет.</w:t>
      </w:r>
    </w:p>
    <w:p w14:paraId="04EF4B93" w14:textId="78A00A1C" w:rsidR="00374E0D" w:rsidRPr="004460CA" w:rsidRDefault="00374E0D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t>2</w:t>
      </w:r>
      <w:r w:rsidR="001B4701" w:rsidRPr="004460CA">
        <w:rPr>
          <w:color w:val="000000" w:themeColor="text1"/>
          <w:sz w:val="28"/>
          <w:szCs w:val="28"/>
        </w:rPr>
        <w:t>1</w:t>
      </w:r>
      <w:r w:rsidRPr="004460CA">
        <w:rPr>
          <w:color w:val="000000" w:themeColor="text1"/>
          <w:sz w:val="28"/>
          <w:szCs w:val="28"/>
        </w:rPr>
        <w:t xml:space="preserve">. </w:t>
      </w:r>
      <w:r w:rsidR="00400EC7" w:rsidRPr="004460CA">
        <w:rPr>
          <w:color w:val="000000" w:themeColor="text1"/>
          <w:sz w:val="28"/>
          <w:szCs w:val="28"/>
        </w:rPr>
        <w:t xml:space="preserve">В отношении банков, являющихся дочерними организациями иностранных банков или иностранных банковских групп, материнская организация которых обладает долгосрочным кредитным </w:t>
      </w:r>
      <w:r w:rsidR="00E10EAA" w:rsidRPr="004460CA">
        <w:rPr>
          <w:color w:val="000000" w:themeColor="text1"/>
          <w:sz w:val="28"/>
          <w:szCs w:val="28"/>
        </w:rPr>
        <w:t>рейтингом не ниже уровня «A-» по международной шкале рейтингового агентства, при условии предоставления дочернему банку безотзывной кредитной линии либо письменной гарантии или соглашения о финансовой поддержке на случай возникновения стрессовой ситуации, подтверждённого решениями органов управления группы, количественные показатели ликвидности</w:t>
      </w:r>
      <w:r w:rsidR="00C30AE0" w:rsidRPr="004460CA">
        <w:rPr>
          <w:color w:val="000000" w:themeColor="text1"/>
          <w:sz w:val="28"/>
          <w:szCs w:val="28"/>
        </w:rPr>
        <w:t>, предусмотренные пунктами 1</w:t>
      </w:r>
      <w:r w:rsidR="00EC667C" w:rsidRPr="004460CA">
        <w:rPr>
          <w:color w:val="000000" w:themeColor="text1"/>
          <w:sz w:val="28"/>
          <w:szCs w:val="28"/>
        </w:rPr>
        <w:t>4</w:t>
      </w:r>
      <w:r w:rsidR="00C30AE0" w:rsidRPr="004460CA">
        <w:rPr>
          <w:color w:val="000000" w:themeColor="text1"/>
          <w:sz w:val="28"/>
          <w:szCs w:val="28"/>
        </w:rPr>
        <w:t>, 1</w:t>
      </w:r>
      <w:r w:rsidR="00EC667C" w:rsidRPr="004460CA">
        <w:rPr>
          <w:color w:val="000000" w:themeColor="text1"/>
          <w:sz w:val="28"/>
          <w:szCs w:val="28"/>
        </w:rPr>
        <w:t>5</w:t>
      </w:r>
      <w:r w:rsidR="00C30AE0" w:rsidRPr="004460CA">
        <w:rPr>
          <w:color w:val="000000" w:themeColor="text1"/>
          <w:sz w:val="28"/>
          <w:szCs w:val="28"/>
        </w:rPr>
        <w:t xml:space="preserve">, </w:t>
      </w:r>
      <w:r w:rsidR="00EC667C" w:rsidRPr="004460CA">
        <w:rPr>
          <w:color w:val="000000" w:themeColor="text1"/>
          <w:sz w:val="28"/>
          <w:szCs w:val="28"/>
        </w:rPr>
        <w:t>16</w:t>
      </w:r>
      <w:r w:rsidR="00C30AE0" w:rsidRPr="004460CA">
        <w:rPr>
          <w:color w:val="000000" w:themeColor="text1"/>
          <w:sz w:val="28"/>
          <w:szCs w:val="28"/>
        </w:rPr>
        <w:t>, 1</w:t>
      </w:r>
      <w:r w:rsidR="00EC667C" w:rsidRPr="004460CA">
        <w:rPr>
          <w:color w:val="000000" w:themeColor="text1"/>
          <w:sz w:val="28"/>
          <w:szCs w:val="28"/>
        </w:rPr>
        <w:t>7</w:t>
      </w:r>
      <w:r w:rsidR="00C30AE0" w:rsidRPr="004460CA">
        <w:rPr>
          <w:color w:val="000000" w:themeColor="text1"/>
          <w:sz w:val="28"/>
          <w:szCs w:val="28"/>
        </w:rPr>
        <w:t xml:space="preserve">, </w:t>
      </w:r>
      <w:r w:rsidR="00EC667C" w:rsidRPr="004460CA">
        <w:rPr>
          <w:color w:val="000000" w:themeColor="text1"/>
          <w:sz w:val="28"/>
          <w:szCs w:val="28"/>
        </w:rPr>
        <w:t xml:space="preserve">18 </w:t>
      </w:r>
      <w:r w:rsidR="00A8373C" w:rsidRPr="004460CA">
        <w:rPr>
          <w:color w:val="000000" w:themeColor="text1"/>
          <w:sz w:val="28"/>
          <w:szCs w:val="28"/>
        </w:rPr>
        <w:t>Приложения 1</w:t>
      </w:r>
      <w:r w:rsidR="00AF41AC" w:rsidRPr="004460CA">
        <w:rPr>
          <w:color w:val="000000" w:themeColor="text1"/>
          <w:sz w:val="28"/>
          <w:szCs w:val="28"/>
        </w:rPr>
        <w:t xml:space="preserve"> </w:t>
      </w:r>
      <w:r w:rsidR="00A8373C" w:rsidRPr="004460CA">
        <w:rPr>
          <w:color w:val="000000" w:themeColor="text1"/>
          <w:sz w:val="28"/>
          <w:szCs w:val="28"/>
        </w:rPr>
        <w:t xml:space="preserve">к Признакам ухудшения </w:t>
      </w:r>
      <w:r w:rsidR="00E10EAA" w:rsidRPr="004460CA">
        <w:rPr>
          <w:color w:val="000000" w:themeColor="text1"/>
          <w:sz w:val="28"/>
          <w:szCs w:val="28"/>
        </w:rPr>
        <w:t xml:space="preserve">не применяются. </w:t>
      </w:r>
    </w:p>
    <w:p w14:paraId="0EB127C6" w14:textId="77777777" w:rsidR="00A26C76" w:rsidRPr="004460CA" w:rsidRDefault="00A26C76" w:rsidP="00E23607">
      <w:pPr>
        <w:widowControl w:val="0"/>
        <w:ind w:right="108"/>
        <w:jc w:val="right"/>
        <w:rPr>
          <w:color w:val="000000" w:themeColor="text1"/>
        </w:rPr>
      </w:pPr>
      <w:bookmarkStart w:id="6" w:name="_Hlk199835660"/>
    </w:p>
    <w:p w14:paraId="32D622EA" w14:textId="5DACF3AD" w:rsidR="00D9679D" w:rsidRPr="004460CA" w:rsidRDefault="00D9679D" w:rsidP="00E23607">
      <w:pPr>
        <w:widowControl w:val="0"/>
        <w:ind w:right="108"/>
        <w:jc w:val="center"/>
        <w:rPr>
          <w:color w:val="000000" w:themeColor="text1"/>
        </w:rPr>
      </w:pPr>
      <w:r w:rsidRPr="004460CA">
        <w:rPr>
          <w:b/>
          <w:color w:val="000000" w:themeColor="text1"/>
          <w:sz w:val="28"/>
          <w:szCs w:val="28"/>
        </w:rPr>
        <w:t xml:space="preserve">Глава 6. Особенности применения к </w:t>
      </w:r>
      <w:r w:rsidR="003039A3" w:rsidRPr="004460CA">
        <w:rPr>
          <w:b/>
          <w:color w:val="000000" w:themeColor="text1"/>
          <w:sz w:val="28"/>
          <w:szCs w:val="28"/>
        </w:rPr>
        <w:t>фи</w:t>
      </w:r>
      <w:r w:rsidR="005F5339" w:rsidRPr="004460CA">
        <w:rPr>
          <w:b/>
          <w:color w:val="000000" w:themeColor="text1"/>
          <w:sz w:val="28"/>
          <w:szCs w:val="28"/>
        </w:rPr>
        <w:t>лиалам банков-нерезидентов Республики Казахстан</w:t>
      </w:r>
    </w:p>
    <w:p w14:paraId="698A0F42" w14:textId="77777777" w:rsidR="00D9679D" w:rsidRPr="004460CA" w:rsidRDefault="00D9679D" w:rsidP="00E23607">
      <w:pPr>
        <w:widowControl w:val="0"/>
        <w:ind w:right="108"/>
        <w:jc w:val="right"/>
        <w:rPr>
          <w:color w:val="000000" w:themeColor="text1"/>
        </w:rPr>
      </w:pPr>
    </w:p>
    <w:p w14:paraId="276AD715" w14:textId="22D38171" w:rsidR="005C1163" w:rsidRPr="004460CA" w:rsidRDefault="003F1ECF" w:rsidP="00E23607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4460CA">
        <w:rPr>
          <w:bCs/>
          <w:color w:val="000000" w:themeColor="text1"/>
          <w:sz w:val="28"/>
          <w:szCs w:val="28"/>
        </w:rPr>
        <w:t xml:space="preserve">22. </w:t>
      </w:r>
      <w:r w:rsidR="005C1163" w:rsidRPr="004460CA">
        <w:rPr>
          <w:bCs/>
          <w:color w:val="000000" w:themeColor="text1"/>
          <w:sz w:val="28"/>
          <w:szCs w:val="28"/>
        </w:rPr>
        <w:t>Уполномоченный орган вправе применить к филиалу банка-нерезидента Республики Казахстан режим усиленного надзора и режим восстановления финансовой устойчивости при</w:t>
      </w:r>
      <w:r w:rsidR="00A37888" w:rsidRPr="004460CA">
        <w:rPr>
          <w:bCs/>
          <w:color w:val="000000" w:themeColor="text1"/>
          <w:sz w:val="28"/>
          <w:szCs w:val="28"/>
        </w:rPr>
        <w:t xml:space="preserve"> выявлении</w:t>
      </w:r>
      <w:r w:rsidR="005C1163" w:rsidRPr="004460CA">
        <w:rPr>
          <w:bCs/>
          <w:color w:val="000000" w:themeColor="text1"/>
          <w:sz w:val="28"/>
          <w:szCs w:val="28"/>
        </w:rPr>
        <w:t xml:space="preserve"> отклонени</w:t>
      </w:r>
      <w:r w:rsidR="00A37888" w:rsidRPr="004460CA">
        <w:rPr>
          <w:bCs/>
          <w:color w:val="000000" w:themeColor="text1"/>
          <w:sz w:val="28"/>
          <w:szCs w:val="28"/>
        </w:rPr>
        <w:t xml:space="preserve">я </w:t>
      </w:r>
      <w:r w:rsidR="005C1163" w:rsidRPr="004460CA">
        <w:rPr>
          <w:bCs/>
          <w:color w:val="000000" w:themeColor="text1"/>
          <w:sz w:val="28"/>
          <w:szCs w:val="28"/>
        </w:rPr>
        <w:t>количественных показателей от пороговых значений, установленных приложением 5 к настоящим Признакам ухудшения.</w:t>
      </w:r>
    </w:p>
    <w:p w14:paraId="5F64E720" w14:textId="74216519" w:rsidR="003F1ECF" w:rsidRPr="004460CA" w:rsidRDefault="005C1163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460CA">
        <w:rPr>
          <w:color w:val="000000" w:themeColor="text1"/>
          <w:sz w:val="28"/>
          <w:szCs w:val="28"/>
        </w:rPr>
        <w:t>23.</w:t>
      </w:r>
      <w:r w:rsidR="00A37888" w:rsidRPr="004460CA">
        <w:t xml:space="preserve"> </w:t>
      </w:r>
      <w:r w:rsidR="00A37888" w:rsidRPr="004460CA">
        <w:rPr>
          <w:color w:val="000000" w:themeColor="text1"/>
          <w:sz w:val="28"/>
          <w:szCs w:val="28"/>
        </w:rPr>
        <w:t>Уполномоченный орган вправе применить к филиалу банка-нерезидента Республики Казахстан режим усиленного надзора при наличии любого из признаков, предусмотренных пунктом 14 главы 3 настоящих Признаков ухудшения, и режим восстановления финансовой устойчивости — при наличии любого из признаков, предусмотренных пунктом 15 главы 3 настоящих Признаков ухудшения.</w:t>
      </w:r>
    </w:p>
    <w:p w14:paraId="47114867" w14:textId="77777777" w:rsidR="00DD6A47" w:rsidRPr="004460CA" w:rsidRDefault="00DD6A47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</w:p>
    <w:p w14:paraId="6D460A26" w14:textId="77777777" w:rsidR="00DD6A47" w:rsidRPr="004460CA" w:rsidRDefault="00DD6A47" w:rsidP="00E2360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</w:p>
    <w:p w14:paraId="15EFAFC2" w14:textId="7D136CE8" w:rsidR="00DD6A47" w:rsidRPr="004460CA" w:rsidRDefault="00DD6A47" w:rsidP="004460CA">
      <w:pPr>
        <w:widowControl w:val="0"/>
        <w:jc w:val="both"/>
        <w:rPr>
          <w:color w:val="000000" w:themeColor="text1"/>
          <w:sz w:val="28"/>
          <w:szCs w:val="28"/>
        </w:rPr>
        <w:sectPr w:rsidR="00DD6A47" w:rsidRPr="004460CA" w:rsidSect="00361EA7">
          <w:headerReference w:type="even" r:id="rId11"/>
          <w:footerReference w:type="default" r:id="rId12"/>
          <w:headerReference w:type="first" r:id="rId13"/>
          <w:pgSz w:w="11907" w:h="16839" w:code="9"/>
          <w:pgMar w:top="1440" w:right="851" w:bottom="1440" w:left="1080" w:header="720" w:footer="720" w:gutter="0"/>
          <w:cols w:space="720"/>
          <w:docGrid w:linePitch="326"/>
        </w:sectPr>
      </w:pPr>
    </w:p>
    <w:p w14:paraId="76822725" w14:textId="1BB550F6" w:rsidR="00331F4D" w:rsidRPr="004460CA" w:rsidRDefault="00331F4D" w:rsidP="00F35FB0">
      <w:pPr>
        <w:widowControl w:val="0"/>
        <w:ind w:right="108"/>
        <w:jc w:val="right"/>
        <w:rPr>
          <w:color w:val="000000" w:themeColor="text1"/>
        </w:rPr>
      </w:pPr>
      <w:r w:rsidRPr="004460CA">
        <w:rPr>
          <w:color w:val="000000" w:themeColor="text1"/>
        </w:rPr>
        <w:lastRenderedPageBreak/>
        <w:t>Приложение 1</w:t>
      </w:r>
      <w:r w:rsidRPr="004460CA">
        <w:rPr>
          <w:color w:val="000000" w:themeColor="text1"/>
        </w:rPr>
        <w:br/>
        <w:t>к Значениям финансово-экономических и иных признаков ухудшения финансовой устойчивости банка</w:t>
      </w:r>
    </w:p>
    <w:p w14:paraId="0A5E848E" w14:textId="77777777" w:rsidR="003B030B" w:rsidRPr="004460CA" w:rsidRDefault="003B030B" w:rsidP="00E23607">
      <w:pPr>
        <w:widowControl w:val="0"/>
        <w:ind w:firstLine="709"/>
        <w:jc w:val="right"/>
        <w:rPr>
          <w:color w:val="000000" w:themeColor="text1"/>
        </w:rPr>
      </w:pPr>
    </w:p>
    <w:p w14:paraId="670FF7FA" w14:textId="77777777" w:rsidR="003B030B" w:rsidRPr="004460CA" w:rsidRDefault="003B030B" w:rsidP="00E23607">
      <w:pPr>
        <w:widowControl w:val="0"/>
        <w:jc w:val="center"/>
        <w:rPr>
          <w:color w:val="000000" w:themeColor="text1"/>
        </w:rPr>
      </w:pPr>
    </w:p>
    <w:p w14:paraId="6AA91B18" w14:textId="148CA273" w:rsidR="003B030B" w:rsidRPr="004460CA" w:rsidRDefault="002E474F" w:rsidP="00E23607">
      <w:pPr>
        <w:widowControl w:val="0"/>
        <w:jc w:val="center"/>
        <w:rPr>
          <w:b/>
          <w:color w:val="000000" w:themeColor="text1"/>
        </w:rPr>
      </w:pPr>
      <w:r w:rsidRPr="004460CA">
        <w:rPr>
          <w:b/>
          <w:color w:val="000000" w:themeColor="text1"/>
        </w:rPr>
        <w:t xml:space="preserve">Пороговые значения </w:t>
      </w:r>
      <w:r w:rsidR="00AF4E3C" w:rsidRPr="004460CA">
        <w:rPr>
          <w:b/>
          <w:color w:val="000000" w:themeColor="text1"/>
        </w:rPr>
        <w:t xml:space="preserve">количественных </w:t>
      </w:r>
      <w:r w:rsidR="003B030B" w:rsidRPr="004460CA">
        <w:rPr>
          <w:b/>
          <w:color w:val="000000" w:themeColor="text1"/>
        </w:rPr>
        <w:t xml:space="preserve">показателей, характеризующих ухудшение финансовой устойчивости банков </w:t>
      </w:r>
    </w:p>
    <w:p w14:paraId="7481496C" w14:textId="77777777" w:rsidR="003B030B" w:rsidRPr="004460CA" w:rsidRDefault="003B030B" w:rsidP="00E23607">
      <w:pPr>
        <w:jc w:val="center"/>
        <w:rPr>
          <w:color w:val="000000" w:themeColor="text1"/>
        </w:rPr>
      </w:pPr>
    </w:p>
    <w:tbl>
      <w:tblPr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11"/>
        <w:gridCol w:w="4481"/>
        <w:gridCol w:w="3935"/>
        <w:gridCol w:w="2889"/>
        <w:gridCol w:w="2844"/>
      </w:tblGrid>
      <w:tr w:rsidR="003B030B" w:rsidRPr="004460CA" w14:paraId="172546CD" w14:textId="77777777" w:rsidTr="000801D6">
        <w:trPr>
          <w:trHeight w:val="915"/>
        </w:trPr>
        <w:tc>
          <w:tcPr>
            <w:tcW w:w="411" w:type="dxa"/>
            <w:vAlign w:val="center"/>
          </w:tcPr>
          <w:p w14:paraId="1EEAAF0B" w14:textId="77777777" w:rsidR="003B030B" w:rsidRPr="004460CA" w:rsidRDefault="003B030B" w:rsidP="00E236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481" w:type="dxa"/>
            <w:shd w:val="clear" w:color="auto" w:fill="auto"/>
            <w:tcMar>
              <w:top w:w="15" w:type="dxa"/>
              <w:left w:w="397" w:type="dxa"/>
              <w:bottom w:w="0" w:type="dxa"/>
              <w:right w:w="227" w:type="dxa"/>
            </w:tcMar>
            <w:vAlign w:val="center"/>
            <w:hideMark/>
          </w:tcPr>
          <w:p w14:paraId="2C4A07BF" w14:textId="77777777" w:rsidR="003B030B" w:rsidRPr="004460CA" w:rsidRDefault="003B030B" w:rsidP="00E23607">
            <w:pPr>
              <w:rPr>
                <w:b/>
                <w:bCs/>
                <w:color w:val="000000" w:themeColor="text1"/>
              </w:rPr>
            </w:pPr>
            <w:r w:rsidRPr="004460CA">
              <w:rPr>
                <w:b/>
                <w:bCs/>
                <w:color w:val="000000" w:themeColor="text1"/>
              </w:rPr>
              <w:t>Показатели</w:t>
            </w:r>
          </w:p>
        </w:tc>
        <w:tc>
          <w:tcPr>
            <w:tcW w:w="39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18008E" w14:textId="3CEE2A78" w:rsidR="003B030B" w:rsidRPr="004460CA" w:rsidRDefault="007349AB" w:rsidP="00E23607">
            <w:pPr>
              <w:jc w:val="center"/>
              <w:rPr>
                <w:b/>
                <w:bCs/>
                <w:color w:val="000000" w:themeColor="text1"/>
              </w:rPr>
            </w:pPr>
            <w:r w:rsidRPr="004460CA">
              <w:rPr>
                <w:b/>
                <w:bCs/>
                <w:color w:val="000000" w:themeColor="text1"/>
              </w:rPr>
              <w:t>Пороговое значение для применения р</w:t>
            </w:r>
            <w:r w:rsidR="003B030B" w:rsidRPr="004460CA">
              <w:rPr>
                <w:b/>
                <w:bCs/>
                <w:color w:val="000000" w:themeColor="text1"/>
              </w:rPr>
              <w:t>ежим</w:t>
            </w:r>
            <w:r w:rsidRPr="004460CA">
              <w:rPr>
                <w:b/>
                <w:bCs/>
                <w:color w:val="000000" w:themeColor="text1"/>
              </w:rPr>
              <w:t>а</w:t>
            </w:r>
            <w:r w:rsidR="003B030B" w:rsidRPr="004460CA">
              <w:rPr>
                <w:b/>
                <w:bCs/>
                <w:color w:val="000000" w:themeColor="text1"/>
              </w:rPr>
              <w:t xml:space="preserve"> усиленного надзора</w:t>
            </w:r>
          </w:p>
        </w:tc>
        <w:tc>
          <w:tcPr>
            <w:tcW w:w="2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6DC076" w14:textId="1CF320AE" w:rsidR="007349AB" w:rsidRPr="004460CA" w:rsidRDefault="007349AB" w:rsidP="00E23607">
            <w:pPr>
              <w:jc w:val="center"/>
              <w:rPr>
                <w:b/>
                <w:bCs/>
                <w:color w:val="000000" w:themeColor="text1"/>
              </w:rPr>
            </w:pPr>
            <w:r w:rsidRPr="004460CA">
              <w:rPr>
                <w:b/>
                <w:bCs/>
                <w:color w:val="000000" w:themeColor="text1"/>
              </w:rPr>
              <w:t>Пороговое значение для применения</w:t>
            </w:r>
          </w:p>
          <w:p w14:paraId="46DA1D14" w14:textId="171883EF" w:rsidR="003B030B" w:rsidRPr="004460CA" w:rsidRDefault="007349AB" w:rsidP="00E23607">
            <w:pPr>
              <w:jc w:val="center"/>
              <w:rPr>
                <w:b/>
                <w:bCs/>
                <w:color w:val="000000" w:themeColor="text1"/>
              </w:rPr>
            </w:pPr>
            <w:r w:rsidRPr="004460CA">
              <w:rPr>
                <w:b/>
                <w:bCs/>
                <w:color w:val="000000" w:themeColor="text1"/>
              </w:rPr>
              <w:t>р</w:t>
            </w:r>
            <w:r w:rsidR="003B030B" w:rsidRPr="004460CA">
              <w:rPr>
                <w:b/>
                <w:bCs/>
                <w:color w:val="000000" w:themeColor="text1"/>
              </w:rPr>
              <w:t>ежим</w:t>
            </w:r>
            <w:r w:rsidRPr="004460CA">
              <w:rPr>
                <w:b/>
                <w:bCs/>
                <w:color w:val="000000" w:themeColor="text1"/>
              </w:rPr>
              <w:t>а</w:t>
            </w:r>
            <w:r w:rsidR="003B030B" w:rsidRPr="004460CA">
              <w:rPr>
                <w:b/>
                <w:bCs/>
                <w:color w:val="000000" w:themeColor="text1"/>
              </w:rPr>
              <w:t xml:space="preserve"> восстановления финансовой устойчивости</w:t>
            </w:r>
          </w:p>
        </w:tc>
        <w:tc>
          <w:tcPr>
            <w:tcW w:w="28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DB629D" w14:textId="1FDEC323" w:rsidR="002659AA" w:rsidRPr="004460CA" w:rsidRDefault="007349AB" w:rsidP="002659AA">
            <w:pPr>
              <w:jc w:val="center"/>
              <w:rPr>
                <w:b/>
                <w:bCs/>
                <w:color w:val="000000" w:themeColor="text1"/>
              </w:rPr>
            </w:pPr>
            <w:r w:rsidRPr="004460CA">
              <w:rPr>
                <w:b/>
                <w:bCs/>
                <w:color w:val="000000" w:themeColor="text1"/>
              </w:rPr>
              <w:t>Пороговое значение</w:t>
            </w:r>
            <w:r w:rsidR="002659AA" w:rsidRPr="004460CA">
              <w:rPr>
                <w:b/>
                <w:bCs/>
                <w:color w:val="000000" w:themeColor="text1"/>
              </w:rPr>
              <w:t xml:space="preserve"> для применения</w:t>
            </w:r>
          </w:p>
          <w:p w14:paraId="389A6BC5" w14:textId="1D128452" w:rsidR="00FA2C1A" w:rsidRPr="004460CA" w:rsidRDefault="002659AA" w:rsidP="002659AA">
            <w:pPr>
              <w:jc w:val="center"/>
              <w:rPr>
                <w:b/>
                <w:bCs/>
                <w:color w:val="000000" w:themeColor="text1"/>
                <w:lang w:val="kk-KZ"/>
              </w:rPr>
            </w:pPr>
            <w:r w:rsidRPr="004460CA">
              <w:rPr>
                <w:b/>
                <w:bCs/>
                <w:color w:val="000000" w:themeColor="text1"/>
              </w:rPr>
              <w:t xml:space="preserve">режима </w:t>
            </w:r>
            <w:proofErr w:type="spellStart"/>
            <w:r w:rsidRPr="004460CA">
              <w:rPr>
                <w:b/>
                <w:bCs/>
                <w:color w:val="000000" w:themeColor="text1"/>
                <w:lang w:val="kk-KZ"/>
              </w:rPr>
              <w:t>урегулировани</w:t>
            </w:r>
            <w:r w:rsidR="00290C68" w:rsidRPr="004460CA">
              <w:rPr>
                <w:b/>
                <w:bCs/>
                <w:color w:val="000000" w:themeColor="text1"/>
                <w:lang w:val="kk-KZ"/>
              </w:rPr>
              <w:t>я</w:t>
            </w:r>
            <w:proofErr w:type="spellEnd"/>
          </w:p>
        </w:tc>
      </w:tr>
      <w:tr w:rsidR="00CA0AE2" w:rsidRPr="004460CA" w14:paraId="50AF048B" w14:textId="77777777" w:rsidTr="004460CA">
        <w:trPr>
          <w:trHeight w:val="915"/>
        </w:trPr>
        <w:tc>
          <w:tcPr>
            <w:tcW w:w="11716" w:type="dxa"/>
            <w:gridSpan w:val="4"/>
            <w:vAlign w:val="center"/>
          </w:tcPr>
          <w:p w14:paraId="0F1BAF1C" w14:textId="2397F32F" w:rsidR="00CA0AE2" w:rsidRPr="004460CA" w:rsidRDefault="00CA0AE2" w:rsidP="00290C68">
            <w:pPr>
              <w:rPr>
                <w:b/>
                <w:bCs/>
                <w:color w:val="000000" w:themeColor="text1"/>
              </w:rPr>
            </w:pPr>
            <w:r w:rsidRPr="004460CA">
              <w:rPr>
                <w:bCs/>
                <w:color w:val="000000" w:themeColor="text1"/>
              </w:rPr>
              <w:t xml:space="preserve">  I. Показатели рисков капитала</w:t>
            </w:r>
          </w:p>
        </w:tc>
        <w:tc>
          <w:tcPr>
            <w:tcW w:w="2844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80A82C" w14:textId="77777777" w:rsidR="00CA0AE2" w:rsidRPr="004460CA" w:rsidRDefault="00CA0AE2" w:rsidP="00E23607">
            <w:pPr>
              <w:jc w:val="center"/>
              <w:rPr>
                <w:b/>
                <w:bCs/>
                <w:color w:val="000000" w:themeColor="text1"/>
              </w:rPr>
            </w:pPr>
            <w:r w:rsidRPr="004460CA">
              <w:rPr>
                <w:color w:val="000000" w:themeColor="text1"/>
              </w:rPr>
              <w:t>Основания для проведения оценки жизнеспособности банка в целях определения целесообразности применения режима урегулирования предусмотрены пунктом 2 статьи 91 Закона о банках</w:t>
            </w:r>
          </w:p>
          <w:p w14:paraId="34197BCC" w14:textId="27C04AC5" w:rsidR="00CA0AE2" w:rsidRPr="004460CA" w:rsidRDefault="00CA0AE2" w:rsidP="002659AA">
            <w:pPr>
              <w:rPr>
                <w:b/>
                <w:bCs/>
                <w:color w:val="000000" w:themeColor="text1"/>
              </w:rPr>
            </w:pPr>
            <w:r w:rsidRPr="004460CA">
              <w:rPr>
                <w:color w:val="000000" w:themeColor="text1"/>
                <w:kern w:val="24"/>
              </w:rPr>
              <w:t xml:space="preserve"> </w:t>
            </w:r>
          </w:p>
        </w:tc>
      </w:tr>
      <w:tr w:rsidR="00CA0AE2" w:rsidRPr="004460CA" w14:paraId="6CFD02C7" w14:textId="77777777" w:rsidTr="000801D6">
        <w:trPr>
          <w:trHeight w:val="915"/>
        </w:trPr>
        <w:tc>
          <w:tcPr>
            <w:tcW w:w="411" w:type="dxa"/>
            <w:vAlign w:val="center"/>
          </w:tcPr>
          <w:p w14:paraId="23C3CA58" w14:textId="77777777" w:rsidR="00CA0AE2" w:rsidRPr="004460CA" w:rsidRDefault="00CA0AE2" w:rsidP="00E23607">
            <w:pPr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1.</w:t>
            </w:r>
          </w:p>
        </w:tc>
        <w:tc>
          <w:tcPr>
            <w:tcW w:w="4481" w:type="dxa"/>
            <w:shd w:val="clear" w:color="auto" w:fill="auto"/>
            <w:tcMar>
              <w:top w:w="15" w:type="dxa"/>
              <w:left w:w="397" w:type="dxa"/>
              <w:bottom w:w="0" w:type="dxa"/>
              <w:right w:w="227" w:type="dxa"/>
            </w:tcMar>
            <w:vAlign w:val="center"/>
          </w:tcPr>
          <w:p w14:paraId="293652EF" w14:textId="77777777" w:rsidR="00CA0AE2" w:rsidRPr="004460CA" w:rsidRDefault="00CA0AE2" w:rsidP="00E23607">
            <w:pPr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Коэффициент достаточности основного капитала (k1)</w:t>
            </w:r>
          </w:p>
        </w:tc>
        <w:tc>
          <w:tcPr>
            <w:tcW w:w="393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1860CF" w14:textId="15E5CCD4" w:rsidR="00CA0AE2" w:rsidRPr="004460CA" w:rsidRDefault="00CA0AE2" w:rsidP="00E23607">
            <w:pPr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&lt;5,5% + надзорная надбавка по результатам SREP и регулярного AQR/ надзорная надбавка по результатам SREP + консервационный</w:t>
            </w:r>
          </w:p>
          <w:p w14:paraId="5646B1B3" w14:textId="73BB367D" w:rsidR="00CA0AE2" w:rsidRPr="004460CA" w:rsidRDefault="00CA0AE2" w:rsidP="00E23607">
            <w:pPr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 xml:space="preserve">и системный буфер+ буфер по результатам надзорного стресс-тестирования </w:t>
            </w:r>
            <w:proofErr w:type="spellStart"/>
            <w:r w:rsidRPr="004460CA">
              <w:rPr>
                <w:color w:val="000000" w:themeColor="text1"/>
              </w:rPr>
              <w:t>банков+секторальный</w:t>
            </w:r>
            <w:proofErr w:type="spellEnd"/>
            <w:r w:rsidRPr="004460CA">
              <w:rPr>
                <w:color w:val="000000" w:themeColor="text1"/>
              </w:rPr>
              <w:t xml:space="preserve"> контрциклический/контрциклический буфер</w:t>
            </w:r>
          </w:p>
        </w:tc>
        <w:tc>
          <w:tcPr>
            <w:tcW w:w="288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E3F83C" w14:textId="77777777" w:rsidR="00CA0AE2" w:rsidRPr="004460CA" w:rsidRDefault="00CA0AE2" w:rsidP="00E23607">
            <w:pPr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&lt;5,5 % + надзорная надбавка по результатам SREP и регулярного AQR/ надзорная надбавка по результатам SREP+ консервационный</w:t>
            </w:r>
          </w:p>
          <w:p w14:paraId="711C0B52" w14:textId="6CB6F15B" w:rsidR="00CA0AE2" w:rsidRPr="004460CA" w:rsidRDefault="00CA0AE2" w:rsidP="00E23607">
            <w:pPr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и системный буфер</w:t>
            </w:r>
          </w:p>
        </w:tc>
        <w:tc>
          <w:tcPr>
            <w:tcW w:w="2844" w:type="dxa"/>
            <w:vMerge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EB4D30" w14:textId="4BA163DB" w:rsidR="00CA0AE2" w:rsidRPr="004460CA" w:rsidRDefault="00CA0AE2" w:rsidP="002659AA">
            <w:pPr>
              <w:rPr>
                <w:color w:val="000000" w:themeColor="text1"/>
              </w:rPr>
            </w:pPr>
          </w:p>
        </w:tc>
      </w:tr>
      <w:tr w:rsidR="00CA0AE2" w:rsidRPr="004460CA" w14:paraId="075C9F03" w14:textId="77777777" w:rsidTr="000801D6">
        <w:trPr>
          <w:trHeight w:val="1048"/>
        </w:trPr>
        <w:tc>
          <w:tcPr>
            <w:tcW w:w="411" w:type="dxa"/>
            <w:vAlign w:val="center"/>
          </w:tcPr>
          <w:p w14:paraId="195CE96F" w14:textId="17E0D98C" w:rsidR="00CA0AE2" w:rsidRPr="004460CA" w:rsidRDefault="00CA0AE2" w:rsidP="00E23607">
            <w:pPr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2.</w:t>
            </w:r>
          </w:p>
        </w:tc>
        <w:tc>
          <w:tcPr>
            <w:tcW w:w="4481" w:type="dxa"/>
            <w:shd w:val="clear" w:color="auto" w:fill="FFFFFF"/>
            <w:tcMar>
              <w:top w:w="15" w:type="dxa"/>
              <w:left w:w="397" w:type="dxa"/>
              <w:bottom w:w="0" w:type="dxa"/>
              <w:right w:w="227" w:type="dxa"/>
            </w:tcMar>
            <w:vAlign w:val="center"/>
          </w:tcPr>
          <w:p w14:paraId="1C73F3AF" w14:textId="32CFCEF7" w:rsidR="00CA0AE2" w:rsidRPr="004460CA" w:rsidRDefault="00CA0AE2" w:rsidP="00E23607">
            <w:pPr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 xml:space="preserve">Последовательное снижение коэффициента достаточности основного капитала </w:t>
            </w:r>
          </w:p>
        </w:tc>
        <w:tc>
          <w:tcPr>
            <w:tcW w:w="393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58486F" w14:textId="4A68C036" w:rsidR="00CA0AE2" w:rsidRPr="004460CA" w:rsidRDefault="00CA0AE2" w:rsidP="00E23607">
            <w:pPr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 xml:space="preserve">Снижение в течение 3 месяцев более чем на 30% при условии пересечения порогового уровня 1,75-кратного минимального нормативного требования по достаточности капитала </w:t>
            </w:r>
          </w:p>
        </w:tc>
        <w:tc>
          <w:tcPr>
            <w:tcW w:w="2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DF8539" w14:textId="77777777" w:rsidR="00CA0AE2" w:rsidRPr="004460CA" w:rsidRDefault="00CA0AE2" w:rsidP="00E236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4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068658" w14:textId="22814652" w:rsidR="00CA0AE2" w:rsidRPr="004460CA" w:rsidRDefault="00CA0AE2" w:rsidP="002659AA">
            <w:pPr>
              <w:rPr>
                <w:color w:val="000000" w:themeColor="text1"/>
              </w:rPr>
            </w:pPr>
          </w:p>
        </w:tc>
      </w:tr>
      <w:tr w:rsidR="00CA0AE2" w:rsidRPr="004460CA" w14:paraId="174FD5A4" w14:textId="77777777" w:rsidTr="004460CA">
        <w:trPr>
          <w:trHeight w:val="915"/>
        </w:trPr>
        <w:tc>
          <w:tcPr>
            <w:tcW w:w="411" w:type="dxa"/>
            <w:vAlign w:val="center"/>
          </w:tcPr>
          <w:p w14:paraId="1693F97F" w14:textId="1EEEB4A3" w:rsidR="00CA0AE2" w:rsidRPr="004460CA" w:rsidRDefault="00CA0AE2" w:rsidP="00E23607">
            <w:pPr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 xml:space="preserve">  3.</w:t>
            </w:r>
          </w:p>
        </w:tc>
        <w:tc>
          <w:tcPr>
            <w:tcW w:w="4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397" w:type="dxa"/>
              <w:bottom w:w="0" w:type="dxa"/>
              <w:right w:w="227" w:type="dxa"/>
            </w:tcMar>
            <w:vAlign w:val="center"/>
            <w:hideMark/>
          </w:tcPr>
          <w:p w14:paraId="45D73E66" w14:textId="3FDE4984" w:rsidR="00CA0AE2" w:rsidRPr="004460CA" w:rsidRDefault="00CA0AE2" w:rsidP="00E23607">
            <w:pPr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Коэффициент левериджа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1B0E9" w14:textId="1EE3E303" w:rsidR="00CA0AE2" w:rsidRPr="004460CA" w:rsidRDefault="00CA0AE2" w:rsidP="00E23607">
            <w:pPr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&lt;нормативного значения +2 п.п.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98DAC8" w14:textId="77777777" w:rsidR="00CA0AE2" w:rsidRPr="004460CA" w:rsidRDefault="00CA0AE2" w:rsidP="00E23607">
            <w:pPr>
              <w:jc w:val="center"/>
              <w:rPr>
                <w:color w:val="000000" w:themeColor="text1"/>
                <w:kern w:val="24"/>
                <w:sz w:val="2"/>
              </w:rPr>
            </w:pPr>
          </w:p>
          <w:p w14:paraId="61B40714" w14:textId="27889A6C" w:rsidR="00CA0AE2" w:rsidRPr="004460CA" w:rsidRDefault="00CA0AE2" w:rsidP="00E23607">
            <w:pPr>
              <w:jc w:val="center"/>
              <w:rPr>
                <w:color w:val="000000" w:themeColor="text1"/>
                <w:kern w:val="24"/>
              </w:rPr>
            </w:pPr>
            <w:r w:rsidRPr="004460CA">
              <w:rPr>
                <w:color w:val="000000" w:themeColor="text1"/>
                <w:kern w:val="24"/>
              </w:rPr>
              <w:t xml:space="preserve">&lt;нормативного значения </w:t>
            </w:r>
          </w:p>
          <w:p w14:paraId="236CBD07" w14:textId="52806C59" w:rsidR="00CA0AE2" w:rsidRPr="004460CA" w:rsidRDefault="00CA0AE2" w:rsidP="00E236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4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9C7C0E" w14:textId="19239D81" w:rsidR="00CA0AE2" w:rsidRPr="004460CA" w:rsidRDefault="00CA0AE2" w:rsidP="002659AA">
            <w:pPr>
              <w:rPr>
                <w:color w:val="000000" w:themeColor="text1"/>
              </w:rPr>
            </w:pPr>
          </w:p>
        </w:tc>
      </w:tr>
      <w:tr w:rsidR="00CA0AE2" w:rsidRPr="004460CA" w14:paraId="5BD388B0" w14:textId="77777777" w:rsidTr="004460CA">
        <w:trPr>
          <w:trHeight w:val="915"/>
        </w:trPr>
        <w:tc>
          <w:tcPr>
            <w:tcW w:w="411" w:type="dxa"/>
            <w:vAlign w:val="center"/>
          </w:tcPr>
          <w:p w14:paraId="6CC3C307" w14:textId="4E7360C7" w:rsidR="00CA0AE2" w:rsidRPr="004460CA" w:rsidRDefault="00CA0AE2" w:rsidP="00E23607">
            <w:pPr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lastRenderedPageBreak/>
              <w:t xml:space="preserve">  4.</w:t>
            </w:r>
          </w:p>
        </w:tc>
        <w:tc>
          <w:tcPr>
            <w:tcW w:w="4481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397" w:type="dxa"/>
              <w:bottom w:w="0" w:type="dxa"/>
              <w:right w:w="227" w:type="dxa"/>
            </w:tcMar>
            <w:vAlign w:val="center"/>
            <w:hideMark/>
          </w:tcPr>
          <w:p w14:paraId="2D1DC434" w14:textId="77777777" w:rsidR="00CA0AE2" w:rsidRPr="004460CA" w:rsidRDefault="00CA0AE2" w:rsidP="00E23607">
            <w:pPr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Риск на одного заемщика, не связанного с банком особыми отношениями (к3)</w:t>
            </w:r>
          </w:p>
        </w:tc>
        <w:tc>
          <w:tcPr>
            <w:tcW w:w="3935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FCBEA7" w14:textId="6642E011" w:rsidR="00CA0AE2" w:rsidRPr="004460CA" w:rsidRDefault="00CA0AE2" w:rsidP="00E23607">
            <w:pPr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 xml:space="preserve">&gt;25% </w:t>
            </w:r>
            <w:r w:rsidR="001B005C" w:rsidRPr="004460CA">
              <w:rPr>
                <w:color w:val="000000" w:themeColor="text1"/>
              </w:rPr>
              <w:t>3</w:t>
            </w:r>
            <w:r w:rsidRPr="004460CA">
              <w:rPr>
                <w:color w:val="000000" w:themeColor="text1"/>
              </w:rPr>
              <w:t xml:space="preserve"> (тр</w:t>
            </w:r>
            <w:r w:rsidR="001B005C" w:rsidRPr="004460CA">
              <w:rPr>
                <w:color w:val="000000" w:themeColor="text1"/>
              </w:rPr>
              <w:t>и</w:t>
            </w:r>
            <w:r w:rsidRPr="004460CA">
              <w:rPr>
                <w:color w:val="000000" w:themeColor="text1"/>
              </w:rPr>
              <w:t>)</w:t>
            </w:r>
            <w:r w:rsidR="001B005C" w:rsidRPr="004460CA">
              <w:rPr>
                <w:color w:val="000000" w:themeColor="text1"/>
              </w:rPr>
              <w:t xml:space="preserve"> и более</w:t>
            </w:r>
            <w:r w:rsidRPr="004460CA">
              <w:rPr>
                <w:color w:val="000000" w:themeColor="text1"/>
              </w:rPr>
              <w:t xml:space="preserve"> раз</w:t>
            </w:r>
            <w:r w:rsidR="001B005C" w:rsidRPr="004460CA">
              <w:rPr>
                <w:color w:val="000000" w:themeColor="text1"/>
              </w:rPr>
              <w:t>а</w:t>
            </w:r>
            <w:r w:rsidRPr="004460CA">
              <w:rPr>
                <w:color w:val="000000" w:themeColor="text1"/>
              </w:rPr>
              <w:t xml:space="preserve"> в течение 6 (шести) месяцев</w:t>
            </w:r>
          </w:p>
        </w:tc>
        <w:tc>
          <w:tcPr>
            <w:tcW w:w="2889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2AFC9D" w14:textId="77777777" w:rsidR="00CA0AE2" w:rsidRPr="004460CA" w:rsidRDefault="00CA0AE2" w:rsidP="00E23607">
            <w:pPr>
              <w:rPr>
                <w:color w:val="000000" w:themeColor="text1"/>
              </w:rPr>
            </w:pPr>
          </w:p>
        </w:tc>
        <w:tc>
          <w:tcPr>
            <w:tcW w:w="2844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9D4C0" w14:textId="4E779003" w:rsidR="00CA0AE2" w:rsidRPr="004460CA" w:rsidRDefault="00CA0AE2" w:rsidP="002659AA">
            <w:pPr>
              <w:rPr>
                <w:color w:val="000000" w:themeColor="text1"/>
              </w:rPr>
            </w:pPr>
          </w:p>
        </w:tc>
      </w:tr>
      <w:tr w:rsidR="00CA0AE2" w:rsidRPr="004460CA" w14:paraId="4FC23A8A" w14:textId="77777777" w:rsidTr="000801D6">
        <w:trPr>
          <w:trHeight w:val="915"/>
        </w:trPr>
        <w:tc>
          <w:tcPr>
            <w:tcW w:w="411" w:type="dxa"/>
            <w:vAlign w:val="center"/>
          </w:tcPr>
          <w:p w14:paraId="5D2FB7F4" w14:textId="3631BEC8" w:rsidR="00CA0AE2" w:rsidRPr="004460CA" w:rsidRDefault="00CA0AE2" w:rsidP="00E23607">
            <w:pPr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 xml:space="preserve">  5.</w:t>
            </w:r>
          </w:p>
        </w:tc>
        <w:tc>
          <w:tcPr>
            <w:tcW w:w="4481" w:type="dxa"/>
            <w:shd w:val="clear" w:color="auto" w:fill="auto"/>
            <w:tcMar>
              <w:top w:w="15" w:type="dxa"/>
              <w:left w:w="397" w:type="dxa"/>
              <w:bottom w:w="0" w:type="dxa"/>
              <w:right w:w="227" w:type="dxa"/>
            </w:tcMar>
            <w:vAlign w:val="center"/>
            <w:hideMark/>
          </w:tcPr>
          <w:p w14:paraId="0AB0FAB0" w14:textId="77777777" w:rsidR="00CA0AE2" w:rsidRPr="004460CA" w:rsidRDefault="00CA0AE2" w:rsidP="00E23607">
            <w:pPr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Риск на одного заемщика, связанного с банком особыми отношениями (к3-1)</w:t>
            </w:r>
          </w:p>
        </w:tc>
        <w:tc>
          <w:tcPr>
            <w:tcW w:w="39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8DECC2" w14:textId="6AFDB593" w:rsidR="00CA0AE2" w:rsidRPr="004460CA" w:rsidRDefault="00CA0AE2" w:rsidP="00E23607">
            <w:pPr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&gt;10% 3 (тр</w:t>
            </w:r>
            <w:r w:rsidR="001B005C" w:rsidRPr="004460CA">
              <w:rPr>
                <w:color w:val="000000" w:themeColor="text1"/>
              </w:rPr>
              <w:t>и</w:t>
            </w:r>
            <w:r w:rsidRPr="004460CA">
              <w:rPr>
                <w:color w:val="000000" w:themeColor="text1"/>
              </w:rPr>
              <w:t>)</w:t>
            </w:r>
            <w:r w:rsidR="001B005C" w:rsidRPr="004460CA">
              <w:rPr>
                <w:color w:val="000000" w:themeColor="text1"/>
              </w:rPr>
              <w:t xml:space="preserve"> и более</w:t>
            </w:r>
            <w:r w:rsidRPr="004460CA">
              <w:rPr>
                <w:color w:val="000000" w:themeColor="text1"/>
              </w:rPr>
              <w:t xml:space="preserve"> раз</w:t>
            </w:r>
            <w:r w:rsidR="001B005C" w:rsidRPr="004460CA">
              <w:rPr>
                <w:color w:val="000000" w:themeColor="text1"/>
              </w:rPr>
              <w:t>а</w:t>
            </w:r>
            <w:r w:rsidRPr="004460CA">
              <w:rPr>
                <w:color w:val="000000" w:themeColor="text1"/>
              </w:rPr>
              <w:t xml:space="preserve"> в течение 6 (шести) месяцев</w:t>
            </w:r>
          </w:p>
        </w:tc>
        <w:tc>
          <w:tcPr>
            <w:tcW w:w="2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C09881" w14:textId="77777777" w:rsidR="00CA0AE2" w:rsidRPr="004460CA" w:rsidRDefault="00CA0AE2" w:rsidP="00E236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4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77863" w14:textId="632705B1" w:rsidR="00CA0AE2" w:rsidRPr="004460CA" w:rsidRDefault="00CA0AE2" w:rsidP="002659AA">
            <w:pPr>
              <w:rPr>
                <w:color w:val="000000" w:themeColor="text1"/>
              </w:rPr>
            </w:pPr>
          </w:p>
        </w:tc>
      </w:tr>
      <w:tr w:rsidR="00CA0AE2" w:rsidRPr="004460CA" w14:paraId="24A40CC5" w14:textId="77777777" w:rsidTr="002659AA">
        <w:trPr>
          <w:trHeight w:val="915"/>
        </w:trPr>
        <w:tc>
          <w:tcPr>
            <w:tcW w:w="411" w:type="dxa"/>
            <w:vAlign w:val="center"/>
          </w:tcPr>
          <w:p w14:paraId="583213EA" w14:textId="07889FF0" w:rsidR="00CA0AE2" w:rsidRPr="004460CA" w:rsidRDefault="00CA0AE2" w:rsidP="00E23607">
            <w:pPr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 xml:space="preserve">  6.</w:t>
            </w:r>
          </w:p>
        </w:tc>
        <w:tc>
          <w:tcPr>
            <w:tcW w:w="4481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397" w:type="dxa"/>
              <w:bottom w:w="0" w:type="dxa"/>
              <w:right w:w="227" w:type="dxa"/>
            </w:tcMar>
            <w:vAlign w:val="center"/>
            <w:hideMark/>
          </w:tcPr>
          <w:p w14:paraId="1432DAC4" w14:textId="77777777" w:rsidR="00CA0AE2" w:rsidRPr="004460CA" w:rsidRDefault="00CA0AE2" w:rsidP="00E23607">
            <w:pPr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 xml:space="preserve">Снижение капитала по результатам надзорного стресс-тестирования </w:t>
            </w:r>
          </w:p>
        </w:tc>
        <w:tc>
          <w:tcPr>
            <w:tcW w:w="3935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F541C" w14:textId="3C6C9493" w:rsidR="00CA0AE2" w:rsidRPr="004460CA" w:rsidRDefault="00CA0AE2" w:rsidP="00E23607">
            <w:pPr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&lt;минимального нормативного значения по k1</w:t>
            </w:r>
          </w:p>
        </w:tc>
        <w:tc>
          <w:tcPr>
            <w:tcW w:w="2889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4ABE3E" w14:textId="77777777" w:rsidR="00CA0AE2" w:rsidRPr="004460CA" w:rsidRDefault="00CA0AE2" w:rsidP="00E236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4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124F8" w14:textId="6A081695" w:rsidR="00CA0AE2" w:rsidRPr="004460CA" w:rsidRDefault="00CA0AE2" w:rsidP="002659AA">
            <w:pPr>
              <w:rPr>
                <w:color w:val="000000" w:themeColor="text1"/>
              </w:rPr>
            </w:pPr>
          </w:p>
        </w:tc>
      </w:tr>
      <w:tr w:rsidR="00CA0AE2" w:rsidRPr="004460CA" w14:paraId="5362B792" w14:textId="77777777" w:rsidTr="000801D6">
        <w:trPr>
          <w:trHeight w:val="915"/>
        </w:trPr>
        <w:tc>
          <w:tcPr>
            <w:tcW w:w="411" w:type="dxa"/>
            <w:vAlign w:val="center"/>
          </w:tcPr>
          <w:p w14:paraId="448AB0C4" w14:textId="1D1CAB6A" w:rsidR="00CA0AE2" w:rsidRPr="004460CA" w:rsidRDefault="00CA0AE2" w:rsidP="00E23607">
            <w:pPr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 xml:space="preserve">  7.</w:t>
            </w:r>
          </w:p>
        </w:tc>
        <w:tc>
          <w:tcPr>
            <w:tcW w:w="4481" w:type="dxa"/>
            <w:shd w:val="clear" w:color="auto" w:fill="auto"/>
            <w:tcMar>
              <w:top w:w="15" w:type="dxa"/>
              <w:left w:w="397" w:type="dxa"/>
              <w:bottom w:w="0" w:type="dxa"/>
              <w:right w:w="227" w:type="dxa"/>
            </w:tcMar>
            <w:vAlign w:val="center"/>
          </w:tcPr>
          <w:p w14:paraId="17AC28D2" w14:textId="7E5B9302" w:rsidR="00CA0AE2" w:rsidRPr="004460CA" w:rsidRDefault="00CA0AE2" w:rsidP="00E23607">
            <w:pPr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Минимальный размер обязательств по инструментам, обеспечивающим общую способность поглощения (покрытия) убытков</w:t>
            </w:r>
          </w:p>
        </w:tc>
        <w:tc>
          <w:tcPr>
            <w:tcW w:w="39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A6BD0E" w14:textId="64466888" w:rsidR="00CA0AE2" w:rsidRPr="004460CA" w:rsidRDefault="00CA0AE2" w:rsidP="00E23607">
            <w:pPr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&lt;минимального нормативного значения</w:t>
            </w:r>
          </w:p>
        </w:tc>
        <w:tc>
          <w:tcPr>
            <w:tcW w:w="2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AFA7D7" w14:textId="79BF9AD2" w:rsidR="00CA0AE2" w:rsidRPr="004460CA" w:rsidRDefault="00CA0AE2" w:rsidP="00E23607">
            <w:pPr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&lt;минимального нормативного значения более 2-х (двух) раз в течение 3-х (трех) месяцев</w:t>
            </w:r>
          </w:p>
        </w:tc>
        <w:tc>
          <w:tcPr>
            <w:tcW w:w="2844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C6B036" w14:textId="03080DB9" w:rsidR="00CA0AE2" w:rsidRPr="004460CA" w:rsidRDefault="00CA0AE2" w:rsidP="002659AA">
            <w:pPr>
              <w:rPr>
                <w:color w:val="000000" w:themeColor="text1"/>
              </w:rPr>
            </w:pPr>
          </w:p>
        </w:tc>
      </w:tr>
      <w:tr w:rsidR="00CA0AE2" w:rsidRPr="004460CA" w14:paraId="58BA2427" w14:textId="77777777" w:rsidTr="004460CA">
        <w:trPr>
          <w:trHeight w:val="915"/>
        </w:trPr>
        <w:tc>
          <w:tcPr>
            <w:tcW w:w="11716" w:type="dxa"/>
            <w:gridSpan w:val="4"/>
            <w:vAlign w:val="center"/>
          </w:tcPr>
          <w:p w14:paraId="03AF497B" w14:textId="36E985F9" w:rsidR="00CA0AE2" w:rsidRPr="004460CA" w:rsidRDefault="00CA0AE2" w:rsidP="002659AA">
            <w:pPr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 xml:space="preserve">  II. Показатели кредитного риска</w:t>
            </w:r>
          </w:p>
        </w:tc>
        <w:tc>
          <w:tcPr>
            <w:tcW w:w="2844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A2A5A8" w14:textId="2B483FC9" w:rsidR="00CA0AE2" w:rsidRPr="004460CA" w:rsidRDefault="00CA0AE2" w:rsidP="002659AA">
            <w:pPr>
              <w:rPr>
                <w:color w:val="000000" w:themeColor="text1"/>
              </w:rPr>
            </w:pPr>
          </w:p>
        </w:tc>
      </w:tr>
      <w:tr w:rsidR="00CA0AE2" w:rsidRPr="004460CA" w14:paraId="1BCCAC46" w14:textId="77777777" w:rsidTr="002659AA">
        <w:trPr>
          <w:trHeight w:val="915"/>
        </w:trPr>
        <w:tc>
          <w:tcPr>
            <w:tcW w:w="411" w:type="dxa"/>
            <w:vAlign w:val="center"/>
          </w:tcPr>
          <w:p w14:paraId="530AE98A" w14:textId="51FD44F8" w:rsidR="00CA0AE2" w:rsidRPr="004460CA" w:rsidRDefault="00CA0AE2" w:rsidP="00E23607">
            <w:pPr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 xml:space="preserve">  8.</w:t>
            </w:r>
          </w:p>
        </w:tc>
        <w:tc>
          <w:tcPr>
            <w:tcW w:w="4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397" w:type="dxa"/>
              <w:bottom w:w="0" w:type="dxa"/>
              <w:right w:w="227" w:type="dxa"/>
            </w:tcMar>
            <w:vAlign w:val="center"/>
          </w:tcPr>
          <w:p w14:paraId="64AE2AF3" w14:textId="68A864CC" w:rsidR="00CA0AE2" w:rsidRPr="004460CA" w:rsidRDefault="00CA0AE2" w:rsidP="00E23607">
            <w:pPr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Коэффициент доли кредитов 3 стадии и ПСКО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298A1" w14:textId="77777777" w:rsidR="00CA0AE2" w:rsidRPr="004460CA" w:rsidRDefault="00CA0AE2" w:rsidP="00E23607">
            <w:pPr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  <w:kern w:val="24"/>
              </w:rPr>
              <w:t>≥ 15% при условии, что коэффициент покрытия провизиями менее 40%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95FEA0" w14:textId="09D9DEF1" w:rsidR="00CA0AE2" w:rsidRPr="004460CA" w:rsidRDefault="00CA0AE2" w:rsidP="00E23607">
            <w:pPr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  <w:kern w:val="24"/>
              </w:rPr>
              <w:t>≥ 20% при условии, что коэффициент покрытия провизиями менее 40%</w:t>
            </w:r>
          </w:p>
        </w:tc>
        <w:tc>
          <w:tcPr>
            <w:tcW w:w="2844" w:type="dxa"/>
            <w:vMerge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562B6D" w14:textId="280978AC" w:rsidR="00CA0AE2" w:rsidRPr="004460CA" w:rsidRDefault="00CA0AE2" w:rsidP="002659AA">
            <w:pPr>
              <w:rPr>
                <w:color w:val="000000" w:themeColor="text1"/>
              </w:rPr>
            </w:pPr>
          </w:p>
        </w:tc>
      </w:tr>
      <w:tr w:rsidR="00CA0AE2" w:rsidRPr="004460CA" w14:paraId="0DC7EAE7" w14:textId="77777777" w:rsidTr="002659AA">
        <w:trPr>
          <w:trHeight w:val="915"/>
        </w:trPr>
        <w:tc>
          <w:tcPr>
            <w:tcW w:w="411" w:type="dxa"/>
            <w:vAlign w:val="center"/>
          </w:tcPr>
          <w:p w14:paraId="15F9AB56" w14:textId="3179DA03" w:rsidR="00CA0AE2" w:rsidRPr="004460CA" w:rsidRDefault="00CA0AE2" w:rsidP="00E23607">
            <w:pPr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9.</w:t>
            </w:r>
          </w:p>
        </w:tc>
        <w:tc>
          <w:tcPr>
            <w:tcW w:w="4481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397" w:type="dxa"/>
              <w:bottom w:w="0" w:type="dxa"/>
              <w:right w:w="227" w:type="dxa"/>
            </w:tcMar>
            <w:vAlign w:val="center"/>
          </w:tcPr>
          <w:p w14:paraId="262EB4AC" w14:textId="1FA07281" w:rsidR="00CA0AE2" w:rsidRPr="004460CA" w:rsidRDefault="00CA0AE2" w:rsidP="00E23607">
            <w:pPr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Значение доли кредитов 3 стадии и ПСКО в течение 6 (шести) последовательных месяцев</w:t>
            </w:r>
          </w:p>
        </w:tc>
        <w:tc>
          <w:tcPr>
            <w:tcW w:w="3935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D5E753" w14:textId="77777777" w:rsidR="00CA0AE2" w:rsidRPr="004460CA" w:rsidRDefault="00CA0AE2" w:rsidP="00E23607">
            <w:pPr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  <w:kern w:val="24"/>
              </w:rPr>
              <w:t>≥ 10% при условии, что коэффициент покрытия провизиями менее 40%</w:t>
            </w:r>
          </w:p>
        </w:tc>
        <w:tc>
          <w:tcPr>
            <w:tcW w:w="2889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1847DF" w14:textId="20C9F303" w:rsidR="00CA0AE2" w:rsidRPr="004460CA" w:rsidRDefault="00CA0AE2" w:rsidP="00E23607">
            <w:pPr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  <w:kern w:val="24"/>
              </w:rPr>
              <w:t>≥ 15% при условии, что коэффициент покрытия провизиями менее 40%</w:t>
            </w:r>
          </w:p>
        </w:tc>
        <w:tc>
          <w:tcPr>
            <w:tcW w:w="2844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8A255B" w14:textId="79502C14" w:rsidR="00CA0AE2" w:rsidRPr="004460CA" w:rsidRDefault="00CA0AE2" w:rsidP="002659AA">
            <w:pPr>
              <w:rPr>
                <w:color w:val="000000" w:themeColor="text1"/>
              </w:rPr>
            </w:pPr>
          </w:p>
        </w:tc>
      </w:tr>
      <w:tr w:rsidR="00CA0AE2" w:rsidRPr="004460CA" w14:paraId="1AE41D88" w14:textId="77777777" w:rsidTr="002659AA">
        <w:trPr>
          <w:trHeight w:val="915"/>
        </w:trPr>
        <w:tc>
          <w:tcPr>
            <w:tcW w:w="411" w:type="dxa"/>
            <w:vAlign w:val="center"/>
          </w:tcPr>
          <w:p w14:paraId="498B6766" w14:textId="5D9A9A3E" w:rsidR="00CA0AE2" w:rsidRPr="004460CA" w:rsidRDefault="00CA0AE2" w:rsidP="00E23607">
            <w:pPr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10.</w:t>
            </w:r>
          </w:p>
        </w:tc>
        <w:tc>
          <w:tcPr>
            <w:tcW w:w="4481" w:type="dxa"/>
            <w:shd w:val="clear" w:color="auto" w:fill="auto"/>
            <w:tcMar>
              <w:top w:w="15" w:type="dxa"/>
              <w:left w:w="397" w:type="dxa"/>
              <w:bottom w:w="0" w:type="dxa"/>
              <w:right w:w="227" w:type="dxa"/>
            </w:tcMar>
            <w:vAlign w:val="center"/>
          </w:tcPr>
          <w:p w14:paraId="3DF90AFC" w14:textId="0B4F11C8" w:rsidR="00CA0AE2" w:rsidRPr="004460CA" w:rsidRDefault="00CA0AE2" w:rsidP="00E23607">
            <w:pPr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М</w:t>
            </w:r>
            <w:r w:rsidRPr="004460CA">
              <w:rPr>
                <w:color w:val="000000" w:themeColor="text1"/>
                <w:lang w:val="kk-KZ"/>
              </w:rPr>
              <w:t xml:space="preserve">гновенный </w:t>
            </w:r>
            <w:r w:rsidRPr="004460CA">
              <w:rPr>
                <w:color w:val="000000" w:themeColor="text1"/>
              </w:rPr>
              <w:t>рост доли кредитов 3 стадии и ПСКО в течение месяца</w:t>
            </w:r>
          </w:p>
          <w:p w14:paraId="040A98D6" w14:textId="356D523F" w:rsidR="00CA0AE2" w:rsidRPr="004460CA" w:rsidRDefault="00CA0AE2" w:rsidP="00E23607">
            <w:pPr>
              <w:rPr>
                <w:color w:val="000000" w:themeColor="text1"/>
              </w:rPr>
            </w:pPr>
          </w:p>
        </w:tc>
        <w:tc>
          <w:tcPr>
            <w:tcW w:w="39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9608FC" w14:textId="77777777" w:rsidR="00CA0AE2" w:rsidRPr="004460CA" w:rsidRDefault="00CA0AE2" w:rsidP="00E23607">
            <w:pPr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  <w:kern w:val="24"/>
              </w:rPr>
              <w:t>на 5 п.п.</w:t>
            </w:r>
          </w:p>
        </w:tc>
        <w:tc>
          <w:tcPr>
            <w:tcW w:w="2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E36AB7" w14:textId="77777777" w:rsidR="00CA0AE2" w:rsidRPr="004460CA" w:rsidRDefault="00CA0AE2" w:rsidP="00E23607">
            <w:pPr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  <w:kern w:val="24"/>
              </w:rPr>
              <w:t>от 5 до 10 п.п.</w:t>
            </w:r>
          </w:p>
        </w:tc>
        <w:tc>
          <w:tcPr>
            <w:tcW w:w="2844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81A6AD" w14:textId="294D0B83" w:rsidR="00CA0AE2" w:rsidRPr="004460CA" w:rsidRDefault="00CA0AE2" w:rsidP="002659AA">
            <w:pPr>
              <w:rPr>
                <w:color w:val="000000" w:themeColor="text1"/>
              </w:rPr>
            </w:pPr>
          </w:p>
        </w:tc>
      </w:tr>
      <w:tr w:rsidR="00CA0AE2" w:rsidRPr="004460CA" w14:paraId="57E89FA8" w14:textId="77777777" w:rsidTr="002659AA">
        <w:trPr>
          <w:trHeight w:val="915"/>
        </w:trPr>
        <w:tc>
          <w:tcPr>
            <w:tcW w:w="411" w:type="dxa"/>
            <w:vAlign w:val="center"/>
          </w:tcPr>
          <w:p w14:paraId="3C4DA659" w14:textId="4613C29E" w:rsidR="00CA0AE2" w:rsidRPr="004460CA" w:rsidRDefault="00CA0AE2" w:rsidP="00E23607">
            <w:pPr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 xml:space="preserve">11. </w:t>
            </w:r>
          </w:p>
        </w:tc>
        <w:tc>
          <w:tcPr>
            <w:tcW w:w="4481" w:type="dxa"/>
            <w:shd w:val="clear" w:color="auto" w:fill="auto"/>
            <w:tcMar>
              <w:top w:w="15" w:type="dxa"/>
              <w:left w:w="397" w:type="dxa"/>
              <w:bottom w:w="0" w:type="dxa"/>
              <w:right w:w="227" w:type="dxa"/>
            </w:tcMar>
            <w:vAlign w:val="center"/>
          </w:tcPr>
          <w:p w14:paraId="09F38A2A" w14:textId="77777777" w:rsidR="00CA0AE2" w:rsidRPr="004460CA" w:rsidRDefault="00CA0AE2" w:rsidP="00E23607">
            <w:pPr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Отношение доли уплаченного вознаграждения к начисленным процентным доходам</w:t>
            </w:r>
          </w:p>
        </w:tc>
        <w:tc>
          <w:tcPr>
            <w:tcW w:w="39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081AF6" w14:textId="5C6CD6CE" w:rsidR="00CA0AE2" w:rsidRPr="004460CA" w:rsidRDefault="00CA0AE2" w:rsidP="00E23607">
            <w:pPr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  <w:kern w:val="24"/>
              </w:rPr>
              <w:t>&lt;75%</w:t>
            </w:r>
          </w:p>
        </w:tc>
        <w:tc>
          <w:tcPr>
            <w:tcW w:w="2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FF47ED" w14:textId="56798E5A" w:rsidR="00CA0AE2" w:rsidRPr="004460CA" w:rsidRDefault="00CA0AE2" w:rsidP="00E23607">
            <w:pPr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  <w:kern w:val="24"/>
              </w:rPr>
              <w:t>&lt;60%</w:t>
            </w:r>
          </w:p>
        </w:tc>
        <w:tc>
          <w:tcPr>
            <w:tcW w:w="2844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7732E7" w14:textId="400864E2" w:rsidR="00CA0AE2" w:rsidRPr="004460CA" w:rsidRDefault="00CA0AE2" w:rsidP="002659AA">
            <w:pPr>
              <w:rPr>
                <w:color w:val="000000" w:themeColor="text1"/>
              </w:rPr>
            </w:pPr>
          </w:p>
        </w:tc>
      </w:tr>
      <w:tr w:rsidR="00CA0AE2" w:rsidRPr="004460CA" w14:paraId="48A11B70" w14:textId="77777777" w:rsidTr="002659AA">
        <w:trPr>
          <w:trHeight w:val="915"/>
        </w:trPr>
        <w:tc>
          <w:tcPr>
            <w:tcW w:w="411" w:type="dxa"/>
            <w:vAlign w:val="center"/>
          </w:tcPr>
          <w:p w14:paraId="4DF22770" w14:textId="3B7D96FC" w:rsidR="00CA0AE2" w:rsidRPr="004460CA" w:rsidRDefault="00CA0AE2" w:rsidP="00E23607">
            <w:pPr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lastRenderedPageBreak/>
              <w:t>12.</w:t>
            </w:r>
          </w:p>
        </w:tc>
        <w:tc>
          <w:tcPr>
            <w:tcW w:w="4481" w:type="dxa"/>
            <w:shd w:val="clear" w:color="auto" w:fill="auto"/>
            <w:tcMar>
              <w:top w:w="15" w:type="dxa"/>
              <w:left w:w="397" w:type="dxa"/>
              <w:bottom w:w="0" w:type="dxa"/>
              <w:right w:w="227" w:type="dxa"/>
            </w:tcMar>
            <w:vAlign w:val="center"/>
          </w:tcPr>
          <w:p w14:paraId="5DDFE162" w14:textId="042DE1C3" w:rsidR="00CA0AE2" w:rsidRPr="004460CA" w:rsidRDefault="00CA0AE2" w:rsidP="00E23607">
            <w:pPr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Концентрация крупных требований к размеру капитала (К)</w:t>
            </w:r>
          </w:p>
        </w:tc>
        <w:tc>
          <w:tcPr>
            <w:tcW w:w="39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D64371" w14:textId="6F3AA292" w:rsidR="00CA0AE2" w:rsidRPr="004460CA" w:rsidRDefault="00CA0AE2" w:rsidP="00E23607">
            <w:pPr>
              <w:jc w:val="center"/>
              <w:rPr>
                <w:color w:val="000000" w:themeColor="text1"/>
                <w:kern w:val="24"/>
              </w:rPr>
            </w:pPr>
            <w:r w:rsidRPr="004460CA">
              <w:rPr>
                <w:color w:val="000000" w:themeColor="text1"/>
              </w:rPr>
              <w:t>&gt;200% при условии, что доля стадии 3 по крупным заемщикам составляет более 10%</w:t>
            </w:r>
          </w:p>
        </w:tc>
        <w:tc>
          <w:tcPr>
            <w:tcW w:w="2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633E5" w14:textId="77777777" w:rsidR="00CA0AE2" w:rsidRPr="004460CA" w:rsidRDefault="00CA0AE2" w:rsidP="00E23607">
            <w:pPr>
              <w:jc w:val="center"/>
              <w:rPr>
                <w:color w:val="000000" w:themeColor="text1"/>
                <w:kern w:val="24"/>
              </w:rPr>
            </w:pPr>
          </w:p>
        </w:tc>
        <w:tc>
          <w:tcPr>
            <w:tcW w:w="2844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61BD1F" w14:textId="5DB62E4A" w:rsidR="00CA0AE2" w:rsidRPr="004460CA" w:rsidRDefault="00CA0AE2" w:rsidP="002659AA">
            <w:pPr>
              <w:rPr>
                <w:color w:val="000000" w:themeColor="text1"/>
              </w:rPr>
            </w:pPr>
          </w:p>
        </w:tc>
      </w:tr>
      <w:tr w:rsidR="00CA0AE2" w:rsidRPr="004460CA" w14:paraId="5D471AD1" w14:textId="77777777" w:rsidTr="004460CA">
        <w:trPr>
          <w:trHeight w:val="915"/>
        </w:trPr>
        <w:tc>
          <w:tcPr>
            <w:tcW w:w="11716" w:type="dxa"/>
            <w:gridSpan w:val="4"/>
            <w:vAlign w:val="center"/>
          </w:tcPr>
          <w:p w14:paraId="256AB41A" w14:textId="617C72D2" w:rsidR="00CA0AE2" w:rsidRPr="004460CA" w:rsidRDefault="00CA0AE2" w:rsidP="002659AA">
            <w:pPr>
              <w:rPr>
                <w:color w:val="000000" w:themeColor="text1"/>
                <w:kern w:val="24"/>
              </w:rPr>
            </w:pPr>
            <w:r w:rsidRPr="004460CA">
              <w:rPr>
                <w:color w:val="000000" w:themeColor="text1"/>
              </w:rPr>
              <w:t xml:space="preserve">  </w:t>
            </w:r>
            <w:r w:rsidRPr="004460CA">
              <w:rPr>
                <w:color w:val="000000" w:themeColor="text1"/>
                <w:lang w:val="en-US"/>
              </w:rPr>
              <w:t>III</w:t>
            </w:r>
            <w:r w:rsidRPr="004460CA">
              <w:rPr>
                <w:color w:val="000000" w:themeColor="text1"/>
              </w:rPr>
              <w:t>. Показатели риска ликвидности</w:t>
            </w:r>
          </w:p>
        </w:tc>
        <w:tc>
          <w:tcPr>
            <w:tcW w:w="2844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8C0FCE" w14:textId="7F3BCCDF" w:rsidR="00CA0AE2" w:rsidRPr="004460CA" w:rsidRDefault="00CA0AE2" w:rsidP="002659AA">
            <w:pPr>
              <w:rPr>
                <w:color w:val="000000" w:themeColor="text1"/>
              </w:rPr>
            </w:pPr>
          </w:p>
        </w:tc>
      </w:tr>
      <w:tr w:rsidR="00CA0AE2" w:rsidRPr="004460CA" w14:paraId="52016435" w14:textId="77777777" w:rsidTr="000801D6">
        <w:trPr>
          <w:trHeight w:val="915"/>
        </w:trPr>
        <w:tc>
          <w:tcPr>
            <w:tcW w:w="411" w:type="dxa"/>
            <w:vAlign w:val="center"/>
          </w:tcPr>
          <w:p w14:paraId="293D3C37" w14:textId="12EAB8F8" w:rsidR="00CA0AE2" w:rsidRPr="004460CA" w:rsidRDefault="00CA0AE2" w:rsidP="00E23607">
            <w:pPr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 xml:space="preserve"> 13.</w:t>
            </w:r>
          </w:p>
        </w:tc>
        <w:tc>
          <w:tcPr>
            <w:tcW w:w="4481" w:type="dxa"/>
            <w:shd w:val="clear" w:color="auto" w:fill="auto"/>
            <w:tcMar>
              <w:top w:w="15" w:type="dxa"/>
              <w:left w:w="397" w:type="dxa"/>
              <w:bottom w:w="0" w:type="dxa"/>
              <w:right w:w="227" w:type="dxa"/>
            </w:tcMar>
            <w:vAlign w:val="center"/>
          </w:tcPr>
          <w:p w14:paraId="2D3BCA0C" w14:textId="77777777" w:rsidR="00CA0AE2" w:rsidRPr="004460CA" w:rsidRDefault="00CA0AE2" w:rsidP="00E23607">
            <w:pPr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Коэффициент покрытия ликвидности</w:t>
            </w:r>
          </w:p>
        </w:tc>
        <w:tc>
          <w:tcPr>
            <w:tcW w:w="39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C2ED72" w14:textId="064A7A54" w:rsidR="00CA0AE2" w:rsidRPr="004460CA" w:rsidRDefault="00CA0AE2" w:rsidP="00E23607">
            <w:pPr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  <w:kern w:val="24"/>
              </w:rPr>
              <w:t xml:space="preserve">&lt;нормативного значения +5 п.п.   3 (три) и более раза за последние 6 (шесть) месяцев при условии, что доля высоколиквидных активов в совокупных активах банка составляет менее 40%  </w:t>
            </w:r>
          </w:p>
        </w:tc>
        <w:tc>
          <w:tcPr>
            <w:tcW w:w="2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1C2C5E" w14:textId="77777777" w:rsidR="00CA0AE2" w:rsidRPr="004460CA" w:rsidRDefault="00CA0AE2" w:rsidP="00E23607">
            <w:pPr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  <w:kern w:val="24"/>
              </w:rPr>
              <w:t xml:space="preserve"> &lt;нормативного значения                3 (три) и более раза за последние 6 (шесть) месяцев при условии, что доля высоколиквидных активов в совокупных активах банка составляет менее 40%</w:t>
            </w:r>
          </w:p>
        </w:tc>
        <w:tc>
          <w:tcPr>
            <w:tcW w:w="2844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DEF8F4" w14:textId="1D81C206" w:rsidR="00CA0AE2" w:rsidRPr="004460CA" w:rsidRDefault="00CA0AE2" w:rsidP="002659AA">
            <w:pPr>
              <w:rPr>
                <w:color w:val="000000" w:themeColor="text1"/>
              </w:rPr>
            </w:pPr>
          </w:p>
        </w:tc>
      </w:tr>
      <w:tr w:rsidR="00CA0AE2" w:rsidRPr="004460CA" w14:paraId="792477DA" w14:textId="77777777" w:rsidTr="000801D6">
        <w:trPr>
          <w:trHeight w:val="915"/>
        </w:trPr>
        <w:tc>
          <w:tcPr>
            <w:tcW w:w="411" w:type="dxa"/>
            <w:vAlign w:val="center"/>
          </w:tcPr>
          <w:p w14:paraId="1A6E2E9B" w14:textId="6CC6133B" w:rsidR="00CA0AE2" w:rsidRPr="004460CA" w:rsidRDefault="00CA0AE2" w:rsidP="00E23607">
            <w:pPr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 xml:space="preserve"> 14.</w:t>
            </w:r>
          </w:p>
        </w:tc>
        <w:tc>
          <w:tcPr>
            <w:tcW w:w="4481" w:type="dxa"/>
            <w:shd w:val="clear" w:color="auto" w:fill="auto"/>
            <w:tcMar>
              <w:top w:w="15" w:type="dxa"/>
              <w:left w:w="397" w:type="dxa"/>
              <w:bottom w:w="0" w:type="dxa"/>
              <w:right w:w="227" w:type="dxa"/>
            </w:tcMar>
            <w:vAlign w:val="center"/>
          </w:tcPr>
          <w:p w14:paraId="0FFEB2A0" w14:textId="77777777" w:rsidR="00CA0AE2" w:rsidRPr="004460CA" w:rsidRDefault="00CA0AE2" w:rsidP="00E23607">
            <w:pPr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Коэффициент нетто стабильного фондирования</w:t>
            </w:r>
          </w:p>
        </w:tc>
        <w:tc>
          <w:tcPr>
            <w:tcW w:w="39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174E16" w14:textId="77777777" w:rsidR="00CA0AE2" w:rsidRPr="004460CA" w:rsidRDefault="00CA0AE2" w:rsidP="00E23607">
            <w:pPr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  <w:kern w:val="24"/>
              </w:rPr>
              <w:t>&lt;нормативного значения</w:t>
            </w:r>
          </w:p>
        </w:tc>
        <w:tc>
          <w:tcPr>
            <w:tcW w:w="2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B710A" w14:textId="77777777" w:rsidR="00CA0AE2" w:rsidRPr="004460CA" w:rsidRDefault="00CA0AE2" w:rsidP="00E23607">
            <w:pPr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  <w:kern w:val="24"/>
              </w:rPr>
              <w:t xml:space="preserve">&lt;нормативного значения                3 (три) и более раза за последние 6 (шесть) месяцев </w:t>
            </w:r>
          </w:p>
        </w:tc>
        <w:tc>
          <w:tcPr>
            <w:tcW w:w="2844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CC7EAD" w14:textId="77777777" w:rsidR="00CA0AE2" w:rsidRPr="004460CA" w:rsidRDefault="00CA0AE2" w:rsidP="00E23607">
            <w:pPr>
              <w:rPr>
                <w:color w:val="000000" w:themeColor="text1"/>
              </w:rPr>
            </w:pPr>
          </w:p>
        </w:tc>
      </w:tr>
      <w:tr w:rsidR="00CA0AE2" w:rsidRPr="004460CA" w14:paraId="619B1A7E" w14:textId="77777777" w:rsidTr="000801D6">
        <w:trPr>
          <w:trHeight w:val="915"/>
        </w:trPr>
        <w:tc>
          <w:tcPr>
            <w:tcW w:w="411" w:type="dxa"/>
            <w:vAlign w:val="center"/>
          </w:tcPr>
          <w:p w14:paraId="0716F191" w14:textId="29D3D8A1" w:rsidR="00CA0AE2" w:rsidRPr="004460CA" w:rsidRDefault="00CA0AE2" w:rsidP="00E23607">
            <w:pPr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 xml:space="preserve"> 15.</w:t>
            </w:r>
          </w:p>
        </w:tc>
        <w:tc>
          <w:tcPr>
            <w:tcW w:w="4481" w:type="dxa"/>
            <w:shd w:val="clear" w:color="auto" w:fill="auto"/>
            <w:tcMar>
              <w:top w:w="15" w:type="dxa"/>
              <w:left w:w="397" w:type="dxa"/>
              <w:bottom w:w="0" w:type="dxa"/>
              <w:right w:w="227" w:type="dxa"/>
            </w:tcMar>
            <w:vAlign w:val="center"/>
          </w:tcPr>
          <w:p w14:paraId="163DF576" w14:textId="27B0953B" w:rsidR="00CA0AE2" w:rsidRPr="004460CA" w:rsidRDefault="00CA0AE2" w:rsidP="00E23607">
            <w:pPr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Нетто-отток депозитной базы в течение 1 (одной) недели</w:t>
            </w:r>
          </w:p>
        </w:tc>
        <w:tc>
          <w:tcPr>
            <w:tcW w:w="39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E62AB" w14:textId="77777777" w:rsidR="00CA0AE2" w:rsidRPr="004460CA" w:rsidRDefault="00CA0AE2" w:rsidP="00E23607">
            <w:pPr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  <w:kern w:val="24"/>
              </w:rPr>
              <w:t>&lt; -15%</w:t>
            </w:r>
          </w:p>
        </w:tc>
        <w:tc>
          <w:tcPr>
            <w:tcW w:w="2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1C19CD" w14:textId="77777777" w:rsidR="00CA0AE2" w:rsidRPr="004460CA" w:rsidRDefault="00CA0AE2" w:rsidP="00E23607">
            <w:pPr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  <w:kern w:val="24"/>
              </w:rPr>
              <w:t>&lt; -20%</w:t>
            </w:r>
          </w:p>
        </w:tc>
        <w:tc>
          <w:tcPr>
            <w:tcW w:w="2844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16CBF5" w14:textId="77777777" w:rsidR="00CA0AE2" w:rsidRPr="004460CA" w:rsidRDefault="00CA0AE2" w:rsidP="00E23607">
            <w:pPr>
              <w:jc w:val="center"/>
              <w:rPr>
                <w:color w:val="000000" w:themeColor="text1"/>
              </w:rPr>
            </w:pPr>
          </w:p>
        </w:tc>
      </w:tr>
      <w:tr w:rsidR="00CA0AE2" w:rsidRPr="004460CA" w14:paraId="2E5EE65E" w14:textId="77777777" w:rsidTr="000801D6">
        <w:trPr>
          <w:trHeight w:val="915"/>
        </w:trPr>
        <w:tc>
          <w:tcPr>
            <w:tcW w:w="411" w:type="dxa"/>
            <w:vAlign w:val="center"/>
          </w:tcPr>
          <w:p w14:paraId="16543F39" w14:textId="22B82B77" w:rsidR="00CA0AE2" w:rsidRPr="004460CA" w:rsidRDefault="00CA0AE2" w:rsidP="00E23607">
            <w:pPr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 xml:space="preserve"> 16.</w:t>
            </w:r>
          </w:p>
        </w:tc>
        <w:tc>
          <w:tcPr>
            <w:tcW w:w="4481" w:type="dxa"/>
            <w:shd w:val="clear" w:color="auto" w:fill="auto"/>
            <w:tcMar>
              <w:top w:w="15" w:type="dxa"/>
              <w:left w:w="397" w:type="dxa"/>
              <w:bottom w:w="0" w:type="dxa"/>
              <w:right w:w="227" w:type="dxa"/>
            </w:tcMar>
            <w:vAlign w:val="center"/>
          </w:tcPr>
          <w:p w14:paraId="390A3351" w14:textId="4C7F1FAE" w:rsidR="00CA0AE2" w:rsidRPr="004460CA" w:rsidRDefault="00CA0AE2" w:rsidP="00E23607">
            <w:pPr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Нетто-отток депозитной базы в течение 1 (одного) месяца</w:t>
            </w:r>
          </w:p>
        </w:tc>
        <w:tc>
          <w:tcPr>
            <w:tcW w:w="39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5F7A73" w14:textId="77777777" w:rsidR="00CA0AE2" w:rsidRPr="004460CA" w:rsidRDefault="00CA0AE2" w:rsidP="00E23607">
            <w:pPr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  <w:kern w:val="24"/>
              </w:rPr>
              <w:t>&lt; -20%</w:t>
            </w:r>
          </w:p>
        </w:tc>
        <w:tc>
          <w:tcPr>
            <w:tcW w:w="2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E96752" w14:textId="77777777" w:rsidR="00CA0AE2" w:rsidRPr="004460CA" w:rsidRDefault="00CA0AE2" w:rsidP="00E236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4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2D6A97" w14:textId="77777777" w:rsidR="00CA0AE2" w:rsidRPr="004460CA" w:rsidRDefault="00CA0AE2" w:rsidP="00E23607">
            <w:pPr>
              <w:jc w:val="center"/>
              <w:rPr>
                <w:color w:val="000000" w:themeColor="text1"/>
              </w:rPr>
            </w:pPr>
          </w:p>
        </w:tc>
      </w:tr>
      <w:tr w:rsidR="00CA0AE2" w:rsidRPr="004460CA" w14:paraId="3ABCA79A" w14:textId="77777777" w:rsidTr="000801D6">
        <w:trPr>
          <w:trHeight w:val="915"/>
        </w:trPr>
        <w:tc>
          <w:tcPr>
            <w:tcW w:w="411" w:type="dxa"/>
            <w:vAlign w:val="center"/>
          </w:tcPr>
          <w:p w14:paraId="09B870E1" w14:textId="144FEFD6" w:rsidR="00CA0AE2" w:rsidRPr="004460CA" w:rsidRDefault="00CA0AE2" w:rsidP="00E23607">
            <w:pPr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 xml:space="preserve"> 17.</w:t>
            </w:r>
          </w:p>
        </w:tc>
        <w:tc>
          <w:tcPr>
            <w:tcW w:w="4481" w:type="dxa"/>
            <w:shd w:val="clear" w:color="auto" w:fill="auto"/>
            <w:tcMar>
              <w:top w:w="15" w:type="dxa"/>
              <w:left w:w="397" w:type="dxa"/>
              <w:bottom w:w="0" w:type="dxa"/>
              <w:right w:w="227" w:type="dxa"/>
            </w:tcMar>
            <w:vAlign w:val="center"/>
          </w:tcPr>
          <w:p w14:paraId="03CF1B38" w14:textId="43EF24E3" w:rsidR="00CA0AE2" w:rsidRPr="004460CA" w:rsidRDefault="00CA0AE2" w:rsidP="00E23607">
            <w:pPr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Нетто-отток депозитной базы в течение 3 (трех) последовательных месяцев</w:t>
            </w:r>
          </w:p>
        </w:tc>
        <w:tc>
          <w:tcPr>
            <w:tcW w:w="39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53DEA7" w14:textId="77777777" w:rsidR="00CA0AE2" w:rsidRPr="004460CA" w:rsidRDefault="00CA0AE2" w:rsidP="00E23607">
            <w:pPr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  <w:kern w:val="24"/>
              </w:rPr>
              <w:t>&lt; -20%</w:t>
            </w:r>
          </w:p>
        </w:tc>
        <w:tc>
          <w:tcPr>
            <w:tcW w:w="2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91860F" w14:textId="77777777" w:rsidR="00CA0AE2" w:rsidRPr="004460CA" w:rsidRDefault="00CA0AE2" w:rsidP="00E236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4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0BBAD" w14:textId="77777777" w:rsidR="00CA0AE2" w:rsidRPr="004460CA" w:rsidRDefault="00CA0AE2" w:rsidP="00E23607">
            <w:pPr>
              <w:jc w:val="center"/>
              <w:rPr>
                <w:color w:val="000000" w:themeColor="text1"/>
              </w:rPr>
            </w:pPr>
          </w:p>
        </w:tc>
      </w:tr>
      <w:tr w:rsidR="00CA0AE2" w:rsidRPr="004460CA" w14:paraId="005EF99A" w14:textId="77777777" w:rsidTr="000801D6">
        <w:trPr>
          <w:trHeight w:val="915"/>
        </w:trPr>
        <w:tc>
          <w:tcPr>
            <w:tcW w:w="411" w:type="dxa"/>
            <w:vAlign w:val="center"/>
          </w:tcPr>
          <w:p w14:paraId="72768AEB" w14:textId="63C99106" w:rsidR="00CA0AE2" w:rsidRPr="004460CA" w:rsidRDefault="00CA0AE2" w:rsidP="00E23607">
            <w:pPr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 xml:space="preserve"> 18.</w:t>
            </w:r>
          </w:p>
        </w:tc>
        <w:tc>
          <w:tcPr>
            <w:tcW w:w="4481" w:type="dxa"/>
            <w:shd w:val="clear" w:color="auto" w:fill="auto"/>
            <w:tcMar>
              <w:top w:w="15" w:type="dxa"/>
              <w:left w:w="397" w:type="dxa"/>
              <w:bottom w:w="0" w:type="dxa"/>
              <w:right w:w="227" w:type="dxa"/>
            </w:tcMar>
            <w:vAlign w:val="center"/>
          </w:tcPr>
          <w:p w14:paraId="48BC609E" w14:textId="592CE2ED" w:rsidR="00CA0AE2" w:rsidRPr="004460CA" w:rsidRDefault="00CA0AE2" w:rsidP="00E23607">
            <w:pPr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Снижение размера высоколиквидных активов в течение 3 (трех) последовательных месяцев</w:t>
            </w:r>
          </w:p>
        </w:tc>
        <w:tc>
          <w:tcPr>
            <w:tcW w:w="39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D361FD" w14:textId="77777777" w:rsidR="00CA0AE2" w:rsidRPr="004460CA" w:rsidRDefault="00CA0AE2" w:rsidP="00E23607">
            <w:pPr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  <w:kern w:val="24"/>
              </w:rPr>
              <w:t>&gt; 30%</w:t>
            </w:r>
          </w:p>
        </w:tc>
        <w:tc>
          <w:tcPr>
            <w:tcW w:w="2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329E3" w14:textId="77777777" w:rsidR="00CA0AE2" w:rsidRPr="004460CA" w:rsidRDefault="00CA0AE2" w:rsidP="00E23607">
            <w:pPr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  <w:kern w:val="24"/>
              </w:rPr>
              <w:t>&gt; 40%</w:t>
            </w:r>
          </w:p>
        </w:tc>
        <w:tc>
          <w:tcPr>
            <w:tcW w:w="2844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4AB06C" w14:textId="77777777" w:rsidR="00CA0AE2" w:rsidRPr="004460CA" w:rsidRDefault="00CA0AE2" w:rsidP="00E23607">
            <w:pPr>
              <w:jc w:val="center"/>
              <w:rPr>
                <w:color w:val="000000" w:themeColor="text1"/>
              </w:rPr>
            </w:pPr>
          </w:p>
        </w:tc>
      </w:tr>
      <w:tr w:rsidR="00CA0AE2" w:rsidRPr="004460CA" w14:paraId="4FF8C6CA" w14:textId="77777777" w:rsidTr="004460CA">
        <w:trPr>
          <w:trHeight w:val="915"/>
        </w:trPr>
        <w:tc>
          <w:tcPr>
            <w:tcW w:w="11716" w:type="dxa"/>
            <w:gridSpan w:val="4"/>
            <w:vAlign w:val="center"/>
          </w:tcPr>
          <w:p w14:paraId="5E7F1401" w14:textId="66C53317" w:rsidR="00CA0AE2" w:rsidRPr="004460CA" w:rsidRDefault="00CA0AE2" w:rsidP="00CA0AE2">
            <w:pPr>
              <w:rPr>
                <w:color w:val="000000" w:themeColor="text1"/>
                <w:kern w:val="24"/>
              </w:rPr>
            </w:pPr>
            <w:r w:rsidRPr="004460CA">
              <w:rPr>
                <w:color w:val="000000" w:themeColor="text1"/>
              </w:rPr>
              <w:lastRenderedPageBreak/>
              <w:t xml:space="preserve">  </w:t>
            </w:r>
            <w:r w:rsidRPr="004460CA">
              <w:rPr>
                <w:color w:val="000000" w:themeColor="text1"/>
                <w:lang w:val="en-US"/>
              </w:rPr>
              <w:t>I</w:t>
            </w:r>
            <w:r w:rsidRPr="004460CA">
              <w:rPr>
                <w:color w:val="000000" w:themeColor="text1"/>
              </w:rPr>
              <w:t>V. Показатели валютного риска</w:t>
            </w:r>
          </w:p>
        </w:tc>
        <w:tc>
          <w:tcPr>
            <w:tcW w:w="2844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2F5C67" w14:textId="77777777" w:rsidR="00CA0AE2" w:rsidRPr="004460CA" w:rsidRDefault="00CA0AE2" w:rsidP="00E23607">
            <w:pPr>
              <w:jc w:val="center"/>
              <w:rPr>
                <w:color w:val="000000" w:themeColor="text1"/>
              </w:rPr>
            </w:pPr>
          </w:p>
        </w:tc>
      </w:tr>
      <w:tr w:rsidR="00CA0AE2" w:rsidRPr="004460CA" w14:paraId="7166B0B0" w14:textId="77777777" w:rsidTr="000801D6">
        <w:trPr>
          <w:trHeight w:val="915"/>
        </w:trPr>
        <w:tc>
          <w:tcPr>
            <w:tcW w:w="411" w:type="dxa"/>
            <w:vAlign w:val="center"/>
          </w:tcPr>
          <w:p w14:paraId="7B8A5D0F" w14:textId="15E668E5" w:rsidR="00CA0AE2" w:rsidRPr="004460CA" w:rsidRDefault="00CA0AE2" w:rsidP="00E23607">
            <w:pPr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 xml:space="preserve"> 19.</w:t>
            </w:r>
          </w:p>
        </w:tc>
        <w:tc>
          <w:tcPr>
            <w:tcW w:w="4481" w:type="dxa"/>
            <w:shd w:val="clear" w:color="auto" w:fill="auto"/>
            <w:tcMar>
              <w:top w:w="15" w:type="dxa"/>
              <w:left w:w="397" w:type="dxa"/>
              <w:bottom w:w="0" w:type="dxa"/>
              <w:right w:w="227" w:type="dxa"/>
            </w:tcMar>
            <w:vAlign w:val="center"/>
          </w:tcPr>
          <w:p w14:paraId="06210B6D" w14:textId="717770C5" w:rsidR="00CA0AE2" w:rsidRPr="004460CA" w:rsidRDefault="00CA0AE2" w:rsidP="00E23607">
            <w:pPr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 xml:space="preserve">Лимит открытой валютной позиции по иностранным валютам стран, имеющих суверенный рейтинг не ниже «А» агентства </w:t>
            </w:r>
            <w:proofErr w:type="spellStart"/>
            <w:r w:rsidRPr="004460CA">
              <w:rPr>
                <w:color w:val="000000" w:themeColor="text1"/>
              </w:rPr>
              <w:t>Standard</w:t>
            </w:r>
            <w:proofErr w:type="spellEnd"/>
            <w:r w:rsidRPr="004460CA">
              <w:rPr>
                <w:color w:val="000000" w:themeColor="text1"/>
              </w:rPr>
              <w:t xml:space="preserve"> &amp; </w:t>
            </w:r>
            <w:proofErr w:type="spellStart"/>
            <w:r w:rsidRPr="004460CA">
              <w:rPr>
                <w:color w:val="000000" w:themeColor="text1"/>
              </w:rPr>
              <w:t>Poor's</w:t>
            </w:r>
            <w:proofErr w:type="spellEnd"/>
            <w:r w:rsidRPr="004460CA">
              <w:rPr>
                <w:color w:val="000000" w:themeColor="text1"/>
              </w:rPr>
              <w:t xml:space="preserve"> (</w:t>
            </w:r>
            <w:proofErr w:type="spellStart"/>
            <w:r w:rsidRPr="004460CA">
              <w:rPr>
                <w:color w:val="000000" w:themeColor="text1"/>
              </w:rPr>
              <w:t>Стандард</w:t>
            </w:r>
            <w:proofErr w:type="spellEnd"/>
            <w:r w:rsidRPr="004460CA">
              <w:rPr>
                <w:color w:val="000000" w:themeColor="text1"/>
              </w:rPr>
              <w:t xml:space="preserve"> энд </w:t>
            </w:r>
            <w:proofErr w:type="spellStart"/>
            <w:r w:rsidRPr="004460CA">
              <w:rPr>
                <w:color w:val="000000" w:themeColor="text1"/>
              </w:rPr>
              <w:t>Пурс</w:t>
            </w:r>
            <w:proofErr w:type="spellEnd"/>
            <w:r w:rsidRPr="004460CA">
              <w:rPr>
                <w:color w:val="000000" w:themeColor="text1"/>
              </w:rPr>
              <w:t xml:space="preserve">) или рейтингов аналогичного уровня рейтинговых агентств </w:t>
            </w:r>
            <w:proofErr w:type="spellStart"/>
            <w:r w:rsidRPr="004460CA">
              <w:rPr>
                <w:color w:val="000000" w:themeColor="text1"/>
              </w:rPr>
              <w:t>Moody’s</w:t>
            </w:r>
            <w:proofErr w:type="spellEnd"/>
            <w:r w:rsidRPr="004460CA">
              <w:rPr>
                <w:color w:val="000000" w:themeColor="text1"/>
              </w:rPr>
              <w:t xml:space="preserve"> </w:t>
            </w:r>
            <w:proofErr w:type="spellStart"/>
            <w:r w:rsidRPr="004460CA">
              <w:rPr>
                <w:color w:val="000000" w:themeColor="text1"/>
              </w:rPr>
              <w:t>Investors</w:t>
            </w:r>
            <w:proofErr w:type="spellEnd"/>
            <w:r w:rsidRPr="004460CA">
              <w:rPr>
                <w:color w:val="000000" w:themeColor="text1"/>
              </w:rPr>
              <w:t xml:space="preserve"> </w:t>
            </w:r>
            <w:proofErr w:type="spellStart"/>
            <w:r w:rsidRPr="004460CA">
              <w:rPr>
                <w:color w:val="000000" w:themeColor="text1"/>
              </w:rPr>
              <w:t>Service</w:t>
            </w:r>
            <w:proofErr w:type="spellEnd"/>
            <w:r w:rsidRPr="004460CA">
              <w:rPr>
                <w:color w:val="000000" w:themeColor="text1"/>
              </w:rPr>
              <w:t xml:space="preserve"> (</w:t>
            </w:r>
            <w:proofErr w:type="spellStart"/>
            <w:r w:rsidRPr="004460CA">
              <w:rPr>
                <w:color w:val="000000" w:themeColor="text1"/>
              </w:rPr>
              <w:t>Мудис</w:t>
            </w:r>
            <w:proofErr w:type="spellEnd"/>
            <w:r w:rsidRPr="004460CA">
              <w:rPr>
                <w:color w:val="000000" w:themeColor="text1"/>
              </w:rPr>
              <w:t xml:space="preserve"> </w:t>
            </w:r>
            <w:proofErr w:type="spellStart"/>
            <w:r w:rsidRPr="004460CA">
              <w:rPr>
                <w:color w:val="000000" w:themeColor="text1"/>
              </w:rPr>
              <w:t>Инвесторс</w:t>
            </w:r>
            <w:proofErr w:type="spellEnd"/>
            <w:r w:rsidRPr="004460CA">
              <w:rPr>
                <w:color w:val="000000" w:themeColor="text1"/>
              </w:rPr>
              <w:t xml:space="preserve"> Сервис), </w:t>
            </w:r>
            <w:proofErr w:type="spellStart"/>
            <w:r w:rsidRPr="004460CA">
              <w:rPr>
                <w:color w:val="000000" w:themeColor="text1"/>
              </w:rPr>
              <w:t>Fitch</w:t>
            </w:r>
            <w:proofErr w:type="spellEnd"/>
            <w:r w:rsidRPr="004460CA">
              <w:rPr>
                <w:color w:val="000000" w:themeColor="text1"/>
              </w:rPr>
              <w:t xml:space="preserve"> (Фич), и валюте «евро», а также аффинированным драгоценным металлам</w:t>
            </w:r>
          </w:p>
        </w:tc>
        <w:tc>
          <w:tcPr>
            <w:tcW w:w="39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27D2BA" w14:textId="77777777" w:rsidR="00CA0AE2" w:rsidRPr="004460CA" w:rsidRDefault="00CA0AE2" w:rsidP="00E23607">
            <w:pPr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&gt;12,5% от собственного капитала</w:t>
            </w:r>
          </w:p>
          <w:p w14:paraId="34CE7BA7" w14:textId="150F976E" w:rsidR="00CA0AE2" w:rsidRPr="004460CA" w:rsidRDefault="00CA0AE2" w:rsidP="00E23607">
            <w:pPr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3 (три) и более раз</w:t>
            </w:r>
            <w:r w:rsidR="001B005C" w:rsidRPr="004460CA">
              <w:rPr>
                <w:color w:val="000000" w:themeColor="text1"/>
              </w:rPr>
              <w:t>а</w:t>
            </w:r>
            <w:r w:rsidRPr="004460CA">
              <w:rPr>
                <w:color w:val="000000" w:themeColor="text1"/>
              </w:rPr>
              <w:t xml:space="preserve"> в течение 6 (шести) месяцев </w:t>
            </w:r>
          </w:p>
          <w:p w14:paraId="3CC01B8E" w14:textId="2E0A533B" w:rsidR="00CA0AE2" w:rsidRPr="004460CA" w:rsidRDefault="00CA0AE2" w:rsidP="00E236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EDF0F3" w14:textId="77777777" w:rsidR="00CA0AE2" w:rsidRPr="004460CA" w:rsidRDefault="00CA0AE2" w:rsidP="00E236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4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41765E" w14:textId="77777777" w:rsidR="00CA0AE2" w:rsidRPr="004460CA" w:rsidRDefault="00CA0AE2" w:rsidP="00E23607">
            <w:pPr>
              <w:jc w:val="center"/>
              <w:rPr>
                <w:color w:val="000000" w:themeColor="text1"/>
              </w:rPr>
            </w:pPr>
          </w:p>
        </w:tc>
      </w:tr>
      <w:tr w:rsidR="00CA0AE2" w:rsidRPr="004460CA" w14:paraId="4D2AC495" w14:textId="77777777" w:rsidTr="000801D6">
        <w:trPr>
          <w:trHeight w:val="915"/>
        </w:trPr>
        <w:tc>
          <w:tcPr>
            <w:tcW w:w="411" w:type="dxa"/>
            <w:vAlign w:val="center"/>
          </w:tcPr>
          <w:p w14:paraId="0B954727" w14:textId="5CC173ED" w:rsidR="00CA0AE2" w:rsidRPr="004460CA" w:rsidRDefault="00CA0AE2" w:rsidP="00E23607">
            <w:pPr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 xml:space="preserve"> 20.</w:t>
            </w:r>
          </w:p>
        </w:tc>
        <w:tc>
          <w:tcPr>
            <w:tcW w:w="4481" w:type="dxa"/>
            <w:shd w:val="clear" w:color="auto" w:fill="auto"/>
            <w:tcMar>
              <w:top w:w="15" w:type="dxa"/>
              <w:left w:w="397" w:type="dxa"/>
              <w:bottom w:w="0" w:type="dxa"/>
              <w:right w:w="227" w:type="dxa"/>
            </w:tcMar>
            <w:vAlign w:val="center"/>
          </w:tcPr>
          <w:p w14:paraId="78D75657" w14:textId="08C1910D" w:rsidR="00CA0AE2" w:rsidRPr="004460CA" w:rsidRDefault="00CA0AE2" w:rsidP="00E23607">
            <w:pPr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 xml:space="preserve">Лимит открытой валютной позиции по иностранным валютам стран, имеющих суверенный рейтинг ниже «А» агентства </w:t>
            </w:r>
            <w:proofErr w:type="spellStart"/>
            <w:r w:rsidRPr="004460CA">
              <w:rPr>
                <w:color w:val="000000" w:themeColor="text1"/>
              </w:rPr>
              <w:t>Standard</w:t>
            </w:r>
            <w:proofErr w:type="spellEnd"/>
            <w:r w:rsidRPr="004460CA">
              <w:rPr>
                <w:color w:val="000000" w:themeColor="text1"/>
              </w:rPr>
              <w:t xml:space="preserve"> &amp; </w:t>
            </w:r>
            <w:proofErr w:type="spellStart"/>
            <w:r w:rsidRPr="004460CA">
              <w:rPr>
                <w:color w:val="000000" w:themeColor="text1"/>
              </w:rPr>
              <w:t>Poor's</w:t>
            </w:r>
            <w:proofErr w:type="spellEnd"/>
            <w:r w:rsidRPr="004460CA">
              <w:rPr>
                <w:color w:val="000000" w:themeColor="text1"/>
              </w:rPr>
              <w:t xml:space="preserve"> (</w:t>
            </w:r>
            <w:proofErr w:type="spellStart"/>
            <w:r w:rsidRPr="004460CA">
              <w:rPr>
                <w:color w:val="000000" w:themeColor="text1"/>
              </w:rPr>
              <w:t>Стандард</w:t>
            </w:r>
            <w:proofErr w:type="spellEnd"/>
            <w:r w:rsidRPr="004460CA">
              <w:rPr>
                <w:color w:val="000000" w:themeColor="text1"/>
              </w:rPr>
              <w:t xml:space="preserve"> энд </w:t>
            </w:r>
            <w:proofErr w:type="spellStart"/>
            <w:r w:rsidRPr="004460CA">
              <w:rPr>
                <w:color w:val="000000" w:themeColor="text1"/>
              </w:rPr>
              <w:t>Пурс</w:t>
            </w:r>
            <w:proofErr w:type="spellEnd"/>
            <w:r w:rsidRPr="004460CA">
              <w:rPr>
                <w:color w:val="000000" w:themeColor="text1"/>
              </w:rPr>
              <w:t xml:space="preserve">) или рейтингов аналогичного уровня рейтинговых агентств </w:t>
            </w:r>
            <w:proofErr w:type="spellStart"/>
            <w:r w:rsidRPr="004460CA">
              <w:rPr>
                <w:color w:val="000000" w:themeColor="text1"/>
              </w:rPr>
              <w:t>Moody’s</w:t>
            </w:r>
            <w:proofErr w:type="spellEnd"/>
            <w:r w:rsidRPr="004460CA">
              <w:rPr>
                <w:color w:val="000000" w:themeColor="text1"/>
              </w:rPr>
              <w:t xml:space="preserve"> </w:t>
            </w:r>
            <w:proofErr w:type="spellStart"/>
            <w:r w:rsidRPr="004460CA">
              <w:rPr>
                <w:color w:val="000000" w:themeColor="text1"/>
              </w:rPr>
              <w:t>Investors</w:t>
            </w:r>
            <w:proofErr w:type="spellEnd"/>
            <w:r w:rsidRPr="004460CA">
              <w:rPr>
                <w:color w:val="000000" w:themeColor="text1"/>
              </w:rPr>
              <w:t xml:space="preserve"> </w:t>
            </w:r>
            <w:proofErr w:type="spellStart"/>
            <w:r w:rsidRPr="004460CA">
              <w:rPr>
                <w:color w:val="000000" w:themeColor="text1"/>
              </w:rPr>
              <w:t>Service</w:t>
            </w:r>
            <w:proofErr w:type="spellEnd"/>
            <w:r w:rsidRPr="004460CA">
              <w:rPr>
                <w:color w:val="000000" w:themeColor="text1"/>
              </w:rPr>
              <w:t xml:space="preserve"> (</w:t>
            </w:r>
            <w:proofErr w:type="spellStart"/>
            <w:r w:rsidRPr="004460CA">
              <w:rPr>
                <w:color w:val="000000" w:themeColor="text1"/>
              </w:rPr>
              <w:t>Мудис</w:t>
            </w:r>
            <w:proofErr w:type="spellEnd"/>
            <w:r w:rsidRPr="004460CA">
              <w:rPr>
                <w:color w:val="000000" w:themeColor="text1"/>
              </w:rPr>
              <w:t xml:space="preserve"> </w:t>
            </w:r>
            <w:proofErr w:type="spellStart"/>
            <w:r w:rsidRPr="004460CA">
              <w:rPr>
                <w:color w:val="000000" w:themeColor="text1"/>
              </w:rPr>
              <w:t>Инвесторс</w:t>
            </w:r>
            <w:proofErr w:type="spellEnd"/>
            <w:r w:rsidRPr="004460CA">
              <w:rPr>
                <w:color w:val="000000" w:themeColor="text1"/>
              </w:rPr>
              <w:t xml:space="preserve"> Сервис), </w:t>
            </w:r>
            <w:proofErr w:type="spellStart"/>
            <w:r w:rsidRPr="004460CA">
              <w:rPr>
                <w:color w:val="000000" w:themeColor="text1"/>
              </w:rPr>
              <w:t>Fitch</w:t>
            </w:r>
            <w:proofErr w:type="spellEnd"/>
            <w:r w:rsidRPr="004460CA">
              <w:rPr>
                <w:color w:val="000000" w:themeColor="text1"/>
              </w:rPr>
              <w:t xml:space="preserve"> (Фич), а также по стейблкоинам</w:t>
            </w:r>
          </w:p>
        </w:tc>
        <w:tc>
          <w:tcPr>
            <w:tcW w:w="39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649E12" w14:textId="12311049" w:rsidR="00CA0AE2" w:rsidRPr="004460CA" w:rsidRDefault="00CA0AE2" w:rsidP="00E23607">
            <w:pPr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&gt;5% от собственного капитала 3 (три) и более раз</w:t>
            </w:r>
            <w:r w:rsidR="001B005C" w:rsidRPr="004460CA">
              <w:rPr>
                <w:color w:val="000000" w:themeColor="text1"/>
              </w:rPr>
              <w:t>а</w:t>
            </w:r>
            <w:r w:rsidRPr="004460CA">
              <w:rPr>
                <w:color w:val="000000" w:themeColor="text1"/>
              </w:rPr>
              <w:t xml:space="preserve"> в течение 6 (шести) месяцев </w:t>
            </w:r>
          </w:p>
          <w:p w14:paraId="78184A21" w14:textId="403989B4" w:rsidR="00CA0AE2" w:rsidRPr="004460CA" w:rsidRDefault="00CA0AE2" w:rsidP="00E236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0BE03" w14:textId="77777777" w:rsidR="00CA0AE2" w:rsidRPr="004460CA" w:rsidRDefault="00CA0AE2" w:rsidP="00E236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4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E653D5" w14:textId="77777777" w:rsidR="00CA0AE2" w:rsidRPr="004460CA" w:rsidRDefault="00CA0AE2" w:rsidP="00E23607">
            <w:pPr>
              <w:jc w:val="center"/>
              <w:rPr>
                <w:color w:val="000000" w:themeColor="text1"/>
              </w:rPr>
            </w:pPr>
          </w:p>
        </w:tc>
      </w:tr>
      <w:tr w:rsidR="00CA0AE2" w:rsidRPr="004460CA" w14:paraId="18288802" w14:textId="77777777" w:rsidTr="000801D6">
        <w:trPr>
          <w:trHeight w:val="915"/>
        </w:trPr>
        <w:tc>
          <w:tcPr>
            <w:tcW w:w="411" w:type="dxa"/>
            <w:vAlign w:val="center"/>
          </w:tcPr>
          <w:p w14:paraId="7CC4566D" w14:textId="166F489B" w:rsidR="00CA0AE2" w:rsidRPr="004460CA" w:rsidRDefault="00CA0AE2" w:rsidP="00E23607">
            <w:pPr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 xml:space="preserve"> 21.</w:t>
            </w:r>
          </w:p>
        </w:tc>
        <w:tc>
          <w:tcPr>
            <w:tcW w:w="4481" w:type="dxa"/>
            <w:shd w:val="clear" w:color="auto" w:fill="auto"/>
            <w:tcMar>
              <w:top w:w="15" w:type="dxa"/>
              <w:left w:w="397" w:type="dxa"/>
              <w:bottom w:w="0" w:type="dxa"/>
              <w:right w:w="227" w:type="dxa"/>
            </w:tcMar>
            <w:vAlign w:val="center"/>
          </w:tcPr>
          <w:p w14:paraId="13348CAF" w14:textId="7095C4B6" w:rsidR="00CA0AE2" w:rsidRPr="004460CA" w:rsidRDefault="00CA0AE2" w:rsidP="00E23607">
            <w:pPr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Лимит валютной нетто-позиции</w:t>
            </w:r>
          </w:p>
        </w:tc>
        <w:tc>
          <w:tcPr>
            <w:tcW w:w="39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43D67B" w14:textId="77777777" w:rsidR="00CA0AE2" w:rsidRPr="004460CA" w:rsidRDefault="00CA0AE2" w:rsidP="00E23607">
            <w:pPr>
              <w:jc w:val="center"/>
              <w:rPr>
                <w:color w:val="000000" w:themeColor="text1"/>
              </w:rPr>
            </w:pPr>
          </w:p>
          <w:p w14:paraId="07ACE5AC" w14:textId="3795FE26" w:rsidR="00CA0AE2" w:rsidRPr="004460CA" w:rsidRDefault="00CA0AE2" w:rsidP="00E23607">
            <w:pPr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&gt;25% от собственного капитала</w:t>
            </w:r>
          </w:p>
          <w:p w14:paraId="0EF3BC93" w14:textId="7F4A7245" w:rsidR="00CA0AE2" w:rsidRPr="004460CA" w:rsidRDefault="00CA0AE2" w:rsidP="00E23607">
            <w:pPr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3 (три) и более раз</w:t>
            </w:r>
            <w:r w:rsidR="001B005C" w:rsidRPr="004460CA">
              <w:rPr>
                <w:color w:val="000000" w:themeColor="text1"/>
              </w:rPr>
              <w:t>а</w:t>
            </w:r>
            <w:r w:rsidRPr="004460CA">
              <w:rPr>
                <w:color w:val="000000" w:themeColor="text1"/>
              </w:rPr>
              <w:t xml:space="preserve"> в течение 6 (шести) месяцев </w:t>
            </w:r>
          </w:p>
          <w:p w14:paraId="6205DD6E" w14:textId="01111706" w:rsidR="00CA0AE2" w:rsidRPr="004460CA" w:rsidRDefault="00CA0AE2" w:rsidP="00E236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0CA639" w14:textId="77777777" w:rsidR="00CA0AE2" w:rsidRPr="004460CA" w:rsidRDefault="00CA0AE2" w:rsidP="00E236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4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518356" w14:textId="77777777" w:rsidR="00CA0AE2" w:rsidRPr="004460CA" w:rsidRDefault="00CA0AE2" w:rsidP="00E23607">
            <w:pPr>
              <w:jc w:val="center"/>
              <w:rPr>
                <w:color w:val="000000" w:themeColor="text1"/>
              </w:rPr>
            </w:pPr>
          </w:p>
        </w:tc>
      </w:tr>
      <w:tr w:rsidR="00CA0AE2" w:rsidRPr="004460CA" w14:paraId="66297955" w14:textId="77777777" w:rsidTr="000801D6">
        <w:trPr>
          <w:trHeight w:val="915"/>
        </w:trPr>
        <w:tc>
          <w:tcPr>
            <w:tcW w:w="411" w:type="dxa"/>
            <w:vAlign w:val="center"/>
          </w:tcPr>
          <w:p w14:paraId="65F681AD" w14:textId="19628B42" w:rsidR="00CA0AE2" w:rsidRPr="004460CA" w:rsidRDefault="00CA0AE2" w:rsidP="00E23607">
            <w:pPr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 xml:space="preserve"> 22.</w:t>
            </w:r>
          </w:p>
        </w:tc>
        <w:tc>
          <w:tcPr>
            <w:tcW w:w="4481" w:type="dxa"/>
            <w:shd w:val="clear" w:color="auto" w:fill="auto"/>
            <w:tcMar>
              <w:top w:w="15" w:type="dxa"/>
              <w:left w:w="397" w:type="dxa"/>
              <w:bottom w:w="0" w:type="dxa"/>
              <w:right w:w="227" w:type="dxa"/>
            </w:tcMar>
            <w:vAlign w:val="center"/>
          </w:tcPr>
          <w:p w14:paraId="33FA3C71" w14:textId="5E38CFBF" w:rsidR="00CA0AE2" w:rsidRPr="004460CA" w:rsidRDefault="00CA0AE2" w:rsidP="00805032">
            <w:pPr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 xml:space="preserve">Лимит открытой позиции по производным финансовым инструментам в валюте отдельного иностранного государства (группы иностранных государств), открытых </w:t>
            </w:r>
            <w:r w:rsidRPr="004460CA">
              <w:rPr>
                <w:color w:val="000000" w:themeColor="text1"/>
              </w:rPr>
              <w:lastRenderedPageBreak/>
              <w:t>на счетах условных требований и на счетах условных обязательств</w:t>
            </w:r>
          </w:p>
          <w:p w14:paraId="3CD9B898" w14:textId="77A65D61" w:rsidR="00CA0AE2" w:rsidRPr="004460CA" w:rsidRDefault="00CA0AE2" w:rsidP="00805032">
            <w:pPr>
              <w:rPr>
                <w:color w:val="000000" w:themeColor="text1"/>
              </w:rPr>
            </w:pPr>
          </w:p>
        </w:tc>
        <w:tc>
          <w:tcPr>
            <w:tcW w:w="39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B23671" w14:textId="77777777" w:rsidR="00CA0AE2" w:rsidRPr="004460CA" w:rsidRDefault="00CA0AE2" w:rsidP="00E23607">
            <w:pPr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lastRenderedPageBreak/>
              <w:t>&gt;50% от собственного капитала</w:t>
            </w:r>
          </w:p>
          <w:p w14:paraId="07DF3BF6" w14:textId="660EB248" w:rsidR="00CA0AE2" w:rsidRPr="004460CA" w:rsidRDefault="00CA0AE2" w:rsidP="00E23607">
            <w:pPr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3 (три) и более раз</w:t>
            </w:r>
            <w:r w:rsidR="001B005C" w:rsidRPr="004460CA">
              <w:rPr>
                <w:color w:val="000000" w:themeColor="text1"/>
              </w:rPr>
              <w:t>а</w:t>
            </w:r>
            <w:r w:rsidRPr="004460CA">
              <w:rPr>
                <w:color w:val="000000" w:themeColor="text1"/>
              </w:rPr>
              <w:t xml:space="preserve"> в течение 6 (шести) месяцев </w:t>
            </w:r>
          </w:p>
          <w:p w14:paraId="078B6488" w14:textId="1587E03D" w:rsidR="00CA0AE2" w:rsidRPr="004460CA" w:rsidRDefault="00CA0AE2" w:rsidP="00E236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9C698F" w14:textId="77777777" w:rsidR="00CA0AE2" w:rsidRPr="004460CA" w:rsidRDefault="00CA0AE2" w:rsidP="00E236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4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8A569C" w14:textId="77777777" w:rsidR="00CA0AE2" w:rsidRPr="004460CA" w:rsidRDefault="00CA0AE2" w:rsidP="00E23607">
            <w:pPr>
              <w:jc w:val="center"/>
              <w:rPr>
                <w:color w:val="000000" w:themeColor="text1"/>
              </w:rPr>
            </w:pPr>
          </w:p>
        </w:tc>
      </w:tr>
      <w:tr w:rsidR="00CA0AE2" w:rsidRPr="004460CA" w14:paraId="4ABCCF17" w14:textId="77777777" w:rsidTr="004460CA">
        <w:trPr>
          <w:trHeight w:val="915"/>
        </w:trPr>
        <w:tc>
          <w:tcPr>
            <w:tcW w:w="11716" w:type="dxa"/>
            <w:gridSpan w:val="4"/>
            <w:vAlign w:val="center"/>
          </w:tcPr>
          <w:p w14:paraId="034BD8BD" w14:textId="0FF077CF" w:rsidR="00CA0AE2" w:rsidRPr="004460CA" w:rsidRDefault="00CA0AE2" w:rsidP="008B048B">
            <w:pPr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 xml:space="preserve">  V. Показатели прибыльности</w:t>
            </w:r>
          </w:p>
        </w:tc>
        <w:tc>
          <w:tcPr>
            <w:tcW w:w="2844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C66FD4" w14:textId="77777777" w:rsidR="00CA0AE2" w:rsidRPr="004460CA" w:rsidRDefault="00CA0AE2" w:rsidP="00E23607">
            <w:pPr>
              <w:jc w:val="center"/>
              <w:rPr>
                <w:color w:val="000000" w:themeColor="text1"/>
              </w:rPr>
            </w:pPr>
          </w:p>
        </w:tc>
      </w:tr>
      <w:tr w:rsidR="00CA0AE2" w:rsidRPr="004460CA" w14:paraId="753EBE04" w14:textId="77777777" w:rsidTr="000801D6">
        <w:trPr>
          <w:trHeight w:val="915"/>
        </w:trPr>
        <w:tc>
          <w:tcPr>
            <w:tcW w:w="411" w:type="dxa"/>
            <w:vAlign w:val="center"/>
          </w:tcPr>
          <w:p w14:paraId="57636063" w14:textId="6732F4DB" w:rsidR="00CA0AE2" w:rsidRPr="004460CA" w:rsidRDefault="00CA0AE2" w:rsidP="00E23607">
            <w:pPr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 xml:space="preserve"> 23.</w:t>
            </w:r>
          </w:p>
        </w:tc>
        <w:tc>
          <w:tcPr>
            <w:tcW w:w="4481" w:type="dxa"/>
            <w:shd w:val="clear" w:color="auto" w:fill="auto"/>
            <w:tcMar>
              <w:top w:w="15" w:type="dxa"/>
              <w:left w:w="397" w:type="dxa"/>
              <w:bottom w:w="0" w:type="dxa"/>
              <w:right w:w="227" w:type="dxa"/>
            </w:tcMar>
            <w:vAlign w:val="center"/>
          </w:tcPr>
          <w:p w14:paraId="1A75A7B5" w14:textId="77777777" w:rsidR="00CA0AE2" w:rsidRPr="004460CA" w:rsidRDefault="00CA0AE2" w:rsidP="00E23607">
            <w:pPr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 xml:space="preserve">Доходность активов </w:t>
            </w:r>
          </w:p>
        </w:tc>
        <w:tc>
          <w:tcPr>
            <w:tcW w:w="39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3A68A" w14:textId="77777777" w:rsidR="00CA0AE2" w:rsidRPr="004460CA" w:rsidRDefault="00CA0AE2" w:rsidP="00E23607">
            <w:pPr>
              <w:jc w:val="center"/>
              <w:rPr>
                <w:color w:val="000000" w:themeColor="text1"/>
              </w:rPr>
            </w:pPr>
          </w:p>
          <w:p w14:paraId="2EAF9A41" w14:textId="1A0BF49B" w:rsidR="00CA0AE2" w:rsidRPr="004460CA" w:rsidRDefault="00CA0AE2" w:rsidP="00E23607">
            <w:pPr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&lt;1%</w:t>
            </w:r>
          </w:p>
          <w:p w14:paraId="21BD7EBD" w14:textId="77777777" w:rsidR="00CA0AE2" w:rsidRPr="004460CA" w:rsidRDefault="00CA0AE2" w:rsidP="00E236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B3EB4D" w14:textId="77777777" w:rsidR="00CA0AE2" w:rsidRPr="004460CA" w:rsidRDefault="00CA0AE2" w:rsidP="00E236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4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56F695" w14:textId="77777777" w:rsidR="00CA0AE2" w:rsidRPr="004460CA" w:rsidRDefault="00CA0AE2" w:rsidP="00E23607">
            <w:pPr>
              <w:jc w:val="center"/>
              <w:rPr>
                <w:color w:val="000000" w:themeColor="text1"/>
              </w:rPr>
            </w:pPr>
          </w:p>
        </w:tc>
      </w:tr>
      <w:tr w:rsidR="00CA0AE2" w:rsidRPr="004460CA" w14:paraId="0E2C7A91" w14:textId="77777777" w:rsidTr="000801D6">
        <w:trPr>
          <w:trHeight w:val="915"/>
        </w:trPr>
        <w:tc>
          <w:tcPr>
            <w:tcW w:w="411" w:type="dxa"/>
            <w:vAlign w:val="center"/>
          </w:tcPr>
          <w:p w14:paraId="030CA474" w14:textId="28E86DE5" w:rsidR="00CA0AE2" w:rsidRPr="004460CA" w:rsidRDefault="00CA0AE2" w:rsidP="00E23607">
            <w:pPr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 xml:space="preserve"> 24.</w:t>
            </w:r>
          </w:p>
        </w:tc>
        <w:tc>
          <w:tcPr>
            <w:tcW w:w="4481" w:type="dxa"/>
            <w:shd w:val="clear" w:color="auto" w:fill="auto"/>
            <w:tcMar>
              <w:top w:w="15" w:type="dxa"/>
              <w:left w:w="397" w:type="dxa"/>
              <w:bottom w:w="0" w:type="dxa"/>
              <w:right w:w="227" w:type="dxa"/>
            </w:tcMar>
            <w:vAlign w:val="center"/>
          </w:tcPr>
          <w:p w14:paraId="170DB981" w14:textId="77777777" w:rsidR="00CA0AE2" w:rsidRPr="004460CA" w:rsidRDefault="00CA0AE2" w:rsidP="00E23607">
            <w:pPr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Процентный спрэд</w:t>
            </w:r>
          </w:p>
        </w:tc>
        <w:tc>
          <w:tcPr>
            <w:tcW w:w="39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9248A9" w14:textId="1D69BBE2" w:rsidR="00CA0AE2" w:rsidRPr="004460CA" w:rsidRDefault="00CA0AE2" w:rsidP="00E23607">
            <w:pPr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&lt; 2% при условии, что доля непроцентных доходов составляет менее 50% от общих доходов за отчетный период</w:t>
            </w:r>
          </w:p>
          <w:p w14:paraId="7AFA27C0" w14:textId="77777777" w:rsidR="00CA0AE2" w:rsidRPr="004460CA" w:rsidRDefault="00CA0AE2" w:rsidP="00E236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D3DEF8" w14:textId="77777777" w:rsidR="00CA0AE2" w:rsidRPr="004460CA" w:rsidRDefault="00CA0AE2" w:rsidP="00E236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4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1DB16E" w14:textId="77777777" w:rsidR="00CA0AE2" w:rsidRPr="004460CA" w:rsidRDefault="00CA0AE2" w:rsidP="00E23607">
            <w:pPr>
              <w:jc w:val="center"/>
              <w:rPr>
                <w:color w:val="000000" w:themeColor="text1"/>
              </w:rPr>
            </w:pPr>
          </w:p>
        </w:tc>
      </w:tr>
      <w:tr w:rsidR="00CA0AE2" w:rsidRPr="004460CA" w14:paraId="2B187E96" w14:textId="77777777" w:rsidTr="000801D6">
        <w:trPr>
          <w:trHeight w:val="915"/>
        </w:trPr>
        <w:tc>
          <w:tcPr>
            <w:tcW w:w="411" w:type="dxa"/>
            <w:vAlign w:val="center"/>
          </w:tcPr>
          <w:p w14:paraId="1B6A0682" w14:textId="0158611A" w:rsidR="00CA0AE2" w:rsidRPr="004460CA" w:rsidRDefault="00CA0AE2" w:rsidP="00E23607">
            <w:pPr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25.</w:t>
            </w:r>
          </w:p>
        </w:tc>
        <w:tc>
          <w:tcPr>
            <w:tcW w:w="4481" w:type="dxa"/>
            <w:shd w:val="clear" w:color="auto" w:fill="auto"/>
            <w:tcMar>
              <w:top w:w="15" w:type="dxa"/>
              <w:left w:w="397" w:type="dxa"/>
              <w:bottom w:w="0" w:type="dxa"/>
              <w:right w:w="227" w:type="dxa"/>
            </w:tcMar>
            <w:vAlign w:val="center"/>
          </w:tcPr>
          <w:p w14:paraId="4D886877" w14:textId="19A3AA4C" w:rsidR="00CA0AE2" w:rsidRPr="004460CA" w:rsidRDefault="00CA0AE2" w:rsidP="00E23607">
            <w:pPr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Отношение операционных расходов к операционным доходам</w:t>
            </w:r>
          </w:p>
        </w:tc>
        <w:tc>
          <w:tcPr>
            <w:tcW w:w="39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1C82C3" w14:textId="0C4D0BE7" w:rsidR="00CA0AE2" w:rsidRPr="004460CA" w:rsidRDefault="00CA0AE2" w:rsidP="00E23607">
            <w:pPr>
              <w:jc w:val="center"/>
              <w:rPr>
                <w:color w:val="000000" w:themeColor="text1"/>
              </w:rPr>
            </w:pPr>
            <w:proofErr w:type="gramStart"/>
            <w:r w:rsidRPr="004460CA">
              <w:rPr>
                <w:color w:val="000000" w:themeColor="text1"/>
              </w:rPr>
              <w:t>&lt;</w:t>
            </w:r>
            <w:r w:rsidRPr="004460CA">
              <w:rPr>
                <w:color w:val="000000" w:themeColor="text1"/>
                <w:lang w:val="kk-KZ"/>
              </w:rPr>
              <w:t xml:space="preserve"> </w:t>
            </w:r>
            <w:r w:rsidRPr="004460CA">
              <w:rPr>
                <w:color w:val="000000" w:themeColor="text1"/>
              </w:rPr>
              <w:t>0</w:t>
            </w:r>
            <w:proofErr w:type="gramEnd"/>
            <w:r w:rsidRPr="004460CA">
              <w:rPr>
                <w:color w:val="000000" w:themeColor="text1"/>
              </w:rPr>
              <w:t xml:space="preserve">% </w:t>
            </w:r>
            <w:r w:rsidRPr="004460CA">
              <w:rPr>
                <w:color w:val="000000" w:themeColor="text1"/>
                <w:lang w:val="kk-KZ"/>
              </w:rPr>
              <w:t xml:space="preserve"> / </w:t>
            </w:r>
            <w:r w:rsidRPr="004460CA">
              <w:rPr>
                <w:color w:val="000000" w:themeColor="text1"/>
              </w:rPr>
              <w:t xml:space="preserve">&gt; 100% </w:t>
            </w:r>
            <w:r w:rsidRPr="004460CA">
              <w:rPr>
                <w:color w:val="000000" w:themeColor="text1"/>
                <w:lang w:val="kk-KZ"/>
              </w:rPr>
              <w:t>последовательно в течение двух кварталов</w:t>
            </w:r>
          </w:p>
        </w:tc>
        <w:tc>
          <w:tcPr>
            <w:tcW w:w="2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D12B0A" w14:textId="77777777" w:rsidR="00CA0AE2" w:rsidRPr="004460CA" w:rsidRDefault="00CA0AE2" w:rsidP="00E236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4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6CDAF3" w14:textId="77777777" w:rsidR="00CA0AE2" w:rsidRPr="004460CA" w:rsidRDefault="00CA0AE2" w:rsidP="00E23607">
            <w:pPr>
              <w:jc w:val="center"/>
              <w:rPr>
                <w:color w:val="000000" w:themeColor="text1"/>
              </w:rPr>
            </w:pPr>
          </w:p>
        </w:tc>
      </w:tr>
      <w:tr w:rsidR="00CA0AE2" w:rsidRPr="004460CA" w14:paraId="1B0D481E" w14:textId="77777777" w:rsidTr="004460CA">
        <w:trPr>
          <w:trHeight w:val="915"/>
        </w:trPr>
        <w:tc>
          <w:tcPr>
            <w:tcW w:w="11716" w:type="dxa"/>
            <w:gridSpan w:val="4"/>
            <w:vAlign w:val="center"/>
          </w:tcPr>
          <w:p w14:paraId="426DD5CD" w14:textId="570844EE" w:rsidR="00CA0AE2" w:rsidRPr="004460CA" w:rsidRDefault="00CA0AE2" w:rsidP="00CA0AE2">
            <w:pPr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 xml:space="preserve">   </w:t>
            </w:r>
            <w:r w:rsidRPr="004460CA">
              <w:rPr>
                <w:color w:val="000000" w:themeColor="text1"/>
                <w:lang w:val="en-US"/>
              </w:rPr>
              <w:t>VI</w:t>
            </w:r>
            <w:r w:rsidR="00F35FB0">
              <w:rPr>
                <w:color w:val="000000" w:themeColor="text1"/>
              </w:rPr>
              <w:t>.</w:t>
            </w:r>
            <w:r w:rsidRPr="004460CA">
              <w:rPr>
                <w:color w:val="000000" w:themeColor="text1"/>
              </w:rPr>
              <w:t xml:space="preserve"> Иные показатели, характеризующие ухудшение финансовой устойчивости банка</w:t>
            </w:r>
          </w:p>
        </w:tc>
        <w:tc>
          <w:tcPr>
            <w:tcW w:w="2844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AFF316" w14:textId="77777777" w:rsidR="00CA0AE2" w:rsidRPr="004460CA" w:rsidRDefault="00CA0AE2" w:rsidP="00E23607">
            <w:pPr>
              <w:jc w:val="center"/>
              <w:rPr>
                <w:color w:val="000000" w:themeColor="text1"/>
              </w:rPr>
            </w:pPr>
          </w:p>
        </w:tc>
      </w:tr>
      <w:tr w:rsidR="00CA0AE2" w:rsidRPr="004460CA" w14:paraId="3D5124EB" w14:textId="77777777" w:rsidTr="000801D6">
        <w:trPr>
          <w:trHeight w:val="915"/>
        </w:trPr>
        <w:tc>
          <w:tcPr>
            <w:tcW w:w="411" w:type="dxa"/>
            <w:vAlign w:val="center"/>
          </w:tcPr>
          <w:p w14:paraId="3B1B9830" w14:textId="2B5CAD11" w:rsidR="00CA0AE2" w:rsidRPr="004460CA" w:rsidRDefault="00CA0AE2" w:rsidP="00E23607">
            <w:pPr>
              <w:rPr>
                <w:color w:val="000000" w:themeColor="text1"/>
                <w:lang w:val="en-US"/>
              </w:rPr>
            </w:pPr>
            <w:r w:rsidRPr="004460CA">
              <w:rPr>
                <w:color w:val="000000" w:themeColor="text1"/>
              </w:rPr>
              <w:t xml:space="preserve"> 26</w:t>
            </w:r>
            <w:r w:rsidRPr="004460CA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4481" w:type="dxa"/>
            <w:shd w:val="clear" w:color="auto" w:fill="auto"/>
            <w:tcMar>
              <w:top w:w="15" w:type="dxa"/>
              <w:left w:w="397" w:type="dxa"/>
              <w:bottom w:w="0" w:type="dxa"/>
              <w:right w:w="227" w:type="dxa"/>
            </w:tcMar>
            <w:vAlign w:val="center"/>
          </w:tcPr>
          <w:p w14:paraId="2CAA2D66" w14:textId="08E79165" w:rsidR="00CA0AE2" w:rsidRPr="004460CA" w:rsidRDefault="00CA0AE2" w:rsidP="00E23607">
            <w:pPr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Понижение рейтинга банка или его выпусков ценных бумаг</w:t>
            </w:r>
          </w:p>
        </w:tc>
        <w:tc>
          <w:tcPr>
            <w:tcW w:w="39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9C723B" w14:textId="4AB5248B" w:rsidR="00CA0AE2" w:rsidRPr="004460CA" w:rsidRDefault="00CA0AE2" w:rsidP="00E23607">
            <w:pPr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Снижение на 1 ступень рейтинговой шкалы при условии достижения рейтинга ниже       «BBB-» / наличие рейтинга на уровне «B-»</w:t>
            </w:r>
          </w:p>
        </w:tc>
        <w:tc>
          <w:tcPr>
            <w:tcW w:w="2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7028B" w14:textId="0E56F309" w:rsidR="00CA0AE2" w:rsidRPr="004460CA" w:rsidRDefault="00CA0AE2" w:rsidP="00E23607">
            <w:pPr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Снижение на 2 и более ступени рейтинговой шкалы при условии достижения рейтинга ниже «BBB-»</w:t>
            </w:r>
          </w:p>
        </w:tc>
        <w:tc>
          <w:tcPr>
            <w:tcW w:w="2844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8988C8" w14:textId="77777777" w:rsidR="00CA0AE2" w:rsidRPr="004460CA" w:rsidRDefault="00CA0AE2" w:rsidP="00E23607">
            <w:pPr>
              <w:jc w:val="center"/>
              <w:rPr>
                <w:color w:val="000000" w:themeColor="text1"/>
              </w:rPr>
            </w:pPr>
          </w:p>
        </w:tc>
      </w:tr>
    </w:tbl>
    <w:p w14:paraId="5B66C998" w14:textId="77777777" w:rsidR="003B030B" w:rsidRPr="004460CA" w:rsidRDefault="003B030B" w:rsidP="00E23607">
      <w:pPr>
        <w:rPr>
          <w:color w:val="000000" w:themeColor="text1"/>
        </w:rPr>
      </w:pPr>
    </w:p>
    <w:p w14:paraId="1150A7EA" w14:textId="77777777" w:rsidR="003B030B" w:rsidRPr="004460CA" w:rsidRDefault="003B030B" w:rsidP="00E23607">
      <w:pPr>
        <w:rPr>
          <w:color w:val="000000" w:themeColor="text1"/>
        </w:rPr>
      </w:pPr>
    </w:p>
    <w:p w14:paraId="5E4683F0" w14:textId="77777777" w:rsidR="003B030B" w:rsidRPr="004460CA" w:rsidRDefault="003B030B" w:rsidP="00E23607">
      <w:pPr>
        <w:rPr>
          <w:color w:val="000000" w:themeColor="text1"/>
        </w:rPr>
      </w:pPr>
    </w:p>
    <w:p w14:paraId="52407669" w14:textId="77777777" w:rsidR="003B030B" w:rsidRPr="004460CA" w:rsidRDefault="003B030B" w:rsidP="00E23607">
      <w:pPr>
        <w:rPr>
          <w:color w:val="000000" w:themeColor="text1"/>
        </w:rPr>
      </w:pPr>
    </w:p>
    <w:p w14:paraId="0E0B8D63" w14:textId="1C26FCC0" w:rsidR="003B030B" w:rsidRPr="004460CA" w:rsidRDefault="003B030B" w:rsidP="00E23607">
      <w:pPr>
        <w:rPr>
          <w:color w:val="000000" w:themeColor="text1"/>
        </w:rPr>
      </w:pPr>
    </w:p>
    <w:p w14:paraId="1EBB248C" w14:textId="0C75DDB0" w:rsidR="000F784C" w:rsidRPr="004460CA" w:rsidRDefault="000F784C" w:rsidP="00E23607">
      <w:pPr>
        <w:rPr>
          <w:color w:val="000000" w:themeColor="text1"/>
        </w:rPr>
      </w:pPr>
    </w:p>
    <w:p w14:paraId="6AE4C51E" w14:textId="77777777" w:rsidR="004460CA" w:rsidRDefault="004460CA" w:rsidP="004460CA">
      <w:pPr>
        <w:widowControl w:val="0"/>
        <w:ind w:right="108"/>
        <w:rPr>
          <w:color w:val="000000" w:themeColor="text1"/>
        </w:rPr>
      </w:pPr>
    </w:p>
    <w:p w14:paraId="7761C195" w14:textId="6DE0FA07" w:rsidR="00331F4D" w:rsidRPr="004460CA" w:rsidRDefault="00331F4D" w:rsidP="004460CA">
      <w:pPr>
        <w:widowControl w:val="0"/>
        <w:ind w:right="108"/>
        <w:jc w:val="right"/>
        <w:rPr>
          <w:color w:val="000000" w:themeColor="text1"/>
        </w:rPr>
      </w:pPr>
      <w:r w:rsidRPr="004460CA">
        <w:rPr>
          <w:color w:val="000000" w:themeColor="text1"/>
        </w:rPr>
        <w:lastRenderedPageBreak/>
        <w:t>Приложение 2</w:t>
      </w:r>
      <w:r w:rsidRPr="004460CA">
        <w:rPr>
          <w:color w:val="000000" w:themeColor="text1"/>
        </w:rPr>
        <w:br/>
        <w:t>к Значениям финансово-экономических и иных признаков ухудшения финансовой устойчивости банка</w:t>
      </w:r>
    </w:p>
    <w:p w14:paraId="521513E0" w14:textId="1E2412F4" w:rsidR="003B030B" w:rsidRPr="004460CA" w:rsidRDefault="003B030B" w:rsidP="00E23607">
      <w:pPr>
        <w:widowControl w:val="0"/>
        <w:ind w:right="108"/>
        <w:jc w:val="right"/>
        <w:rPr>
          <w:b/>
          <w:color w:val="000000" w:themeColor="text1"/>
        </w:rPr>
      </w:pPr>
    </w:p>
    <w:p w14:paraId="68F7CF9D" w14:textId="336C4C00" w:rsidR="002B7F44" w:rsidRPr="004460CA" w:rsidRDefault="002B7F44" w:rsidP="00E23607">
      <w:pPr>
        <w:widowControl w:val="0"/>
        <w:ind w:right="108"/>
        <w:jc w:val="center"/>
        <w:rPr>
          <w:b/>
          <w:color w:val="000000" w:themeColor="text1"/>
        </w:rPr>
      </w:pPr>
      <w:r w:rsidRPr="004460CA">
        <w:rPr>
          <w:b/>
        </w:rPr>
        <w:t>Распределение количественных показателей по категориям: основные и вспомогательные</w:t>
      </w:r>
      <w:r w:rsidR="00217005" w:rsidRPr="004460CA">
        <w:rPr>
          <w:b/>
        </w:rPr>
        <w:t xml:space="preserve"> и периодичность мониторинга</w:t>
      </w:r>
    </w:p>
    <w:p w14:paraId="0DA86733" w14:textId="77777777" w:rsidR="003B030B" w:rsidRPr="004460CA" w:rsidRDefault="003B030B" w:rsidP="00E23607">
      <w:pPr>
        <w:widowControl w:val="0"/>
        <w:ind w:left="5812" w:right="108" w:firstLine="709"/>
        <w:jc w:val="right"/>
        <w:rPr>
          <w:color w:val="000000" w:themeColor="text1"/>
        </w:rPr>
      </w:pPr>
    </w:p>
    <w:tbl>
      <w:tblPr>
        <w:tblStyle w:val="a9"/>
        <w:tblW w:w="14596" w:type="dxa"/>
        <w:tblLook w:val="04A0" w:firstRow="1" w:lastRow="0" w:firstColumn="1" w:lastColumn="0" w:noHBand="0" w:noVBand="1"/>
      </w:tblPr>
      <w:tblGrid>
        <w:gridCol w:w="566"/>
        <w:gridCol w:w="7509"/>
        <w:gridCol w:w="3119"/>
        <w:gridCol w:w="3402"/>
      </w:tblGrid>
      <w:tr w:rsidR="003B030B" w:rsidRPr="004460CA" w14:paraId="06A394FA" w14:textId="77777777" w:rsidTr="00A26A27">
        <w:tc>
          <w:tcPr>
            <w:tcW w:w="566" w:type="dxa"/>
          </w:tcPr>
          <w:p w14:paraId="108BB572" w14:textId="77777777" w:rsidR="003B030B" w:rsidRPr="004460CA" w:rsidRDefault="003B030B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№</w:t>
            </w:r>
          </w:p>
        </w:tc>
        <w:tc>
          <w:tcPr>
            <w:tcW w:w="7509" w:type="dxa"/>
          </w:tcPr>
          <w:p w14:paraId="5ABC8671" w14:textId="77777777" w:rsidR="003B030B" w:rsidRPr="004460CA" w:rsidRDefault="003B030B" w:rsidP="00E23607">
            <w:pPr>
              <w:widowControl w:val="0"/>
              <w:jc w:val="center"/>
              <w:rPr>
                <w:color w:val="000000" w:themeColor="text1"/>
              </w:rPr>
            </w:pPr>
          </w:p>
          <w:p w14:paraId="0D7E8774" w14:textId="77777777" w:rsidR="003B030B" w:rsidRPr="004460CA" w:rsidRDefault="003B030B" w:rsidP="00E23607">
            <w:pPr>
              <w:widowControl w:val="0"/>
              <w:jc w:val="center"/>
              <w:rPr>
                <w:color w:val="000000" w:themeColor="text1"/>
                <w:sz w:val="12"/>
              </w:rPr>
            </w:pPr>
          </w:p>
          <w:p w14:paraId="4A1F1DEB" w14:textId="77777777" w:rsidR="003B030B" w:rsidRPr="004460CA" w:rsidRDefault="003B030B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Количественные показатели</w:t>
            </w:r>
          </w:p>
        </w:tc>
        <w:tc>
          <w:tcPr>
            <w:tcW w:w="3119" w:type="dxa"/>
          </w:tcPr>
          <w:p w14:paraId="26CBA3BA" w14:textId="77777777" w:rsidR="003B030B" w:rsidRPr="004460CA" w:rsidRDefault="003B030B" w:rsidP="00E23607">
            <w:pPr>
              <w:widowControl w:val="0"/>
              <w:jc w:val="center"/>
              <w:rPr>
                <w:color w:val="000000" w:themeColor="text1"/>
                <w:sz w:val="8"/>
              </w:rPr>
            </w:pPr>
          </w:p>
          <w:p w14:paraId="6D54EADD" w14:textId="77777777" w:rsidR="003B030B" w:rsidRPr="004460CA" w:rsidRDefault="003B030B" w:rsidP="00E23607">
            <w:pPr>
              <w:widowControl w:val="0"/>
              <w:jc w:val="center"/>
              <w:rPr>
                <w:color w:val="000000" w:themeColor="text1"/>
              </w:rPr>
            </w:pPr>
          </w:p>
          <w:p w14:paraId="6DC30762" w14:textId="77777777" w:rsidR="003B030B" w:rsidRPr="004460CA" w:rsidRDefault="003B030B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Тип показателя</w:t>
            </w:r>
          </w:p>
        </w:tc>
        <w:tc>
          <w:tcPr>
            <w:tcW w:w="3402" w:type="dxa"/>
          </w:tcPr>
          <w:p w14:paraId="6DFF3867" w14:textId="77777777" w:rsidR="003B030B" w:rsidRPr="004460CA" w:rsidRDefault="003B030B" w:rsidP="00E23607">
            <w:pPr>
              <w:widowControl w:val="0"/>
              <w:jc w:val="center"/>
              <w:rPr>
                <w:color w:val="000000" w:themeColor="text1"/>
              </w:rPr>
            </w:pPr>
          </w:p>
          <w:p w14:paraId="7323C6B8" w14:textId="77777777" w:rsidR="003B030B" w:rsidRPr="004460CA" w:rsidRDefault="003B030B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 xml:space="preserve">Периодичность мониторинга </w:t>
            </w:r>
          </w:p>
          <w:p w14:paraId="3E8B7210" w14:textId="77777777" w:rsidR="003B030B" w:rsidRPr="004460CA" w:rsidRDefault="003B030B" w:rsidP="00E23607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3B030B" w:rsidRPr="004460CA" w14:paraId="5BB88682" w14:textId="77777777" w:rsidTr="00A26A27">
        <w:tc>
          <w:tcPr>
            <w:tcW w:w="566" w:type="dxa"/>
          </w:tcPr>
          <w:p w14:paraId="4C96E109" w14:textId="77777777" w:rsidR="003B030B" w:rsidRPr="004460CA" w:rsidRDefault="003B030B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1.</w:t>
            </w:r>
          </w:p>
        </w:tc>
        <w:tc>
          <w:tcPr>
            <w:tcW w:w="7509" w:type="dxa"/>
            <w:vAlign w:val="center"/>
          </w:tcPr>
          <w:p w14:paraId="5343E22C" w14:textId="3EB17ECD" w:rsidR="003B030B" w:rsidRPr="004460CA" w:rsidRDefault="000D2994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Коэффициент достаточности основного капитала (k1)</w:t>
            </w:r>
          </w:p>
        </w:tc>
        <w:tc>
          <w:tcPr>
            <w:tcW w:w="3119" w:type="dxa"/>
          </w:tcPr>
          <w:p w14:paraId="6E488BE5" w14:textId="77777777" w:rsidR="003B030B" w:rsidRPr="004460CA" w:rsidRDefault="003B030B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основной</w:t>
            </w:r>
          </w:p>
        </w:tc>
        <w:tc>
          <w:tcPr>
            <w:tcW w:w="3402" w:type="dxa"/>
            <w:vAlign w:val="center"/>
          </w:tcPr>
          <w:p w14:paraId="702BCF31" w14:textId="77777777" w:rsidR="003B030B" w:rsidRPr="004460CA" w:rsidRDefault="003B030B" w:rsidP="00E236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ежемесячно</w:t>
            </w:r>
          </w:p>
        </w:tc>
      </w:tr>
      <w:tr w:rsidR="003B030B" w:rsidRPr="004460CA" w14:paraId="3252C54A" w14:textId="77777777" w:rsidTr="00A26A27">
        <w:tc>
          <w:tcPr>
            <w:tcW w:w="566" w:type="dxa"/>
          </w:tcPr>
          <w:p w14:paraId="731E0EDF" w14:textId="057946F8" w:rsidR="003B030B" w:rsidRPr="004460CA" w:rsidRDefault="005B3BE8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2</w:t>
            </w:r>
            <w:r w:rsidR="003B030B" w:rsidRPr="004460CA">
              <w:rPr>
                <w:color w:val="000000" w:themeColor="text1"/>
              </w:rPr>
              <w:t>.</w:t>
            </w:r>
          </w:p>
        </w:tc>
        <w:tc>
          <w:tcPr>
            <w:tcW w:w="7509" w:type="dxa"/>
            <w:vAlign w:val="center"/>
          </w:tcPr>
          <w:p w14:paraId="632D6C75" w14:textId="178FE318" w:rsidR="003B030B" w:rsidRPr="004460CA" w:rsidRDefault="003B030B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 xml:space="preserve">Коэффициент доли кредитов </w:t>
            </w:r>
            <w:r w:rsidR="000D2994" w:rsidRPr="004460CA">
              <w:rPr>
                <w:color w:val="000000" w:themeColor="text1"/>
              </w:rPr>
              <w:t xml:space="preserve">3 </w:t>
            </w:r>
            <w:r w:rsidRPr="004460CA">
              <w:rPr>
                <w:color w:val="000000" w:themeColor="text1"/>
              </w:rPr>
              <w:t>стадии и ПСКО</w:t>
            </w:r>
          </w:p>
        </w:tc>
        <w:tc>
          <w:tcPr>
            <w:tcW w:w="3119" w:type="dxa"/>
          </w:tcPr>
          <w:p w14:paraId="60A6B0A0" w14:textId="77777777" w:rsidR="003B030B" w:rsidRPr="004460CA" w:rsidRDefault="003B030B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основной</w:t>
            </w:r>
          </w:p>
        </w:tc>
        <w:tc>
          <w:tcPr>
            <w:tcW w:w="3402" w:type="dxa"/>
          </w:tcPr>
          <w:p w14:paraId="75D2C815" w14:textId="77777777" w:rsidR="003B030B" w:rsidRPr="004460CA" w:rsidRDefault="003B030B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ежемесячно</w:t>
            </w:r>
          </w:p>
        </w:tc>
      </w:tr>
      <w:tr w:rsidR="003B030B" w:rsidRPr="004460CA" w14:paraId="0809FB3C" w14:textId="77777777" w:rsidTr="00A26A27">
        <w:tc>
          <w:tcPr>
            <w:tcW w:w="566" w:type="dxa"/>
          </w:tcPr>
          <w:p w14:paraId="2C6784DF" w14:textId="54BE9A79" w:rsidR="003B030B" w:rsidRPr="004460CA" w:rsidRDefault="00D04A87" w:rsidP="00E23607">
            <w:pPr>
              <w:widowControl w:val="0"/>
              <w:rPr>
                <w:color w:val="000000" w:themeColor="text1"/>
              </w:rPr>
            </w:pPr>
            <w:r w:rsidRPr="004460CA">
              <w:rPr>
                <w:color w:val="000000" w:themeColor="text1"/>
                <w:lang w:val="en-US"/>
              </w:rPr>
              <w:t xml:space="preserve"> </w:t>
            </w:r>
            <w:r w:rsidR="005B3BE8" w:rsidRPr="004460CA">
              <w:rPr>
                <w:color w:val="000000" w:themeColor="text1"/>
              </w:rPr>
              <w:t>3</w:t>
            </w:r>
            <w:r w:rsidR="003B030B" w:rsidRPr="004460CA">
              <w:rPr>
                <w:color w:val="000000" w:themeColor="text1"/>
              </w:rPr>
              <w:t>.</w:t>
            </w:r>
          </w:p>
        </w:tc>
        <w:tc>
          <w:tcPr>
            <w:tcW w:w="7509" w:type="dxa"/>
            <w:vAlign w:val="center"/>
          </w:tcPr>
          <w:p w14:paraId="1A612273" w14:textId="6FFAE3EE" w:rsidR="003B030B" w:rsidRPr="004460CA" w:rsidRDefault="003B030B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 xml:space="preserve">Значение </w:t>
            </w:r>
            <w:r w:rsidR="0050759C" w:rsidRPr="004460CA">
              <w:rPr>
                <w:color w:val="000000" w:themeColor="text1"/>
              </w:rPr>
              <w:t xml:space="preserve">доли </w:t>
            </w:r>
            <w:r w:rsidRPr="004460CA">
              <w:rPr>
                <w:color w:val="000000" w:themeColor="text1"/>
              </w:rPr>
              <w:t xml:space="preserve">кредитов стадии 3 и ПСКО в течение 6 </w:t>
            </w:r>
            <w:r w:rsidR="0050759C" w:rsidRPr="004460CA">
              <w:rPr>
                <w:color w:val="000000" w:themeColor="text1"/>
              </w:rPr>
              <w:t xml:space="preserve">(шести) </w:t>
            </w:r>
            <w:r w:rsidRPr="004460CA">
              <w:rPr>
                <w:color w:val="000000" w:themeColor="text1"/>
              </w:rPr>
              <w:t>последовательных месяцев</w:t>
            </w:r>
          </w:p>
        </w:tc>
        <w:tc>
          <w:tcPr>
            <w:tcW w:w="3119" w:type="dxa"/>
          </w:tcPr>
          <w:p w14:paraId="1B735B8A" w14:textId="77777777" w:rsidR="003B030B" w:rsidRPr="004460CA" w:rsidRDefault="003B030B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основной</w:t>
            </w:r>
          </w:p>
        </w:tc>
        <w:tc>
          <w:tcPr>
            <w:tcW w:w="3402" w:type="dxa"/>
          </w:tcPr>
          <w:p w14:paraId="338B74BB" w14:textId="77777777" w:rsidR="003B030B" w:rsidRPr="004460CA" w:rsidRDefault="003B030B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ежемесячно</w:t>
            </w:r>
          </w:p>
        </w:tc>
      </w:tr>
      <w:tr w:rsidR="003B030B" w:rsidRPr="004460CA" w14:paraId="45E38846" w14:textId="77777777" w:rsidTr="00A26A27">
        <w:tc>
          <w:tcPr>
            <w:tcW w:w="566" w:type="dxa"/>
          </w:tcPr>
          <w:p w14:paraId="01F7E359" w14:textId="6584E33C" w:rsidR="003B030B" w:rsidRPr="004460CA" w:rsidRDefault="003B030B" w:rsidP="00E23607">
            <w:pPr>
              <w:widowControl w:val="0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 xml:space="preserve"> </w:t>
            </w:r>
            <w:r w:rsidR="005B3BE8" w:rsidRPr="004460CA">
              <w:rPr>
                <w:color w:val="000000" w:themeColor="text1"/>
              </w:rPr>
              <w:t>4</w:t>
            </w:r>
            <w:r w:rsidRPr="004460CA">
              <w:rPr>
                <w:color w:val="000000" w:themeColor="text1"/>
              </w:rPr>
              <w:t>.</w:t>
            </w:r>
          </w:p>
        </w:tc>
        <w:tc>
          <w:tcPr>
            <w:tcW w:w="7509" w:type="dxa"/>
            <w:vAlign w:val="center"/>
          </w:tcPr>
          <w:p w14:paraId="1DD989CD" w14:textId="0B0727AD" w:rsidR="003B030B" w:rsidRPr="004460CA" w:rsidRDefault="00583C38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Понижение рейтинга банка или его выпусков ценных бумаг</w:t>
            </w:r>
          </w:p>
        </w:tc>
        <w:tc>
          <w:tcPr>
            <w:tcW w:w="3119" w:type="dxa"/>
          </w:tcPr>
          <w:p w14:paraId="3D88475B" w14:textId="77777777" w:rsidR="003B030B" w:rsidRPr="004460CA" w:rsidRDefault="003B030B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основной</w:t>
            </w:r>
          </w:p>
        </w:tc>
        <w:tc>
          <w:tcPr>
            <w:tcW w:w="3402" w:type="dxa"/>
            <w:vAlign w:val="center"/>
          </w:tcPr>
          <w:p w14:paraId="30263C49" w14:textId="77777777" w:rsidR="003B030B" w:rsidRPr="004460CA" w:rsidRDefault="003B030B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по мере наступления</w:t>
            </w:r>
          </w:p>
        </w:tc>
      </w:tr>
      <w:tr w:rsidR="003B030B" w:rsidRPr="004460CA" w14:paraId="16E895C5" w14:textId="77777777" w:rsidTr="00A26A27">
        <w:tc>
          <w:tcPr>
            <w:tcW w:w="566" w:type="dxa"/>
          </w:tcPr>
          <w:p w14:paraId="44EFB168" w14:textId="74058133" w:rsidR="003B030B" w:rsidRPr="004460CA" w:rsidRDefault="005B3BE8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5</w:t>
            </w:r>
            <w:r w:rsidR="003B030B" w:rsidRPr="004460CA">
              <w:rPr>
                <w:color w:val="000000" w:themeColor="text1"/>
              </w:rPr>
              <w:t>.</w:t>
            </w:r>
          </w:p>
        </w:tc>
        <w:tc>
          <w:tcPr>
            <w:tcW w:w="7509" w:type="dxa"/>
            <w:vAlign w:val="center"/>
          </w:tcPr>
          <w:p w14:paraId="3A75C3AA" w14:textId="77777777" w:rsidR="003B030B" w:rsidRPr="004460CA" w:rsidRDefault="003B030B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Коэффициент покрытия ликвидности</w:t>
            </w:r>
          </w:p>
        </w:tc>
        <w:tc>
          <w:tcPr>
            <w:tcW w:w="3119" w:type="dxa"/>
          </w:tcPr>
          <w:p w14:paraId="52E02547" w14:textId="77777777" w:rsidR="003B030B" w:rsidRPr="004460CA" w:rsidRDefault="003B030B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основной</w:t>
            </w:r>
          </w:p>
        </w:tc>
        <w:tc>
          <w:tcPr>
            <w:tcW w:w="3402" w:type="dxa"/>
          </w:tcPr>
          <w:p w14:paraId="7C02EA6F" w14:textId="1F2DA644" w:rsidR="003B030B" w:rsidRPr="004460CA" w:rsidRDefault="006B2EAC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ежемесячно</w:t>
            </w:r>
          </w:p>
        </w:tc>
      </w:tr>
      <w:tr w:rsidR="003B030B" w:rsidRPr="004460CA" w14:paraId="396E6FF0" w14:textId="77777777" w:rsidTr="00A26A27">
        <w:tc>
          <w:tcPr>
            <w:tcW w:w="566" w:type="dxa"/>
          </w:tcPr>
          <w:p w14:paraId="73C65A57" w14:textId="13B8242E" w:rsidR="003B030B" w:rsidRPr="004460CA" w:rsidRDefault="005B3BE8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6</w:t>
            </w:r>
            <w:r w:rsidR="003B030B" w:rsidRPr="004460CA">
              <w:rPr>
                <w:color w:val="000000" w:themeColor="text1"/>
              </w:rPr>
              <w:t>.</w:t>
            </w:r>
          </w:p>
        </w:tc>
        <w:tc>
          <w:tcPr>
            <w:tcW w:w="7509" w:type="dxa"/>
            <w:vAlign w:val="center"/>
          </w:tcPr>
          <w:p w14:paraId="1B84A927" w14:textId="77777777" w:rsidR="003B030B" w:rsidRPr="004460CA" w:rsidRDefault="003B030B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Коэффициент нетто стабильного фондирования</w:t>
            </w:r>
          </w:p>
        </w:tc>
        <w:tc>
          <w:tcPr>
            <w:tcW w:w="3119" w:type="dxa"/>
          </w:tcPr>
          <w:p w14:paraId="4B5A0639" w14:textId="77777777" w:rsidR="003B030B" w:rsidRPr="004460CA" w:rsidRDefault="003B030B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основной</w:t>
            </w:r>
          </w:p>
        </w:tc>
        <w:tc>
          <w:tcPr>
            <w:tcW w:w="3402" w:type="dxa"/>
          </w:tcPr>
          <w:p w14:paraId="57AD965E" w14:textId="77777777" w:rsidR="003B030B" w:rsidRPr="004460CA" w:rsidRDefault="003B030B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ежемесячно</w:t>
            </w:r>
          </w:p>
        </w:tc>
      </w:tr>
      <w:tr w:rsidR="003B030B" w:rsidRPr="004460CA" w14:paraId="7AB65FCB" w14:textId="77777777" w:rsidTr="00A26A27">
        <w:tc>
          <w:tcPr>
            <w:tcW w:w="566" w:type="dxa"/>
          </w:tcPr>
          <w:p w14:paraId="5CC91138" w14:textId="244F1A96" w:rsidR="003B030B" w:rsidRPr="004460CA" w:rsidRDefault="003B030B" w:rsidP="00E23607">
            <w:pPr>
              <w:widowControl w:val="0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 xml:space="preserve"> </w:t>
            </w:r>
            <w:r w:rsidR="005B3BE8" w:rsidRPr="004460CA">
              <w:rPr>
                <w:color w:val="000000" w:themeColor="text1"/>
              </w:rPr>
              <w:t>7</w:t>
            </w:r>
            <w:r w:rsidRPr="004460CA">
              <w:rPr>
                <w:color w:val="000000" w:themeColor="text1"/>
              </w:rPr>
              <w:t xml:space="preserve">. </w:t>
            </w:r>
          </w:p>
        </w:tc>
        <w:tc>
          <w:tcPr>
            <w:tcW w:w="7509" w:type="dxa"/>
            <w:vAlign w:val="center"/>
          </w:tcPr>
          <w:p w14:paraId="28A672AD" w14:textId="1BD5018B" w:rsidR="003B030B" w:rsidRPr="004460CA" w:rsidRDefault="003B030B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Коэффициент левер</w:t>
            </w:r>
            <w:r w:rsidR="0068647D" w:rsidRPr="004460CA">
              <w:rPr>
                <w:color w:val="000000" w:themeColor="text1"/>
              </w:rPr>
              <w:t>и</w:t>
            </w:r>
            <w:r w:rsidRPr="004460CA">
              <w:rPr>
                <w:color w:val="000000" w:themeColor="text1"/>
              </w:rPr>
              <w:t>джа</w:t>
            </w:r>
          </w:p>
        </w:tc>
        <w:tc>
          <w:tcPr>
            <w:tcW w:w="3119" w:type="dxa"/>
          </w:tcPr>
          <w:p w14:paraId="148A2ED1" w14:textId="77777777" w:rsidR="003B030B" w:rsidRPr="004460CA" w:rsidRDefault="003B030B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вспомогательный</w:t>
            </w:r>
          </w:p>
        </w:tc>
        <w:tc>
          <w:tcPr>
            <w:tcW w:w="3402" w:type="dxa"/>
          </w:tcPr>
          <w:p w14:paraId="1432C4D8" w14:textId="77777777" w:rsidR="003B030B" w:rsidRPr="004460CA" w:rsidRDefault="003B030B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ежемесячно</w:t>
            </w:r>
          </w:p>
        </w:tc>
      </w:tr>
      <w:tr w:rsidR="003B030B" w:rsidRPr="004460CA" w14:paraId="6510E8F7" w14:textId="77777777" w:rsidTr="00A26A27">
        <w:tc>
          <w:tcPr>
            <w:tcW w:w="566" w:type="dxa"/>
          </w:tcPr>
          <w:p w14:paraId="4185D9F8" w14:textId="7F450FA2" w:rsidR="003B030B" w:rsidRPr="004460CA" w:rsidRDefault="003B030B" w:rsidP="00E23607">
            <w:pPr>
              <w:widowControl w:val="0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 xml:space="preserve"> </w:t>
            </w:r>
            <w:r w:rsidR="005B3BE8" w:rsidRPr="004460CA">
              <w:rPr>
                <w:color w:val="000000" w:themeColor="text1"/>
              </w:rPr>
              <w:t>8</w:t>
            </w:r>
            <w:r w:rsidRPr="004460CA">
              <w:rPr>
                <w:color w:val="000000" w:themeColor="text1"/>
              </w:rPr>
              <w:t>.</w:t>
            </w:r>
          </w:p>
        </w:tc>
        <w:tc>
          <w:tcPr>
            <w:tcW w:w="7509" w:type="dxa"/>
            <w:vAlign w:val="center"/>
          </w:tcPr>
          <w:p w14:paraId="4707D63C" w14:textId="73A2CA17" w:rsidR="003B030B" w:rsidRPr="004460CA" w:rsidRDefault="00B54BB5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Риск на одного заемщика, не связанного с банком особыми отношениями (к3)</w:t>
            </w:r>
          </w:p>
        </w:tc>
        <w:tc>
          <w:tcPr>
            <w:tcW w:w="3119" w:type="dxa"/>
          </w:tcPr>
          <w:p w14:paraId="12B29F28" w14:textId="77777777" w:rsidR="003B030B" w:rsidRPr="004460CA" w:rsidRDefault="003B030B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вспомогательный</w:t>
            </w:r>
          </w:p>
        </w:tc>
        <w:tc>
          <w:tcPr>
            <w:tcW w:w="3402" w:type="dxa"/>
          </w:tcPr>
          <w:p w14:paraId="69906F76" w14:textId="77777777" w:rsidR="003B030B" w:rsidRPr="004460CA" w:rsidRDefault="003B030B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ежемесячно</w:t>
            </w:r>
          </w:p>
        </w:tc>
      </w:tr>
      <w:tr w:rsidR="003B030B" w:rsidRPr="004460CA" w14:paraId="280A8A03" w14:textId="77777777" w:rsidTr="00A26A27">
        <w:tc>
          <w:tcPr>
            <w:tcW w:w="566" w:type="dxa"/>
          </w:tcPr>
          <w:p w14:paraId="54C64989" w14:textId="1C1D8B7E" w:rsidR="003B030B" w:rsidRPr="004460CA" w:rsidRDefault="005B3BE8" w:rsidP="00E23607">
            <w:pPr>
              <w:widowControl w:val="0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 xml:space="preserve"> 9</w:t>
            </w:r>
            <w:r w:rsidR="003B030B" w:rsidRPr="004460CA">
              <w:rPr>
                <w:color w:val="000000" w:themeColor="text1"/>
              </w:rPr>
              <w:t>.</w:t>
            </w:r>
          </w:p>
        </w:tc>
        <w:tc>
          <w:tcPr>
            <w:tcW w:w="7509" w:type="dxa"/>
            <w:vAlign w:val="center"/>
          </w:tcPr>
          <w:p w14:paraId="55FFE5A2" w14:textId="1FA47455" w:rsidR="003B030B" w:rsidRPr="004460CA" w:rsidRDefault="00B54BB5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Риск на одного заемщика, связанного с банком особыми отношениями (к3-1)</w:t>
            </w:r>
          </w:p>
        </w:tc>
        <w:tc>
          <w:tcPr>
            <w:tcW w:w="3119" w:type="dxa"/>
          </w:tcPr>
          <w:p w14:paraId="55196206" w14:textId="77777777" w:rsidR="003B030B" w:rsidRPr="004460CA" w:rsidRDefault="003B030B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вспомогательный</w:t>
            </w:r>
          </w:p>
        </w:tc>
        <w:tc>
          <w:tcPr>
            <w:tcW w:w="3402" w:type="dxa"/>
          </w:tcPr>
          <w:p w14:paraId="49D268C8" w14:textId="77777777" w:rsidR="003B030B" w:rsidRPr="004460CA" w:rsidRDefault="003B030B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ежемесячно</w:t>
            </w:r>
          </w:p>
        </w:tc>
      </w:tr>
      <w:tr w:rsidR="003B030B" w:rsidRPr="004460CA" w14:paraId="4212C129" w14:textId="77777777" w:rsidTr="00A26A27">
        <w:tc>
          <w:tcPr>
            <w:tcW w:w="566" w:type="dxa"/>
          </w:tcPr>
          <w:p w14:paraId="375D6843" w14:textId="40FCA4B4" w:rsidR="003B030B" w:rsidRPr="004460CA" w:rsidRDefault="003B030B" w:rsidP="00E23607">
            <w:pPr>
              <w:widowControl w:val="0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1</w:t>
            </w:r>
            <w:r w:rsidR="005B3BE8" w:rsidRPr="004460CA">
              <w:rPr>
                <w:color w:val="000000" w:themeColor="text1"/>
              </w:rPr>
              <w:t>0</w:t>
            </w:r>
            <w:r w:rsidRPr="004460CA">
              <w:rPr>
                <w:color w:val="000000" w:themeColor="text1"/>
              </w:rPr>
              <w:t>.</w:t>
            </w:r>
          </w:p>
        </w:tc>
        <w:tc>
          <w:tcPr>
            <w:tcW w:w="7509" w:type="dxa"/>
            <w:vAlign w:val="center"/>
          </w:tcPr>
          <w:p w14:paraId="15759DA5" w14:textId="7FA15514" w:rsidR="003B030B" w:rsidRPr="004460CA" w:rsidRDefault="003B030B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 xml:space="preserve">Концентрация крупных требований к размеру капитала </w:t>
            </w:r>
            <w:r w:rsidR="002D3C41" w:rsidRPr="004460CA">
              <w:rPr>
                <w:color w:val="000000" w:themeColor="text1"/>
              </w:rPr>
              <w:t>(К)</w:t>
            </w:r>
          </w:p>
        </w:tc>
        <w:tc>
          <w:tcPr>
            <w:tcW w:w="3119" w:type="dxa"/>
          </w:tcPr>
          <w:p w14:paraId="5C2D8B78" w14:textId="77777777" w:rsidR="003B030B" w:rsidRPr="004460CA" w:rsidRDefault="003B030B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вспомогательный</w:t>
            </w:r>
          </w:p>
        </w:tc>
        <w:tc>
          <w:tcPr>
            <w:tcW w:w="3402" w:type="dxa"/>
          </w:tcPr>
          <w:p w14:paraId="5A4C7433" w14:textId="77777777" w:rsidR="003B030B" w:rsidRPr="004460CA" w:rsidRDefault="003B030B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ежемесячно</w:t>
            </w:r>
          </w:p>
        </w:tc>
      </w:tr>
      <w:tr w:rsidR="003B030B" w:rsidRPr="004460CA" w14:paraId="2DED9873" w14:textId="77777777" w:rsidTr="00A26A27">
        <w:tc>
          <w:tcPr>
            <w:tcW w:w="566" w:type="dxa"/>
          </w:tcPr>
          <w:p w14:paraId="64892CAA" w14:textId="46E60FE9" w:rsidR="003B030B" w:rsidRPr="004460CA" w:rsidRDefault="003B030B" w:rsidP="00E23607">
            <w:pPr>
              <w:widowControl w:val="0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1</w:t>
            </w:r>
            <w:r w:rsidR="005B3BE8" w:rsidRPr="004460CA">
              <w:rPr>
                <w:color w:val="000000" w:themeColor="text1"/>
              </w:rPr>
              <w:t>1</w:t>
            </w:r>
            <w:r w:rsidRPr="004460CA">
              <w:rPr>
                <w:color w:val="000000" w:themeColor="text1"/>
              </w:rPr>
              <w:t>.</w:t>
            </w:r>
          </w:p>
        </w:tc>
        <w:tc>
          <w:tcPr>
            <w:tcW w:w="7509" w:type="dxa"/>
            <w:vAlign w:val="center"/>
          </w:tcPr>
          <w:p w14:paraId="7D836FBD" w14:textId="33053D7F" w:rsidR="003B030B" w:rsidRPr="004460CA" w:rsidRDefault="006A329F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Снижение капитала по результатам надзорного стресс-тестирования</w:t>
            </w:r>
          </w:p>
        </w:tc>
        <w:tc>
          <w:tcPr>
            <w:tcW w:w="3119" w:type="dxa"/>
          </w:tcPr>
          <w:p w14:paraId="36629AC6" w14:textId="77777777" w:rsidR="003B030B" w:rsidRPr="004460CA" w:rsidRDefault="003B030B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вспомогательный</w:t>
            </w:r>
          </w:p>
        </w:tc>
        <w:tc>
          <w:tcPr>
            <w:tcW w:w="3402" w:type="dxa"/>
          </w:tcPr>
          <w:p w14:paraId="7FD8742B" w14:textId="77777777" w:rsidR="003B030B" w:rsidRPr="004460CA" w:rsidRDefault="003B030B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ежегодно</w:t>
            </w:r>
          </w:p>
        </w:tc>
      </w:tr>
      <w:tr w:rsidR="00123AD7" w:rsidRPr="004460CA" w14:paraId="692D1920" w14:textId="77777777" w:rsidTr="00A26A27">
        <w:tc>
          <w:tcPr>
            <w:tcW w:w="566" w:type="dxa"/>
          </w:tcPr>
          <w:p w14:paraId="4AE9CF66" w14:textId="47C1FC28" w:rsidR="00123AD7" w:rsidRPr="004460CA" w:rsidRDefault="00123AD7" w:rsidP="00E23607">
            <w:pPr>
              <w:widowControl w:val="0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1</w:t>
            </w:r>
            <w:r w:rsidR="005B3BE8" w:rsidRPr="004460CA">
              <w:rPr>
                <w:color w:val="000000" w:themeColor="text1"/>
              </w:rPr>
              <w:t>2</w:t>
            </w:r>
            <w:r w:rsidRPr="004460CA">
              <w:rPr>
                <w:color w:val="000000" w:themeColor="text1"/>
              </w:rPr>
              <w:t>.</w:t>
            </w:r>
          </w:p>
        </w:tc>
        <w:tc>
          <w:tcPr>
            <w:tcW w:w="7509" w:type="dxa"/>
            <w:vAlign w:val="center"/>
          </w:tcPr>
          <w:p w14:paraId="06C64723" w14:textId="695B8C97" w:rsidR="00123AD7" w:rsidRPr="004460CA" w:rsidRDefault="008B461F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Последовательное снижение коэффициента достаточности основного капитала</w:t>
            </w:r>
          </w:p>
        </w:tc>
        <w:tc>
          <w:tcPr>
            <w:tcW w:w="3119" w:type="dxa"/>
          </w:tcPr>
          <w:p w14:paraId="7FA3BD56" w14:textId="6C08A345" w:rsidR="00123AD7" w:rsidRPr="004460CA" w:rsidRDefault="00123AD7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вспомогательный</w:t>
            </w:r>
          </w:p>
        </w:tc>
        <w:tc>
          <w:tcPr>
            <w:tcW w:w="3402" w:type="dxa"/>
          </w:tcPr>
          <w:p w14:paraId="47A39237" w14:textId="226C80C9" w:rsidR="00123AD7" w:rsidRPr="004460CA" w:rsidRDefault="00123AD7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ежемесячно</w:t>
            </w:r>
          </w:p>
        </w:tc>
      </w:tr>
      <w:tr w:rsidR="003B030B" w:rsidRPr="004460CA" w14:paraId="37FD71CF" w14:textId="77777777" w:rsidTr="00A26A27">
        <w:tc>
          <w:tcPr>
            <w:tcW w:w="566" w:type="dxa"/>
          </w:tcPr>
          <w:p w14:paraId="0EFE2CF3" w14:textId="517DC0BE" w:rsidR="003B030B" w:rsidRPr="004460CA" w:rsidRDefault="003B030B" w:rsidP="00E23607">
            <w:pPr>
              <w:widowControl w:val="0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1</w:t>
            </w:r>
            <w:r w:rsidR="005B3BE8" w:rsidRPr="004460CA">
              <w:rPr>
                <w:color w:val="000000" w:themeColor="text1"/>
              </w:rPr>
              <w:t>3</w:t>
            </w:r>
            <w:r w:rsidRPr="004460CA">
              <w:rPr>
                <w:color w:val="000000" w:themeColor="text1"/>
              </w:rPr>
              <w:t>.</w:t>
            </w:r>
          </w:p>
        </w:tc>
        <w:tc>
          <w:tcPr>
            <w:tcW w:w="7509" w:type="dxa"/>
            <w:vAlign w:val="center"/>
          </w:tcPr>
          <w:p w14:paraId="480F3075" w14:textId="1A23A027" w:rsidR="003B030B" w:rsidRPr="004460CA" w:rsidRDefault="00645609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Минимальный размер обязательств по инструментам, обеспечивающим общую способность поглощения (покрытия) убытков</w:t>
            </w:r>
          </w:p>
        </w:tc>
        <w:tc>
          <w:tcPr>
            <w:tcW w:w="3119" w:type="dxa"/>
          </w:tcPr>
          <w:p w14:paraId="09C2CB9A" w14:textId="77777777" w:rsidR="003B030B" w:rsidRPr="004460CA" w:rsidRDefault="003B030B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вспомогательный</w:t>
            </w:r>
          </w:p>
        </w:tc>
        <w:tc>
          <w:tcPr>
            <w:tcW w:w="3402" w:type="dxa"/>
          </w:tcPr>
          <w:p w14:paraId="11099748" w14:textId="77777777" w:rsidR="003B030B" w:rsidRPr="004460CA" w:rsidRDefault="003B030B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 xml:space="preserve">ежемесячно </w:t>
            </w:r>
          </w:p>
        </w:tc>
      </w:tr>
      <w:tr w:rsidR="003B030B" w:rsidRPr="004460CA" w14:paraId="30433D59" w14:textId="77777777" w:rsidTr="00A26A27">
        <w:tc>
          <w:tcPr>
            <w:tcW w:w="566" w:type="dxa"/>
          </w:tcPr>
          <w:p w14:paraId="2AFA83F7" w14:textId="30735BF4" w:rsidR="003B030B" w:rsidRPr="004460CA" w:rsidRDefault="003B030B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1</w:t>
            </w:r>
            <w:r w:rsidR="005B3BE8" w:rsidRPr="004460CA">
              <w:rPr>
                <w:color w:val="000000" w:themeColor="text1"/>
              </w:rPr>
              <w:t>4</w:t>
            </w:r>
            <w:r w:rsidRPr="004460CA">
              <w:rPr>
                <w:color w:val="000000" w:themeColor="text1"/>
              </w:rPr>
              <w:t>.</w:t>
            </w:r>
          </w:p>
        </w:tc>
        <w:tc>
          <w:tcPr>
            <w:tcW w:w="7509" w:type="dxa"/>
            <w:vAlign w:val="center"/>
          </w:tcPr>
          <w:p w14:paraId="67A566DB" w14:textId="4595DFAE" w:rsidR="003B030B" w:rsidRPr="004460CA" w:rsidRDefault="003B030B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 xml:space="preserve">Мгновенный рост </w:t>
            </w:r>
            <w:r w:rsidR="003245BA" w:rsidRPr="004460CA">
              <w:rPr>
                <w:color w:val="000000" w:themeColor="text1"/>
              </w:rPr>
              <w:t xml:space="preserve">доли </w:t>
            </w:r>
            <w:r w:rsidRPr="004460CA">
              <w:rPr>
                <w:color w:val="000000" w:themeColor="text1"/>
              </w:rPr>
              <w:t>кредитов стадии 3 и ПСКО</w:t>
            </w:r>
            <w:r w:rsidR="008F7D41" w:rsidRPr="004460CA">
              <w:rPr>
                <w:color w:val="000000" w:themeColor="text1"/>
              </w:rPr>
              <w:t xml:space="preserve"> в течение месяца</w:t>
            </w:r>
          </w:p>
        </w:tc>
        <w:tc>
          <w:tcPr>
            <w:tcW w:w="3119" w:type="dxa"/>
          </w:tcPr>
          <w:p w14:paraId="4F67CE60" w14:textId="77777777" w:rsidR="003B030B" w:rsidRPr="004460CA" w:rsidRDefault="003B030B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вспомогательный</w:t>
            </w:r>
          </w:p>
        </w:tc>
        <w:tc>
          <w:tcPr>
            <w:tcW w:w="3402" w:type="dxa"/>
          </w:tcPr>
          <w:p w14:paraId="5C652B84" w14:textId="77777777" w:rsidR="003B030B" w:rsidRPr="004460CA" w:rsidRDefault="003B030B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ежемесячно</w:t>
            </w:r>
          </w:p>
        </w:tc>
      </w:tr>
      <w:tr w:rsidR="003B030B" w:rsidRPr="004460CA" w14:paraId="01CDFF3F" w14:textId="77777777" w:rsidTr="00A26A27">
        <w:tc>
          <w:tcPr>
            <w:tcW w:w="566" w:type="dxa"/>
          </w:tcPr>
          <w:p w14:paraId="1E95435F" w14:textId="48A259F9" w:rsidR="003B030B" w:rsidRPr="004460CA" w:rsidRDefault="003B030B" w:rsidP="00E23607">
            <w:pPr>
              <w:widowControl w:val="0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1</w:t>
            </w:r>
            <w:r w:rsidR="005B3BE8" w:rsidRPr="004460CA">
              <w:rPr>
                <w:color w:val="000000" w:themeColor="text1"/>
              </w:rPr>
              <w:t>5</w:t>
            </w:r>
            <w:r w:rsidRPr="004460CA">
              <w:rPr>
                <w:color w:val="000000" w:themeColor="text1"/>
              </w:rPr>
              <w:t>.</w:t>
            </w:r>
          </w:p>
        </w:tc>
        <w:tc>
          <w:tcPr>
            <w:tcW w:w="7509" w:type="dxa"/>
            <w:vAlign w:val="center"/>
          </w:tcPr>
          <w:p w14:paraId="5F46444A" w14:textId="07C3A64E" w:rsidR="003B030B" w:rsidRPr="004460CA" w:rsidRDefault="00015311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Отношение доли уплаченного вознаграждения к начисленным процентным доходам</w:t>
            </w:r>
          </w:p>
        </w:tc>
        <w:tc>
          <w:tcPr>
            <w:tcW w:w="3119" w:type="dxa"/>
            <w:shd w:val="clear" w:color="auto" w:fill="auto"/>
          </w:tcPr>
          <w:p w14:paraId="25B6AE3D" w14:textId="77777777" w:rsidR="003B030B" w:rsidRPr="004460CA" w:rsidRDefault="003B030B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вспомогательный</w:t>
            </w:r>
          </w:p>
        </w:tc>
        <w:tc>
          <w:tcPr>
            <w:tcW w:w="3402" w:type="dxa"/>
          </w:tcPr>
          <w:p w14:paraId="6C472E74" w14:textId="77777777" w:rsidR="003B030B" w:rsidRPr="004460CA" w:rsidRDefault="003B030B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ежемесячно</w:t>
            </w:r>
          </w:p>
        </w:tc>
      </w:tr>
      <w:tr w:rsidR="003B030B" w:rsidRPr="004460CA" w14:paraId="4F21B544" w14:textId="77777777" w:rsidTr="00A26A27">
        <w:tc>
          <w:tcPr>
            <w:tcW w:w="566" w:type="dxa"/>
          </w:tcPr>
          <w:p w14:paraId="76CFA358" w14:textId="12BEB9E9" w:rsidR="003B030B" w:rsidRPr="004460CA" w:rsidRDefault="003B030B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1</w:t>
            </w:r>
            <w:r w:rsidR="00471FF2" w:rsidRPr="004460CA">
              <w:rPr>
                <w:color w:val="000000" w:themeColor="text1"/>
              </w:rPr>
              <w:t>6</w:t>
            </w:r>
            <w:r w:rsidRPr="004460CA">
              <w:rPr>
                <w:color w:val="000000" w:themeColor="text1"/>
              </w:rPr>
              <w:t>.</w:t>
            </w:r>
          </w:p>
        </w:tc>
        <w:tc>
          <w:tcPr>
            <w:tcW w:w="7509" w:type="dxa"/>
            <w:vAlign w:val="center"/>
          </w:tcPr>
          <w:p w14:paraId="16BA51AB" w14:textId="28B157F5" w:rsidR="003B030B" w:rsidRPr="004460CA" w:rsidRDefault="003B030B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Нетто-отток</w:t>
            </w:r>
            <w:r w:rsidR="00123AD7" w:rsidRPr="004460CA">
              <w:rPr>
                <w:color w:val="000000" w:themeColor="text1"/>
              </w:rPr>
              <w:t xml:space="preserve"> </w:t>
            </w:r>
            <w:r w:rsidRPr="004460CA">
              <w:rPr>
                <w:color w:val="000000" w:themeColor="text1"/>
              </w:rPr>
              <w:t xml:space="preserve">депозитной базы </w:t>
            </w:r>
            <w:r w:rsidR="00E217AD" w:rsidRPr="004460CA">
              <w:rPr>
                <w:color w:val="000000" w:themeColor="text1"/>
              </w:rPr>
              <w:t>в течение</w:t>
            </w:r>
            <w:r w:rsidR="002D3C41" w:rsidRPr="004460CA">
              <w:rPr>
                <w:color w:val="000000" w:themeColor="text1"/>
              </w:rPr>
              <w:t xml:space="preserve"> 1 (одной) недели</w:t>
            </w:r>
          </w:p>
        </w:tc>
        <w:tc>
          <w:tcPr>
            <w:tcW w:w="3119" w:type="dxa"/>
            <w:shd w:val="clear" w:color="auto" w:fill="auto"/>
          </w:tcPr>
          <w:p w14:paraId="04DBD9C7" w14:textId="77777777" w:rsidR="003B030B" w:rsidRPr="004460CA" w:rsidRDefault="003B030B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вспомогательный</w:t>
            </w:r>
          </w:p>
        </w:tc>
        <w:tc>
          <w:tcPr>
            <w:tcW w:w="3402" w:type="dxa"/>
          </w:tcPr>
          <w:p w14:paraId="013E53CE" w14:textId="77777777" w:rsidR="003B030B" w:rsidRPr="004460CA" w:rsidRDefault="003B030B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еженедельно</w:t>
            </w:r>
          </w:p>
        </w:tc>
      </w:tr>
      <w:tr w:rsidR="003B030B" w:rsidRPr="004460CA" w14:paraId="5B17F603" w14:textId="77777777" w:rsidTr="00A26A27">
        <w:tc>
          <w:tcPr>
            <w:tcW w:w="566" w:type="dxa"/>
          </w:tcPr>
          <w:p w14:paraId="5B33CAB8" w14:textId="6162C7F1" w:rsidR="003B030B" w:rsidRPr="004460CA" w:rsidRDefault="005B3BE8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1</w:t>
            </w:r>
            <w:r w:rsidR="00471FF2" w:rsidRPr="004460CA">
              <w:rPr>
                <w:color w:val="000000" w:themeColor="text1"/>
              </w:rPr>
              <w:t>7</w:t>
            </w:r>
            <w:r w:rsidR="003B030B" w:rsidRPr="004460CA">
              <w:rPr>
                <w:color w:val="000000" w:themeColor="text1"/>
              </w:rPr>
              <w:t>.</w:t>
            </w:r>
          </w:p>
        </w:tc>
        <w:tc>
          <w:tcPr>
            <w:tcW w:w="7509" w:type="dxa"/>
            <w:vAlign w:val="center"/>
          </w:tcPr>
          <w:p w14:paraId="6CF4D20D" w14:textId="462F8941" w:rsidR="003B030B" w:rsidRPr="004460CA" w:rsidRDefault="003B030B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 xml:space="preserve">Нетто-отток депозитной базы </w:t>
            </w:r>
            <w:r w:rsidR="00E217AD" w:rsidRPr="004460CA">
              <w:rPr>
                <w:color w:val="000000" w:themeColor="text1"/>
              </w:rPr>
              <w:t xml:space="preserve">в течение </w:t>
            </w:r>
            <w:r w:rsidR="002D3C41" w:rsidRPr="004460CA">
              <w:rPr>
                <w:color w:val="000000" w:themeColor="text1"/>
              </w:rPr>
              <w:t xml:space="preserve">1 (одного) </w:t>
            </w:r>
            <w:r w:rsidR="00E217AD" w:rsidRPr="004460CA">
              <w:rPr>
                <w:color w:val="000000" w:themeColor="text1"/>
              </w:rPr>
              <w:t>месяца</w:t>
            </w:r>
          </w:p>
        </w:tc>
        <w:tc>
          <w:tcPr>
            <w:tcW w:w="3119" w:type="dxa"/>
            <w:shd w:val="clear" w:color="auto" w:fill="auto"/>
          </w:tcPr>
          <w:p w14:paraId="072B3B6E" w14:textId="77777777" w:rsidR="003B030B" w:rsidRPr="004460CA" w:rsidRDefault="003B030B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вспомогательный</w:t>
            </w:r>
          </w:p>
        </w:tc>
        <w:tc>
          <w:tcPr>
            <w:tcW w:w="3402" w:type="dxa"/>
          </w:tcPr>
          <w:p w14:paraId="2093A46F" w14:textId="77777777" w:rsidR="003B030B" w:rsidRPr="004460CA" w:rsidRDefault="003B030B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ежемесячно</w:t>
            </w:r>
          </w:p>
        </w:tc>
      </w:tr>
      <w:tr w:rsidR="003B030B" w:rsidRPr="004460CA" w14:paraId="51A48D8A" w14:textId="77777777" w:rsidTr="00A26A27">
        <w:tc>
          <w:tcPr>
            <w:tcW w:w="566" w:type="dxa"/>
          </w:tcPr>
          <w:p w14:paraId="4145BA11" w14:textId="39F00CE2" w:rsidR="003B030B" w:rsidRPr="004460CA" w:rsidRDefault="00471FF2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18</w:t>
            </w:r>
            <w:r w:rsidR="003B030B" w:rsidRPr="004460CA">
              <w:rPr>
                <w:color w:val="000000" w:themeColor="text1"/>
              </w:rPr>
              <w:t>.</w:t>
            </w:r>
          </w:p>
        </w:tc>
        <w:tc>
          <w:tcPr>
            <w:tcW w:w="7509" w:type="dxa"/>
            <w:vAlign w:val="center"/>
          </w:tcPr>
          <w:p w14:paraId="2AFFE403" w14:textId="0F97DDB4" w:rsidR="003B030B" w:rsidRPr="004460CA" w:rsidRDefault="003B030B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Нетто-отток</w:t>
            </w:r>
            <w:r w:rsidR="00236C2F" w:rsidRPr="004460CA">
              <w:rPr>
                <w:color w:val="000000" w:themeColor="text1"/>
              </w:rPr>
              <w:t xml:space="preserve"> </w:t>
            </w:r>
            <w:r w:rsidRPr="004460CA">
              <w:rPr>
                <w:color w:val="000000" w:themeColor="text1"/>
              </w:rPr>
              <w:t xml:space="preserve">депозитной базы </w:t>
            </w:r>
            <w:r w:rsidR="00E217AD" w:rsidRPr="004460CA">
              <w:rPr>
                <w:color w:val="000000" w:themeColor="text1"/>
              </w:rPr>
              <w:t xml:space="preserve">в течение 3 (трех) последовательных </w:t>
            </w:r>
            <w:r w:rsidR="00E217AD" w:rsidRPr="004460CA">
              <w:rPr>
                <w:color w:val="000000" w:themeColor="text1"/>
              </w:rPr>
              <w:lastRenderedPageBreak/>
              <w:t>месяцев</w:t>
            </w:r>
          </w:p>
        </w:tc>
        <w:tc>
          <w:tcPr>
            <w:tcW w:w="3119" w:type="dxa"/>
            <w:shd w:val="clear" w:color="auto" w:fill="auto"/>
          </w:tcPr>
          <w:p w14:paraId="35DB05A8" w14:textId="77777777" w:rsidR="003B030B" w:rsidRPr="004460CA" w:rsidRDefault="003B030B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lastRenderedPageBreak/>
              <w:t>вспомогательный</w:t>
            </w:r>
          </w:p>
        </w:tc>
        <w:tc>
          <w:tcPr>
            <w:tcW w:w="3402" w:type="dxa"/>
          </w:tcPr>
          <w:p w14:paraId="2E74CB35" w14:textId="1C5F7F59" w:rsidR="003B030B" w:rsidRPr="004460CA" w:rsidRDefault="00D84A7E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ежемесячно</w:t>
            </w:r>
          </w:p>
        </w:tc>
      </w:tr>
      <w:tr w:rsidR="003B030B" w:rsidRPr="004460CA" w14:paraId="3EC972EC" w14:textId="77777777" w:rsidTr="00A26A27">
        <w:tc>
          <w:tcPr>
            <w:tcW w:w="566" w:type="dxa"/>
          </w:tcPr>
          <w:p w14:paraId="30D6C671" w14:textId="4A6E2263" w:rsidR="003B030B" w:rsidRPr="004460CA" w:rsidRDefault="00471FF2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19</w:t>
            </w:r>
            <w:r w:rsidR="003B030B" w:rsidRPr="004460CA">
              <w:rPr>
                <w:color w:val="000000" w:themeColor="text1"/>
              </w:rPr>
              <w:t>.</w:t>
            </w:r>
          </w:p>
        </w:tc>
        <w:tc>
          <w:tcPr>
            <w:tcW w:w="7509" w:type="dxa"/>
            <w:vAlign w:val="center"/>
          </w:tcPr>
          <w:p w14:paraId="37726A55" w14:textId="77777777" w:rsidR="003B030B" w:rsidRPr="004460CA" w:rsidRDefault="003B030B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 xml:space="preserve">Снижение размера высоколиквидных активов </w:t>
            </w:r>
            <w:r w:rsidR="00006782" w:rsidRPr="004460CA">
              <w:rPr>
                <w:color w:val="000000" w:themeColor="text1"/>
              </w:rPr>
              <w:t>в течение 3 (трех) последовательных месяцев</w:t>
            </w:r>
          </w:p>
          <w:p w14:paraId="3A87B8B0" w14:textId="52AFA5A4" w:rsidR="00236C2F" w:rsidRPr="004460CA" w:rsidRDefault="00236C2F" w:rsidP="00E23607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shd w:val="clear" w:color="auto" w:fill="auto"/>
          </w:tcPr>
          <w:p w14:paraId="03C51766" w14:textId="77777777" w:rsidR="003B030B" w:rsidRPr="004460CA" w:rsidRDefault="003B030B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вспомогательный</w:t>
            </w:r>
          </w:p>
        </w:tc>
        <w:tc>
          <w:tcPr>
            <w:tcW w:w="3402" w:type="dxa"/>
          </w:tcPr>
          <w:p w14:paraId="3B1F6744" w14:textId="5BA61C7F" w:rsidR="003B030B" w:rsidRPr="004460CA" w:rsidRDefault="00D84A7E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ежемесячно</w:t>
            </w:r>
          </w:p>
        </w:tc>
      </w:tr>
      <w:tr w:rsidR="003B030B" w:rsidRPr="004460CA" w14:paraId="11A39066" w14:textId="77777777" w:rsidTr="00A26A27">
        <w:tc>
          <w:tcPr>
            <w:tcW w:w="566" w:type="dxa"/>
          </w:tcPr>
          <w:p w14:paraId="7E612D69" w14:textId="2B6E308A" w:rsidR="003B030B" w:rsidRPr="004460CA" w:rsidRDefault="003B030B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2</w:t>
            </w:r>
            <w:r w:rsidR="00471FF2" w:rsidRPr="004460CA">
              <w:rPr>
                <w:color w:val="000000" w:themeColor="text1"/>
              </w:rPr>
              <w:t>0</w:t>
            </w:r>
            <w:r w:rsidRPr="004460CA">
              <w:rPr>
                <w:color w:val="000000" w:themeColor="text1"/>
              </w:rPr>
              <w:t>.</w:t>
            </w:r>
          </w:p>
        </w:tc>
        <w:tc>
          <w:tcPr>
            <w:tcW w:w="7509" w:type="dxa"/>
            <w:vAlign w:val="center"/>
          </w:tcPr>
          <w:p w14:paraId="7118127F" w14:textId="19AD5D84" w:rsidR="003B030B" w:rsidRPr="004460CA" w:rsidRDefault="009D6A98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Лимит открытой валютной позиции по иностранным валютам стран</w:t>
            </w:r>
            <w:r w:rsidR="000F458A" w:rsidRPr="004460CA">
              <w:rPr>
                <w:color w:val="000000" w:themeColor="text1"/>
              </w:rPr>
              <w:t xml:space="preserve">, имеющих суверенный рейтинг не ниже «А» агентства </w:t>
            </w:r>
            <w:proofErr w:type="spellStart"/>
            <w:r w:rsidR="000F458A" w:rsidRPr="004460CA">
              <w:rPr>
                <w:color w:val="000000" w:themeColor="text1"/>
              </w:rPr>
              <w:t>Standard</w:t>
            </w:r>
            <w:proofErr w:type="spellEnd"/>
            <w:r w:rsidR="000F458A" w:rsidRPr="004460CA">
              <w:rPr>
                <w:color w:val="000000" w:themeColor="text1"/>
              </w:rPr>
              <w:t xml:space="preserve"> &amp; </w:t>
            </w:r>
            <w:proofErr w:type="spellStart"/>
            <w:r w:rsidR="000F458A" w:rsidRPr="004460CA">
              <w:rPr>
                <w:color w:val="000000" w:themeColor="text1"/>
              </w:rPr>
              <w:t>Poor's</w:t>
            </w:r>
            <w:proofErr w:type="spellEnd"/>
            <w:r w:rsidR="000F458A" w:rsidRPr="004460CA">
              <w:rPr>
                <w:color w:val="000000" w:themeColor="text1"/>
              </w:rPr>
              <w:t xml:space="preserve"> (</w:t>
            </w:r>
            <w:proofErr w:type="spellStart"/>
            <w:r w:rsidR="000F458A" w:rsidRPr="004460CA">
              <w:rPr>
                <w:color w:val="000000" w:themeColor="text1"/>
              </w:rPr>
              <w:t>Стандард</w:t>
            </w:r>
            <w:proofErr w:type="spellEnd"/>
            <w:r w:rsidR="000F458A" w:rsidRPr="004460CA">
              <w:rPr>
                <w:color w:val="000000" w:themeColor="text1"/>
              </w:rPr>
              <w:t xml:space="preserve"> энд </w:t>
            </w:r>
            <w:proofErr w:type="spellStart"/>
            <w:r w:rsidR="000F458A" w:rsidRPr="004460CA">
              <w:rPr>
                <w:color w:val="000000" w:themeColor="text1"/>
              </w:rPr>
              <w:t>Пурс</w:t>
            </w:r>
            <w:proofErr w:type="spellEnd"/>
            <w:r w:rsidR="000F458A" w:rsidRPr="004460CA">
              <w:rPr>
                <w:color w:val="000000" w:themeColor="text1"/>
              </w:rPr>
              <w:t xml:space="preserve">) или рейтингов аналогичного уровня рейтинговых агентств </w:t>
            </w:r>
            <w:proofErr w:type="spellStart"/>
            <w:r w:rsidR="000F458A" w:rsidRPr="004460CA">
              <w:rPr>
                <w:color w:val="000000" w:themeColor="text1"/>
              </w:rPr>
              <w:t>Moody’s</w:t>
            </w:r>
            <w:proofErr w:type="spellEnd"/>
            <w:r w:rsidR="000F458A" w:rsidRPr="004460CA">
              <w:rPr>
                <w:color w:val="000000" w:themeColor="text1"/>
              </w:rPr>
              <w:t xml:space="preserve"> </w:t>
            </w:r>
            <w:proofErr w:type="spellStart"/>
            <w:r w:rsidR="000F458A" w:rsidRPr="004460CA">
              <w:rPr>
                <w:color w:val="000000" w:themeColor="text1"/>
              </w:rPr>
              <w:t>Investors</w:t>
            </w:r>
            <w:proofErr w:type="spellEnd"/>
            <w:r w:rsidR="000F458A" w:rsidRPr="004460CA">
              <w:rPr>
                <w:color w:val="000000" w:themeColor="text1"/>
              </w:rPr>
              <w:t xml:space="preserve"> </w:t>
            </w:r>
            <w:proofErr w:type="spellStart"/>
            <w:r w:rsidR="000F458A" w:rsidRPr="004460CA">
              <w:rPr>
                <w:color w:val="000000" w:themeColor="text1"/>
              </w:rPr>
              <w:t>Service</w:t>
            </w:r>
            <w:proofErr w:type="spellEnd"/>
            <w:r w:rsidR="000F458A" w:rsidRPr="004460CA">
              <w:rPr>
                <w:color w:val="000000" w:themeColor="text1"/>
              </w:rPr>
              <w:t xml:space="preserve"> (</w:t>
            </w:r>
            <w:proofErr w:type="spellStart"/>
            <w:r w:rsidR="000F458A" w:rsidRPr="004460CA">
              <w:rPr>
                <w:color w:val="000000" w:themeColor="text1"/>
              </w:rPr>
              <w:t>Мудис</w:t>
            </w:r>
            <w:proofErr w:type="spellEnd"/>
            <w:r w:rsidR="000F458A" w:rsidRPr="004460CA">
              <w:rPr>
                <w:color w:val="000000" w:themeColor="text1"/>
              </w:rPr>
              <w:t xml:space="preserve"> </w:t>
            </w:r>
            <w:proofErr w:type="spellStart"/>
            <w:r w:rsidR="000F458A" w:rsidRPr="004460CA">
              <w:rPr>
                <w:color w:val="000000" w:themeColor="text1"/>
              </w:rPr>
              <w:t>Инвесторс</w:t>
            </w:r>
            <w:proofErr w:type="spellEnd"/>
            <w:r w:rsidR="000F458A" w:rsidRPr="004460CA">
              <w:rPr>
                <w:color w:val="000000" w:themeColor="text1"/>
              </w:rPr>
              <w:t xml:space="preserve"> Сервис), </w:t>
            </w:r>
            <w:proofErr w:type="spellStart"/>
            <w:r w:rsidR="000F458A" w:rsidRPr="004460CA">
              <w:rPr>
                <w:color w:val="000000" w:themeColor="text1"/>
              </w:rPr>
              <w:t>Fitch</w:t>
            </w:r>
            <w:proofErr w:type="spellEnd"/>
            <w:r w:rsidR="000F458A" w:rsidRPr="004460CA">
              <w:rPr>
                <w:color w:val="000000" w:themeColor="text1"/>
              </w:rPr>
              <w:t xml:space="preserve"> (Фич), и валюте «евро», а также аффинированным драгоценным металлам</w:t>
            </w:r>
          </w:p>
        </w:tc>
        <w:tc>
          <w:tcPr>
            <w:tcW w:w="3119" w:type="dxa"/>
            <w:shd w:val="clear" w:color="auto" w:fill="auto"/>
          </w:tcPr>
          <w:p w14:paraId="438A8DFE" w14:textId="77777777" w:rsidR="003B030B" w:rsidRPr="004460CA" w:rsidRDefault="003B030B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вспомогательный</w:t>
            </w:r>
          </w:p>
        </w:tc>
        <w:tc>
          <w:tcPr>
            <w:tcW w:w="3402" w:type="dxa"/>
          </w:tcPr>
          <w:p w14:paraId="35762CDB" w14:textId="77777777" w:rsidR="003B030B" w:rsidRPr="004460CA" w:rsidRDefault="003B030B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ежемесячно</w:t>
            </w:r>
          </w:p>
        </w:tc>
      </w:tr>
      <w:tr w:rsidR="003B030B" w:rsidRPr="004460CA" w14:paraId="3B7E9A28" w14:textId="77777777" w:rsidTr="00A26A27">
        <w:tc>
          <w:tcPr>
            <w:tcW w:w="566" w:type="dxa"/>
          </w:tcPr>
          <w:p w14:paraId="4AE74D6E" w14:textId="3027C21E" w:rsidR="003B030B" w:rsidRPr="004460CA" w:rsidRDefault="003B030B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2</w:t>
            </w:r>
            <w:r w:rsidR="00471FF2" w:rsidRPr="004460CA">
              <w:rPr>
                <w:color w:val="000000" w:themeColor="text1"/>
              </w:rPr>
              <w:t>1</w:t>
            </w:r>
            <w:r w:rsidRPr="004460CA">
              <w:rPr>
                <w:color w:val="000000" w:themeColor="text1"/>
              </w:rPr>
              <w:t>.</w:t>
            </w:r>
          </w:p>
        </w:tc>
        <w:tc>
          <w:tcPr>
            <w:tcW w:w="7509" w:type="dxa"/>
            <w:vAlign w:val="center"/>
          </w:tcPr>
          <w:p w14:paraId="26924D87" w14:textId="4D00ADE2" w:rsidR="003B030B" w:rsidRPr="004460CA" w:rsidRDefault="0049439B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Лимит открытой валютной позиции</w:t>
            </w:r>
            <w:r w:rsidR="000F458A" w:rsidRPr="004460CA">
              <w:rPr>
                <w:color w:val="000000" w:themeColor="text1"/>
              </w:rPr>
              <w:t xml:space="preserve">, по иностранным валютам стран, имеющих суверенный рейтинг ниже «А» агентства </w:t>
            </w:r>
            <w:proofErr w:type="spellStart"/>
            <w:r w:rsidR="000F458A" w:rsidRPr="004460CA">
              <w:rPr>
                <w:color w:val="000000" w:themeColor="text1"/>
              </w:rPr>
              <w:t>Standard</w:t>
            </w:r>
            <w:proofErr w:type="spellEnd"/>
            <w:r w:rsidR="000F458A" w:rsidRPr="004460CA">
              <w:rPr>
                <w:color w:val="000000" w:themeColor="text1"/>
              </w:rPr>
              <w:t xml:space="preserve"> &amp; </w:t>
            </w:r>
            <w:proofErr w:type="spellStart"/>
            <w:r w:rsidR="000F458A" w:rsidRPr="004460CA">
              <w:rPr>
                <w:color w:val="000000" w:themeColor="text1"/>
              </w:rPr>
              <w:t>Poor's</w:t>
            </w:r>
            <w:proofErr w:type="spellEnd"/>
            <w:r w:rsidR="000F458A" w:rsidRPr="004460CA">
              <w:rPr>
                <w:color w:val="000000" w:themeColor="text1"/>
              </w:rPr>
              <w:t xml:space="preserve"> (</w:t>
            </w:r>
            <w:proofErr w:type="spellStart"/>
            <w:r w:rsidR="000F458A" w:rsidRPr="004460CA">
              <w:rPr>
                <w:color w:val="000000" w:themeColor="text1"/>
              </w:rPr>
              <w:t>Стандард</w:t>
            </w:r>
            <w:proofErr w:type="spellEnd"/>
            <w:r w:rsidR="000F458A" w:rsidRPr="004460CA">
              <w:rPr>
                <w:color w:val="000000" w:themeColor="text1"/>
              </w:rPr>
              <w:t xml:space="preserve"> энд </w:t>
            </w:r>
            <w:proofErr w:type="spellStart"/>
            <w:r w:rsidR="000F458A" w:rsidRPr="004460CA">
              <w:rPr>
                <w:color w:val="000000" w:themeColor="text1"/>
              </w:rPr>
              <w:t>Пурс</w:t>
            </w:r>
            <w:proofErr w:type="spellEnd"/>
            <w:r w:rsidR="000F458A" w:rsidRPr="004460CA">
              <w:rPr>
                <w:color w:val="000000" w:themeColor="text1"/>
              </w:rPr>
              <w:t xml:space="preserve">) или рейтингов аналогичного уровня рейтинговых агентств </w:t>
            </w:r>
            <w:proofErr w:type="spellStart"/>
            <w:r w:rsidR="000F458A" w:rsidRPr="004460CA">
              <w:rPr>
                <w:color w:val="000000" w:themeColor="text1"/>
              </w:rPr>
              <w:t>Moody’s</w:t>
            </w:r>
            <w:proofErr w:type="spellEnd"/>
            <w:r w:rsidR="000F458A" w:rsidRPr="004460CA">
              <w:rPr>
                <w:color w:val="000000" w:themeColor="text1"/>
              </w:rPr>
              <w:t xml:space="preserve"> </w:t>
            </w:r>
            <w:proofErr w:type="spellStart"/>
            <w:r w:rsidR="000F458A" w:rsidRPr="004460CA">
              <w:rPr>
                <w:color w:val="000000" w:themeColor="text1"/>
              </w:rPr>
              <w:t>Investors</w:t>
            </w:r>
            <w:proofErr w:type="spellEnd"/>
            <w:r w:rsidR="000F458A" w:rsidRPr="004460CA">
              <w:rPr>
                <w:color w:val="000000" w:themeColor="text1"/>
              </w:rPr>
              <w:t xml:space="preserve"> </w:t>
            </w:r>
            <w:proofErr w:type="spellStart"/>
            <w:r w:rsidR="000F458A" w:rsidRPr="004460CA">
              <w:rPr>
                <w:color w:val="000000" w:themeColor="text1"/>
              </w:rPr>
              <w:t>Service</w:t>
            </w:r>
            <w:proofErr w:type="spellEnd"/>
            <w:r w:rsidR="000F458A" w:rsidRPr="004460CA">
              <w:rPr>
                <w:color w:val="000000" w:themeColor="text1"/>
              </w:rPr>
              <w:t xml:space="preserve"> (</w:t>
            </w:r>
            <w:proofErr w:type="spellStart"/>
            <w:r w:rsidR="000F458A" w:rsidRPr="004460CA">
              <w:rPr>
                <w:color w:val="000000" w:themeColor="text1"/>
              </w:rPr>
              <w:t>Мудис</w:t>
            </w:r>
            <w:proofErr w:type="spellEnd"/>
            <w:r w:rsidR="000F458A" w:rsidRPr="004460CA">
              <w:rPr>
                <w:color w:val="000000" w:themeColor="text1"/>
              </w:rPr>
              <w:t xml:space="preserve"> </w:t>
            </w:r>
            <w:proofErr w:type="spellStart"/>
            <w:r w:rsidR="000F458A" w:rsidRPr="004460CA">
              <w:rPr>
                <w:color w:val="000000" w:themeColor="text1"/>
              </w:rPr>
              <w:t>Инвесторс</w:t>
            </w:r>
            <w:proofErr w:type="spellEnd"/>
            <w:r w:rsidR="000F458A" w:rsidRPr="004460CA">
              <w:rPr>
                <w:color w:val="000000" w:themeColor="text1"/>
              </w:rPr>
              <w:t xml:space="preserve"> Сервис), </w:t>
            </w:r>
            <w:proofErr w:type="spellStart"/>
            <w:r w:rsidR="000F458A" w:rsidRPr="004460CA">
              <w:rPr>
                <w:color w:val="000000" w:themeColor="text1"/>
              </w:rPr>
              <w:t>Fitch</w:t>
            </w:r>
            <w:proofErr w:type="spellEnd"/>
            <w:r w:rsidR="000F458A" w:rsidRPr="004460CA">
              <w:rPr>
                <w:color w:val="000000" w:themeColor="text1"/>
              </w:rPr>
              <w:t xml:space="preserve"> (Фич), а также по стейблкоинам</w:t>
            </w:r>
          </w:p>
        </w:tc>
        <w:tc>
          <w:tcPr>
            <w:tcW w:w="3119" w:type="dxa"/>
            <w:shd w:val="clear" w:color="auto" w:fill="auto"/>
          </w:tcPr>
          <w:p w14:paraId="55B50258" w14:textId="77777777" w:rsidR="003B030B" w:rsidRPr="004460CA" w:rsidRDefault="003B030B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вспомогательный</w:t>
            </w:r>
          </w:p>
        </w:tc>
        <w:tc>
          <w:tcPr>
            <w:tcW w:w="3402" w:type="dxa"/>
          </w:tcPr>
          <w:p w14:paraId="1C27BCB1" w14:textId="77777777" w:rsidR="003B030B" w:rsidRPr="004460CA" w:rsidRDefault="003B030B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ежемесячно</w:t>
            </w:r>
          </w:p>
        </w:tc>
      </w:tr>
      <w:tr w:rsidR="003B030B" w:rsidRPr="004460CA" w14:paraId="4017813C" w14:textId="77777777" w:rsidTr="00A26A27">
        <w:tc>
          <w:tcPr>
            <w:tcW w:w="566" w:type="dxa"/>
          </w:tcPr>
          <w:p w14:paraId="02ECD1CB" w14:textId="3715B0A0" w:rsidR="003B030B" w:rsidRPr="004460CA" w:rsidRDefault="003B030B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2</w:t>
            </w:r>
            <w:r w:rsidR="00D04A87" w:rsidRPr="004460CA">
              <w:rPr>
                <w:color w:val="000000" w:themeColor="text1"/>
                <w:lang w:val="en-US"/>
              </w:rPr>
              <w:t>2</w:t>
            </w:r>
            <w:r w:rsidRPr="004460CA">
              <w:rPr>
                <w:color w:val="000000" w:themeColor="text1"/>
              </w:rPr>
              <w:t>.</w:t>
            </w:r>
          </w:p>
        </w:tc>
        <w:tc>
          <w:tcPr>
            <w:tcW w:w="7509" w:type="dxa"/>
            <w:vAlign w:val="center"/>
          </w:tcPr>
          <w:p w14:paraId="52390361" w14:textId="2DF6741A" w:rsidR="003B030B" w:rsidRPr="004460CA" w:rsidRDefault="00402EBB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Лимит валютной нетто-позиции</w:t>
            </w:r>
          </w:p>
        </w:tc>
        <w:tc>
          <w:tcPr>
            <w:tcW w:w="3119" w:type="dxa"/>
            <w:shd w:val="clear" w:color="auto" w:fill="auto"/>
          </w:tcPr>
          <w:p w14:paraId="704387A4" w14:textId="77777777" w:rsidR="003B030B" w:rsidRPr="004460CA" w:rsidRDefault="003B030B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вспомогательный</w:t>
            </w:r>
          </w:p>
        </w:tc>
        <w:tc>
          <w:tcPr>
            <w:tcW w:w="3402" w:type="dxa"/>
          </w:tcPr>
          <w:p w14:paraId="69B78288" w14:textId="77777777" w:rsidR="003B030B" w:rsidRPr="004460CA" w:rsidRDefault="003B030B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ежемесячно</w:t>
            </w:r>
          </w:p>
        </w:tc>
      </w:tr>
      <w:tr w:rsidR="003B030B" w:rsidRPr="004460CA" w14:paraId="5CE9955C" w14:textId="77777777" w:rsidTr="00A26A27">
        <w:tc>
          <w:tcPr>
            <w:tcW w:w="566" w:type="dxa"/>
          </w:tcPr>
          <w:p w14:paraId="60C5AEDD" w14:textId="013AB3A6" w:rsidR="003B030B" w:rsidRPr="004460CA" w:rsidRDefault="003B030B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2</w:t>
            </w:r>
            <w:r w:rsidR="00D04A87" w:rsidRPr="004460CA">
              <w:rPr>
                <w:color w:val="000000" w:themeColor="text1"/>
                <w:lang w:val="en-US"/>
              </w:rPr>
              <w:t>3</w:t>
            </w:r>
            <w:r w:rsidRPr="004460CA">
              <w:rPr>
                <w:color w:val="000000" w:themeColor="text1"/>
              </w:rPr>
              <w:t>.</w:t>
            </w:r>
          </w:p>
        </w:tc>
        <w:tc>
          <w:tcPr>
            <w:tcW w:w="7509" w:type="dxa"/>
            <w:vAlign w:val="center"/>
          </w:tcPr>
          <w:p w14:paraId="1AD24CD9" w14:textId="04E0F873" w:rsidR="003B030B" w:rsidRPr="004460CA" w:rsidRDefault="002F23A3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Лимит открытой позиции по производным финансовым инструментам в валюте отдельного иностранного государства (группы иностранных государств), открытых на счетах условных требований и на счетах условных обязательств</w:t>
            </w:r>
          </w:p>
        </w:tc>
        <w:tc>
          <w:tcPr>
            <w:tcW w:w="3119" w:type="dxa"/>
            <w:shd w:val="clear" w:color="auto" w:fill="auto"/>
          </w:tcPr>
          <w:p w14:paraId="10DADE47" w14:textId="77777777" w:rsidR="003B030B" w:rsidRPr="004460CA" w:rsidRDefault="003B030B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вспомогательный</w:t>
            </w:r>
          </w:p>
        </w:tc>
        <w:tc>
          <w:tcPr>
            <w:tcW w:w="3402" w:type="dxa"/>
          </w:tcPr>
          <w:p w14:paraId="378DFB2C" w14:textId="77777777" w:rsidR="003B030B" w:rsidRPr="004460CA" w:rsidRDefault="003B030B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ежемесячно</w:t>
            </w:r>
          </w:p>
        </w:tc>
      </w:tr>
      <w:tr w:rsidR="003B030B" w:rsidRPr="004460CA" w14:paraId="1BCDF878" w14:textId="77777777" w:rsidTr="00A26A27">
        <w:tc>
          <w:tcPr>
            <w:tcW w:w="566" w:type="dxa"/>
          </w:tcPr>
          <w:p w14:paraId="21CDBF1D" w14:textId="65E67C12" w:rsidR="003B030B" w:rsidRPr="004460CA" w:rsidRDefault="003B030B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2</w:t>
            </w:r>
            <w:r w:rsidR="00D04A87" w:rsidRPr="004460CA">
              <w:rPr>
                <w:color w:val="000000" w:themeColor="text1"/>
                <w:lang w:val="en-US"/>
              </w:rPr>
              <w:t>4</w:t>
            </w:r>
            <w:r w:rsidRPr="004460CA">
              <w:rPr>
                <w:color w:val="000000" w:themeColor="text1"/>
              </w:rPr>
              <w:t>.</w:t>
            </w:r>
          </w:p>
        </w:tc>
        <w:tc>
          <w:tcPr>
            <w:tcW w:w="7509" w:type="dxa"/>
            <w:vAlign w:val="center"/>
          </w:tcPr>
          <w:p w14:paraId="6D2972AE" w14:textId="77777777" w:rsidR="003B030B" w:rsidRPr="004460CA" w:rsidRDefault="003B030B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 xml:space="preserve">Доходность активов </w:t>
            </w:r>
          </w:p>
        </w:tc>
        <w:tc>
          <w:tcPr>
            <w:tcW w:w="3119" w:type="dxa"/>
            <w:shd w:val="clear" w:color="auto" w:fill="auto"/>
          </w:tcPr>
          <w:p w14:paraId="6A21716C" w14:textId="77777777" w:rsidR="003B030B" w:rsidRPr="004460CA" w:rsidRDefault="003B030B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вспомогательный</w:t>
            </w:r>
          </w:p>
        </w:tc>
        <w:tc>
          <w:tcPr>
            <w:tcW w:w="3402" w:type="dxa"/>
          </w:tcPr>
          <w:p w14:paraId="200931F3" w14:textId="77777777" w:rsidR="003B030B" w:rsidRPr="004460CA" w:rsidRDefault="003B030B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ежемесячно</w:t>
            </w:r>
          </w:p>
        </w:tc>
      </w:tr>
      <w:tr w:rsidR="003B030B" w:rsidRPr="004460CA" w14:paraId="24AEB96F" w14:textId="77777777" w:rsidTr="00A26A27">
        <w:tc>
          <w:tcPr>
            <w:tcW w:w="566" w:type="dxa"/>
          </w:tcPr>
          <w:p w14:paraId="47C1C81E" w14:textId="6E76EE1F" w:rsidR="003B030B" w:rsidRPr="004460CA" w:rsidRDefault="005B3BE8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2</w:t>
            </w:r>
            <w:r w:rsidR="00D04A87" w:rsidRPr="004460CA">
              <w:rPr>
                <w:color w:val="000000" w:themeColor="text1"/>
                <w:lang w:val="en-US"/>
              </w:rPr>
              <w:t>5</w:t>
            </w:r>
            <w:r w:rsidR="003B030B" w:rsidRPr="004460CA">
              <w:rPr>
                <w:color w:val="000000" w:themeColor="text1"/>
              </w:rPr>
              <w:t>.</w:t>
            </w:r>
          </w:p>
        </w:tc>
        <w:tc>
          <w:tcPr>
            <w:tcW w:w="7509" w:type="dxa"/>
            <w:vAlign w:val="center"/>
          </w:tcPr>
          <w:p w14:paraId="70270D66" w14:textId="77777777" w:rsidR="003B030B" w:rsidRPr="004460CA" w:rsidRDefault="003B030B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Процентный спрэд</w:t>
            </w:r>
          </w:p>
        </w:tc>
        <w:tc>
          <w:tcPr>
            <w:tcW w:w="3119" w:type="dxa"/>
            <w:shd w:val="clear" w:color="auto" w:fill="auto"/>
          </w:tcPr>
          <w:p w14:paraId="2539EE7A" w14:textId="77777777" w:rsidR="003B030B" w:rsidRPr="004460CA" w:rsidRDefault="003B030B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вспомогательный</w:t>
            </w:r>
          </w:p>
        </w:tc>
        <w:tc>
          <w:tcPr>
            <w:tcW w:w="3402" w:type="dxa"/>
          </w:tcPr>
          <w:p w14:paraId="3A7E91DE" w14:textId="77777777" w:rsidR="003B030B" w:rsidRPr="004460CA" w:rsidRDefault="003B030B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ежемесячно</w:t>
            </w:r>
          </w:p>
        </w:tc>
      </w:tr>
      <w:tr w:rsidR="003B0A78" w:rsidRPr="004460CA" w14:paraId="1B649FF2" w14:textId="77777777" w:rsidTr="00A26A27">
        <w:tc>
          <w:tcPr>
            <w:tcW w:w="566" w:type="dxa"/>
          </w:tcPr>
          <w:p w14:paraId="1566CD1F" w14:textId="40F6967C" w:rsidR="003B0A78" w:rsidRPr="004460CA" w:rsidRDefault="003B0A78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26.</w:t>
            </w:r>
          </w:p>
        </w:tc>
        <w:tc>
          <w:tcPr>
            <w:tcW w:w="7509" w:type="dxa"/>
            <w:vAlign w:val="center"/>
          </w:tcPr>
          <w:p w14:paraId="23D7D317" w14:textId="016FFEFC" w:rsidR="003B0A78" w:rsidRPr="004460CA" w:rsidRDefault="003B0A78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 xml:space="preserve">Отношение операционных расходов к </w:t>
            </w:r>
            <w:r w:rsidR="008D3980" w:rsidRPr="004460CA">
              <w:rPr>
                <w:color w:val="000000" w:themeColor="text1"/>
              </w:rPr>
              <w:t xml:space="preserve">операционным </w:t>
            </w:r>
            <w:r w:rsidRPr="004460CA">
              <w:rPr>
                <w:color w:val="000000" w:themeColor="text1"/>
              </w:rPr>
              <w:t>доходам</w:t>
            </w:r>
          </w:p>
        </w:tc>
        <w:tc>
          <w:tcPr>
            <w:tcW w:w="3119" w:type="dxa"/>
            <w:shd w:val="clear" w:color="auto" w:fill="auto"/>
          </w:tcPr>
          <w:p w14:paraId="29C9CF01" w14:textId="5DF52B88" w:rsidR="003B0A78" w:rsidRPr="004460CA" w:rsidRDefault="003B0A78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вспомогательный</w:t>
            </w:r>
          </w:p>
        </w:tc>
        <w:tc>
          <w:tcPr>
            <w:tcW w:w="3402" w:type="dxa"/>
          </w:tcPr>
          <w:p w14:paraId="3E17354D" w14:textId="178DDDB6" w:rsidR="003B0A78" w:rsidRPr="004460CA" w:rsidRDefault="00872678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ежеквартально</w:t>
            </w:r>
          </w:p>
        </w:tc>
      </w:tr>
    </w:tbl>
    <w:p w14:paraId="5E0C8B3F" w14:textId="77777777" w:rsidR="003B030B" w:rsidRPr="004460CA" w:rsidRDefault="003B030B" w:rsidP="00E23607">
      <w:pPr>
        <w:widowControl w:val="0"/>
        <w:ind w:left="5812" w:right="108" w:firstLine="709"/>
        <w:jc w:val="right"/>
        <w:rPr>
          <w:color w:val="000000" w:themeColor="text1"/>
        </w:rPr>
      </w:pPr>
    </w:p>
    <w:p w14:paraId="2246EB5F" w14:textId="77777777" w:rsidR="003B030B" w:rsidRPr="004460CA" w:rsidRDefault="003B030B" w:rsidP="00E23607">
      <w:pPr>
        <w:widowControl w:val="0"/>
        <w:ind w:firstLine="709"/>
        <w:jc w:val="right"/>
        <w:rPr>
          <w:color w:val="000000" w:themeColor="text1"/>
        </w:rPr>
      </w:pPr>
    </w:p>
    <w:p w14:paraId="15C05C2E" w14:textId="77777777" w:rsidR="003B030B" w:rsidRPr="004460CA" w:rsidRDefault="003B030B" w:rsidP="00E23607">
      <w:pPr>
        <w:widowControl w:val="0"/>
        <w:ind w:firstLine="709"/>
        <w:jc w:val="right"/>
        <w:rPr>
          <w:color w:val="000000" w:themeColor="text1"/>
        </w:rPr>
      </w:pPr>
    </w:p>
    <w:p w14:paraId="0F9CFAD3" w14:textId="544D8FAE" w:rsidR="003B030B" w:rsidRDefault="003B030B" w:rsidP="00E23607">
      <w:pPr>
        <w:widowControl w:val="0"/>
        <w:ind w:firstLine="709"/>
        <w:jc w:val="right"/>
        <w:rPr>
          <w:color w:val="000000" w:themeColor="text1"/>
        </w:rPr>
      </w:pPr>
    </w:p>
    <w:p w14:paraId="3E8DE825" w14:textId="650F966D" w:rsidR="004964AB" w:rsidRDefault="004964AB" w:rsidP="00E23607">
      <w:pPr>
        <w:widowControl w:val="0"/>
        <w:ind w:firstLine="709"/>
        <w:jc w:val="right"/>
        <w:rPr>
          <w:color w:val="000000" w:themeColor="text1"/>
        </w:rPr>
      </w:pPr>
    </w:p>
    <w:p w14:paraId="220ABC46" w14:textId="10E599C2" w:rsidR="004964AB" w:rsidRDefault="004964AB" w:rsidP="00E23607">
      <w:pPr>
        <w:widowControl w:val="0"/>
        <w:ind w:firstLine="709"/>
        <w:jc w:val="right"/>
        <w:rPr>
          <w:color w:val="000000" w:themeColor="text1"/>
        </w:rPr>
      </w:pPr>
    </w:p>
    <w:p w14:paraId="53485029" w14:textId="77777777" w:rsidR="004964AB" w:rsidRPr="004460CA" w:rsidRDefault="004964AB" w:rsidP="00E23607">
      <w:pPr>
        <w:widowControl w:val="0"/>
        <w:ind w:firstLine="709"/>
        <w:jc w:val="right"/>
        <w:rPr>
          <w:color w:val="000000" w:themeColor="text1"/>
        </w:rPr>
      </w:pPr>
    </w:p>
    <w:p w14:paraId="29224942" w14:textId="77777777" w:rsidR="00D6585C" w:rsidRPr="004460CA" w:rsidRDefault="00D6585C" w:rsidP="00E23607">
      <w:pPr>
        <w:widowControl w:val="0"/>
        <w:ind w:right="108"/>
        <w:jc w:val="right"/>
        <w:rPr>
          <w:color w:val="000000" w:themeColor="text1"/>
        </w:rPr>
      </w:pPr>
    </w:p>
    <w:p w14:paraId="622841CF" w14:textId="77777777" w:rsidR="00D6585C" w:rsidRPr="004460CA" w:rsidRDefault="00D6585C" w:rsidP="00E23607">
      <w:pPr>
        <w:widowControl w:val="0"/>
        <w:ind w:right="108"/>
        <w:jc w:val="right"/>
        <w:rPr>
          <w:color w:val="000000" w:themeColor="text1"/>
        </w:rPr>
      </w:pPr>
    </w:p>
    <w:p w14:paraId="461218E8" w14:textId="77777777" w:rsidR="00D6585C" w:rsidRPr="004460CA" w:rsidRDefault="00D6585C" w:rsidP="00E23607">
      <w:pPr>
        <w:widowControl w:val="0"/>
        <w:ind w:right="108"/>
        <w:jc w:val="right"/>
        <w:rPr>
          <w:color w:val="000000" w:themeColor="text1"/>
        </w:rPr>
      </w:pPr>
    </w:p>
    <w:p w14:paraId="6E87E173" w14:textId="77777777" w:rsidR="004460CA" w:rsidRDefault="004460CA" w:rsidP="004460CA">
      <w:pPr>
        <w:widowControl w:val="0"/>
        <w:ind w:right="108"/>
        <w:rPr>
          <w:color w:val="000000" w:themeColor="text1"/>
        </w:rPr>
      </w:pPr>
    </w:p>
    <w:p w14:paraId="64E6F410" w14:textId="17749514" w:rsidR="006441D5" w:rsidRPr="004460CA" w:rsidRDefault="006441D5" w:rsidP="004460CA">
      <w:pPr>
        <w:widowControl w:val="0"/>
        <w:ind w:right="108"/>
        <w:jc w:val="right"/>
        <w:rPr>
          <w:color w:val="000000" w:themeColor="text1"/>
        </w:rPr>
      </w:pPr>
      <w:r w:rsidRPr="004460CA">
        <w:rPr>
          <w:color w:val="000000" w:themeColor="text1"/>
        </w:rPr>
        <w:lastRenderedPageBreak/>
        <w:t>Приложение 3</w:t>
      </w:r>
      <w:r w:rsidRPr="004460CA">
        <w:rPr>
          <w:color w:val="000000" w:themeColor="text1"/>
        </w:rPr>
        <w:br/>
        <w:t>к Значениям финансово-экономических и иных признаков ухудшения финансовой устойчивости банка</w:t>
      </w:r>
    </w:p>
    <w:p w14:paraId="66D0A731" w14:textId="77777777" w:rsidR="003B030B" w:rsidRPr="004460CA" w:rsidRDefault="003B030B" w:rsidP="00E23607">
      <w:pPr>
        <w:jc w:val="right"/>
        <w:rPr>
          <w:color w:val="000000" w:themeColor="text1"/>
          <w:sz w:val="16"/>
        </w:rPr>
      </w:pPr>
    </w:p>
    <w:p w14:paraId="6DAAE0C2" w14:textId="7C9A0E49" w:rsidR="003B030B" w:rsidRPr="004460CA" w:rsidRDefault="006441D5" w:rsidP="00E23607">
      <w:pPr>
        <w:jc w:val="center"/>
        <w:rPr>
          <w:color w:val="000000" w:themeColor="text1"/>
        </w:rPr>
      </w:pPr>
      <w:r w:rsidRPr="004460CA">
        <w:rPr>
          <w:b/>
        </w:rPr>
        <w:t>Матрица применения вспомогательных количественных показателей ухудшения финансовой устойчивости</w:t>
      </w:r>
    </w:p>
    <w:p w14:paraId="6A694A31" w14:textId="645020AD" w:rsidR="006441D5" w:rsidRPr="004460CA" w:rsidRDefault="006441D5" w:rsidP="00E23607">
      <w:pPr>
        <w:jc w:val="right"/>
        <w:rPr>
          <w:color w:val="000000" w:themeColor="text1"/>
        </w:rPr>
      </w:pPr>
    </w:p>
    <w:tbl>
      <w:tblPr>
        <w:tblStyle w:val="a9"/>
        <w:tblW w:w="14029" w:type="dxa"/>
        <w:tblLook w:val="04A0" w:firstRow="1" w:lastRow="0" w:firstColumn="1" w:lastColumn="0" w:noHBand="0" w:noVBand="1"/>
      </w:tblPr>
      <w:tblGrid>
        <w:gridCol w:w="3964"/>
        <w:gridCol w:w="2410"/>
        <w:gridCol w:w="2410"/>
        <w:gridCol w:w="2375"/>
        <w:gridCol w:w="2870"/>
      </w:tblGrid>
      <w:tr w:rsidR="006441D5" w:rsidRPr="004460CA" w14:paraId="03ECE8E3" w14:textId="77777777" w:rsidTr="00A26A27">
        <w:trPr>
          <w:trHeight w:val="1031"/>
        </w:trPr>
        <w:tc>
          <w:tcPr>
            <w:tcW w:w="3964" w:type="dxa"/>
            <w:hideMark/>
          </w:tcPr>
          <w:p w14:paraId="4A0E8117" w14:textId="77777777" w:rsidR="006441D5" w:rsidRPr="004460CA" w:rsidRDefault="006441D5" w:rsidP="00E236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  <w:hideMark/>
          </w:tcPr>
          <w:p w14:paraId="297B36FC" w14:textId="77777777" w:rsidR="006441D5" w:rsidRPr="004460CA" w:rsidRDefault="006441D5" w:rsidP="00E23607">
            <w:pPr>
              <w:jc w:val="center"/>
            </w:pPr>
            <w:r w:rsidRPr="004460CA">
              <w:t>0 показателей, по которым допущено отклонение от пороговых значений</w:t>
            </w:r>
          </w:p>
          <w:p w14:paraId="76F91D09" w14:textId="77777777" w:rsidR="006441D5" w:rsidRPr="004460CA" w:rsidRDefault="006441D5" w:rsidP="00E23607">
            <w:pPr>
              <w:jc w:val="center"/>
              <w:rPr>
                <w:color w:val="000000" w:themeColor="text1"/>
                <w:sz w:val="10"/>
              </w:rPr>
            </w:pPr>
          </w:p>
          <w:p w14:paraId="4DDBEB03" w14:textId="77777777" w:rsidR="006441D5" w:rsidRPr="004460CA" w:rsidRDefault="006441D5" w:rsidP="00E23607">
            <w:pPr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Режим усиленного надзора</w:t>
            </w:r>
          </w:p>
          <w:p w14:paraId="08D3BEF7" w14:textId="77777777" w:rsidR="006441D5" w:rsidRPr="004460CA" w:rsidRDefault="006441D5" w:rsidP="00E236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  <w:hideMark/>
          </w:tcPr>
          <w:p w14:paraId="3E51BA49" w14:textId="77777777" w:rsidR="006441D5" w:rsidRPr="004460CA" w:rsidRDefault="006441D5" w:rsidP="00E23607">
            <w:pPr>
              <w:jc w:val="center"/>
            </w:pPr>
            <w:r w:rsidRPr="004460CA">
              <w:t>1 показатель, по которому допущено отклонение от пороговых значений</w:t>
            </w:r>
          </w:p>
          <w:p w14:paraId="606450F8" w14:textId="77777777" w:rsidR="006441D5" w:rsidRPr="004460CA" w:rsidRDefault="006441D5" w:rsidP="00E23607">
            <w:pPr>
              <w:jc w:val="center"/>
              <w:rPr>
                <w:color w:val="000000" w:themeColor="text1"/>
                <w:sz w:val="10"/>
              </w:rPr>
            </w:pPr>
          </w:p>
          <w:p w14:paraId="03831AC1" w14:textId="77777777" w:rsidR="006441D5" w:rsidRPr="004460CA" w:rsidRDefault="006441D5" w:rsidP="00E23607">
            <w:pPr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Режим усиленного надзора</w:t>
            </w:r>
          </w:p>
        </w:tc>
        <w:tc>
          <w:tcPr>
            <w:tcW w:w="2375" w:type="dxa"/>
            <w:hideMark/>
          </w:tcPr>
          <w:p w14:paraId="57A61DBA" w14:textId="77777777" w:rsidR="006441D5" w:rsidRPr="004460CA" w:rsidRDefault="006441D5" w:rsidP="00E23607">
            <w:pPr>
              <w:jc w:val="center"/>
            </w:pPr>
            <w:r w:rsidRPr="004460CA">
              <w:t>2 показателя, по которым допущено отклонение от пороговых значений</w:t>
            </w:r>
          </w:p>
          <w:p w14:paraId="1ACF4A94" w14:textId="77777777" w:rsidR="006441D5" w:rsidRPr="004460CA" w:rsidRDefault="006441D5" w:rsidP="00E23607">
            <w:pPr>
              <w:jc w:val="center"/>
              <w:rPr>
                <w:color w:val="000000" w:themeColor="text1"/>
                <w:sz w:val="10"/>
              </w:rPr>
            </w:pPr>
          </w:p>
          <w:p w14:paraId="1D6CD9B9" w14:textId="77777777" w:rsidR="006441D5" w:rsidRPr="004460CA" w:rsidRDefault="006441D5" w:rsidP="00E23607">
            <w:pPr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Режим усиленного надзора</w:t>
            </w:r>
          </w:p>
        </w:tc>
        <w:tc>
          <w:tcPr>
            <w:tcW w:w="2870" w:type="dxa"/>
            <w:hideMark/>
          </w:tcPr>
          <w:p w14:paraId="73E94C65" w14:textId="77777777" w:rsidR="006441D5" w:rsidRPr="004460CA" w:rsidRDefault="006441D5" w:rsidP="00E23607">
            <w:pPr>
              <w:jc w:val="center"/>
            </w:pPr>
            <w:r w:rsidRPr="004460CA">
              <w:t>3 показателя, по которым допущено отклонение от пороговых значений</w:t>
            </w:r>
          </w:p>
          <w:p w14:paraId="5824B5C0" w14:textId="77777777" w:rsidR="006441D5" w:rsidRPr="004460CA" w:rsidRDefault="006441D5" w:rsidP="00E23607">
            <w:pPr>
              <w:jc w:val="center"/>
              <w:rPr>
                <w:color w:val="000000" w:themeColor="text1"/>
                <w:sz w:val="10"/>
              </w:rPr>
            </w:pPr>
          </w:p>
          <w:p w14:paraId="2991A42B" w14:textId="77777777" w:rsidR="00872678" w:rsidRPr="004460CA" w:rsidRDefault="00872678" w:rsidP="00E23607">
            <w:pPr>
              <w:jc w:val="center"/>
              <w:rPr>
                <w:color w:val="000000" w:themeColor="text1"/>
              </w:rPr>
            </w:pPr>
          </w:p>
          <w:p w14:paraId="135D78B8" w14:textId="5C5E528C" w:rsidR="006441D5" w:rsidRPr="004460CA" w:rsidRDefault="006441D5" w:rsidP="00E23607">
            <w:pPr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Режим усиленного надзора</w:t>
            </w:r>
          </w:p>
        </w:tc>
      </w:tr>
      <w:tr w:rsidR="006441D5" w:rsidRPr="004460CA" w14:paraId="5DE04683" w14:textId="77777777" w:rsidTr="00A26A27">
        <w:trPr>
          <w:trHeight w:val="846"/>
        </w:trPr>
        <w:tc>
          <w:tcPr>
            <w:tcW w:w="3964" w:type="dxa"/>
            <w:hideMark/>
          </w:tcPr>
          <w:p w14:paraId="32AF0F3A" w14:textId="77777777" w:rsidR="006441D5" w:rsidRPr="004460CA" w:rsidRDefault="006441D5" w:rsidP="00E23607">
            <w:pPr>
              <w:jc w:val="center"/>
            </w:pPr>
            <w:r w:rsidRPr="004460CA">
              <w:t>0 показателей, по которым допущено отклонение от пороговых значений</w:t>
            </w:r>
          </w:p>
          <w:p w14:paraId="00E7F7D8" w14:textId="77777777" w:rsidR="006441D5" w:rsidRPr="004460CA" w:rsidRDefault="006441D5" w:rsidP="00E23607">
            <w:pPr>
              <w:jc w:val="center"/>
              <w:rPr>
                <w:color w:val="000000" w:themeColor="text1"/>
                <w:sz w:val="10"/>
              </w:rPr>
            </w:pPr>
          </w:p>
          <w:p w14:paraId="7E1DA100" w14:textId="77777777" w:rsidR="006441D5" w:rsidRPr="004460CA" w:rsidRDefault="006441D5" w:rsidP="00E23607">
            <w:pPr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Режим восстановления финансовой устойчивости</w:t>
            </w:r>
          </w:p>
          <w:p w14:paraId="5E1BCFCA" w14:textId="1C22CCF5" w:rsidR="00C63B0A" w:rsidRPr="004460CA" w:rsidRDefault="00C63B0A" w:rsidP="00E236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  <w:hideMark/>
          </w:tcPr>
          <w:p w14:paraId="6BFF6CAC" w14:textId="77777777" w:rsidR="006441D5" w:rsidRPr="004460CA" w:rsidRDefault="006441D5" w:rsidP="00E23607">
            <w:pPr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Не применяется ни один режим</w:t>
            </w:r>
          </w:p>
        </w:tc>
        <w:tc>
          <w:tcPr>
            <w:tcW w:w="2410" w:type="dxa"/>
            <w:hideMark/>
          </w:tcPr>
          <w:p w14:paraId="40F8E431" w14:textId="77777777" w:rsidR="006441D5" w:rsidRPr="004460CA" w:rsidRDefault="006441D5" w:rsidP="00E23607">
            <w:pPr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Не применяется ни один режим</w:t>
            </w:r>
          </w:p>
        </w:tc>
        <w:tc>
          <w:tcPr>
            <w:tcW w:w="2375" w:type="dxa"/>
            <w:hideMark/>
          </w:tcPr>
          <w:p w14:paraId="2757003F" w14:textId="77777777" w:rsidR="006441D5" w:rsidRPr="004460CA" w:rsidRDefault="006441D5" w:rsidP="00E23607">
            <w:pPr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Не применяется ни один режим</w:t>
            </w:r>
          </w:p>
        </w:tc>
        <w:tc>
          <w:tcPr>
            <w:tcW w:w="2870" w:type="dxa"/>
            <w:hideMark/>
          </w:tcPr>
          <w:p w14:paraId="4FB13F90" w14:textId="77777777" w:rsidR="006441D5" w:rsidRPr="004460CA" w:rsidRDefault="006441D5" w:rsidP="00E23607">
            <w:pPr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Режим усиленного надзора</w:t>
            </w:r>
          </w:p>
        </w:tc>
      </w:tr>
      <w:tr w:rsidR="006441D5" w:rsidRPr="004460CA" w14:paraId="71048190" w14:textId="77777777" w:rsidTr="00A26A27">
        <w:trPr>
          <w:trHeight w:val="845"/>
        </w:trPr>
        <w:tc>
          <w:tcPr>
            <w:tcW w:w="3964" w:type="dxa"/>
            <w:hideMark/>
          </w:tcPr>
          <w:p w14:paraId="7FFDE933" w14:textId="77777777" w:rsidR="006441D5" w:rsidRPr="004460CA" w:rsidRDefault="006441D5" w:rsidP="00E23607">
            <w:pPr>
              <w:jc w:val="center"/>
            </w:pPr>
            <w:r w:rsidRPr="004460CA">
              <w:t>1 показатель, по которому допущено отклонение от пороговых значений</w:t>
            </w:r>
          </w:p>
          <w:p w14:paraId="4AE85305" w14:textId="77777777" w:rsidR="006441D5" w:rsidRPr="004460CA" w:rsidRDefault="006441D5" w:rsidP="00E23607">
            <w:pPr>
              <w:jc w:val="center"/>
              <w:rPr>
                <w:color w:val="000000" w:themeColor="text1"/>
                <w:sz w:val="10"/>
              </w:rPr>
            </w:pPr>
          </w:p>
          <w:p w14:paraId="293973F8" w14:textId="77777777" w:rsidR="006441D5" w:rsidRPr="004460CA" w:rsidRDefault="006441D5" w:rsidP="00E23607">
            <w:pPr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Режим восстановления финансовой устойчивости</w:t>
            </w:r>
          </w:p>
          <w:p w14:paraId="4DC5CCA5" w14:textId="6A06FD8A" w:rsidR="00C63B0A" w:rsidRPr="004460CA" w:rsidRDefault="00C63B0A" w:rsidP="00E236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  <w:hideMark/>
          </w:tcPr>
          <w:p w14:paraId="3848AA03" w14:textId="77777777" w:rsidR="006441D5" w:rsidRPr="004460CA" w:rsidRDefault="006441D5" w:rsidP="00E23607">
            <w:pPr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Режим усиленного надзора</w:t>
            </w:r>
          </w:p>
        </w:tc>
        <w:tc>
          <w:tcPr>
            <w:tcW w:w="2410" w:type="dxa"/>
            <w:hideMark/>
          </w:tcPr>
          <w:p w14:paraId="56AF0749" w14:textId="77777777" w:rsidR="006441D5" w:rsidRPr="004460CA" w:rsidRDefault="006441D5" w:rsidP="00E23607">
            <w:pPr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Режим усиленного надзора</w:t>
            </w:r>
          </w:p>
        </w:tc>
        <w:tc>
          <w:tcPr>
            <w:tcW w:w="2375" w:type="dxa"/>
            <w:hideMark/>
          </w:tcPr>
          <w:p w14:paraId="13B75F54" w14:textId="77777777" w:rsidR="006441D5" w:rsidRPr="004460CA" w:rsidRDefault="006441D5" w:rsidP="00E23607">
            <w:pPr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Режим усиленного надзора</w:t>
            </w:r>
          </w:p>
        </w:tc>
        <w:tc>
          <w:tcPr>
            <w:tcW w:w="2870" w:type="dxa"/>
            <w:hideMark/>
          </w:tcPr>
          <w:p w14:paraId="7CD0CAE4" w14:textId="43826535" w:rsidR="006441D5" w:rsidRPr="004460CA" w:rsidRDefault="00295B1C" w:rsidP="00E23607">
            <w:pPr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Режим восстановления финансовой устойчивости</w:t>
            </w:r>
          </w:p>
        </w:tc>
      </w:tr>
      <w:tr w:rsidR="006441D5" w:rsidRPr="004460CA" w14:paraId="5A5CF963" w14:textId="77777777" w:rsidTr="00A26A27">
        <w:trPr>
          <w:trHeight w:val="984"/>
        </w:trPr>
        <w:tc>
          <w:tcPr>
            <w:tcW w:w="3964" w:type="dxa"/>
            <w:hideMark/>
          </w:tcPr>
          <w:p w14:paraId="54EB7184" w14:textId="77777777" w:rsidR="006441D5" w:rsidRPr="004460CA" w:rsidRDefault="006441D5" w:rsidP="00E23607">
            <w:pPr>
              <w:jc w:val="center"/>
            </w:pPr>
            <w:r w:rsidRPr="004460CA">
              <w:t>2 показателя, по которым допущено отклонение от пороговых значений</w:t>
            </w:r>
          </w:p>
          <w:p w14:paraId="676EA6B3" w14:textId="77777777" w:rsidR="006441D5" w:rsidRPr="004460CA" w:rsidRDefault="006441D5" w:rsidP="00E23607">
            <w:pPr>
              <w:jc w:val="center"/>
              <w:rPr>
                <w:color w:val="000000" w:themeColor="text1"/>
                <w:sz w:val="8"/>
              </w:rPr>
            </w:pPr>
          </w:p>
          <w:p w14:paraId="66F1EC66" w14:textId="77777777" w:rsidR="006441D5" w:rsidRPr="004460CA" w:rsidRDefault="006441D5" w:rsidP="00E23607">
            <w:pPr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Режим восстановления финансовой устойчивости</w:t>
            </w:r>
          </w:p>
          <w:p w14:paraId="1AFE0163" w14:textId="36CCB96A" w:rsidR="00C63B0A" w:rsidRPr="004460CA" w:rsidRDefault="00C63B0A" w:rsidP="00E236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  <w:hideMark/>
          </w:tcPr>
          <w:p w14:paraId="1D87FD12" w14:textId="77777777" w:rsidR="006441D5" w:rsidRPr="004460CA" w:rsidRDefault="006441D5" w:rsidP="00E23607">
            <w:pPr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Режим усиленного надзора</w:t>
            </w:r>
          </w:p>
        </w:tc>
        <w:tc>
          <w:tcPr>
            <w:tcW w:w="2410" w:type="dxa"/>
            <w:hideMark/>
          </w:tcPr>
          <w:p w14:paraId="050467AC" w14:textId="77777777" w:rsidR="006441D5" w:rsidRPr="004460CA" w:rsidRDefault="006441D5" w:rsidP="00E23607">
            <w:pPr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Режим восстановления финансовой устойчивости</w:t>
            </w:r>
          </w:p>
        </w:tc>
        <w:tc>
          <w:tcPr>
            <w:tcW w:w="2375" w:type="dxa"/>
            <w:hideMark/>
          </w:tcPr>
          <w:p w14:paraId="1509D394" w14:textId="77777777" w:rsidR="006441D5" w:rsidRPr="004460CA" w:rsidRDefault="006441D5" w:rsidP="00E23607">
            <w:pPr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Режим восстановления финансовой устойчивости</w:t>
            </w:r>
          </w:p>
        </w:tc>
        <w:tc>
          <w:tcPr>
            <w:tcW w:w="2870" w:type="dxa"/>
            <w:hideMark/>
          </w:tcPr>
          <w:p w14:paraId="3506A10B" w14:textId="77777777" w:rsidR="006441D5" w:rsidRPr="004460CA" w:rsidRDefault="006441D5" w:rsidP="00E23607">
            <w:pPr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Режим восстановления финансовой устойчивости</w:t>
            </w:r>
          </w:p>
        </w:tc>
      </w:tr>
      <w:tr w:rsidR="006441D5" w:rsidRPr="004460CA" w14:paraId="34D39AEB" w14:textId="77777777" w:rsidTr="00A26A27">
        <w:trPr>
          <w:trHeight w:val="1112"/>
        </w:trPr>
        <w:tc>
          <w:tcPr>
            <w:tcW w:w="3964" w:type="dxa"/>
            <w:hideMark/>
          </w:tcPr>
          <w:p w14:paraId="3BD8355D" w14:textId="77777777" w:rsidR="006441D5" w:rsidRPr="004460CA" w:rsidRDefault="006441D5" w:rsidP="00E23607">
            <w:pPr>
              <w:jc w:val="center"/>
            </w:pPr>
            <w:r w:rsidRPr="004460CA">
              <w:t>3 показателя, по которым допущено отклонение от пороговых значений</w:t>
            </w:r>
          </w:p>
          <w:p w14:paraId="708407ED" w14:textId="77777777" w:rsidR="006441D5" w:rsidRPr="004460CA" w:rsidRDefault="006441D5" w:rsidP="00E23607">
            <w:pPr>
              <w:jc w:val="center"/>
              <w:rPr>
                <w:color w:val="000000" w:themeColor="text1"/>
                <w:sz w:val="10"/>
              </w:rPr>
            </w:pPr>
          </w:p>
          <w:p w14:paraId="1430F275" w14:textId="77777777" w:rsidR="006441D5" w:rsidRPr="004460CA" w:rsidRDefault="006441D5" w:rsidP="00E23607">
            <w:pPr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Режим восстановления финансовой устойчивости</w:t>
            </w:r>
          </w:p>
        </w:tc>
        <w:tc>
          <w:tcPr>
            <w:tcW w:w="2410" w:type="dxa"/>
            <w:hideMark/>
          </w:tcPr>
          <w:p w14:paraId="34D22096" w14:textId="77777777" w:rsidR="006441D5" w:rsidRPr="004460CA" w:rsidRDefault="006441D5" w:rsidP="00E23607">
            <w:pPr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Режим восстановления финансовой устойчивости</w:t>
            </w:r>
          </w:p>
        </w:tc>
        <w:tc>
          <w:tcPr>
            <w:tcW w:w="2410" w:type="dxa"/>
            <w:hideMark/>
          </w:tcPr>
          <w:p w14:paraId="7C38E92A" w14:textId="77777777" w:rsidR="006441D5" w:rsidRPr="004460CA" w:rsidRDefault="006441D5" w:rsidP="00E23607">
            <w:pPr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Режим восстановления финансовой устойчивости</w:t>
            </w:r>
          </w:p>
        </w:tc>
        <w:tc>
          <w:tcPr>
            <w:tcW w:w="2375" w:type="dxa"/>
            <w:hideMark/>
          </w:tcPr>
          <w:p w14:paraId="2E55E5D2" w14:textId="77777777" w:rsidR="006441D5" w:rsidRPr="004460CA" w:rsidRDefault="006441D5" w:rsidP="00E23607">
            <w:pPr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Режим восстановления финансовой устойчивости</w:t>
            </w:r>
          </w:p>
        </w:tc>
        <w:tc>
          <w:tcPr>
            <w:tcW w:w="2870" w:type="dxa"/>
            <w:hideMark/>
          </w:tcPr>
          <w:p w14:paraId="305E82FB" w14:textId="77777777" w:rsidR="006441D5" w:rsidRPr="004460CA" w:rsidRDefault="006441D5" w:rsidP="00E23607">
            <w:pPr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Режим восстановления финансовой устойчивости</w:t>
            </w:r>
          </w:p>
        </w:tc>
      </w:tr>
    </w:tbl>
    <w:p w14:paraId="345CEB93" w14:textId="77777777" w:rsidR="005B3BE8" w:rsidRPr="004460CA" w:rsidRDefault="005B3BE8" w:rsidP="00E23607">
      <w:pPr>
        <w:widowControl w:val="0"/>
        <w:ind w:right="108"/>
        <w:jc w:val="right"/>
        <w:rPr>
          <w:color w:val="000000" w:themeColor="text1"/>
        </w:rPr>
      </w:pPr>
    </w:p>
    <w:p w14:paraId="0E91D0F0" w14:textId="5115BE71" w:rsidR="00B836D3" w:rsidRPr="004460CA" w:rsidRDefault="00B836D3" w:rsidP="00E23607">
      <w:pPr>
        <w:widowControl w:val="0"/>
        <w:ind w:right="108"/>
        <w:jc w:val="right"/>
        <w:rPr>
          <w:color w:val="000000" w:themeColor="text1"/>
        </w:rPr>
      </w:pPr>
    </w:p>
    <w:p w14:paraId="4A37DB2E" w14:textId="5BE03D4A" w:rsidR="00A26A27" w:rsidRPr="004460CA" w:rsidRDefault="00A26A27" w:rsidP="00E23607">
      <w:pPr>
        <w:widowControl w:val="0"/>
        <w:ind w:right="108"/>
        <w:jc w:val="right"/>
        <w:rPr>
          <w:color w:val="000000" w:themeColor="text1"/>
        </w:rPr>
      </w:pPr>
    </w:p>
    <w:p w14:paraId="449C27F5" w14:textId="77777777" w:rsidR="00A26A27" w:rsidRPr="004460CA" w:rsidRDefault="00A26A27" w:rsidP="00E23607">
      <w:pPr>
        <w:widowControl w:val="0"/>
        <w:ind w:right="108"/>
        <w:jc w:val="right"/>
        <w:rPr>
          <w:color w:val="000000" w:themeColor="text1"/>
        </w:rPr>
      </w:pPr>
    </w:p>
    <w:p w14:paraId="5A55224F" w14:textId="77777777" w:rsidR="00CF3357" w:rsidRDefault="00CF3357" w:rsidP="00E23607">
      <w:pPr>
        <w:widowControl w:val="0"/>
        <w:ind w:right="108"/>
        <w:jc w:val="right"/>
        <w:rPr>
          <w:color w:val="000000" w:themeColor="text1"/>
        </w:rPr>
      </w:pPr>
    </w:p>
    <w:p w14:paraId="43F7241E" w14:textId="77777777" w:rsidR="00CF3357" w:rsidRDefault="00CF3357" w:rsidP="00E23607">
      <w:pPr>
        <w:widowControl w:val="0"/>
        <w:ind w:right="108"/>
        <w:jc w:val="right"/>
        <w:rPr>
          <w:color w:val="000000" w:themeColor="text1"/>
        </w:rPr>
      </w:pPr>
    </w:p>
    <w:p w14:paraId="7E11F41F" w14:textId="0F121688" w:rsidR="003B030B" w:rsidRPr="004460CA" w:rsidRDefault="006441D5" w:rsidP="00E23607">
      <w:pPr>
        <w:widowControl w:val="0"/>
        <w:ind w:right="108"/>
        <w:jc w:val="right"/>
        <w:rPr>
          <w:color w:val="000000" w:themeColor="text1"/>
        </w:rPr>
      </w:pPr>
      <w:r w:rsidRPr="004460CA">
        <w:rPr>
          <w:color w:val="000000" w:themeColor="text1"/>
        </w:rPr>
        <w:t>Пр</w:t>
      </w:r>
      <w:r w:rsidR="003B030B" w:rsidRPr="004460CA">
        <w:rPr>
          <w:color w:val="000000" w:themeColor="text1"/>
        </w:rPr>
        <w:t xml:space="preserve">иложение </w:t>
      </w:r>
      <w:r w:rsidRPr="004460CA">
        <w:rPr>
          <w:color w:val="000000" w:themeColor="text1"/>
        </w:rPr>
        <w:t>4</w:t>
      </w:r>
      <w:r w:rsidR="003B030B" w:rsidRPr="004460CA">
        <w:rPr>
          <w:color w:val="000000" w:themeColor="text1"/>
        </w:rPr>
        <w:br/>
        <w:t xml:space="preserve">к </w:t>
      </w:r>
      <w:r w:rsidR="00331F4D" w:rsidRPr="004460CA">
        <w:rPr>
          <w:color w:val="000000" w:themeColor="text1"/>
        </w:rPr>
        <w:t>Значениям финансово-экономических и иных признаков ухудшения финансовой устойчивости банка</w:t>
      </w:r>
    </w:p>
    <w:p w14:paraId="5A1862C3" w14:textId="7491BA8A" w:rsidR="00217005" w:rsidRPr="004460CA" w:rsidRDefault="00217005" w:rsidP="00E23607">
      <w:pPr>
        <w:widowControl w:val="0"/>
        <w:ind w:right="108"/>
        <w:jc w:val="right"/>
        <w:rPr>
          <w:color w:val="000000" w:themeColor="text1"/>
        </w:rPr>
      </w:pPr>
    </w:p>
    <w:p w14:paraId="5CFE57E8" w14:textId="4A80B876" w:rsidR="00217005" w:rsidRPr="004460CA" w:rsidRDefault="00217005" w:rsidP="00E23607">
      <w:pPr>
        <w:widowControl w:val="0"/>
        <w:jc w:val="center"/>
        <w:rPr>
          <w:b/>
          <w:color w:val="000000" w:themeColor="text1"/>
        </w:rPr>
      </w:pPr>
      <w:r w:rsidRPr="004460CA">
        <w:rPr>
          <w:b/>
          <w:color w:val="000000" w:themeColor="text1"/>
        </w:rPr>
        <w:t>Перечень качественных показателей, характеризующих ухудшение финансовой устойчивости банков</w:t>
      </w:r>
    </w:p>
    <w:p w14:paraId="247F43FD" w14:textId="77777777" w:rsidR="00217005" w:rsidRPr="004460CA" w:rsidRDefault="00217005" w:rsidP="00E23607">
      <w:pPr>
        <w:jc w:val="center"/>
        <w:rPr>
          <w:color w:val="000000" w:themeColor="text1"/>
        </w:rPr>
      </w:pPr>
    </w:p>
    <w:tbl>
      <w:tblPr>
        <w:tblStyle w:val="a9"/>
        <w:tblW w:w="13603" w:type="dxa"/>
        <w:jc w:val="center"/>
        <w:tblLook w:val="04A0" w:firstRow="1" w:lastRow="0" w:firstColumn="1" w:lastColumn="0" w:noHBand="0" w:noVBand="1"/>
      </w:tblPr>
      <w:tblGrid>
        <w:gridCol w:w="846"/>
        <w:gridCol w:w="4111"/>
        <w:gridCol w:w="4671"/>
        <w:gridCol w:w="3975"/>
      </w:tblGrid>
      <w:tr w:rsidR="00471FF2" w:rsidRPr="004460CA" w14:paraId="61A42DF9" w14:textId="77777777" w:rsidTr="008A4141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634B9F5" w14:textId="77777777" w:rsidR="00471FF2" w:rsidRPr="004460CA" w:rsidRDefault="00471FF2" w:rsidP="00E23607">
            <w:pPr>
              <w:widowControl w:val="0"/>
              <w:jc w:val="center"/>
              <w:rPr>
                <w:color w:val="000000" w:themeColor="text1"/>
              </w:rPr>
            </w:pPr>
          </w:p>
          <w:p w14:paraId="48EC7B3D" w14:textId="5908EB38" w:rsidR="00471FF2" w:rsidRPr="004460CA" w:rsidRDefault="00471FF2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№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2791356" w14:textId="77777777" w:rsidR="00471FF2" w:rsidRPr="004460CA" w:rsidRDefault="00471FF2" w:rsidP="00E23607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4460CA">
              <w:rPr>
                <w:b/>
                <w:bCs/>
                <w:color w:val="000000" w:themeColor="text1"/>
              </w:rPr>
              <w:t>Режим усиленного надзора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6A5FD14F" w14:textId="77777777" w:rsidR="00471FF2" w:rsidRPr="004460CA" w:rsidRDefault="00471FF2" w:rsidP="00E23607">
            <w:pPr>
              <w:widowControl w:val="0"/>
              <w:jc w:val="center"/>
              <w:rPr>
                <w:b/>
                <w:bCs/>
                <w:color w:val="000000" w:themeColor="text1"/>
              </w:rPr>
            </w:pPr>
            <w:r w:rsidRPr="004460CA">
              <w:rPr>
                <w:b/>
                <w:bCs/>
                <w:color w:val="000000" w:themeColor="text1"/>
              </w:rPr>
              <w:t>Режим восстановления финансовой устойчивости</w:t>
            </w:r>
          </w:p>
          <w:p w14:paraId="09E7AB34" w14:textId="5FF8E46B" w:rsidR="00471FF2" w:rsidRPr="004460CA" w:rsidRDefault="00471FF2" w:rsidP="00E23607">
            <w:pPr>
              <w:widowControl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975" w:type="dxa"/>
            <w:vAlign w:val="center"/>
          </w:tcPr>
          <w:p w14:paraId="179F9F05" w14:textId="4143B92E" w:rsidR="00471FF2" w:rsidRPr="004460CA" w:rsidRDefault="00B625A6" w:rsidP="00E23607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4460CA">
              <w:rPr>
                <w:b/>
                <w:color w:val="000000" w:themeColor="text1"/>
              </w:rPr>
              <w:t>Режим урегулирования</w:t>
            </w:r>
          </w:p>
        </w:tc>
      </w:tr>
      <w:tr w:rsidR="00B625A6" w:rsidRPr="004460CA" w14:paraId="428994D5" w14:textId="77777777" w:rsidTr="00D6585C">
        <w:trPr>
          <w:jc w:val="center"/>
        </w:trPr>
        <w:tc>
          <w:tcPr>
            <w:tcW w:w="846" w:type="dxa"/>
            <w:vAlign w:val="center"/>
          </w:tcPr>
          <w:p w14:paraId="72849B45" w14:textId="77777777" w:rsidR="00B625A6" w:rsidRPr="004460CA" w:rsidRDefault="00B625A6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1.</w:t>
            </w:r>
          </w:p>
        </w:tc>
        <w:tc>
          <w:tcPr>
            <w:tcW w:w="4111" w:type="dxa"/>
            <w:vAlign w:val="center"/>
          </w:tcPr>
          <w:p w14:paraId="5E871CB5" w14:textId="7D65F0E7" w:rsidR="00B625A6" w:rsidRPr="004460CA" w:rsidRDefault="00B625A6" w:rsidP="00E23607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4671" w:type="dxa"/>
          </w:tcPr>
          <w:p w14:paraId="00652CB7" w14:textId="7C2A6E2F" w:rsidR="00B625A6" w:rsidRPr="004460CA" w:rsidRDefault="00B625A6" w:rsidP="00E236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неисполнение банком денежных обязательств перед депозиторами и кредиторами в связи с отсутствием или недостаточностью денег</w:t>
            </w:r>
          </w:p>
        </w:tc>
        <w:tc>
          <w:tcPr>
            <w:tcW w:w="3975" w:type="dxa"/>
            <w:vMerge w:val="restart"/>
            <w:vAlign w:val="center"/>
          </w:tcPr>
          <w:p w14:paraId="611C22B9" w14:textId="77777777" w:rsidR="00B625A6" w:rsidRPr="004460CA" w:rsidRDefault="00B625A6" w:rsidP="00E236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14:paraId="44711D9B" w14:textId="708789C3" w:rsidR="00B625A6" w:rsidRPr="004460CA" w:rsidRDefault="00B625A6" w:rsidP="00E236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Основания для проведения оценки жизнеспособности банка в целях определения целесообразности применения режима урегулирования предусмотрены пунктом 2 статьи 91 Закона о банках</w:t>
            </w:r>
          </w:p>
        </w:tc>
      </w:tr>
      <w:tr w:rsidR="00B625A6" w:rsidRPr="004460CA" w14:paraId="56631DD9" w14:textId="77777777" w:rsidTr="00D6585C">
        <w:trPr>
          <w:jc w:val="center"/>
        </w:trPr>
        <w:tc>
          <w:tcPr>
            <w:tcW w:w="846" w:type="dxa"/>
            <w:vAlign w:val="center"/>
          </w:tcPr>
          <w:p w14:paraId="331F8938" w14:textId="77777777" w:rsidR="00B625A6" w:rsidRPr="004460CA" w:rsidRDefault="00B625A6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2.</w:t>
            </w:r>
          </w:p>
        </w:tc>
        <w:tc>
          <w:tcPr>
            <w:tcW w:w="4111" w:type="dxa"/>
            <w:vAlign w:val="center"/>
          </w:tcPr>
          <w:p w14:paraId="3AADA1D8" w14:textId="0F7624B8" w:rsidR="00B625A6" w:rsidRPr="004460CA" w:rsidRDefault="00B625A6" w:rsidP="00E23607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4671" w:type="dxa"/>
          </w:tcPr>
          <w:p w14:paraId="3226A9B2" w14:textId="02D1FF08" w:rsidR="00B625A6" w:rsidRPr="004460CA" w:rsidRDefault="00B625A6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ненадлежащее исполнение банком договорных обязательств по переводным операциям в связи с отсутствием или недостаточностью денег</w:t>
            </w:r>
          </w:p>
        </w:tc>
        <w:tc>
          <w:tcPr>
            <w:tcW w:w="3975" w:type="dxa"/>
            <w:vMerge/>
            <w:vAlign w:val="center"/>
          </w:tcPr>
          <w:p w14:paraId="1048DD6B" w14:textId="32BBDC5A" w:rsidR="00B625A6" w:rsidRPr="004460CA" w:rsidRDefault="00B625A6" w:rsidP="00E23607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B625A6" w:rsidRPr="004460CA" w14:paraId="73B5312A" w14:textId="77777777" w:rsidTr="00D6585C">
        <w:trPr>
          <w:jc w:val="center"/>
        </w:trPr>
        <w:tc>
          <w:tcPr>
            <w:tcW w:w="846" w:type="dxa"/>
            <w:vAlign w:val="center"/>
          </w:tcPr>
          <w:p w14:paraId="450066B8" w14:textId="5D665337" w:rsidR="00B625A6" w:rsidRPr="004460CA" w:rsidRDefault="00B625A6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3.</w:t>
            </w:r>
          </w:p>
        </w:tc>
        <w:tc>
          <w:tcPr>
            <w:tcW w:w="4111" w:type="dxa"/>
          </w:tcPr>
          <w:p w14:paraId="095755F3" w14:textId="6220D4CC" w:rsidR="00B625A6" w:rsidRPr="004460CA" w:rsidRDefault="00B625A6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существенные недостатки в корпоративном управлении и (или) системе управления рисками и внутреннего контроля банка, которые существенно негативно влияют на финансовую устойчивость банка</w:t>
            </w:r>
          </w:p>
        </w:tc>
        <w:tc>
          <w:tcPr>
            <w:tcW w:w="4671" w:type="dxa"/>
            <w:vAlign w:val="center"/>
          </w:tcPr>
          <w:p w14:paraId="76891228" w14:textId="02646FC7" w:rsidR="00B625A6" w:rsidRPr="004460CA" w:rsidRDefault="00B625A6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существенные недостатки в корпоративном управлении и (или) системе управления рисками и внутреннего контроля банка, которые существенно негативно влияют на финансовую устойчивость банка</w:t>
            </w:r>
          </w:p>
        </w:tc>
        <w:tc>
          <w:tcPr>
            <w:tcW w:w="3975" w:type="dxa"/>
            <w:vMerge/>
          </w:tcPr>
          <w:p w14:paraId="038A824B" w14:textId="6C012576" w:rsidR="00B625A6" w:rsidRPr="004460CA" w:rsidRDefault="00B625A6" w:rsidP="00E23607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B625A6" w:rsidRPr="004460CA" w14:paraId="7EDCE560" w14:textId="77777777" w:rsidTr="00D6585C">
        <w:trPr>
          <w:jc w:val="center"/>
        </w:trPr>
        <w:tc>
          <w:tcPr>
            <w:tcW w:w="846" w:type="dxa"/>
            <w:vAlign w:val="center"/>
          </w:tcPr>
          <w:p w14:paraId="092C01C3" w14:textId="64A68460" w:rsidR="00B625A6" w:rsidRPr="004460CA" w:rsidRDefault="00B625A6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4.</w:t>
            </w:r>
          </w:p>
        </w:tc>
        <w:tc>
          <w:tcPr>
            <w:tcW w:w="4111" w:type="dxa"/>
          </w:tcPr>
          <w:p w14:paraId="20358AA7" w14:textId="6F0FD18A" w:rsidR="00B625A6" w:rsidRPr="004460CA" w:rsidRDefault="00B625A6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наличие существенных искажений в регуляторной или финансовой отчетности банка, в том числе преднамеренное искажение или непризнание убытков, манипулирование учетной политикой</w:t>
            </w:r>
          </w:p>
        </w:tc>
        <w:tc>
          <w:tcPr>
            <w:tcW w:w="4671" w:type="dxa"/>
            <w:vAlign w:val="center"/>
          </w:tcPr>
          <w:p w14:paraId="4114F89E" w14:textId="715F4610" w:rsidR="00B625A6" w:rsidRPr="004460CA" w:rsidRDefault="00B625A6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наличие существенных искажений в регуляторной или финансовой отчетности банка, в том числе преднамеренное искажение или непризнание убытков, манипулирование учетной политикой</w:t>
            </w:r>
          </w:p>
        </w:tc>
        <w:tc>
          <w:tcPr>
            <w:tcW w:w="3975" w:type="dxa"/>
            <w:vMerge/>
          </w:tcPr>
          <w:p w14:paraId="5C9297F8" w14:textId="030705A0" w:rsidR="00B625A6" w:rsidRPr="004460CA" w:rsidRDefault="00B625A6" w:rsidP="00E23607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B625A6" w:rsidRPr="004460CA" w14:paraId="7A955071" w14:textId="77777777" w:rsidTr="00D6585C">
        <w:trPr>
          <w:jc w:val="center"/>
        </w:trPr>
        <w:tc>
          <w:tcPr>
            <w:tcW w:w="846" w:type="dxa"/>
            <w:vAlign w:val="center"/>
          </w:tcPr>
          <w:p w14:paraId="337CEEB7" w14:textId="75AD1A08" w:rsidR="00B625A6" w:rsidRPr="004460CA" w:rsidRDefault="00B625A6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5.</w:t>
            </w:r>
          </w:p>
        </w:tc>
        <w:tc>
          <w:tcPr>
            <w:tcW w:w="4111" w:type="dxa"/>
          </w:tcPr>
          <w:p w14:paraId="2D1F50A5" w14:textId="605EB607" w:rsidR="00B625A6" w:rsidRPr="004460CA" w:rsidRDefault="00B625A6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 xml:space="preserve">выявление уполномоченным органом в рамках надзорных функций признаков, которые могут привести к </w:t>
            </w:r>
            <w:r w:rsidRPr="004460CA">
              <w:rPr>
                <w:color w:val="000000" w:themeColor="text1"/>
              </w:rPr>
              <w:lastRenderedPageBreak/>
              <w:t>созданию положения, угрожающего финансовой устойчивости банка, и (или) правам и законным интересам его депозиторов, иных кредиторов и клиентов и (или) стабильности финансовой системы</w:t>
            </w:r>
          </w:p>
        </w:tc>
        <w:tc>
          <w:tcPr>
            <w:tcW w:w="4671" w:type="dxa"/>
            <w:vAlign w:val="center"/>
          </w:tcPr>
          <w:p w14:paraId="25659506" w14:textId="71A7BE69" w:rsidR="00B625A6" w:rsidRPr="004460CA" w:rsidRDefault="00B625A6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lastRenderedPageBreak/>
              <w:t xml:space="preserve">выявление уполномоченным органом в рамках надзорных функций признаков, которые могут привести к созданию </w:t>
            </w:r>
            <w:r w:rsidRPr="004460CA">
              <w:rPr>
                <w:color w:val="000000" w:themeColor="text1"/>
              </w:rPr>
              <w:lastRenderedPageBreak/>
              <w:t>положения, угрожающего финансовой устойчивости банка и (или) правам и законным интересам его депозиторов, иных кредиторов, клиентов и корреспондентов и (или) стабильности финансовой системы</w:t>
            </w:r>
          </w:p>
        </w:tc>
        <w:tc>
          <w:tcPr>
            <w:tcW w:w="3975" w:type="dxa"/>
            <w:vMerge/>
          </w:tcPr>
          <w:p w14:paraId="4512BACE" w14:textId="3F6F7203" w:rsidR="00B625A6" w:rsidRPr="004460CA" w:rsidRDefault="00B625A6" w:rsidP="00E23607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B625A6" w:rsidRPr="004460CA" w14:paraId="3A7DBD38" w14:textId="77777777" w:rsidTr="00D6585C">
        <w:trPr>
          <w:jc w:val="center"/>
        </w:trPr>
        <w:tc>
          <w:tcPr>
            <w:tcW w:w="846" w:type="dxa"/>
            <w:vAlign w:val="center"/>
          </w:tcPr>
          <w:p w14:paraId="1BD1FC9A" w14:textId="2C355BBB" w:rsidR="00B625A6" w:rsidRPr="004460CA" w:rsidRDefault="00B625A6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6.</w:t>
            </w:r>
          </w:p>
        </w:tc>
        <w:tc>
          <w:tcPr>
            <w:tcW w:w="4111" w:type="dxa"/>
            <w:vAlign w:val="center"/>
          </w:tcPr>
          <w:p w14:paraId="2926CCB1" w14:textId="77777777" w:rsidR="00B625A6" w:rsidRPr="004460CA" w:rsidRDefault="00B625A6" w:rsidP="00E23607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4671" w:type="dxa"/>
          </w:tcPr>
          <w:p w14:paraId="50877AB7" w14:textId="7811DD2B" w:rsidR="00B625A6" w:rsidRPr="004460CA" w:rsidRDefault="00B625A6" w:rsidP="00E23607">
            <w:pPr>
              <w:widowControl w:val="0"/>
              <w:jc w:val="center"/>
              <w:rPr>
                <w:bCs/>
                <w:color w:val="000000"/>
              </w:rPr>
            </w:pPr>
            <w:r w:rsidRPr="004460CA">
              <w:rPr>
                <w:color w:val="000000" w:themeColor="text1"/>
              </w:rPr>
              <w:t>неисполнение мер по улучшению финансового состояния и (или) минимизации рисков, предусмотренных статьей 80 Закона о банках, и (или) принудительных мер надзорного реагирования, предусмотренных статьей 81  Закона о банках</w:t>
            </w:r>
          </w:p>
        </w:tc>
        <w:tc>
          <w:tcPr>
            <w:tcW w:w="3975" w:type="dxa"/>
            <w:vMerge/>
            <w:vAlign w:val="center"/>
          </w:tcPr>
          <w:p w14:paraId="787BA534" w14:textId="3175C159" w:rsidR="00B625A6" w:rsidRPr="004460CA" w:rsidRDefault="00B625A6" w:rsidP="00E23607">
            <w:pPr>
              <w:widowControl w:val="0"/>
              <w:jc w:val="center"/>
              <w:rPr>
                <w:bCs/>
                <w:color w:val="000000"/>
              </w:rPr>
            </w:pPr>
          </w:p>
        </w:tc>
      </w:tr>
      <w:bookmarkEnd w:id="6"/>
    </w:tbl>
    <w:p w14:paraId="06E60257" w14:textId="40F47057" w:rsidR="00446E55" w:rsidRPr="004460CA" w:rsidRDefault="00446E55" w:rsidP="00E23607">
      <w:pPr>
        <w:jc w:val="center"/>
        <w:rPr>
          <w:color w:val="000000" w:themeColor="text1"/>
        </w:rPr>
      </w:pPr>
    </w:p>
    <w:p w14:paraId="7C867DF0" w14:textId="4E9A5334" w:rsidR="00446E55" w:rsidRPr="004460CA" w:rsidRDefault="00446E55" w:rsidP="00E23607">
      <w:pPr>
        <w:jc w:val="center"/>
        <w:rPr>
          <w:color w:val="000000" w:themeColor="text1"/>
        </w:rPr>
      </w:pPr>
    </w:p>
    <w:p w14:paraId="1176C4D7" w14:textId="146A2282" w:rsidR="00446E55" w:rsidRPr="004460CA" w:rsidRDefault="00446E55" w:rsidP="00E23607">
      <w:pPr>
        <w:jc w:val="center"/>
        <w:rPr>
          <w:color w:val="000000" w:themeColor="text1"/>
        </w:rPr>
      </w:pPr>
    </w:p>
    <w:p w14:paraId="46BA83C2" w14:textId="7C5D7B98" w:rsidR="00446E55" w:rsidRPr="004460CA" w:rsidRDefault="00446E55" w:rsidP="00E23607">
      <w:pPr>
        <w:jc w:val="center"/>
        <w:rPr>
          <w:color w:val="000000" w:themeColor="text1"/>
        </w:rPr>
      </w:pPr>
    </w:p>
    <w:p w14:paraId="6C9115ED" w14:textId="15032288" w:rsidR="00446E55" w:rsidRPr="004460CA" w:rsidRDefault="00446E55" w:rsidP="00E23607">
      <w:pPr>
        <w:jc w:val="center"/>
        <w:rPr>
          <w:color w:val="000000" w:themeColor="text1"/>
        </w:rPr>
      </w:pPr>
    </w:p>
    <w:p w14:paraId="34507195" w14:textId="0D22211F" w:rsidR="00446E55" w:rsidRPr="004460CA" w:rsidRDefault="00446E55" w:rsidP="00E23607">
      <w:pPr>
        <w:jc w:val="center"/>
        <w:rPr>
          <w:color w:val="000000" w:themeColor="text1"/>
        </w:rPr>
      </w:pPr>
    </w:p>
    <w:p w14:paraId="715D5A61" w14:textId="25613D51" w:rsidR="00446E55" w:rsidRPr="004460CA" w:rsidRDefault="00446E55" w:rsidP="00E23607">
      <w:pPr>
        <w:jc w:val="center"/>
        <w:rPr>
          <w:color w:val="000000" w:themeColor="text1"/>
        </w:rPr>
      </w:pPr>
    </w:p>
    <w:p w14:paraId="1E7A0C7E" w14:textId="4B3DFCDD" w:rsidR="00446E55" w:rsidRPr="004460CA" w:rsidRDefault="00446E55" w:rsidP="00E23607">
      <w:pPr>
        <w:jc w:val="center"/>
        <w:rPr>
          <w:color w:val="000000" w:themeColor="text1"/>
        </w:rPr>
      </w:pPr>
    </w:p>
    <w:p w14:paraId="241A81E1" w14:textId="27F5552E" w:rsidR="00446E55" w:rsidRPr="004460CA" w:rsidRDefault="00446E55" w:rsidP="00E23607">
      <w:pPr>
        <w:jc w:val="center"/>
        <w:rPr>
          <w:color w:val="000000" w:themeColor="text1"/>
        </w:rPr>
      </w:pPr>
    </w:p>
    <w:p w14:paraId="09D18148" w14:textId="45596A24" w:rsidR="00446E55" w:rsidRPr="004460CA" w:rsidRDefault="00446E55" w:rsidP="00E23607">
      <w:pPr>
        <w:jc w:val="center"/>
        <w:rPr>
          <w:color w:val="000000" w:themeColor="text1"/>
        </w:rPr>
      </w:pPr>
    </w:p>
    <w:p w14:paraId="1249CFC2" w14:textId="34B3EF70" w:rsidR="00446E55" w:rsidRPr="004460CA" w:rsidRDefault="00446E55" w:rsidP="00E23607">
      <w:pPr>
        <w:jc w:val="center"/>
        <w:rPr>
          <w:color w:val="000000" w:themeColor="text1"/>
        </w:rPr>
      </w:pPr>
    </w:p>
    <w:p w14:paraId="75F56ABC" w14:textId="630CA056" w:rsidR="00446E55" w:rsidRPr="004460CA" w:rsidRDefault="00446E55" w:rsidP="00E23607">
      <w:pPr>
        <w:jc w:val="center"/>
        <w:rPr>
          <w:color w:val="000000" w:themeColor="text1"/>
        </w:rPr>
      </w:pPr>
    </w:p>
    <w:p w14:paraId="766FEEC3" w14:textId="7EEBA6CB" w:rsidR="00446E55" w:rsidRPr="004460CA" w:rsidRDefault="00446E55" w:rsidP="00E23607">
      <w:pPr>
        <w:jc w:val="center"/>
        <w:rPr>
          <w:color w:val="000000" w:themeColor="text1"/>
        </w:rPr>
      </w:pPr>
    </w:p>
    <w:p w14:paraId="316AAC63" w14:textId="64642881" w:rsidR="00BC6F01" w:rsidRPr="004460CA" w:rsidRDefault="00BC6F01" w:rsidP="00E23607">
      <w:pPr>
        <w:jc w:val="center"/>
        <w:rPr>
          <w:color w:val="000000" w:themeColor="text1"/>
        </w:rPr>
      </w:pPr>
    </w:p>
    <w:p w14:paraId="3B7BCD02" w14:textId="77777777" w:rsidR="004460CA" w:rsidRDefault="004460CA" w:rsidP="004460CA">
      <w:pPr>
        <w:widowControl w:val="0"/>
        <w:ind w:right="108"/>
        <w:rPr>
          <w:color w:val="000000" w:themeColor="text1"/>
        </w:rPr>
      </w:pPr>
    </w:p>
    <w:p w14:paraId="579F953F" w14:textId="77777777" w:rsidR="00CF3357" w:rsidRDefault="00CF3357" w:rsidP="004460CA">
      <w:pPr>
        <w:widowControl w:val="0"/>
        <w:ind w:right="108"/>
        <w:jc w:val="right"/>
        <w:rPr>
          <w:color w:val="000000" w:themeColor="text1"/>
        </w:rPr>
      </w:pPr>
    </w:p>
    <w:p w14:paraId="08C9F8E9" w14:textId="77777777" w:rsidR="00CF3357" w:rsidRDefault="00CF3357" w:rsidP="004460CA">
      <w:pPr>
        <w:widowControl w:val="0"/>
        <w:ind w:right="108"/>
        <w:jc w:val="right"/>
        <w:rPr>
          <w:color w:val="000000" w:themeColor="text1"/>
        </w:rPr>
      </w:pPr>
    </w:p>
    <w:p w14:paraId="188EA8A6" w14:textId="77777777" w:rsidR="00CF3357" w:rsidRDefault="00CF3357" w:rsidP="004460CA">
      <w:pPr>
        <w:widowControl w:val="0"/>
        <w:ind w:right="108"/>
        <w:jc w:val="right"/>
        <w:rPr>
          <w:color w:val="000000" w:themeColor="text1"/>
        </w:rPr>
      </w:pPr>
    </w:p>
    <w:p w14:paraId="022DC579" w14:textId="77777777" w:rsidR="00CF3357" w:rsidRDefault="00CF3357" w:rsidP="004460CA">
      <w:pPr>
        <w:widowControl w:val="0"/>
        <w:ind w:right="108"/>
        <w:jc w:val="right"/>
        <w:rPr>
          <w:color w:val="000000" w:themeColor="text1"/>
        </w:rPr>
      </w:pPr>
    </w:p>
    <w:p w14:paraId="03CE27D2" w14:textId="77777777" w:rsidR="00CF3357" w:rsidRDefault="00CF3357" w:rsidP="004460CA">
      <w:pPr>
        <w:widowControl w:val="0"/>
        <w:ind w:right="108"/>
        <w:jc w:val="right"/>
        <w:rPr>
          <w:color w:val="000000" w:themeColor="text1"/>
        </w:rPr>
      </w:pPr>
    </w:p>
    <w:p w14:paraId="53AC52F1" w14:textId="77777777" w:rsidR="00CF3357" w:rsidRDefault="00CF3357" w:rsidP="004460CA">
      <w:pPr>
        <w:widowControl w:val="0"/>
        <w:ind w:right="108"/>
        <w:jc w:val="right"/>
        <w:rPr>
          <w:color w:val="000000" w:themeColor="text1"/>
        </w:rPr>
      </w:pPr>
    </w:p>
    <w:p w14:paraId="6B66BE94" w14:textId="304006B4" w:rsidR="00264EEA" w:rsidRPr="004460CA" w:rsidRDefault="00264EEA" w:rsidP="004460CA">
      <w:pPr>
        <w:widowControl w:val="0"/>
        <w:ind w:right="108"/>
        <w:jc w:val="right"/>
        <w:rPr>
          <w:color w:val="000000" w:themeColor="text1"/>
        </w:rPr>
      </w:pPr>
      <w:bookmarkStart w:id="7" w:name="_GoBack"/>
      <w:bookmarkEnd w:id="7"/>
      <w:r w:rsidRPr="004460CA">
        <w:rPr>
          <w:color w:val="000000" w:themeColor="text1"/>
        </w:rPr>
        <w:lastRenderedPageBreak/>
        <w:t>Приложение 5</w:t>
      </w:r>
      <w:r w:rsidRPr="004460CA">
        <w:rPr>
          <w:color w:val="000000" w:themeColor="text1"/>
        </w:rPr>
        <w:br/>
        <w:t>к Значениям финансово-экономических и иных признаков ухудшения финансовой устойчивости банка</w:t>
      </w:r>
    </w:p>
    <w:p w14:paraId="5FAA207C" w14:textId="77777777" w:rsidR="00264EEA" w:rsidRPr="004460CA" w:rsidRDefault="00264EEA" w:rsidP="00E23607">
      <w:pPr>
        <w:widowControl w:val="0"/>
        <w:ind w:right="108"/>
        <w:jc w:val="right"/>
        <w:rPr>
          <w:color w:val="000000" w:themeColor="text1"/>
        </w:rPr>
      </w:pPr>
    </w:p>
    <w:p w14:paraId="1CAD2478" w14:textId="3B30FC85" w:rsidR="00264EEA" w:rsidRPr="004460CA" w:rsidRDefault="000C7DF3" w:rsidP="00E23607">
      <w:pPr>
        <w:widowControl w:val="0"/>
        <w:jc w:val="center"/>
        <w:rPr>
          <w:b/>
          <w:color w:val="000000" w:themeColor="text1"/>
        </w:rPr>
      </w:pPr>
      <w:r w:rsidRPr="004460CA">
        <w:rPr>
          <w:b/>
          <w:color w:val="000000" w:themeColor="text1"/>
        </w:rPr>
        <w:t>Пороговые значения</w:t>
      </w:r>
      <w:r w:rsidR="00264EEA" w:rsidRPr="004460CA">
        <w:rPr>
          <w:b/>
          <w:color w:val="000000" w:themeColor="text1"/>
        </w:rPr>
        <w:t xml:space="preserve"> </w:t>
      </w:r>
      <w:r w:rsidR="007F2803" w:rsidRPr="004460CA">
        <w:rPr>
          <w:b/>
          <w:color w:val="000000" w:themeColor="text1"/>
        </w:rPr>
        <w:t xml:space="preserve">количественных </w:t>
      </w:r>
      <w:r w:rsidR="00264EEA" w:rsidRPr="004460CA">
        <w:rPr>
          <w:b/>
          <w:color w:val="000000" w:themeColor="text1"/>
        </w:rPr>
        <w:t>показателей, характеризующих ухудшение финансовой устойчивости филиалов банков-нерезидентов</w:t>
      </w:r>
      <w:r w:rsidR="00DD6A47" w:rsidRPr="004460CA">
        <w:rPr>
          <w:b/>
          <w:color w:val="000000" w:themeColor="text1"/>
        </w:rPr>
        <w:t xml:space="preserve"> Республики Казахстан</w:t>
      </w:r>
    </w:p>
    <w:p w14:paraId="395CC6E4" w14:textId="77777777" w:rsidR="00264EEA" w:rsidRPr="004460CA" w:rsidRDefault="00264EEA" w:rsidP="00E23607">
      <w:pPr>
        <w:jc w:val="center"/>
        <w:rPr>
          <w:color w:val="000000" w:themeColor="text1"/>
        </w:rPr>
      </w:pPr>
    </w:p>
    <w:tbl>
      <w:tblPr>
        <w:tblStyle w:val="a9"/>
        <w:tblW w:w="13603" w:type="dxa"/>
        <w:jc w:val="center"/>
        <w:tblLook w:val="04A0" w:firstRow="1" w:lastRow="0" w:firstColumn="1" w:lastColumn="0" w:noHBand="0" w:noVBand="1"/>
      </w:tblPr>
      <w:tblGrid>
        <w:gridCol w:w="846"/>
        <w:gridCol w:w="4111"/>
        <w:gridCol w:w="4671"/>
        <w:gridCol w:w="3975"/>
      </w:tblGrid>
      <w:tr w:rsidR="00096DA7" w:rsidRPr="004460CA" w14:paraId="0DDE2EF7" w14:textId="77777777" w:rsidTr="001C2DCC">
        <w:trPr>
          <w:jc w:val="center"/>
        </w:trPr>
        <w:tc>
          <w:tcPr>
            <w:tcW w:w="846" w:type="dxa"/>
            <w:vAlign w:val="center"/>
          </w:tcPr>
          <w:p w14:paraId="3746F49E" w14:textId="77777777" w:rsidR="00096DA7" w:rsidRPr="004460CA" w:rsidRDefault="00096DA7" w:rsidP="00E23607">
            <w:pPr>
              <w:widowControl w:val="0"/>
              <w:jc w:val="center"/>
              <w:rPr>
                <w:color w:val="000000" w:themeColor="text1"/>
              </w:rPr>
            </w:pPr>
          </w:p>
          <w:p w14:paraId="3823186E" w14:textId="77777777" w:rsidR="00096DA7" w:rsidRPr="004460CA" w:rsidRDefault="00096DA7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№</w:t>
            </w:r>
          </w:p>
        </w:tc>
        <w:tc>
          <w:tcPr>
            <w:tcW w:w="4111" w:type="dxa"/>
            <w:vAlign w:val="center"/>
          </w:tcPr>
          <w:p w14:paraId="356D154B" w14:textId="20746284" w:rsidR="00096DA7" w:rsidRPr="004460CA" w:rsidRDefault="00096DA7" w:rsidP="00E23607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4460CA">
              <w:rPr>
                <w:b/>
                <w:bCs/>
                <w:color w:val="000000" w:themeColor="text1"/>
              </w:rPr>
              <w:t>Показатель</w:t>
            </w:r>
          </w:p>
        </w:tc>
        <w:tc>
          <w:tcPr>
            <w:tcW w:w="4671" w:type="dxa"/>
            <w:vAlign w:val="center"/>
          </w:tcPr>
          <w:p w14:paraId="2C1918E6" w14:textId="77A903CD" w:rsidR="00096DA7" w:rsidRPr="004460CA" w:rsidRDefault="00096DA7" w:rsidP="00E23607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4460CA">
              <w:rPr>
                <w:b/>
                <w:bCs/>
                <w:color w:val="000000" w:themeColor="text1"/>
              </w:rPr>
              <w:t>Пороговое значение для применения режима усиленного надзора</w:t>
            </w:r>
          </w:p>
        </w:tc>
        <w:tc>
          <w:tcPr>
            <w:tcW w:w="3975" w:type="dxa"/>
            <w:vAlign w:val="center"/>
          </w:tcPr>
          <w:p w14:paraId="2A03BAEC" w14:textId="77777777" w:rsidR="00096DA7" w:rsidRPr="004460CA" w:rsidRDefault="00096DA7" w:rsidP="00E23607">
            <w:pPr>
              <w:jc w:val="center"/>
              <w:rPr>
                <w:b/>
                <w:bCs/>
                <w:color w:val="000000" w:themeColor="text1"/>
              </w:rPr>
            </w:pPr>
            <w:r w:rsidRPr="004460CA">
              <w:rPr>
                <w:b/>
                <w:bCs/>
                <w:color w:val="000000" w:themeColor="text1"/>
              </w:rPr>
              <w:t>Пороговое значение для применения</w:t>
            </w:r>
          </w:p>
          <w:p w14:paraId="59DCFCE1" w14:textId="6C26B57E" w:rsidR="00096DA7" w:rsidRPr="004460CA" w:rsidRDefault="00096DA7" w:rsidP="00E23607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4460CA">
              <w:rPr>
                <w:b/>
                <w:bCs/>
                <w:color w:val="000000" w:themeColor="text1"/>
              </w:rPr>
              <w:t>режима восстановления финансовой устойчивости</w:t>
            </w:r>
          </w:p>
        </w:tc>
      </w:tr>
      <w:tr w:rsidR="00DD6A47" w:rsidRPr="004460CA" w14:paraId="1CFAA964" w14:textId="77777777" w:rsidTr="001C2DCC">
        <w:trPr>
          <w:jc w:val="center"/>
        </w:trPr>
        <w:tc>
          <w:tcPr>
            <w:tcW w:w="846" w:type="dxa"/>
            <w:vAlign w:val="center"/>
          </w:tcPr>
          <w:p w14:paraId="1FBC6A70" w14:textId="77777777" w:rsidR="00DD6A47" w:rsidRPr="004460CA" w:rsidRDefault="00DD6A47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1.</w:t>
            </w:r>
          </w:p>
        </w:tc>
        <w:tc>
          <w:tcPr>
            <w:tcW w:w="4111" w:type="dxa"/>
            <w:vAlign w:val="center"/>
          </w:tcPr>
          <w:p w14:paraId="1A4C00B7" w14:textId="63FCEB5D" w:rsidR="00DD6A47" w:rsidRPr="004460CA" w:rsidRDefault="00DD6A47" w:rsidP="00E23607">
            <w:pPr>
              <w:widowControl w:val="0"/>
              <w:rPr>
                <w:color w:val="000000" w:themeColor="text1"/>
              </w:rPr>
            </w:pPr>
            <w:r w:rsidRPr="004460CA">
              <w:t>Коэффициент достаточности активов, принимаемых в качестве резерва</w:t>
            </w:r>
          </w:p>
        </w:tc>
        <w:tc>
          <w:tcPr>
            <w:tcW w:w="4671" w:type="dxa"/>
            <w:vAlign w:val="center"/>
          </w:tcPr>
          <w:p w14:paraId="70C41E88" w14:textId="139F1E1E" w:rsidR="00DD6A47" w:rsidRPr="004460CA" w:rsidRDefault="00DD6A47" w:rsidP="00E236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460CA">
              <w:rPr>
                <w:lang w:val="en-US"/>
              </w:rPr>
              <w:t>&lt;</w:t>
            </w:r>
            <w:r w:rsidRPr="004460CA">
              <w:t>10% (с учетом консервационного буфера)</w:t>
            </w:r>
          </w:p>
        </w:tc>
        <w:tc>
          <w:tcPr>
            <w:tcW w:w="3975" w:type="dxa"/>
          </w:tcPr>
          <w:p w14:paraId="5A532C74" w14:textId="77777777" w:rsidR="00DD6A47" w:rsidRPr="004460CA" w:rsidRDefault="00DD6A47" w:rsidP="00E23607">
            <w:pPr>
              <w:jc w:val="center"/>
              <w:rPr>
                <w:lang w:val="en-US"/>
              </w:rPr>
            </w:pPr>
          </w:p>
          <w:p w14:paraId="2ED42E22" w14:textId="43DD49E3" w:rsidR="00DD6A47" w:rsidRPr="004460CA" w:rsidRDefault="00DD6A47" w:rsidP="00E236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460CA">
              <w:rPr>
                <w:lang w:val="en-US"/>
              </w:rPr>
              <w:t>&lt;</w:t>
            </w:r>
            <w:r w:rsidRPr="004460CA">
              <w:t>8%</w:t>
            </w:r>
          </w:p>
        </w:tc>
      </w:tr>
      <w:tr w:rsidR="007F2803" w:rsidRPr="004460CA" w14:paraId="57C507D1" w14:textId="77777777" w:rsidTr="001C2DCC">
        <w:trPr>
          <w:jc w:val="center"/>
        </w:trPr>
        <w:tc>
          <w:tcPr>
            <w:tcW w:w="846" w:type="dxa"/>
            <w:vAlign w:val="center"/>
          </w:tcPr>
          <w:p w14:paraId="16424605" w14:textId="5782951D" w:rsidR="007F2803" w:rsidRPr="004460CA" w:rsidRDefault="005E1F51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2</w:t>
            </w:r>
            <w:r w:rsidR="007F2803" w:rsidRPr="004460CA">
              <w:rPr>
                <w:color w:val="000000" w:themeColor="text1"/>
              </w:rPr>
              <w:t>.</w:t>
            </w:r>
          </w:p>
        </w:tc>
        <w:tc>
          <w:tcPr>
            <w:tcW w:w="4111" w:type="dxa"/>
            <w:vAlign w:val="center"/>
          </w:tcPr>
          <w:p w14:paraId="0784DA8D" w14:textId="60289029" w:rsidR="007F2803" w:rsidRPr="004460CA" w:rsidRDefault="007F2803" w:rsidP="00E23607">
            <w:pPr>
              <w:widowControl w:val="0"/>
              <w:rPr>
                <w:color w:val="000000" w:themeColor="text1"/>
              </w:rPr>
            </w:pPr>
            <w:r w:rsidRPr="004460CA">
              <w:t>Коэффициент покрытия ликвидности</w:t>
            </w:r>
          </w:p>
        </w:tc>
        <w:tc>
          <w:tcPr>
            <w:tcW w:w="4671" w:type="dxa"/>
            <w:vAlign w:val="center"/>
          </w:tcPr>
          <w:p w14:paraId="0EC11790" w14:textId="2D5E6EA3" w:rsidR="007F2803" w:rsidRPr="004460CA" w:rsidRDefault="007F2803" w:rsidP="00E236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  <w:kern w:val="24"/>
              </w:rPr>
              <w:t xml:space="preserve">&lt;нормативного значения +5 </w:t>
            </w:r>
            <w:proofErr w:type="spellStart"/>
            <w:r w:rsidRPr="004460CA">
              <w:rPr>
                <w:color w:val="000000" w:themeColor="text1"/>
                <w:kern w:val="24"/>
              </w:rPr>
              <w:t>п.п</w:t>
            </w:r>
            <w:proofErr w:type="spellEnd"/>
            <w:r w:rsidRPr="004460CA">
              <w:rPr>
                <w:color w:val="000000" w:themeColor="text1"/>
                <w:kern w:val="24"/>
              </w:rPr>
              <w:t>.   3 (три) и более раза за последние 6 (шесть) месяцев при условии, что доля высоколиквидных активов в совокупных активах банка составляет менее 40%</w:t>
            </w:r>
          </w:p>
        </w:tc>
        <w:tc>
          <w:tcPr>
            <w:tcW w:w="3975" w:type="dxa"/>
            <w:vAlign w:val="center"/>
          </w:tcPr>
          <w:p w14:paraId="20B1959A" w14:textId="6E92B33D" w:rsidR="007F2803" w:rsidRPr="004460CA" w:rsidRDefault="007F2803" w:rsidP="00E236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460CA">
              <w:rPr>
                <w:color w:val="000000" w:themeColor="text1"/>
                <w:kern w:val="24"/>
              </w:rPr>
              <w:t>&lt;нормативного значения 3 (три) и более раза за последние 6 (шесть) месяцев при условии, что доля высоколиквидных активов в совокупных активах банка составляет менее 40%</w:t>
            </w:r>
          </w:p>
        </w:tc>
      </w:tr>
      <w:tr w:rsidR="007F2803" w:rsidRPr="00D36DE4" w14:paraId="7DAA7C79" w14:textId="77777777" w:rsidTr="001C2DCC">
        <w:trPr>
          <w:jc w:val="center"/>
        </w:trPr>
        <w:tc>
          <w:tcPr>
            <w:tcW w:w="846" w:type="dxa"/>
            <w:vAlign w:val="center"/>
          </w:tcPr>
          <w:p w14:paraId="1E1DF2CA" w14:textId="4720321B" w:rsidR="007F2803" w:rsidRPr="004460CA" w:rsidRDefault="005E1F51" w:rsidP="00E23607">
            <w:pPr>
              <w:widowControl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</w:rPr>
              <w:t>3</w:t>
            </w:r>
            <w:r w:rsidR="007F2803" w:rsidRPr="004460CA">
              <w:rPr>
                <w:color w:val="000000" w:themeColor="text1"/>
              </w:rPr>
              <w:t>.</w:t>
            </w:r>
          </w:p>
        </w:tc>
        <w:tc>
          <w:tcPr>
            <w:tcW w:w="4111" w:type="dxa"/>
            <w:vAlign w:val="center"/>
          </w:tcPr>
          <w:p w14:paraId="7DF7FB82" w14:textId="419850FC" w:rsidR="007F2803" w:rsidRPr="004460CA" w:rsidRDefault="007F2803" w:rsidP="00E23607">
            <w:pPr>
              <w:widowControl w:val="0"/>
              <w:rPr>
                <w:color w:val="000000" w:themeColor="text1"/>
              </w:rPr>
            </w:pPr>
            <w:r w:rsidRPr="004460CA">
              <w:t>Коэффициент нетто стабильного фондирования</w:t>
            </w:r>
          </w:p>
        </w:tc>
        <w:tc>
          <w:tcPr>
            <w:tcW w:w="4671" w:type="dxa"/>
            <w:vAlign w:val="center"/>
          </w:tcPr>
          <w:p w14:paraId="2D78990C" w14:textId="481DBE5B" w:rsidR="007F2803" w:rsidRPr="004460CA" w:rsidRDefault="007F2803" w:rsidP="00E236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460CA">
              <w:rPr>
                <w:color w:val="000000" w:themeColor="text1"/>
                <w:kern w:val="24"/>
              </w:rPr>
              <w:t>&lt;нормативного значения</w:t>
            </w:r>
          </w:p>
        </w:tc>
        <w:tc>
          <w:tcPr>
            <w:tcW w:w="3975" w:type="dxa"/>
            <w:vAlign w:val="center"/>
          </w:tcPr>
          <w:p w14:paraId="06942DB7" w14:textId="1B4BB8CE" w:rsidR="007F2803" w:rsidRPr="00E23607" w:rsidRDefault="007F2803" w:rsidP="00E236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460CA">
              <w:rPr>
                <w:color w:val="000000" w:themeColor="text1"/>
                <w:kern w:val="24"/>
              </w:rPr>
              <w:t>&lt;нормативного значения 3 (три) и более раза за последние 6 (шесть) месяцев</w:t>
            </w:r>
          </w:p>
        </w:tc>
      </w:tr>
    </w:tbl>
    <w:p w14:paraId="3679550E" w14:textId="77777777" w:rsidR="00264EEA" w:rsidRDefault="00264EEA" w:rsidP="00E23607">
      <w:pPr>
        <w:jc w:val="center"/>
        <w:rPr>
          <w:color w:val="000000" w:themeColor="text1"/>
        </w:rPr>
      </w:pPr>
    </w:p>
    <w:sectPr w:rsidR="00264EEA" w:rsidSect="009556DE">
      <w:pgSz w:w="16839" w:h="11907" w:orient="landscape" w:code="9"/>
      <w:pgMar w:top="1080" w:right="1440" w:bottom="851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6C597" w14:textId="77777777" w:rsidR="004460CA" w:rsidRDefault="004460CA">
      <w:r>
        <w:separator/>
      </w:r>
    </w:p>
  </w:endnote>
  <w:endnote w:type="continuationSeparator" w:id="0">
    <w:p w14:paraId="6CD335B8" w14:textId="77777777" w:rsidR="004460CA" w:rsidRDefault="004460CA">
      <w:r>
        <w:continuationSeparator/>
      </w:r>
    </w:p>
  </w:endnote>
  <w:endnote w:type="continuationNotice" w:id="1">
    <w:p w14:paraId="6890EDBE" w14:textId="77777777" w:rsidR="004460CA" w:rsidRDefault="004460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3483273"/>
      <w:docPartObj>
        <w:docPartGallery w:val="Page Numbers (Bottom of Page)"/>
        <w:docPartUnique/>
      </w:docPartObj>
    </w:sdtPr>
    <w:sdtEndPr/>
    <w:sdtContent>
      <w:p w14:paraId="12945DA9" w14:textId="217553C0" w:rsidR="004460CA" w:rsidRDefault="004460CA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DF02CF" w14:textId="77777777" w:rsidR="004460CA" w:rsidRDefault="004460CA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5492E6" w14:textId="77777777" w:rsidR="004460CA" w:rsidRDefault="004460CA">
      <w:r>
        <w:separator/>
      </w:r>
    </w:p>
  </w:footnote>
  <w:footnote w:type="continuationSeparator" w:id="0">
    <w:p w14:paraId="4A4343AE" w14:textId="77777777" w:rsidR="004460CA" w:rsidRDefault="004460CA">
      <w:r>
        <w:continuationSeparator/>
      </w:r>
    </w:p>
  </w:footnote>
  <w:footnote w:type="continuationNotice" w:id="1">
    <w:p w14:paraId="31C1AE40" w14:textId="77777777" w:rsidR="004460CA" w:rsidRDefault="004460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0C501" w14:textId="77777777" w:rsidR="004460CA" w:rsidRDefault="004964AB">
    <w:pPr>
      <w:pStyle w:val="aa"/>
      <w:framePr w:wrap="around" w:vAnchor="text" w:hAnchor="margin" w:xAlign="center" w:y="1"/>
      <w:rPr>
        <w:rStyle w:val="af0"/>
      </w:rPr>
    </w:pPr>
    <w:r>
      <w:pict w14:anchorId="61C42B4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5" o:spid="_x0000_s2051" type="#_x0000_t136" style="position:absolute;margin-left:0;margin-top:0;width:545.6pt;height:79.2pt;rotation:315;z-index:-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АНБ 789968801"/>
          <w10:wrap anchorx="margin" anchory="margin"/>
        </v:shape>
      </w:pict>
    </w:r>
    <w:r w:rsidR="004460CA">
      <w:rPr>
        <w:rStyle w:val="af0"/>
      </w:rPr>
      <w:pgNum/>
    </w:r>
  </w:p>
  <w:p w14:paraId="3E628D75" w14:textId="77777777" w:rsidR="004460CA" w:rsidRDefault="004460C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D80D3" w14:textId="77777777" w:rsidR="004460CA" w:rsidRDefault="004460CA">
    <w:pPr>
      <w:rPr>
        <w:color w:val="3A7234"/>
        <w:sz w:val="14"/>
        <w:szCs w:val="14"/>
        <w:lang w:val="kk-KZ"/>
      </w:rPr>
    </w:pPr>
  </w:p>
  <w:p w14:paraId="2F63EE9A" w14:textId="77777777" w:rsidR="004460CA" w:rsidRDefault="004460CA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multilevel"/>
    <w:tmpl w:val="A9DC09E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755577"/>
    <w:multiLevelType w:val="hybridMultilevel"/>
    <w:tmpl w:val="1040B3B4"/>
    <w:lvl w:ilvl="0" w:tplc="A1640C32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86A8B"/>
    <w:multiLevelType w:val="multilevel"/>
    <w:tmpl w:val="2506D130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226B1AAC"/>
    <w:multiLevelType w:val="multilevel"/>
    <w:tmpl w:val="E5EC14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297F2745"/>
    <w:multiLevelType w:val="hybridMultilevel"/>
    <w:tmpl w:val="956AA83A"/>
    <w:lvl w:ilvl="0" w:tplc="2B4080F6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CCA2FADA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2A6CC302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A79ED294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1EB6AF04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D4625E2C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368620CA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5DBEC1EA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AA0AD8B2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5" w15:restartNumberingAfterBreak="0">
    <w:nsid w:val="428778A6"/>
    <w:multiLevelType w:val="hybridMultilevel"/>
    <w:tmpl w:val="AE9C2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A41165"/>
    <w:multiLevelType w:val="hybridMultilevel"/>
    <w:tmpl w:val="9216CB64"/>
    <w:lvl w:ilvl="0" w:tplc="ACACE17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9C05386"/>
    <w:multiLevelType w:val="hybridMultilevel"/>
    <w:tmpl w:val="39389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8F2828"/>
    <w:multiLevelType w:val="hybridMultilevel"/>
    <w:tmpl w:val="A4FE1604"/>
    <w:lvl w:ilvl="0" w:tplc="18F49E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F1CB9E2">
      <w:start w:val="1"/>
      <w:numFmt w:val="lowerLetter"/>
      <w:lvlText w:val="%2."/>
      <w:lvlJc w:val="left"/>
      <w:pPr>
        <w:ind w:left="1785" w:hanging="360"/>
      </w:pPr>
    </w:lvl>
    <w:lvl w:ilvl="2" w:tplc="96C0C5F0">
      <w:start w:val="1"/>
      <w:numFmt w:val="lowerRoman"/>
      <w:lvlText w:val="%3."/>
      <w:lvlJc w:val="right"/>
      <w:pPr>
        <w:ind w:left="2505" w:hanging="180"/>
      </w:pPr>
    </w:lvl>
    <w:lvl w:ilvl="3" w:tplc="34F28278">
      <w:start w:val="1"/>
      <w:numFmt w:val="decimal"/>
      <w:lvlText w:val="%4."/>
      <w:lvlJc w:val="left"/>
      <w:pPr>
        <w:ind w:left="3225" w:hanging="360"/>
      </w:pPr>
    </w:lvl>
    <w:lvl w:ilvl="4" w:tplc="B87AADFC">
      <w:start w:val="1"/>
      <w:numFmt w:val="lowerLetter"/>
      <w:lvlText w:val="%5."/>
      <w:lvlJc w:val="left"/>
      <w:pPr>
        <w:ind w:left="3945" w:hanging="360"/>
      </w:pPr>
    </w:lvl>
    <w:lvl w:ilvl="5" w:tplc="1A768088">
      <w:start w:val="1"/>
      <w:numFmt w:val="lowerRoman"/>
      <w:lvlText w:val="%6."/>
      <w:lvlJc w:val="right"/>
      <w:pPr>
        <w:ind w:left="4665" w:hanging="180"/>
      </w:pPr>
    </w:lvl>
    <w:lvl w:ilvl="6" w:tplc="870A11F6">
      <w:start w:val="1"/>
      <w:numFmt w:val="decimal"/>
      <w:lvlText w:val="%7."/>
      <w:lvlJc w:val="left"/>
      <w:pPr>
        <w:ind w:left="5385" w:hanging="360"/>
      </w:pPr>
    </w:lvl>
    <w:lvl w:ilvl="7" w:tplc="5B6E00F8">
      <w:start w:val="1"/>
      <w:numFmt w:val="lowerLetter"/>
      <w:lvlText w:val="%8."/>
      <w:lvlJc w:val="left"/>
      <w:pPr>
        <w:ind w:left="6105" w:hanging="360"/>
      </w:pPr>
    </w:lvl>
    <w:lvl w:ilvl="8" w:tplc="7E24B188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0613BFC"/>
    <w:multiLevelType w:val="hybridMultilevel"/>
    <w:tmpl w:val="044ADE52"/>
    <w:lvl w:ilvl="0" w:tplc="8E84F59E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42C27D1A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E7621A3C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F3E8B78C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386A222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854074CC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435697D4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26A84D92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61A4390A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0" w15:restartNumberingAfterBreak="0">
    <w:nsid w:val="67044B6C"/>
    <w:multiLevelType w:val="hybridMultilevel"/>
    <w:tmpl w:val="412A40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203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8"/>
  </w:num>
  <w:num w:numId="5">
    <w:abstractNumId w:val="4"/>
  </w:num>
  <w:num w:numId="6">
    <w:abstractNumId w:val="0"/>
  </w:num>
  <w:num w:numId="7">
    <w:abstractNumId w:val="10"/>
  </w:num>
  <w:num w:numId="8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7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B31"/>
    <w:rsid w:val="00000B23"/>
    <w:rsid w:val="000042F0"/>
    <w:rsid w:val="00004F6F"/>
    <w:rsid w:val="000059B5"/>
    <w:rsid w:val="00005DB9"/>
    <w:rsid w:val="00005E17"/>
    <w:rsid w:val="00006782"/>
    <w:rsid w:val="00014DAC"/>
    <w:rsid w:val="00015311"/>
    <w:rsid w:val="00016CF0"/>
    <w:rsid w:val="000213E8"/>
    <w:rsid w:val="00021B74"/>
    <w:rsid w:val="00031025"/>
    <w:rsid w:val="0003199C"/>
    <w:rsid w:val="00031FFF"/>
    <w:rsid w:val="00036601"/>
    <w:rsid w:val="000418B4"/>
    <w:rsid w:val="00046D6D"/>
    <w:rsid w:val="000472F7"/>
    <w:rsid w:val="0005039B"/>
    <w:rsid w:val="0005087C"/>
    <w:rsid w:val="00052BF5"/>
    <w:rsid w:val="00053565"/>
    <w:rsid w:val="00054447"/>
    <w:rsid w:val="00055DC6"/>
    <w:rsid w:val="00066078"/>
    <w:rsid w:val="00074C2C"/>
    <w:rsid w:val="00077E69"/>
    <w:rsid w:val="000801D6"/>
    <w:rsid w:val="00082E21"/>
    <w:rsid w:val="00085602"/>
    <w:rsid w:val="000872E4"/>
    <w:rsid w:val="0009121E"/>
    <w:rsid w:val="00091232"/>
    <w:rsid w:val="00091A37"/>
    <w:rsid w:val="00096DA7"/>
    <w:rsid w:val="00097DCF"/>
    <w:rsid w:val="000A4B77"/>
    <w:rsid w:val="000A545A"/>
    <w:rsid w:val="000B0A62"/>
    <w:rsid w:val="000B0C07"/>
    <w:rsid w:val="000C10AA"/>
    <w:rsid w:val="000C1B34"/>
    <w:rsid w:val="000C2AE7"/>
    <w:rsid w:val="000C37EB"/>
    <w:rsid w:val="000C6296"/>
    <w:rsid w:val="000C73BD"/>
    <w:rsid w:val="000C7DF3"/>
    <w:rsid w:val="000D082D"/>
    <w:rsid w:val="000D2994"/>
    <w:rsid w:val="000D2AB1"/>
    <w:rsid w:val="000D2F29"/>
    <w:rsid w:val="000D4B9C"/>
    <w:rsid w:val="000D75A3"/>
    <w:rsid w:val="000E14DC"/>
    <w:rsid w:val="000E64FA"/>
    <w:rsid w:val="000E69C5"/>
    <w:rsid w:val="000E775E"/>
    <w:rsid w:val="000F458A"/>
    <w:rsid w:val="000F470B"/>
    <w:rsid w:val="000F573E"/>
    <w:rsid w:val="000F784C"/>
    <w:rsid w:val="0010511D"/>
    <w:rsid w:val="0010533B"/>
    <w:rsid w:val="0011129F"/>
    <w:rsid w:val="0011258E"/>
    <w:rsid w:val="00112BCE"/>
    <w:rsid w:val="001152D9"/>
    <w:rsid w:val="00123AD7"/>
    <w:rsid w:val="00123BB2"/>
    <w:rsid w:val="001243C8"/>
    <w:rsid w:val="00130CF7"/>
    <w:rsid w:val="001334EB"/>
    <w:rsid w:val="00141218"/>
    <w:rsid w:val="00141F7A"/>
    <w:rsid w:val="00143E2D"/>
    <w:rsid w:val="00143E5E"/>
    <w:rsid w:val="00151B9C"/>
    <w:rsid w:val="001557B1"/>
    <w:rsid w:val="001560EE"/>
    <w:rsid w:val="0016077B"/>
    <w:rsid w:val="00170048"/>
    <w:rsid w:val="00170143"/>
    <w:rsid w:val="00170171"/>
    <w:rsid w:val="00173264"/>
    <w:rsid w:val="00176F2B"/>
    <w:rsid w:val="001818F8"/>
    <w:rsid w:val="00182C95"/>
    <w:rsid w:val="00182F4A"/>
    <w:rsid w:val="001952B3"/>
    <w:rsid w:val="00196E54"/>
    <w:rsid w:val="00197A17"/>
    <w:rsid w:val="001A0363"/>
    <w:rsid w:val="001A72CE"/>
    <w:rsid w:val="001B005C"/>
    <w:rsid w:val="001B0E04"/>
    <w:rsid w:val="001B4701"/>
    <w:rsid w:val="001B7FD6"/>
    <w:rsid w:val="001C09B7"/>
    <w:rsid w:val="001C2DCC"/>
    <w:rsid w:val="001C6462"/>
    <w:rsid w:val="001C7058"/>
    <w:rsid w:val="001D5805"/>
    <w:rsid w:val="001E52ED"/>
    <w:rsid w:val="001E70E4"/>
    <w:rsid w:val="001E78E0"/>
    <w:rsid w:val="001F0EDE"/>
    <w:rsid w:val="002065EF"/>
    <w:rsid w:val="00215D10"/>
    <w:rsid w:val="00217005"/>
    <w:rsid w:val="00220C16"/>
    <w:rsid w:val="002214D1"/>
    <w:rsid w:val="00221C68"/>
    <w:rsid w:val="002220A0"/>
    <w:rsid w:val="00230FA8"/>
    <w:rsid w:val="002318C6"/>
    <w:rsid w:val="00231B73"/>
    <w:rsid w:val="00234385"/>
    <w:rsid w:val="00235F49"/>
    <w:rsid w:val="00236C2F"/>
    <w:rsid w:val="0023741A"/>
    <w:rsid w:val="00242A56"/>
    <w:rsid w:val="00244194"/>
    <w:rsid w:val="0025282A"/>
    <w:rsid w:val="00252FEE"/>
    <w:rsid w:val="002533C4"/>
    <w:rsid w:val="002632A9"/>
    <w:rsid w:val="00264EEA"/>
    <w:rsid w:val="002652FD"/>
    <w:rsid w:val="002659AA"/>
    <w:rsid w:val="002722AC"/>
    <w:rsid w:val="00272457"/>
    <w:rsid w:val="00273E36"/>
    <w:rsid w:val="00276594"/>
    <w:rsid w:val="002770B0"/>
    <w:rsid w:val="00277280"/>
    <w:rsid w:val="00280A42"/>
    <w:rsid w:val="002859B9"/>
    <w:rsid w:val="00285B6D"/>
    <w:rsid w:val="00287871"/>
    <w:rsid w:val="00290C68"/>
    <w:rsid w:val="0029444A"/>
    <w:rsid w:val="00295B1C"/>
    <w:rsid w:val="00295C25"/>
    <w:rsid w:val="002A03B6"/>
    <w:rsid w:val="002A250C"/>
    <w:rsid w:val="002B0BEC"/>
    <w:rsid w:val="002B12B3"/>
    <w:rsid w:val="002B7F44"/>
    <w:rsid w:val="002C4859"/>
    <w:rsid w:val="002C4C0D"/>
    <w:rsid w:val="002C546E"/>
    <w:rsid w:val="002D3C41"/>
    <w:rsid w:val="002D54DA"/>
    <w:rsid w:val="002D6ABB"/>
    <w:rsid w:val="002D7CF2"/>
    <w:rsid w:val="002E03BB"/>
    <w:rsid w:val="002E3770"/>
    <w:rsid w:val="002E474F"/>
    <w:rsid w:val="002F1FDB"/>
    <w:rsid w:val="002F23A3"/>
    <w:rsid w:val="002F3C5F"/>
    <w:rsid w:val="002F74BA"/>
    <w:rsid w:val="002F783E"/>
    <w:rsid w:val="0030106A"/>
    <w:rsid w:val="003039A3"/>
    <w:rsid w:val="00312B27"/>
    <w:rsid w:val="00314C3D"/>
    <w:rsid w:val="003163C5"/>
    <w:rsid w:val="00320AAE"/>
    <w:rsid w:val="003245BA"/>
    <w:rsid w:val="00324F1F"/>
    <w:rsid w:val="00331F4D"/>
    <w:rsid w:val="00332851"/>
    <w:rsid w:val="0033476C"/>
    <w:rsid w:val="003400F7"/>
    <w:rsid w:val="003426A1"/>
    <w:rsid w:val="00351FC9"/>
    <w:rsid w:val="003529E1"/>
    <w:rsid w:val="00354AE6"/>
    <w:rsid w:val="00357E1D"/>
    <w:rsid w:val="00361EA7"/>
    <w:rsid w:val="00363922"/>
    <w:rsid w:val="00366A81"/>
    <w:rsid w:val="00367015"/>
    <w:rsid w:val="00374E0D"/>
    <w:rsid w:val="00375346"/>
    <w:rsid w:val="003761EB"/>
    <w:rsid w:val="00376339"/>
    <w:rsid w:val="003779A0"/>
    <w:rsid w:val="003805E2"/>
    <w:rsid w:val="00384B6D"/>
    <w:rsid w:val="00386993"/>
    <w:rsid w:val="003876C3"/>
    <w:rsid w:val="00387B59"/>
    <w:rsid w:val="00394305"/>
    <w:rsid w:val="003A2816"/>
    <w:rsid w:val="003A292F"/>
    <w:rsid w:val="003A3E44"/>
    <w:rsid w:val="003A58BB"/>
    <w:rsid w:val="003B030B"/>
    <w:rsid w:val="003B0A78"/>
    <w:rsid w:val="003B0AFF"/>
    <w:rsid w:val="003C43F4"/>
    <w:rsid w:val="003D0278"/>
    <w:rsid w:val="003D0361"/>
    <w:rsid w:val="003D47AC"/>
    <w:rsid w:val="003D64D9"/>
    <w:rsid w:val="003D6666"/>
    <w:rsid w:val="003D709F"/>
    <w:rsid w:val="003E2E0D"/>
    <w:rsid w:val="003E523C"/>
    <w:rsid w:val="003E71B4"/>
    <w:rsid w:val="003E782F"/>
    <w:rsid w:val="003E7904"/>
    <w:rsid w:val="003F14B1"/>
    <w:rsid w:val="003F1ECF"/>
    <w:rsid w:val="003F4D47"/>
    <w:rsid w:val="003F545B"/>
    <w:rsid w:val="00400EC7"/>
    <w:rsid w:val="0040139C"/>
    <w:rsid w:val="004021F4"/>
    <w:rsid w:val="00402EBB"/>
    <w:rsid w:val="00404116"/>
    <w:rsid w:val="004053A2"/>
    <w:rsid w:val="0040785C"/>
    <w:rsid w:val="0041058F"/>
    <w:rsid w:val="00412F21"/>
    <w:rsid w:val="00421DA3"/>
    <w:rsid w:val="00421EC6"/>
    <w:rsid w:val="00421F20"/>
    <w:rsid w:val="0043079A"/>
    <w:rsid w:val="00433699"/>
    <w:rsid w:val="004350D5"/>
    <w:rsid w:val="0044390A"/>
    <w:rsid w:val="004446F5"/>
    <w:rsid w:val="00445599"/>
    <w:rsid w:val="00445D98"/>
    <w:rsid w:val="004460CA"/>
    <w:rsid w:val="004462B2"/>
    <w:rsid w:val="00446E55"/>
    <w:rsid w:val="00447247"/>
    <w:rsid w:val="00452543"/>
    <w:rsid w:val="004561A9"/>
    <w:rsid w:val="00456F66"/>
    <w:rsid w:val="00462CA8"/>
    <w:rsid w:val="00465327"/>
    <w:rsid w:val="004715C0"/>
    <w:rsid w:val="00471A88"/>
    <w:rsid w:val="00471FF2"/>
    <w:rsid w:val="00474DC7"/>
    <w:rsid w:val="00475F41"/>
    <w:rsid w:val="004764DC"/>
    <w:rsid w:val="00476B5B"/>
    <w:rsid w:val="00481C98"/>
    <w:rsid w:val="0048568F"/>
    <w:rsid w:val="00491C9A"/>
    <w:rsid w:val="00491F73"/>
    <w:rsid w:val="0049439B"/>
    <w:rsid w:val="004964AB"/>
    <w:rsid w:val="00496D58"/>
    <w:rsid w:val="004A0709"/>
    <w:rsid w:val="004A0B7C"/>
    <w:rsid w:val="004A0E5F"/>
    <w:rsid w:val="004A1825"/>
    <w:rsid w:val="004A245C"/>
    <w:rsid w:val="004A36C5"/>
    <w:rsid w:val="004A4B82"/>
    <w:rsid w:val="004A65AA"/>
    <w:rsid w:val="004A70D4"/>
    <w:rsid w:val="004A7A56"/>
    <w:rsid w:val="004B0DAF"/>
    <w:rsid w:val="004B18E9"/>
    <w:rsid w:val="004B34EA"/>
    <w:rsid w:val="004B3755"/>
    <w:rsid w:val="004B5E0E"/>
    <w:rsid w:val="004C386D"/>
    <w:rsid w:val="004C43DF"/>
    <w:rsid w:val="004C6174"/>
    <w:rsid w:val="004C67EC"/>
    <w:rsid w:val="004C74EE"/>
    <w:rsid w:val="004C77D3"/>
    <w:rsid w:val="004D13C6"/>
    <w:rsid w:val="004D1771"/>
    <w:rsid w:val="004D3A51"/>
    <w:rsid w:val="004D4BB7"/>
    <w:rsid w:val="004D5DAD"/>
    <w:rsid w:val="004E33FE"/>
    <w:rsid w:val="004E39BC"/>
    <w:rsid w:val="004F0ADA"/>
    <w:rsid w:val="004F3907"/>
    <w:rsid w:val="004F59F6"/>
    <w:rsid w:val="004F5E6B"/>
    <w:rsid w:val="004F6863"/>
    <w:rsid w:val="004F696A"/>
    <w:rsid w:val="00506BCE"/>
    <w:rsid w:val="0050759C"/>
    <w:rsid w:val="00510FF9"/>
    <w:rsid w:val="00511AFF"/>
    <w:rsid w:val="00514145"/>
    <w:rsid w:val="0052617A"/>
    <w:rsid w:val="005314E6"/>
    <w:rsid w:val="00535033"/>
    <w:rsid w:val="00540C88"/>
    <w:rsid w:val="00541154"/>
    <w:rsid w:val="00542EEA"/>
    <w:rsid w:val="00543763"/>
    <w:rsid w:val="00545B8A"/>
    <w:rsid w:val="005462E1"/>
    <w:rsid w:val="00551E7B"/>
    <w:rsid w:val="00552D80"/>
    <w:rsid w:val="0055345E"/>
    <w:rsid w:val="00553DC9"/>
    <w:rsid w:val="0056250E"/>
    <w:rsid w:val="005659DB"/>
    <w:rsid w:val="00565A80"/>
    <w:rsid w:val="005704E7"/>
    <w:rsid w:val="00570BAF"/>
    <w:rsid w:val="0057779E"/>
    <w:rsid w:val="00580E5F"/>
    <w:rsid w:val="005837BD"/>
    <w:rsid w:val="00583C38"/>
    <w:rsid w:val="00586B48"/>
    <w:rsid w:val="00587C69"/>
    <w:rsid w:val="0059121A"/>
    <w:rsid w:val="005A2FB3"/>
    <w:rsid w:val="005A351C"/>
    <w:rsid w:val="005A37E5"/>
    <w:rsid w:val="005A3C8B"/>
    <w:rsid w:val="005A4332"/>
    <w:rsid w:val="005A6403"/>
    <w:rsid w:val="005B3BE8"/>
    <w:rsid w:val="005B3D82"/>
    <w:rsid w:val="005B43FE"/>
    <w:rsid w:val="005C1163"/>
    <w:rsid w:val="005C50DE"/>
    <w:rsid w:val="005C541B"/>
    <w:rsid w:val="005C6624"/>
    <w:rsid w:val="005C7965"/>
    <w:rsid w:val="005D50B8"/>
    <w:rsid w:val="005D7E2D"/>
    <w:rsid w:val="005E1F51"/>
    <w:rsid w:val="005F34C4"/>
    <w:rsid w:val="005F3D2D"/>
    <w:rsid w:val="005F4611"/>
    <w:rsid w:val="005F5339"/>
    <w:rsid w:val="005F65C2"/>
    <w:rsid w:val="006020FC"/>
    <w:rsid w:val="006052AD"/>
    <w:rsid w:val="00607423"/>
    <w:rsid w:val="00612783"/>
    <w:rsid w:val="006136FD"/>
    <w:rsid w:val="00615642"/>
    <w:rsid w:val="00620890"/>
    <w:rsid w:val="00621788"/>
    <w:rsid w:val="00625CD7"/>
    <w:rsid w:val="006260D2"/>
    <w:rsid w:val="0062752C"/>
    <w:rsid w:val="006276EE"/>
    <w:rsid w:val="006308F8"/>
    <w:rsid w:val="006344C7"/>
    <w:rsid w:val="00635456"/>
    <w:rsid w:val="006438E9"/>
    <w:rsid w:val="006441D5"/>
    <w:rsid w:val="00645609"/>
    <w:rsid w:val="00650D51"/>
    <w:rsid w:val="00650DA3"/>
    <w:rsid w:val="00653A14"/>
    <w:rsid w:val="006622DD"/>
    <w:rsid w:val="00663374"/>
    <w:rsid w:val="00666AC1"/>
    <w:rsid w:val="00666B60"/>
    <w:rsid w:val="006673F7"/>
    <w:rsid w:val="006828DA"/>
    <w:rsid w:val="00683242"/>
    <w:rsid w:val="00683EAA"/>
    <w:rsid w:val="00686356"/>
    <w:rsid w:val="0068647D"/>
    <w:rsid w:val="00692F21"/>
    <w:rsid w:val="00694E99"/>
    <w:rsid w:val="006967C7"/>
    <w:rsid w:val="006A086F"/>
    <w:rsid w:val="006A1076"/>
    <w:rsid w:val="006A329F"/>
    <w:rsid w:val="006B0952"/>
    <w:rsid w:val="006B2EAC"/>
    <w:rsid w:val="006C2052"/>
    <w:rsid w:val="006C311A"/>
    <w:rsid w:val="006C4FD6"/>
    <w:rsid w:val="006D034D"/>
    <w:rsid w:val="006D42F5"/>
    <w:rsid w:val="006D5D02"/>
    <w:rsid w:val="006E181F"/>
    <w:rsid w:val="006E2F0B"/>
    <w:rsid w:val="006E4D84"/>
    <w:rsid w:val="006E5B95"/>
    <w:rsid w:val="006E5D09"/>
    <w:rsid w:val="006F2FD6"/>
    <w:rsid w:val="006F5077"/>
    <w:rsid w:val="00702058"/>
    <w:rsid w:val="00710662"/>
    <w:rsid w:val="0071156F"/>
    <w:rsid w:val="007120DE"/>
    <w:rsid w:val="007121A3"/>
    <w:rsid w:val="00713308"/>
    <w:rsid w:val="00715174"/>
    <w:rsid w:val="007152AC"/>
    <w:rsid w:val="00717419"/>
    <w:rsid w:val="00720E4F"/>
    <w:rsid w:val="007210E3"/>
    <w:rsid w:val="007228FC"/>
    <w:rsid w:val="0072343A"/>
    <w:rsid w:val="0072344C"/>
    <w:rsid w:val="0072572F"/>
    <w:rsid w:val="007270FA"/>
    <w:rsid w:val="0073489C"/>
    <w:rsid w:val="007349AB"/>
    <w:rsid w:val="00734CEA"/>
    <w:rsid w:val="00734D73"/>
    <w:rsid w:val="00737FB9"/>
    <w:rsid w:val="00740695"/>
    <w:rsid w:val="0075590B"/>
    <w:rsid w:val="00756465"/>
    <w:rsid w:val="00756DF3"/>
    <w:rsid w:val="00761F0F"/>
    <w:rsid w:val="00762592"/>
    <w:rsid w:val="00764893"/>
    <w:rsid w:val="00764D3C"/>
    <w:rsid w:val="00765840"/>
    <w:rsid w:val="00774A70"/>
    <w:rsid w:val="007752F0"/>
    <w:rsid w:val="00777541"/>
    <w:rsid w:val="007775A9"/>
    <w:rsid w:val="00780E97"/>
    <w:rsid w:val="00782DBC"/>
    <w:rsid w:val="00790FB3"/>
    <w:rsid w:val="0079306E"/>
    <w:rsid w:val="00797B76"/>
    <w:rsid w:val="007A15BE"/>
    <w:rsid w:val="007B024E"/>
    <w:rsid w:val="007B5981"/>
    <w:rsid w:val="007B71AA"/>
    <w:rsid w:val="007C3169"/>
    <w:rsid w:val="007C66D5"/>
    <w:rsid w:val="007D2800"/>
    <w:rsid w:val="007D40D5"/>
    <w:rsid w:val="007D7A52"/>
    <w:rsid w:val="007E5352"/>
    <w:rsid w:val="007E5EE5"/>
    <w:rsid w:val="007F10C5"/>
    <w:rsid w:val="007F2803"/>
    <w:rsid w:val="007F7897"/>
    <w:rsid w:val="008045B1"/>
    <w:rsid w:val="00804AFC"/>
    <w:rsid w:val="00805032"/>
    <w:rsid w:val="00807138"/>
    <w:rsid w:val="0080762C"/>
    <w:rsid w:val="008079F2"/>
    <w:rsid w:val="00807D5B"/>
    <w:rsid w:val="008134C9"/>
    <w:rsid w:val="008155C0"/>
    <w:rsid w:val="008168DD"/>
    <w:rsid w:val="0081690A"/>
    <w:rsid w:val="00833465"/>
    <w:rsid w:val="00834413"/>
    <w:rsid w:val="00837E95"/>
    <w:rsid w:val="00840259"/>
    <w:rsid w:val="00840F3C"/>
    <w:rsid w:val="00841B03"/>
    <w:rsid w:val="008431AC"/>
    <w:rsid w:val="008443C2"/>
    <w:rsid w:val="0084492B"/>
    <w:rsid w:val="00845246"/>
    <w:rsid w:val="00845550"/>
    <w:rsid w:val="0084714C"/>
    <w:rsid w:val="0085310C"/>
    <w:rsid w:val="00854B74"/>
    <w:rsid w:val="00855D5F"/>
    <w:rsid w:val="00863BD7"/>
    <w:rsid w:val="00864028"/>
    <w:rsid w:val="00867826"/>
    <w:rsid w:val="00867B96"/>
    <w:rsid w:val="00867BFE"/>
    <w:rsid w:val="00872678"/>
    <w:rsid w:val="00873E41"/>
    <w:rsid w:val="008760A5"/>
    <w:rsid w:val="008805C7"/>
    <w:rsid w:val="008823E1"/>
    <w:rsid w:val="00882457"/>
    <w:rsid w:val="00884D70"/>
    <w:rsid w:val="008A4141"/>
    <w:rsid w:val="008A4610"/>
    <w:rsid w:val="008A77EF"/>
    <w:rsid w:val="008B048B"/>
    <w:rsid w:val="008B103A"/>
    <w:rsid w:val="008B461F"/>
    <w:rsid w:val="008B5C94"/>
    <w:rsid w:val="008C3094"/>
    <w:rsid w:val="008C4BAC"/>
    <w:rsid w:val="008C7AF0"/>
    <w:rsid w:val="008D04FB"/>
    <w:rsid w:val="008D0DEA"/>
    <w:rsid w:val="008D3980"/>
    <w:rsid w:val="008E119B"/>
    <w:rsid w:val="008E23A1"/>
    <w:rsid w:val="008E2406"/>
    <w:rsid w:val="008E5373"/>
    <w:rsid w:val="008E6389"/>
    <w:rsid w:val="008F7814"/>
    <w:rsid w:val="008F7D41"/>
    <w:rsid w:val="009006AE"/>
    <w:rsid w:val="00901E1A"/>
    <w:rsid w:val="00905139"/>
    <w:rsid w:val="00905FBD"/>
    <w:rsid w:val="00913693"/>
    <w:rsid w:val="0091376D"/>
    <w:rsid w:val="00922B57"/>
    <w:rsid w:val="0092351E"/>
    <w:rsid w:val="00927E82"/>
    <w:rsid w:val="00940E84"/>
    <w:rsid w:val="00941DA2"/>
    <w:rsid w:val="00941DD6"/>
    <w:rsid w:val="00942736"/>
    <w:rsid w:val="009556DE"/>
    <w:rsid w:val="00960EE5"/>
    <w:rsid w:val="00961A7C"/>
    <w:rsid w:val="009655E8"/>
    <w:rsid w:val="009659EE"/>
    <w:rsid w:val="009667CA"/>
    <w:rsid w:val="009719DB"/>
    <w:rsid w:val="0097337F"/>
    <w:rsid w:val="0097399D"/>
    <w:rsid w:val="00986AB1"/>
    <w:rsid w:val="00987198"/>
    <w:rsid w:val="00990016"/>
    <w:rsid w:val="00990FAB"/>
    <w:rsid w:val="00996915"/>
    <w:rsid w:val="0099788B"/>
    <w:rsid w:val="009A06E0"/>
    <w:rsid w:val="009A1699"/>
    <w:rsid w:val="009A4123"/>
    <w:rsid w:val="009A5788"/>
    <w:rsid w:val="009A62BB"/>
    <w:rsid w:val="009A6E11"/>
    <w:rsid w:val="009A72A6"/>
    <w:rsid w:val="009B0FA6"/>
    <w:rsid w:val="009B1D25"/>
    <w:rsid w:val="009B2FF1"/>
    <w:rsid w:val="009B568A"/>
    <w:rsid w:val="009B5DCD"/>
    <w:rsid w:val="009B77B4"/>
    <w:rsid w:val="009C1462"/>
    <w:rsid w:val="009C195A"/>
    <w:rsid w:val="009C2B46"/>
    <w:rsid w:val="009C2E77"/>
    <w:rsid w:val="009C4D33"/>
    <w:rsid w:val="009C7EB0"/>
    <w:rsid w:val="009D0573"/>
    <w:rsid w:val="009D2151"/>
    <w:rsid w:val="009D2500"/>
    <w:rsid w:val="009D5FDB"/>
    <w:rsid w:val="009D6A98"/>
    <w:rsid w:val="009E0EE1"/>
    <w:rsid w:val="009E4FD3"/>
    <w:rsid w:val="00A05029"/>
    <w:rsid w:val="00A071CC"/>
    <w:rsid w:val="00A10F12"/>
    <w:rsid w:val="00A12101"/>
    <w:rsid w:val="00A127F2"/>
    <w:rsid w:val="00A13121"/>
    <w:rsid w:val="00A13EDB"/>
    <w:rsid w:val="00A22B88"/>
    <w:rsid w:val="00A22FDC"/>
    <w:rsid w:val="00A24BBD"/>
    <w:rsid w:val="00A26A27"/>
    <w:rsid w:val="00A26C76"/>
    <w:rsid w:val="00A33302"/>
    <w:rsid w:val="00A3714C"/>
    <w:rsid w:val="00A37888"/>
    <w:rsid w:val="00A442B2"/>
    <w:rsid w:val="00A45A9E"/>
    <w:rsid w:val="00A46DDF"/>
    <w:rsid w:val="00A55062"/>
    <w:rsid w:val="00A56EEB"/>
    <w:rsid w:val="00A572BB"/>
    <w:rsid w:val="00A63336"/>
    <w:rsid w:val="00A63367"/>
    <w:rsid w:val="00A63588"/>
    <w:rsid w:val="00A66B07"/>
    <w:rsid w:val="00A7234D"/>
    <w:rsid w:val="00A74723"/>
    <w:rsid w:val="00A812FA"/>
    <w:rsid w:val="00A8274D"/>
    <w:rsid w:val="00A827A1"/>
    <w:rsid w:val="00A833CF"/>
    <w:rsid w:val="00A8373C"/>
    <w:rsid w:val="00A84148"/>
    <w:rsid w:val="00A91372"/>
    <w:rsid w:val="00A917FF"/>
    <w:rsid w:val="00A9198A"/>
    <w:rsid w:val="00A93C91"/>
    <w:rsid w:val="00A945A8"/>
    <w:rsid w:val="00AA3769"/>
    <w:rsid w:val="00AA3E65"/>
    <w:rsid w:val="00AA3FE2"/>
    <w:rsid w:val="00AA60A0"/>
    <w:rsid w:val="00AA6473"/>
    <w:rsid w:val="00AB065E"/>
    <w:rsid w:val="00AB6BB3"/>
    <w:rsid w:val="00AC07DD"/>
    <w:rsid w:val="00AC2F9D"/>
    <w:rsid w:val="00AC5A40"/>
    <w:rsid w:val="00AD0E48"/>
    <w:rsid w:val="00AD2FB4"/>
    <w:rsid w:val="00AD3D82"/>
    <w:rsid w:val="00AD5F0D"/>
    <w:rsid w:val="00AE4987"/>
    <w:rsid w:val="00AE7E94"/>
    <w:rsid w:val="00AF0C43"/>
    <w:rsid w:val="00AF1CCD"/>
    <w:rsid w:val="00AF41AC"/>
    <w:rsid w:val="00AF4DC3"/>
    <w:rsid w:val="00AF4E3C"/>
    <w:rsid w:val="00AF7323"/>
    <w:rsid w:val="00AF7C0D"/>
    <w:rsid w:val="00B007C4"/>
    <w:rsid w:val="00B00FBC"/>
    <w:rsid w:val="00B113BF"/>
    <w:rsid w:val="00B12C1D"/>
    <w:rsid w:val="00B17609"/>
    <w:rsid w:val="00B21258"/>
    <w:rsid w:val="00B221B7"/>
    <w:rsid w:val="00B2688B"/>
    <w:rsid w:val="00B36390"/>
    <w:rsid w:val="00B3677A"/>
    <w:rsid w:val="00B36BEE"/>
    <w:rsid w:val="00B47C76"/>
    <w:rsid w:val="00B53935"/>
    <w:rsid w:val="00B541FB"/>
    <w:rsid w:val="00B54BB5"/>
    <w:rsid w:val="00B55667"/>
    <w:rsid w:val="00B616B7"/>
    <w:rsid w:val="00B625A6"/>
    <w:rsid w:val="00B663A3"/>
    <w:rsid w:val="00B743B7"/>
    <w:rsid w:val="00B81D68"/>
    <w:rsid w:val="00B82D54"/>
    <w:rsid w:val="00B82FA0"/>
    <w:rsid w:val="00B836D3"/>
    <w:rsid w:val="00B84695"/>
    <w:rsid w:val="00B85E0A"/>
    <w:rsid w:val="00B868A2"/>
    <w:rsid w:val="00B93E56"/>
    <w:rsid w:val="00BA21E9"/>
    <w:rsid w:val="00BA2245"/>
    <w:rsid w:val="00BA360A"/>
    <w:rsid w:val="00BA47FB"/>
    <w:rsid w:val="00BA4916"/>
    <w:rsid w:val="00BA5A49"/>
    <w:rsid w:val="00BA6476"/>
    <w:rsid w:val="00BA7F70"/>
    <w:rsid w:val="00BB2818"/>
    <w:rsid w:val="00BB6210"/>
    <w:rsid w:val="00BC1617"/>
    <w:rsid w:val="00BC6F01"/>
    <w:rsid w:val="00BD1449"/>
    <w:rsid w:val="00BD215F"/>
    <w:rsid w:val="00BD6631"/>
    <w:rsid w:val="00BE3849"/>
    <w:rsid w:val="00BE6332"/>
    <w:rsid w:val="00BE6D6B"/>
    <w:rsid w:val="00BE7CC0"/>
    <w:rsid w:val="00BF25F1"/>
    <w:rsid w:val="00BF3C73"/>
    <w:rsid w:val="00BF49B7"/>
    <w:rsid w:val="00BF6BFE"/>
    <w:rsid w:val="00C00C8E"/>
    <w:rsid w:val="00C02F68"/>
    <w:rsid w:val="00C05355"/>
    <w:rsid w:val="00C206E2"/>
    <w:rsid w:val="00C22692"/>
    <w:rsid w:val="00C22E4B"/>
    <w:rsid w:val="00C263B5"/>
    <w:rsid w:val="00C30AE0"/>
    <w:rsid w:val="00C36110"/>
    <w:rsid w:val="00C429EF"/>
    <w:rsid w:val="00C46A4E"/>
    <w:rsid w:val="00C536D6"/>
    <w:rsid w:val="00C54B31"/>
    <w:rsid w:val="00C54F49"/>
    <w:rsid w:val="00C60F42"/>
    <w:rsid w:val="00C615A4"/>
    <w:rsid w:val="00C63B0A"/>
    <w:rsid w:val="00C64B5B"/>
    <w:rsid w:val="00C67C8F"/>
    <w:rsid w:val="00C7066D"/>
    <w:rsid w:val="00C72DDA"/>
    <w:rsid w:val="00C73CD5"/>
    <w:rsid w:val="00C73E65"/>
    <w:rsid w:val="00C75375"/>
    <w:rsid w:val="00C75EFA"/>
    <w:rsid w:val="00C771CA"/>
    <w:rsid w:val="00C775C7"/>
    <w:rsid w:val="00C86F5D"/>
    <w:rsid w:val="00C87039"/>
    <w:rsid w:val="00C913BE"/>
    <w:rsid w:val="00C93B47"/>
    <w:rsid w:val="00C96BB0"/>
    <w:rsid w:val="00CA0AE2"/>
    <w:rsid w:val="00CA4093"/>
    <w:rsid w:val="00CA4616"/>
    <w:rsid w:val="00CA734E"/>
    <w:rsid w:val="00CB31CE"/>
    <w:rsid w:val="00CB6C76"/>
    <w:rsid w:val="00CB7C6C"/>
    <w:rsid w:val="00CC02F9"/>
    <w:rsid w:val="00CC4A9B"/>
    <w:rsid w:val="00CC4C6E"/>
    <w:rsid w:val="00CC55FB"/>
    <w:rsid w:val="00CC77FC"/>
    <w:rsid w:val="00CD23FA"/>
    <w:rsid w:val="00CD4024"/>
    <w:rsid w:val="00CD40D1"/>
    <w:rsid w:val="00CD4583"/>
    <w:rsid w:val="00CD6BEF"/>
    <w:rsid w:val="00CE0216"/>
    <w:rsid w:val="00CE111D"/>
    <w:rsid w:val="00CE1520"/>
    <w:rsid w:val="00CE41D0"/>
    <w:rsid w:val="00CE445B"/>
    <w:rsid w:val="00CF2183"/>
    <w:rsid w:val="00CF3357"/>
    <w:rsid w:val="00CF422A"/>
    <w:rsid w:val="00CF4266"/>
    <w:rsid w:val="00CF620D"/>
    <w:rsid w:val="00D0484B"/>
    <w:rsid w:val="00D04A87"/>
    <w:rsid w:val="00D06D19"/>
    <w:rsid w:val="00D11CEA"/>
    <w:rsid w:val="00D15164"/>
    <w:rsid w:val="00D15365"/>
    <w:rsid w:val="00D15572"/>
    <w:rsid w:val="00D16246"/>
    <w:rsid w:val="00D163EE"/>
    <w:rsid w:val="00D22484"/>
    <w:rsid w:val="00D236E6"/>
    <w:rsid w:val="00D25A13"/>
    <w:rsid w:val="00D316F5"/>
    <w:rsid w:val="00D36BBC"/>
    <w:rsid w:val="00D36DE4"/>
    <w:rsid w:val="00D36E4B"/>
    <w:rsid w:val="00D41350"/>
    <w:rsid w:val="00D452FA"/>
    <w:rsid w:val="00D456CB"/>
    <w:rsid w:val="00D516DD"/>
    <w:rsid w:val="00D5348C"/>
    <w:rsid w:val="00D5539C"/>
    <w:rsid w:val="00D5693F"/>
    <w:rsid w:val="00D64882"/>
    <w:rsid w:val="00D6522B"/>
    <w:rsid w:val="00D6585C"/>
    <w:rsid w:val="00D724C0"/>
    <w:rsid w:val="00D74128"/>
    <w:rsid w:val="00D75663"/>
    <w:rsid w:val="00D7636D"/>
    <w:rsid w:val="00D819C8"/>
    <w:rsid w:val="00D81E57"/>
    <w:rsid w:val="00D82C54"/>
    <w:rsid w:val="00D8489E"/>
    <w:rsid w:val="00D84A7E"/>
    <w:rsid w:val="00D91799"/>
    <w:rsid w:val="00D9679D"/>
    <w:rsid w:val="00D97B58"/>
    <w:rsid w:val="00DA129E"/>
    <w:rsid w:val="00DA3A89"/>
    <w:rsid w:val="00DA79DD"/>
    <w:rsid w:val="00DA79E8"/>
    <w:rsid w:val="00DB57EB"/>
    <w:rsid w:val="00DB67EC"/>
    <w:rsid w:val="00DC0A40"/>
    <w:rsid w:val="00DC4151"/>
    <w:rsid w:val="00DC630F"/>
    <w:rsid w:val="00DC6CB5"/>
    <w:rsid w:val="00DC6EE6"/>
    <w:rsid w:val="00DD2562"/>
    <w:rsid w:val="00DD3E45"/>
    <w:rsid w:val="00DD4B4C"/>
    <w:rsid w:val="00DD6A47"/>
    <w:rsid w:val="00DD7B2F"/>
    <w:rsid w:val="00DE09EF"/>
    <w:rsid w:val="00DF1E5D"/>
    <w:rsid w:val="00DF28B2"/>
    <w:rsid w:val="00DF40A9"/>
    <w:rsid w:val="00DF4B1C"/>
    <w:rsid w:val="00DF6220"/>
    <w:rsid w:val="00DF727F"/>
    <w:rsid w:val="00E0045A"/>
    <w:rsid w:val="00E005C8"/>
    <w:rsid w:val="00E01A35"/>
    <w:rsid w:val="00E10EAA"/>
    <w:rsid w:val="00E14874"/>
    <w:rsid w:val="00E217AD"/>
    <w:rsid w:val="00E23607"/>
    <w:rsid w:val="00E275F1"/>
    <w:rsid w:val="00E30F45"/>
    <w:rsid w:val="00E32451"/>
    <w:rsid w:val="00E33364"/>
    <w:rsid w:val="00E3421D"/>
    <w:rsid w:val="00E35508"/>
    <w:rsid w:val="00E35DA2"/>
    <w:rsid w:val="00E36804"/>
    <w:rsid w:val="00E40F00"/>
    <w:rsid w:val="00E434B3"/>
    <w:rsid w:val="00E439E9"/>
    <w:rsid w:val="00E43E0C"/>
    <w:rsid w:val="00E46E8E"/>
    <w:rsid w:val="00E50820"/>
    <w:rsid w:val="00E55024"/>
    <w:rsid w:val="00E5579E"/>
    <w:rsid w:val="00E5786A"/>
    <w:rsid w:val="00E61964"/>
    <w:rsid w:val="00E61F86"/>
    <w:rsid w:val="00E676AD"/>
    <w:rsid w:val="00E725FC"/>
    <w:rsid w:val="00E731C5"/>
    <w:rsid w:val="00E73D0D"/>
    <w:rsid w:val="00E8565D"/>
    <w:rsid w:val="00E871E6"/>
    <w:rsid w:val="00E92B74"/>
    <w:rsid w:val="00E94577"/>
    <w:rsid w:val="00EA0363"/>
    <w:rsid w:val="00EA1EC1"/>
    <w:rsid w:val="00EA40D2"/>
    <w:rsid w:val="00EA57D9"/>
    <w:rsid w:val="00EB7557"/>
    <w:rsid w:val="00EB7B08"/>
    <w:rsid w:val="00EC20CF"/>
    <w:rsid w:val="00EC2551"/>
    <w:rsid w:val="00EC667C"/>
    <w:rsid w:val="00ED2C91"/>
    <w:rsid w:val="00EE1EBC"/>
    <w:rsid w:val="00EF4968"/>
    <w:rsid w:val="00EF5140"/>
    <w:rsid w:val="00EF778C"/>
    <w:rsid w:val="00F01706"/>
    <w:rsid w:val="00F114E4"/>
    <w:rsid w:val="00F13F7B"/>
    <w:rsid w:val="00F144F7"/>
    <w:rsid w:val="00F14728"/>
    <w:rsid w:val="00F20E3B"/>
    <w:rsid w:val="00F26002"/>
    <w:rsid w:val="00F318BB"/>
    <w:rsid w:val="00F31E5B"/>
    <w:rsid w:val="00F33EA2"/>
    <w:rsid w:val="00F35FB0"/>
    <w:rsid w:val="00F42D48"/>
    <w:rsid w:val="00F4345A"/>
    <w:rsid w:val="00F44D50"/>
    <w:rsid w:val="00F45CB6"/>
    <w:rsid w:val="00F472B9"/>
    <w:rsid w:val="00F47922"/>
    <w:rsid w:val="00F51C66"/>
    <w:rsid w:val="00F54FFC"/>
    <w:rsid w:val="00F61775"/>
    <w:rsid w:val="00F6427F"/>
    <w:rsid w:val="00F64F15"/>
    <w:rsid w:val="00F66F6C"/>
    <w:rsid w:val="00F719E1"/>
    <w:rsid w:val="00F7432A"/>
    <w:rsid w:val="00F83B22"/>
    <w:rsid w:val="00F930CC"/>
    <w:rsid w:val="00F97E5D"/>
    <w:rsid w:val="00FA2C1A"/>
    <w:rsid w:val="00FB1EDE"/>
    <w:rsid w:val="00FB2771"/>
    <w:rsid w:val="00FB39EF"/>
    <w:rsid w:val="00FB4361"/>
    <w:rsid w:val="00FB74D6"/>
    <w:rsid w:val="00FC086C"/>
    <w:rsid w:val="00FC0908"/>
    <w:rsid w:val="00FC31E2"/>
    <w:rsid w:val="00FC33F3"/>
    <w:rsid w:val="00FC56BE"/>
    <w:rsid w:val="00FC614C"/>
    <w:rsid w:val="00FC7640"/>
    <w:rsid w:val="00FC7998"/>
    <w:rsid w:val="00FD259B"/>
    <w:rsid w:val="00FD7AEB"/>
    <w:rsid w:val="00FE29EA"/>
    <w:rsid w:val="00FE2DE8"/>
    <w:rsid w:val="00FE3198"/>
    <w:rsid w:val="00FE3495"/>
    <w:rsid w:val="00FE49D9"/>
    <w:rsid w:val="00FE4C47"/>
    <w:rsid w:val="00FF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2F043E0"/>
  <w15:docId w15:val="{4EC52092-83C2-44F9-B274-9BDC7B50B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D54DA"/>
    <w:rPr>
      <w:sz w:val="24"/>
      <w:szCs w:val="24"/>
    </w:rPr>
  </w:style>
  <w:style w:type="paragraph" w:styleId="2">
    <w:name w:val="heading 2"/>
    <w:basedOn w:val="a0"/>
    <w:next w:val="a0"/>
    <w:qFormat/>
    <w:rsid w:val="001763DE"/>
    <w:pPr>
      <w:keepNext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0"/>
    <w:next w:val="a0"/>
    <w:link w:val="30"/>
    <w:semiHidden/>
    <w:unhideWhenUsed/>
    <w:qFormat/>
    <w:rsid w:val="00C706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0"/>
    <w:next w:val="a0"/>
    <w:link w:val="40"/>
    <w:semiHidden/>
    <w:unhideWhenUsed/>
    <w:qFormat/>
    <w:rsid w:val="003D666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0">
    <w:name w:val="Знак_0"/>
    <w:basedOn w:val="a0"/>
    <w:autoRedefine/>
    <w:rsid w:val="00A47D62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4">
    <w:name w:val="Body Text Indent"/>
    <w:basedOn w:val="a0"/>
    <w:rsid w:val="00A47D62"/>
    <w:pPr>
      <w:ind w:firstLine="1122"/>
      <w:jc w:val="both"/>
    </w:pPr>
    <w:rPr>
      <w:lang w:val="kk-KZ"/>
    </w:rPr>
  </w:style>
  <w:style w:type="paragraph" w:styleId="a5">
    <w:name w:val="Title"/>
    <w:basedOn w:val="a0"/>
    <w:qFormat/>
    <w:rsid w:val="00A47D62"/>
    <w:pPr>
      <w:jc w:val="center"/>
    </w:pPr>
    <w:rPr>
      <w:sz w:val="28"/>
    </w:rPr>
  </w:style>
  <w:style w:type="paragraph" w:styleId="a6">
    <w:name w:val="Subtitle"/>
    <w:basedOn w:val="a0"/>
    <w:link w:val="a7"/>
    <w:qFormat/>
    <w:rsid w:val="00A47D62"/>
    <w:pPr>
      <w:ind w:firstLine="709"/>
      <w:jc w:val="both"/>
    </w:pPr>
    <w:rPr>
      <w:sz w:val="28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0"/>
    <w:rsid w:val="00A47D62"/>
    <w:pPr>
      <w:widowControl w:val="0"/>
      <w:spacing w:before="120"/>
      <w:ind w:left="851" w:hanging="851"/>
      <w:jc w:val="both"/>
    </w:pPr>
    <w:rPr>
      <w:rFonts w:ascii="Arial" w:hAnsi="Arial"/>
      <w:snapToGrid w:val="0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2"/>
    <w:uiPriority w:val="3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0"/>
    <w:qFormat/>
    <w:rsid w:val="00A47D62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s0">
    <w:name w:val="s0"/>
    <w:qFormat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0"/>
    <w:autoRedefine/>
    <w:rsid w:val="000D4DAC"/>
    <w:pPr>
      <w:spacing w:after="160" w:line="240" w:lineRule="exact"/>
    </w:pPr>
    <w:rPr>
      <w:sz w:val="28"/>
      <w:lang w:val="en-US" w:eastAsia="en-US"/>
    </w:rPr>
  </w:style>
  <w:style w:type="paragraph" w:customStyle="1" w:styleId="10">
    <w:name w:val="Знак_1"/>
    <w:basedOn w:val="a0"/>
    <w:autoRedefine/>
    <w:rsid w:val="001763DE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0"/>
    <w:rsid w:val="001763DE"/>
    <w:pPr>
      <w:spacing w:after="120" w:line="480" w:lineRule="auto"/>
      <w:ind w:left="283"/>
    </w:pPr>
  </w:style>
  <w:style w:type="character" w:styleId="ab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c">
    <w:name w:val="Знак Знак Знак"/>
    <w:basedOn w:val="a0"/>
    <w:autoRedefine/>
    <w:rsid w:val="0023374B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d">
    <w:name w:val="List Paragraph"/>
    <w:aliases w:val="Elenco Normale,List1,List11,List111,List1111"/>
    <w:basedOn w:val="a0"/>
    <w:link w:val="ae"/>
    <w:uiPriority w:val="34"/>
    <w:qFormat/>
    <w:rsid w:val="00CE6A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0"/>
    <w:uiPriority w:val="99"/>
    <w:rsid w:val="00364E0B"/>
    <w:pPr>
      <w:spacing w:before="100" w:beforeAutospacing="1" w:after="100" w:afterAutospacing="1"/>
    </w:pPr>
  </w:style>
  <w:style w:type="character" w:styleId="af0">
    <w:name w:val="page number"/>
    <w:basedOn w:val="a1"/>
    <w:rsid w:val="00BE78CA"/>
  </w:style>
  <w:style w:type="character" w:styleId="af1">
    <w:name w:val="Strong"/>
    <w:uiPriority w:val="22"/>
    <w:qFormat/>
    <w:rsid w:val="007111E8"/>
    <w:rPr>
      <w:b/>
      <w:bCs/>
    </w:rPr>
  </w:style>
  <w:style w:type="paragraph" w:styleId="af2">
    <w:name w:val="footer"/>
    <w:basedOn w:val="a0"/>
    <w:link w:val="af3"/>
    <w:uiPriority w:val="99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rsid w:val="004726FE"/>
  </w:style>
  <w:style w:type="paragraph" w:customStyle="1" w:styleId="21">
    <w:name w:val="Знак_2"/>
    <w:basedOn w:val="a0"/>
    <w:autoRedefine/>
    <w:rsid w:val="004B400D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31">
    <w:name w:val="Знак_3"/>
    <w:basedOn w:val="a0"/>
    <w:autoRedefine/>
    <w:rsid w:val="00934587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4">
    <w:name w:val="Знак"/>
    <w:basedOn w:val="a0"/>
    <w:autoRedefine/>
    <w:rsid w:val="001A188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5">
    <w:name w:val="Balloon Text"/>
    <w:basedOn w:val="a0"/>
    <w:link w:val="af6"/>
    <w:semiHidden/>
    <w:unhideWhenUsed/>
    <w:rsid w:val="00526589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1"/>
    <w:link w:val="af5"/>
    <w:semiHidden/>
    <w:rsid w:val="00526589"/>
    <w:rPr>
      <w:rFonts w:ascii="Segoe UI" w:hAnsi="Segoe UI" w:cs="Segoe UI"/>
      <w:sz w:val="18"/>
      <w:szCs w:val="18"/>
    </w:rPr>
  </w:style>
  <w:style w:type="character" w:styleId="af7">
    <w:name w:val="annotation reference"/>
    <w:basedOn w:val="a1"/>
    <w:semiHidden/>
    <w:unhideWhenUsed/>
    <w:rsid w:val="00DC630F"/>
    <w:rPr>
      <w:sz w:val="16"/>
      <w:szCs w:val="16"/>
    </w:rPr>
  </w:style>
  <w:style w:type="paragraph" w:styleId="af8">
    <w:name w:val="annotation text"/>
    <w:basedOn w:val="a0"/>
    <w:link w:val="af9"/>
    <w:semiHidden/>
    <w:unhideWhenUsed/>
    <w:rsid w:val="00DC630F"/>
  </w:style>
  <w:style w:type="character" w:customStyle="1" w:styleId="af9">
    <w:name w:val="Текст примечания Знак"/>
    <w:basedOn w:val="a1"/>
    <w:link w:val="af8"/>
    <w:semiHidden/>
    <w:rsid w:val="00DC630F"/>
  </w:style>
  <w:style w:type="paragraph" w:styleId="a">
    <w:name w:val="List Number"/>
    <w:basedOn w:val="a0"/>
    <w:uiPriority w:val="99"/>
    <w:unhideWhenUsed/>
    <w:rsid w:val="009719DB"/>
    <w:pPr>
      <w:numPr>
        <w:numId w:val="6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30">
    <w:name w:val="Заголовок 3 Знак"/>
    <w:basedOn w:val="a1"/>
    <w:link w:val="3"/>
    <w:semiHidden/>
    <w:rsid w:val="00C7066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1"/>
    <w:link w:val="4"/>
    <w:semiHidden/>
    <w:rsid w:val="003D666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afa">
    <w:name w:val="annotation subject"/>
    <w:basedOn w:val="af8"/>
    <w:next w:val="af8"/>
    <w:link w:val="afb"/>
    <w:semiHidden/>
    <w:unhideWhenUsed/>
    <w:rsid w:val="00540C88"/>
    <w:rPr>
      <w:b/>
      <w:bCs/>
      <w:sz w:val="20"/>
      <w:szCs w:val="20"/>
    </w:rPr>
  </w:style>
  <w:style w:type="character" w:customStyle="1" w:styleId="afb">
    <w:name w:val="Тема примечания Знак"/>
    <w:basedOn w:val="af9"/>
    <w:link w:val="afa"/>
    <w:semiHidden/>
    <w:rsid w:val="00540C88"/>
    <w:rPr>
      <w:b/>
      <w:bCs/>
    </w:rPr>
  </w:style>
  <w:style w:type="character" w:customStyle="1" w:styleId="ae">
    <w:name w:val="Абзац списка Знак"/>
    <w:aliases w:val="Elenco Normale Знак,List1 Знак,List11 Знак,List111 Знак,List1111 Знак"/>
    <w:link w:val="ad"/>
    <w:uiPriority w:val="34"/>
    <w:locked/>
    <w:rsid w:val="008B5C94"/>
    <w:rPr>
      <w:rFonts w:ascii="Calibri" w:eastAsia="Calibri" w:hAnsi="Calibri"/>
      <w:sz w:val="22"/>
      <w:szCs w:val="22"/>
      <w:lang w:eastAsia="en-US"/>
    </w:rPr>
  </w:style>
  <w:style w:type="paragraph" w:customStyle="1" w:styleId="pc">
    <w:name w:val="pc"/>
    <w:basedOn w:val="a0"/>
    <w:rsid w:val="00361EA7"/>
    <w:pPr>
      <w:jc w:val="center"/>
    </w:pPr>
    <w:rPr>
      <w:rFonts w:eastAsiaTheme="minorEastAsia"/>
      <w:color w:val="000000"/>
    </w:rPr>
  </w:style>
  <w:style w:type="paragraph" w:customStyle="1" w:styleId="pr">
    <w:name w:val="pr"/>
    <w:basedOn w:val="a0"/>
    <w:rsid w:val="00361EA7"/>
    <w:pPr>
      <w:jc w:val="right"/>
    </w:pPr>
    <w:rPr>
      <w:rFonts w:eastAsiaTheme="minorEastAsia"/>
      <w:color w:val="000000"/>
    </w:rPr>
  </w:style>
  <w:style w:type="paragraph" w:customStyle="1" w:styleId="pj">
    <w:name w:val="pj"/>
    <w:basedOn w:val="a0"/>
    <w:rsid w:val="00361EA7"/>
    <w:pPr>
      <w:ind w:firstLine="400"/>
      <w:jc w:val="both"/>
    </w:pPr>
    <w:rPr>
      <w:rFonts w:eastAsiaTheme="minorEastAsia"/>
      <w:color w:val="000000"/>
    </w:rPr>
  </w:style>
  <w:style w:type="paragraph" w:customStyle="1" w:styleId="p">
    <w:name w:val="p"/>
    <w:basedOn w:val="a0"/>
    <w:rsid w:val="00361EA7"/>
    <w:rPr>
      <w:rFonts w:eastAsiaTheme="minorEastAsia"/>
      <w:color w:val="000000"/>
    </w:rPr>
  </w:style>
  <w:style w:type="character" w:customStyle="1" w:styleId="mord">
    <w:name w:val="mord"/>
    <w:basedOn w:val="a1"/>
    <w:rsid w:val="00DC0A40"/>
  </w:style>
  <w:style w:type="character" w:customStyle="1" w:styleId="mrel">
    <w:name w:val="mrel"/>
    <w:basedOn w:val="a1"/>
    <w:rsid w:val="00DC0A40"/>
  </w:style>
  <w:style w:type="character" w:customStyle="1" w:styleId="vlist-s">
    <w:name w:val="vlist-s"/>
    <w:basedOn w:val="a1"/>
    <w:rsid w:val="00DC0A40"/>
  </w:style>
  <w:style w:type="paragraph" w:styleId="afc">
    <w:name w:val="Revision"/>
    <w:hidden/>
    <w:uiPriority w:val="99"/>
    <w:semiHidden/>
    <w:rsid w:val="00922B57"/>
    <w:rPr>
      <w:sz w:val="24"/>
      <w:szCs w:val="24"/>
    </w:rPr>
  </w:style>
  <w:style w:type="paragraph" w:styleId="afd">
    <w:name w:val="endnote text"/>
    <w:basedOn w:val="a0"/>
    <w:link w:val="afe"/>
    <w:semiHidden/>
    <w:unhideWhenUsed/>
    <w:rsid w:val="00761F0F"/>
    <w:rPr>
      <w:sz w:val="20"/>
      <w:szCs w:val="20"/>
    </w:rPr>
  </w:style>
  <w:style w:type="character" w:customStyle="1" w:styleId="afe">
    <w:name w:val="Текст концевой сноски Знак"/>
    <w:basedOn w:val="a1"/>
    <w:link w:val="afd"/>
    <w:semiHidden/>
    <w:rsid w:val="00761F0F"/>
  </w:style>
  <w:style w:type="character" w:styleId="aff">
    <w:name w:val="endnote reference"/>
    <w:basedOn w:val="a1"/>
    <w:semiHidden/>
    <w:unhideWhenUsed/>
    <w:rsid w:val="00761F0F"/>
    <w:rPr>
      <w:vertAlign w:val="superscript"/>
    </w:rPr>
  </w:style>
  <w:style w:type="character" w:customStyle="1" w:styleId="s192">
    <w:name w:val="s192"/>
    <w:basedOn w:val="a1"/>
    <w:rsid w:val="00215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39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8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6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213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2060</CharactersWithSpaces>
  <SharedDoc>false</SharedDoc>
  <HyperlinksChanged>false</HyperlinksChanged>
  <AppVersion>16.0000</AppVersion>
</Properties>
</file>

<file path=customXml/item2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2024-07-22T11:25:00Z</dcterms:created>
  <dc:creator>user</dc:creator>
  <lastModifiedBy>Нурсултан Абиев</lastModifiedBy>
  <dcterms:modified xsi:type="dcterms:W3CDTF">2024-08-21T07:25:00Z</dcterms:modified>
  <revision>8</revision>
  <dc:title>ЌАЗАЌСТАН</dc:title>
</core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A2342-5E6A-4063-B6CA-B41DD013D030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71D76CEA-5EE2-468F-B9DC-7B10BE29A7ED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512E60A-79B9-455B-AA59-7CF09BBF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22</Pages>
  <Words>5925</Words>
  <Characters>33776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39622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Айжана Кубен</cp:lastModifiedBy>
  <cp:revision>6</cp:revision>
  <dcterms:created xsi:type="dcterms:W3CDTF">2026-05-22T13:51:00Z</dcterms:created>
  <dcterms:modified xsi:type="dcterms:W3CDTF">2026-05-22T14:07:00Z</dcterms:modified>
</cp:coreProperties>
</file>