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8BA0" w14:textId="77777777" w:rsidR="00260699" w:rsidRPr="005E0B54" w:rsidRDefault="00260699" w:rsidP="00260699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8"/>
        </w:rPr>
      </w:pPr>
      <w:r w:rsidRPr="005E0B54">
        <w:rPr>
          <w:rFonts w:ascii="Times New Roman" w:eastAsia="Calibri" w:hAnsi="Times New Roman" w:cs="Times New Roman"/>
          <w:b/>
          <w:sz w:val="28"/>
        </w:rPr>
        <w:t>«</w:t>
      </w:r>
      <w:r w:rsidRPr="005E0B54">
        <w:rPr>
          <w:rFonts w:ascii="Times New Roman" w:eastAsia="Calibri" w:hAnsi="Times New Roman" w:cs="Times New Roman"/>
          <w:b/>
          <w:sz w:val="28"/>
          <w:lang w:val="kk-KZ"/>
        </w:rPr>
        <w:t>Бекітемін</w:t>
      </w:r>
      <w:r w:rsidRPr="005E0B54">
        <w:rPr>
          <w:rFonts w:ascii="Times New Roman" w:eastAsia="Calibri" w:hAnsi="Times New Roman" w:cs="Times New Roman"/>
          <w:b/>
          <w:sz w:val="28"/>
        </w:rPr>
        <w:t>»</w:t>
      </w:r>
    </w:p>
    <w:p w14:paraId="2ED469D2" w14:textId="77777777" w:rsidR="00260699" w:rsidRPr="005E0B54" w:rsidRDefault="00260699" w:rsidP="00260699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8"/>
        </w:rPr>
      </w:pPr>
      <w:r w:rsidRPr="005E0B54">
        <w:rPr>
          <w:rFonts w:ascii="Times New Roman" w:eastAsia="Calibri" w:hAnsi="Times New Roman" w:cs="Times New Roman"/>
          <w:b/>
          <w:sz w:val="28"/>
          <w:lang w:val="kk-KZ"/>
        </w:rPr>
        <w:t>Қазақстан Республикасы Мемлекеттік қызмет істері агенттігінің Төрағасы</w:t>
      </w:r>
      <w:r w:rsidRPr="005E0B54"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25EC57F6" w14:textId="0194BE03" w:rsidR="00260699" w:rsidRPr="005E0B54" w:rsidRDefault="00260699" w:rsidP="00260699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8"/>
          <w:lang w:val="kk-KZ"/>
        </w:rPr>
      </w:pPr>
      <w:r w:rsidRPr="005E0B54">
        <w:rPr>
          <w:rFonts w:ascii="Times New Roman" w:eastAsia="Calibri" w:hAnsi="Times New Roman" w:cs="Times New Roman"/>
          <w:b/>
          <w:sz w:val="28"/>
        </w:rPr>
        <w:t xml:space="preserve">_____________ Д. </w:t>
      </w:r>
      <w:proofErr w:type="spellStart"/>
      <w:r w:rsidRPr="005E0B54">
        <w:rPr>
          <w:rFonts w:ascii="Times New Roman" w:eastAsia="Calibri" w:hAnsi="Times New Roman" w:cs="Times New Roman"/>
          <w:b/>
          <w:sz w:val="28"/>
        </w:rPr>
        <w:t>Жазы</w:t>
      </w:r>
      <w:proofErr w:type="spellEnd"/>
      <w:r w:rsidRPr="005E0B54">
        <w:rPr>
          <w:rFonts w:ascii="Times New Roman" w:eastAsia="Calibri" w:hAnsi="Times New Roman" w:cs="Times New Roman"/>
          <w:b/>
          <w:sz w:val="28"/>
          <w:lang w:val="kk-KZ"/>
        </w:rPr>
        <w:t>қ</w:t>
      </w:r>
      <w:r w:rsidRPr="005E0B54">
        <w:rPr>
          <w:rFonts w:ascii="Times New Roman" w:eastAsia="Calibri" w:hAnsi="Times New Roman" w:cs="Times New Roman"/>
          <w:b/>
          <w:sz w:val="28"/>
        </w:rPr>
        <w:t>ба</w:t>
      </w:r>
      <w:r w:rsidRPr="005E0B54">
        <w:rPr>
          <w:rFonts w:ascii="Times New Roman" w:eastAsia="Calibri" w:hAnsi="Times New Roman" w:cs="Times New Roman"/>
          <w:b/>
          <w:sz w:val="28"/>
          <w:lang w:val="kk-KZ"/>
        </w:rPr>
        <w:t>й</w:t>
      </w:r>
    </w:p>
    <w:p w14:paraId="76F73475" w14:textId="68E72B66" w:rsidR="00260699" w:rsidRPr="005E0B54" w:rsidRDefault="00260699" w:rsidP="00260699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</w:rPr>
      </w:pPr>
      <w:r w:rsidRPr="005E0B54">
        <w:rPr>
          <w:rFonts w:ascii="Times New Roman" w:eastAsia="Calibri" w:hAnsi="Times New Roman" w:cs="Times New Roman"/>
          <w:b/>
          <w:sz w:val="28"/>
          <w:lang w:val="kk-KZ"/>
        </w:rPr>
        <w:t>202</w:t>
      </w:r>
      <w:r w:rsidRPr="005E0B54">
        <w:rPr>
          <w:rFonts w:ascii="Times New Roman" w:eastAsia="Calibri" w:hAnsi="Times New Roman" w:cs="Times New Roman"/>
          <w:b/>
          <w:sz w:val="28"/>
        </w:rPr>
        <w:t>6</w:t>
      </w:r>
      <w:r w:rsidRPr="005E0B54">
        <w:rPr>
          <w:rFonts w:ascii="Times New Roman" w:eastAsia="Calibri" w:hAnsi="Times New Roman" w:cs="Times New Roman"/>
          <w:b/>
          <w:sz w:val="28"/>
          <w:lang w:val="kk-KZ"/>
        </w:rPr>
        <w:t xml:space="preserve"> жылғы </w:t>
      </w:r>
      <w:r w:rsidRPr="005E0B54">
        <w:rPr>
          <w:rFonts w:ascii="Times New Roman" w:eastAsia="Calibri" w:hAnsi="Times New Roman" w:cs="Times New Roman"/>
          <w:b/>
          <w:sz w:val="28"/>
        </w:rPr>
        <w:t>«___»</w:t>
      </w:r>
      <w:r w:rsidRPr="005E0B54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5E0B54">
        <w:rPr>
          <w:rFonts w:ascii="Times New Roman" w:eastAsia="Calibri" w:hAnsi="Times New Roman" w:cs="Times New Roman"/>
          <w:b/>
          <w:sz w:val="28"/>
        </w:rPr>
        <w:t xml:space="preserve">_________ </w:t>
      </w:r>
    </w:p>
    <w:p w14:paraId="63A54075" w14:textId="5ABBB4DF" w:rsidR="00CB610F" w:rsidRPr="005E0B54" w:rsidRDefault="00CB610F" w:rsidP="002606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129A9" w14:textId="7FF83466" w:rsidR="00CB610F" w:rsidRPr="005E0B54" w:rsidRDefault="00CB61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4A813" w14:textId="77777777" w:rsidR="00CB610F" w:rsidRPr="005E0B54" w:rsidRDefault="00CB610F" w:rsidP="00CB6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E0B54">
        <w:rPr>
          <w:rFonts w:ascii="Times New Roman" w:hAnsi="Times New Roman" w:cs="Times New Roman"/>
          <w:b/>
          <w:sz w:val="28"/>
        </w:rPr>
        <w:t>«</w:t>
      </w:r>
      <w:r w:rsidRPr="005E0B54">
        <w:rPr>
          <w:rFonts w:ascii="Times New Roman" w:hAnsi="Times New Roman" w:cs="Times New Roman"/>
          <w:b/>
          <w:sz w:val="28"/>
          <w:lang w:val="kk-KZ"/>
        </w:rPr>
        <w:t>Үздік сапалы қызмет көрсетуші» конкурсын ұйымдастыру және өткізу бойынша әдістемелік ұсынымдар</w:t>
      </w:r>
    </w:p>
    <w:p w14:paraId="49F09D12" w14:textId="2C96AE6F" w:rsidR="00CB610F" w:rsidRPr="005E0B54" w:rsidRDefault="00CB610F" w:rsidP="00CB610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6657D98D" w14:textId="77777777" w:rsidR="006A3084" w:rsidRPr="005E0B54" w:rsidRDefault="006A3084" w:rsidP="006A3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E0B54">
        <w:rPr>
          <w:rFonts w:ascii="Times New Roman" w:hAnsi="Times New Roman" w:cs="Times New Roman"/>
          <w:b/>
          <w:sz w:val="28"/>
          <w:lang w:val="kk-KZ"/>
        </w:rPr>
        <w:t>1. Жалпы ережелер</w:t>
      </w:r>
    </w:p>
    <w:p w14:paraId="2BAEA760" w14:textId="77777777" w:rsidR="006A3084" w:rsidRPr="005E0B54" w:rsidRDefault="006A3084" w:rsidP="00CB610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06F5F087" w14:textId="00FBE750" w:rsidR="00260699" w:rsidRPr="005E0B54" w:rsidRDefault="00260699" w:rsidP="00260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Осы Әдістемелік ұсынымдар Қазақстан Республикасы Мемлекеттік қызмет істері агенттігі (бұдан әрі – Агенттік) «Үздік сапалы қызмет көрсетуші» конкурсын (бұдан әрі – Конкурс) ұйымдастыру мен өткізудің тәртібін реттейді.</w:t>
      </w:r>
    </w:p>
    <w:p w14:paraId="0CD92F8C" w14:textId="07848936" w:rsidR="003B38F3" w:rsidRPr="005E0B54" w:rsidRDefault="00260699" w:rsidP="003B3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742615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3B38F3" w:rsidRPr="005E0B54">
        <w:rPr>
          <w:lang w:val="kk-KZ"/>
        </w:rPr>
        <w:t xml:space="preserve"> </w:t>
      </w:r>
      <w:r w:rsidR="003B38F3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Конкурсты өткізудің мақсаты – қызмет көрсетушілердің мәртебесін арттыру, уәждемесін көтеру және жұмыс барысында клиентке бағдарлану қағидаттарын нығайту.</w:t>
      </w:r>
    </w:p>
    <w:p w14:paraId="04D71EFB" w14:textId="36DF402F" w:rsidR="006A3084" w:rsidRPr="005E0B54" w:rsidRDefault="003B38F3" w:rsidP="003B3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</w:t>
      </w:r>
      <w:r w:rsidR="006A3084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Конкурстың </w:t>
      </w:r>
      <w:r w:rsidR="006A3084" w:rsidRPr="005E0B54">
        <w:rPr>
          <w:rFonts w:ascii="Times New Roman" w:hAnsi="Times New Roman" w:cs="Times New Roman"/>
          <w:sz w:val="28"/>
          <w:lang w:val="kk-KZ"/>
        </w:rPr>
        <w:t>міндеті:</w:t>
      </w:r>
    </w:p>
    <w:p w14:paraId="4BCC3EAD" w14:textId="77777777" w:rsidR="006A3084" w:rsidRPr="005E0B54" w:rsidRDefault="006A3084" w:rsidP="006A3084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қызмет көрсетушілердің, мемлекеттік органдар мен ұйымдардың имиджін арттыру; </w:t>
      </w:r>
    </w:p>
    <w:p w14:paraId="758D553A" w14:textId="77777777" w:rsidR="006A3084" w:rsidRPr="005E0B54" w:rsidRDefault="006A3084" w:rsidP="006A3084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клиентке бағдарлану қағидатын нығайту. </w:t>
      </w:r>
    </w:p>
    <w:p w14:paraId="4A0B7EDE" w14:textId="2784BFC6" w:rsidR="006A3084" w:rsidRPr="005E0B54" w:rsidRDefault="003B38F3" w:rsidP="003B3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</w:t>
      </w:r>
      <w:r w:rsidR="006A3084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Конкурс келесі кезеңдерден тұрады: </w:t>
      </w:r>
    </w:p>
    <w:p w14:paraId="360EDA99" w14:textId="77777777" w:rsidR="006A3084" w:rsidRPr="005E0B54" w:rsidRDefault="006A3084" w:rsidP="006A3084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бірінші кезең – өңірлік; </w:t>
      </w:r>
    </w:p>
    <w:p w14:paraId="72E4F226" w14:textId="77777777" w:rsidR="006A3084" w:rsidRPr="005E0B54" w:rsidRDefault="006A3084" w:rsidP="006A3084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екінші кезең – республикалық. </w:t>
      </w:r>
    </w:p>
    <w:p w14:paraId="542AA273" w14:textId="5029D66F" w:rsidR="006A3084" w:rsidRPr="005E0B54" w:rsidRDefault="006A3084" w:rsidP="006A30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Өңірлік кезең 20 өңірдің әрқайсысында өткізіледі. Осы кезеңде Конкурстың бірінші кезеңінің жеңімпаздары а</w:t>
      </w:r>
      <w:r w:rsidR="00742615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нықталады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Жеңімпаздарды </w:t>
      </w:r>
      <w:r w:rsidR="003B38F3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анықтау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 халықтық дауыс беру нәтижелері (</w:t>
      </w:r>
      <w:r w:rsidR="003B38F3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тиісті өңірдің кәмелет жасына толған тұрғындарының дауысы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және Өңірлік конкурстық комиссияның (бұдан әрі – Өңірлік комиссия) бағалауы пайдаланыла</w:t>
      </w:r>
      <w:r w:rsidR="003B38F3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02A6FF5B" w14:textId="46AF92BF" w:rsidR="006A3084" w:rsidRPr="005E0B54" w:rsidRDefault="006A3084" w:rsidP="006A30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Республикалық кезеңге өңірлік кезеңдердің жеңімпаздары (20 өңір) қатысады. Жеңімпаздарды </w:t>
      </w:r>
      <w:r w:rsidR="003B38F3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анықтау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 осы Әдістемелік ұсынымдардың 11-тармағында көрсетілген өңірлік кезең нәтижелері бойынша ұсынылған материалдар пайдаланылады.</w:t>
      </w:r>
    </w:p>
    <w:p w14:paraId="5B9EF6E9" w14:textId="6614EEFF" w:rsidR="006A3084" w:rsidRPr="005E0B54" w:rsidRDefault="003B38F3" w:rsidP="003B3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</w:t>
      </w:r>
      <w:r w:rsidR="00742615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Конкурста мемлекеттік қызметтер көрсету орны және мемлекеттік қызметтер көрсететін қызметкерлердің келесі жеке қасиеттері бағаланады:</w:t>
      </w:r>
    </w:p>
    <w:p w14:paraId="7C7332F7" w14:textId="77777777" w:rsidR="006A3084" w:rsidRPr="005E0B54" w:rsidRDefault="006A3084" w:rsidP="006A3084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сыпайылық пен ізгі ниеттілік; </w:t>
      </w:r>
    </w:p>
    <w:p w14:paraId="6A773B45" w14:textId="77777777" w:rsidR="006A3084" w:rsidRPr="005E0B54" w:rsidRDefault="006A3084" w:rsidP="006A3084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қызмет көрсету жылдамдығы мен тиімділігі; </w:t>
      </w:r>
    </w:p>
    <w:p w14:paraId="7B29A48C" w14:textId="77777777" w:rsidR="006A3084" w:rsidRPr="005E0B54" w:rsidRDefault="006A3084" w:rsidP="006A3084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көрсетілген мемлекеттік қызметтердің сапасы; </w:t>
      </w:r>
    </w:p>
    <w:p w14:paraId="079A90F0" w14:textId="77777777" w:rsidR="006A3084" w:rsidRPr="005E0B54" w:rsidRDefault="006A3084" w:rsidP="006A3084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мәселелерді шешуге жәрдемдесу; </w:t>
      </w:r>
    </w:p>
    <w:p w14:paraId="4FB70740" w14:textId="77777777" w:rsidR="006A3084" w:rsidRPr="005E0B54" w:rsidRDefault="006A3084" w:rsidP="006A3084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кәсібилік пен құзыреттілік; </w:t>
      </w:r>
    </w:p>
    <w:p w14:paraId="71A7BDD0" w14:textId="00A4A5BE" w:rsidR="00AD75AA" w:rsidRPr="005E0B54" w:rsidRDefault="006A3084" w:rsidP="00AD75AA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қолайлы жағдайлар жасау және мемлекеттік қызметтердің қолжетімділігін қамтамасыз ету.</w:t>
      </w:r>
    </w:p>
    <w:p w14:paraId="036EE3C7" w14:textId="1DCCD16A" w:rsidR="00E62F3B" w:rsidRPr="005E0B54" w:rsidRDefault="003B38F3" w:rsidP="003B38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lang w:val="kk-KZ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6. </w:t>
      </w:r>
      <w:r w:rsidR="00AD75AA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Бағалау өткен жыл үшін жүргізіледі, </w:t>
      </w:r>
      <w:r w:rsidR="00E62F3B" w:rsidRPr="005E0B54">
        <w:rPr>
          <w:rFonts w:ascii="Times New Roman" w:hAnsi="Times New Roman" w:cs="Times New Roman"/>
          <w:bCs/>
          <w:sz w:val="28"/>
          <w:lang w:val="kk-KZ"/>
        </w:rPr>
        <w:t xml:space="preserve">қызмет көрсетушіге қатысты бақылау немесе басқа да іс-шаралар өткізілмесе, қызметтің нәтижелері мемлекеттік қызметтердің сапасына мемлекеттік бақылау жүргізу ережелеріне (Қазақстан Республикасы Мемлекеттік қызмет істері және сыбайлас жемқорлыққа қарсы іс-қимыл агенттігінің Төрағасының 2016 жылғы 8 желтоқсандағы № 78 бұйрығы) сәйкес Агенттіктің облыстар, республикалық маңызы бар қалалар мен астана бойынша департаменттеріне (бұдан әрі – Департамент) ұсынылған тоқсандық есептер негізінде және </w:t>
      </w:r>
      <w:r w:rsidR="00E62F3B" w:rsidRPr="005E0B54">
        <w:rPr>
          <w:rFonts w:ascii="Times New Roman" w:hAnsi="Times New Roman" w:cs="Times New Roman"/>
          <w:bCs/>
          <w:sz w:val="28"/>
          <w:lang w:val="kk-KZ"/>
        </w:rPr>
        <w:br/>
        <w:t>1-қосымшаға сәйкес критерийлер бойынша бағаланады.</w:t>
      </w:r>
    </w:p>
    <w:p w14:paraId="7BF81ED5" w14:textId="77777777" w:rsidR="00742615" w:rsidRPr="005E0B54" w:rsidRDefault="00742615" w:rsidP="00742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Конкурстың бірінші кезеңінде қатысушыларды бағалау үшін Департаментте 5 мүшеден және хатшыдан тұратын Өңірлік комиссия құрылады.</w:t>
      </w:r>
    </w:p>
    <w:p w14:paraId="5DDCA3DF" w14:textId="77777777" w:rsidR="00742615" w:rsidRPr="005E0B54" w:rsidRDefault="00742615" w:rsidP="00742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Өңірлік комиссия мемлекеттік органдар мен ұйымдардың, үкіметтік емес ұйымдардың, бұқаралық ақпарат құралдарының, тәуелсіз сарапшылардың өкілдері қатарынан және өзге де тұлғалардан құралады. </w:t>
      </w:r>
      <w:r w:rsidRPr="005E0B54">
        <w:rPr>
          <w:rFonts w:ascii="Times New Roman" w:hAnsi="Times New Roman" w:cs="Times New Roman"/>
          <w:sz w:val="28"/>
          <w:lang w:val="kk-KZ"/>
        </w:rPr>
        <w:t>Өңірлік комиссияның төрағасы Департаменттің басшысы болып табылады.</w:t>
      </w:r>
    </w:p>
    <w:p w14:paraId="40CA4D36" w14:textId="77777777" w:rsidR="00B70223" w:rsidRPr="005E0B54" w:rsidRDefault="00B70223" w:rsidP="00AD7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Өңірлік комиссияның төрағасы оның қызметіне жетекшілік етеді, жалпы бақылауды жүзеге асырады. Егер Өңірлік комиссияның шешім қабылдауы кезінде даулы мәселелер туындаса, Өңірлік комиссияның төрағасының дауысы шешуші болады</w:t>
      </w:r>
    </w:p>
    <w:p w14:paraId="2482A118" w14:textId="64E3934F" w:rsidR="00AD75AA" w:rsidRPr="005E0B54" w:rsidRDefault="00AD75AA" w:rsidP="00AD7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Өңірлік комиссия отырысы оның құрамының кемінде </w:t>
      </w:r>
      <w:r w:rsidR="00742615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2/3 мүшесі 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қатысқан жағдайда заңды деп есептеледі.</w:t>
      </w:r>
    </w:p>
    <w:p w14:paraId="426ACAB1" w14:textId="77777777" w:rsidR="00AD75AA" w:rsidRPr="005E0B54" w:rsidRDefault="00AD75AA" w:rsidP="00AD7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Отырыс қорытындылары хаттамамен ресімделеді, оған Өңірлік комиссияның төрағасы мен хатшысы қол қояды.</w:t>
      </w:r>
    </w:p>
    <w:p w14:paraId="15EED241" w14:textId="09972B3F" w:rsidR="00AD75AA" w:rsidRPr="005E0B54" w:rsidRDefault="00AD75AA" w:rsidP="00AD7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Өңірлік комиссия қызметін</w:t>
      </w:r>
      <w:r w:rsidR="00742615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ұйымдастырушылық сүйемелдеуді Департамент қызметкерлері жүзеге асырады.</w:t>
      </w:r>
    </w:p>
    <w:p w14:paraId="52A8E69F" w14:textId="77777777" w:rsidR="00742615" w:rsidRPr="005E0B54" w:rsidRDefault="00742615" w:rsidP="00742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hAnsi="Times New Roman" w:cs="Times New Roman"/>
          <w:sz w:val="28"/>
          <w:lang w:val="kk-KZ"/>
        </w:rPr>
        <w:t xml:space="preserve">Орталық мемлекеттік органдардың, олардың ведомстволары мен орталық мемлекеттік органдарға қарасты ұйымдардың, комитеттердің қатысушыларының бағалауын 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Агенттіктің Астана қаласы бойынша департаментінің Өңірлік комиссиясы жүргізеді.</w:t>
      </w:r>
    </w:p>
    <w:p w14:paraId="42FFA8B5" w14:textId="77777777" w:rsidR="00742615" w:rsidRPr="005E0B54" w:rsidRDefault="00742615" w:rsidP="00742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</w:t>
      </w:r>
      <w:r w:rsidRPr="005E0B54">
        <w:rPr>
          <w:rFonts w:ascii="Times New Roman" w:hAnsi="Times New Roman" w:cs="Times New Roman"/>
          <w:sz w:val="28"/>
          <w:lang w:val="kk-KZ"/>
        </w:rPr>
        <w:t xml:space="preserve"> жеңімпаздарын анықтау үшін 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Агенттікпен анықталатын </w:t>
      </w:r>
      <w:r w:rsidRPr="005E0B54">
        <w:rPr>
          <w:rFonts w:ascii="Times New Roman" w:hAnsi="Times New Roman" w:cs="Times New Roman"/>
          <w:sz w:val="28"/>
          <w:lang w:val="kk-KZ"/>
        </w:rPr>
        <w:t>Республикалық конкурстық комиссия (бұдан әрі – Республикалық комиссия) құрылып, белгіленеді. Республикалық комиссия 7 мүшеден және хатшыдан тұрады. Республикалық комиссияның отырысы комиссияның 2/3 мүшесі қатысқан жағдайда заңды деп есептеледі.</w:t>
      </w:r>
    </w:p>
    <w:p w14:paraId="6D77571E" w14:textId="1C1BE29B" w:rsidR="00736240" w:rsidRPr="005E0B54" w:rsidRDefault="00AD75AA" w:rsidP="00736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Республикалық комиссия құрамына Қазақстан Республикасының Парламенті депутаттары, «Атамекен» Ұлттық кәсіпкерлер палатасының, «Ұлттық ақпараттық технологиялар» акционерлік қоғамының, халықаралық, үкіметтік емес, қоғамдық және ғылыми-білім беру ұйымдарының, бұқаралық ақпарат құралдарының өкілдері және өзге де тұлғалар енгізілуі мүмкін.</w:t>
      </w:r>
    </w:p>
    <w:p w14:paraId="009304DB" w14:textId="6F81E572" w:rsidR="00736240" w:rsidRPr="005E0B54" w:rsidRDefault="00736240" w:rsidP="00AD7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Республикалық комиссияның қызметін ұйымдастырушылық қолдауды Агенттіктің орталық аппаратының қызметкерлері жүзеге асырады. Республикалық комиссияның төрағасы Агенттік </w:t>
      </w:r>
      <w:r w:rsidR="005313DF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өрағасының орынбасары болып табылады.</w:t>
      </w:r>
    </w:p>
    <w:p w14:paraId="74CADFFB" w14:textId="49D4CD3D" w:rsidR="00736240" w:rsidRPr="005E0B54" w:rsidRDefault="00736240" w:rsidP="00736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Республикалық комиссияның төрағасы оның қызметін басқарады және жалпы бақылауды жүзеге асырады. Республикалық комиссияның шешім қабылдауы кезінде дау туындаған жағдайда Республикалық комиссия төрағасының дауысы шешуші болып табылады.</w:t>
      </w:r>
    </w:p>
    <w:p w14:paraId="59B8F34C" w14:textId="3F1F0A4D" w:rsidR="00736240" w:rsidRPr="005E0B54" w:rsidRDefault="00736240" w:rsidP="00736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Республикалық комиссияның шешімімен </w:t>
      </w:r>
      <w:r w:rsidR="00742615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жеңімпаздары анықталады. Комиссияның шешімі хаттамамен ресімделеді, оған Комиссия төрағасы мен хатшысы қол қояды.</w:t>
      </w:r>
    </w:p>
    <w:p w14:paraId="275A8114" w14:textId="7B96C48E" w:rsidR="00736240" w:rsidRPr="005E0B54" w:rsidRDefault="00736240" w:rsidP="00736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7.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Өңірлік және </w:t>
      </w:r>
      <w:r w:rsidR="005313DF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еспубликалық комиссиялардың хатшысы:</w:t>
      </w:r>
    </w:p>
    <w:p w14:paraId="706B7332" w14:textId="77777777" w:rsidR="005313DF" w:rsidRPr="005E0B54" w:rsidRDefault="005313DF" w:rsidP="0053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5E0B54">
        <w:rPr>
          <w:rFonts w:ascii="Times New Roman" w:eastAsia="Calibri" w:hAnsi="Times New Roman" w:cs="Times New Roman"/>
          <w:sz w:val="28"/>
          <w:lang w:val="kk-KZ"/>
        </w:rPr>
        <w:t>1) үміткерлердің құжаттарын қабылдауды жүзеге асырады;</w:t>
      </w:r>
    </w:p>
    <w:p w14:paraId="652F25AB" w14:textId="77777777" w:rsidR="005313DF" w:rsidRPr="005E0B54" w:rsidRDefault="005313DF" w:rsidP="0053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5E0B54">
        <w:rPr>
          <w:rFonts w:ascii="Times New Roman" w:eastAsia="Calibri" w:hAnsi="Times New Roman" w:cs="Times New Roman"/>
          <w:sz w:val="28"/>
          <w:lang w:val="kk-KZ"/>
        </w:rPr>
        <w:t>2) конкурс комиссиясының отырыстарын ұйымдастырады;</w:t>
      </w:r>
    </w:p>
    <w:p w14:paraId="5CC50F86" w14:textId="77777777" w:rsidR="005313DF" w:rsidRPr="005E0B54" w:rsidRDefault="005313DF" w:rsidP="0053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5E0B54">
        <w:rPr>
          <w:rFonts w:ascii="Times New Roman" w:eastAsia="Calibri" w:hAnsi="Times New Roman" w:cs="Times New Roman"/>
          <w:sz w:val="28"/>
          <w:lang w:val="kk-KZ"/>
        </w:rPr>
        <w:t>3) конкурс комиссиясының отырысының хаттамасын ресімдейді және Конкурс нәтижелері бойынша жеңімпаз туралы материалдарды қалыптастырады;</w:t>
      </w:r>
    </w:p>
    <w:p w14:paraId="0EF171EE" w14:textId="77777777" w:rsidR="005313DF" w:rsidRPr="005E0B54" w:rsidRDefault="005313DF" w:rsidP="00531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5E0B54">
        <w:rPr>
          <w:rFonts w:ascii="Times New Roman" w:eastAsia="Calibri" w:hAnsi="Times New Roman" w:cs="Times New Roman"/>
          <w:sz w:val="28"/>
          <w:lang w:val="kk-KZ"/>
        </w:rPr>
        <w:t>4) конкурс нәтижелері туралы ақпаратты Агенттіктің ресми сайтына және бұқаралық ақпарат құралдарында жариялау үшін ұсынады.</w:t>
      </w:r>
    </w:p>
    <w:p w14:paraId="6FFF1E92" w14:textId="5A4A17CA" w:rsidR="00CB610F" w:rsidRPr="005E0B54" w:rsidRDefault="00736240" w:rsidP="00A25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8. </w:t>
      </w:r>
      <w:r w:rsidR="007600FC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Конкурсқа</w:t>
      </w:r>
      <w:r w:rsidR="00A251AD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мемлекеттік қызметтер көрсететін мемлекеттік органдар мен ұйымдар қатыса алады.</w:t>
      </w:r>
    </w:p>
    <w:p w14:paraId="2A510494" w14:textId="77777777" w:rsidR="00A251AD" w:rsidRPr="005E0B54" w:rsidRDefault="00A251AD" w:rsidP="00A25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06C6B0B8" w14:textId="71964849" w:rsidR="00A251AD" w:rsidRPr="005E0B54" w:rsidRDefault="005313DF" w:rsidP="00A251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2. Конкурстың</w:t>
      </w:r>
      <w:r w:rsidR="00A251AD"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бірінші кезеңін дайындау және өткізу тәртібі</w:t>
      </w:r>
    </w:p>
    <w:p w14:paraId="2C5E5EAD" w14:textId="77777777" w:rsidR="00A251AD" w:rsidRPr="005E0B54" w:rsidRDefault="00A251AD" w:rsidP="00A25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F762BC2" w14:textId="77777777" w:rsidR="00A251AD" w:rsidRPr="005E0B54" w:rsidRDefault="00A251AD" w:rsidP="00A251A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Конкурсты өткізу туралы хабарландыру Агенттіктің интернет-ресурсында және әлеуметтік желілерде оның басталғаны туралы хабарландыруды орналастырудан басталады. Агенттіктің интернет-ресурсында хабарландыру орналастырылған күннен бастап үш күн мерзімде Департаменттер қызмет көрсетушілерді конкурсқа қатысу мүмкіндігі туралы хабардар етеді. </w:t>
      </w:r>
    </w:p>
    <w:p w14:paraId="43796BB2" w14:textId="77777777" w:rsidR="00A251AD" w:rsidRPr="005E0B54" w:rsidRDefault="00A251AD" w:rsidP="00A251A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Құжаттар мен материалдар конкурсқа қатысу туралы хабарламаны алған күннен бастап жеті жұмыс күні ішінде жолданады. </w:t>
      </w:r>
    </w:p>
    <w:p w14:paraId="24256AAD" w14:textId="77777777" w:rsidR="00A251AD" w:rsidRPr="005E0B54" w:rsidRDefault="00A251AD" w:rsidP="00A251A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Үміткерлер Өңірлік комиссияға келесі құжаттар мен материалдарды жолдайды: </w:t>
      </w:r>
    </w:p>
    <w:p w14:paraId="4A7A2E9C" w14:textId="20F296B9" w:rsidR="00A251AD" w:rsidRPr="005E0B54" w:rsidRDefault="001A4A1B" w:rsidP="001A4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</w:t>
      </w:r>
      <w:r w:rsidR="00A251AD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Әдістемелік ұсынымдар</w:t>
      </w:r>
      <w:r w:rsidR="007600FC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дың</w:t>
      </w:r>
      <w:r w:rsidR="00A251AD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2-қосымша</w:t>
      </w:r>
      <w:r w:rsidR="007600FC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сына сә</w:t>
      </w:r>
      <w:r w:rsidR="00A251AD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йкес нысан бойынша Конкурсқа қатысу туралы өтініш; </w:t>
      </w:r>
    </w:p>
    <w:p w14:paraId="4C5B069D" w14:textId="61E0549B" w:rsidR="00A251AD" w:rsidRPr="005E0B54" w:rsidRDefault="001A4A1B" w:rsidP="001A4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2) </w:t>
      </w:r>
      <w:r w:rsidR="00A251AD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номинантты таныстыруды, оның жұмысын және жетістіктерін көрсететін бейнепрезентация. </w:t>
      </w:r>
    </w:p>
    <w:p w14:paraId="5B199D1C" w14:textId="132B45F6" w:rsidR="00A251AD" w:rsidRPr="005E0B54" w:rsidRDefault="001A4A1B" w:rsidP="00A251A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54">
        <w:rPr>
          <w:rFonts w:ascii="Times New Roman" w:eastAsia="Calibri" w:hAnsi="Times New Roman" w:cs="Times New Roman"/>
          <w:bCs/>
          <w:sz w:val="28"/>
          <w:lang w:val="kk-KZ"/>
        </w:rPr>
        <w:t>Құжаттарды тексеру жүзеге асырылады</w:t>
      </w:r>
      <w:r w:rsidR="00A251AD" w:rsidRPr="005E0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0AD207B" w14:textId="77777777" w:rsidR="00A251AD" w:rsidRPr="005E0B54" w:rsidRDefault="00A251AD" w:rsidP="00A251A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құжаттарды қабылдау аяқталған күннен бастап үш жұмыс күні</w:t>
      </w:r>
      <w:r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ішінде Департамент ұсынылған материалдардың дұрыс толтырылуын және құжаттардың толықтығын тексеруді жүзеге асырады; </w:t>
      </w:r>
    </w:p>
    <w:p w14:paraId="35406C10" w14:textId="77777777" w:rsidR="00101188" w:rsidRPr="005E0B54" w:rsidRDefault="00A251AD" w:rsidP="00101188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Әдістемелік ұсынымдардың 11-тармағында көрсетілген құжаттар толық ұсынылмаған жағдайда, комиссия хатшысы хабарлаған күннен бастап бір жұмыс күні ішінде конкурсқа қатысушы құжаттар</w:t>
      </w:r>
      <w:r w:rsidR="00101188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толықтырады; </w:t>
      </w:r>
    </w:p>
    <w:p w14:paraId="2BAB4321" w14:textId="353E61F3" w:rsidR="00101188" w:rsidRPr="005E0B54" w:rsidRDefault="00A251AD" w:rsidP="00101188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құжаттарды қабылдаудың белгіленген мерзімі өткеннен кейін үміткерлер конкурсқа қатысуға жіберілмейді. </w:t>
      </w:r>
    </w:p>
    <w:p w14:paraId="750ECF86" w14:textId="125BE14D" w:rsidR="00101188" w:rsidRPr="005E0B54" w:rsidRDefault="001A4A1B" w:rsidP="00610F4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Өңірлік</w:t>
      </w:r>
      <w:r w:rsidR="00101188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комиссия іріктеу рәсімдерін жүргізеді</w:t>
      </w:r>
      <w:r w:rsidR="00A251AD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Конкурста</w:t>
      </w:r>
      <w:r w:rsidR="00101188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қатысуға үміткерлерді анықтау мақсатында Өңірлік комиссия </w:t>
      </w:r>
      <w:r w:rsidR="00742615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Конкурсқа</w:t>
      </w:r>
      <w:r w:rsidR="00101188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қатысушылардың сауалнамаларын (осы Әдістемелік ұсынымдарға 1-қосымшаға сәйкес критерийлерді ескере отырып) баллдық жүйені қолдана отырып бағалау арқылы сырттай іріктеу рәсімдерін ұйымдастырады.</w:t>
      </w:r>
    </w:p>
    <w:p w14:paraId="32D09ECA" w14:textId="77BBA751" w:rsidR="00A251AD" w:rsidRPr="005E0B54" w:rsidRDefault="00A251AD" w:rsidP="00610F4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Өңірлік комиссия жеке сұхбаттар өткізеді. Қатысушылар алты жұмыс күні ішінде Өңірлік комиссиялармен жеке сұхбаттан өтеді, оның нәтижелері бойынша халықтық дауыс беруге жіберіледі. </w:t>
      </w:r>
    </w:p>
    <w:p w14:paraId="086887A0" w14:textId="7F17EA75" w:rsidR="00A251AD" w:rsidRPr="005E0B54" w:rsidRDefault="00A251AD" w:rsidP="00A25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Жеке сұхбаттар онлайн </w:t>
      </w:r>
      <w:r w:rsidR="00742615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немесе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офлайн форматта өткізілуі мүмкін.</w:t>
      </w:r>
    </w:p>
    <w:p w14:paraId="2D27B6E1" w14:textId="010A9342" w:rsidR="00A251AD" w:rsidRPr="005E0B54" w:rsidRDefault="00A251AD" w:rsidP="00A25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Сұхбат барысында үміткерлер өз қызметі</w:t>
      </w:r>
      <w:r w:rsidR="00DD7355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жайында ақпаратты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бейнеролик түрінде таныстырады.</w:t>
      </w:r>
    </w:p>
    <w:p w14:paraId="679FA097" w14:textId="77777777" w:rsidR="00A251AD" w:rsidRPr="005E0B54" w:rsidRDefault="00A251AD" w:rsidP="00A25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Үміткерлерді тыңдау 10 минуттан аспайды және үміткердің таңдауына байланысты қазақ немесе орыс тілдерінде өткізіледі.</w:t>
      </w:r>
    </w:p>
    <w:p w14:paraId="71E0AC4D" w14:textId="77777777" w:rsidR="00A251AD" w:rsidRPr="005E0B54" w:rsidRDefault="00A251AD" w:rsidP="00A25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Жеке сұхбаттардың қорытындысы бойынша халықтық дауыс беруге өтініш бергендердің жалпы санының кемінде 50%-ы, бірақ кемінде бес үміткер жіберіледі.</w:t>
      </w:r>
    </w:p>
    <w:p w14:paraId="533EF1F2" w14:textId="77777777" w:rsidR="00A251AD" w:rsidRPr="005E0B54" w:rsidRDefault="00A251AD" w:rsidP="00A251A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Халықтық дауыс беру онлайн тәсілмен «электрондық үкімет» порталында және/немесе мамандандырылған платформада үміткерлер дауыс беруге орналастырылған күннен бастап 2 күнтізбелік күн ішінде өткізіледі. </w:t>
      </w:r>
    </w:p>
    <w:p w14:paraId="30D4A103" w14:textId="77777777" w:rsidR="00A251AD" w:rsidRPr="005E0B54" w:rsidRDefault="00A251AD" w:rsidP="00A25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Дауыс беру қорытындылары 2 күнтізбелік күн ішінде шығарылады және нәтижелері 1 жұмыс күні ішінде жарияланады.</w:t>
      </w:r>
    </w:p>
    <w:p w14:paraId="62FCF5BE" w14:textId="6EBC22BB" w:rsidR="00A251AD" w:rsidRPr="005E0B54" w:rsidRDefault="00A251AD" w:rsidP="00A251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8D6229" w14:textId="44FB8D0B" w:rsidR="00DD7355" w:rsidRPr="005E0B54" w:rsidRDefault="00DD7355" w:rsidP="00A251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BDAF03" w14:textId="50C3CE7D" w:rsidR="00DD7355" w:rsidRPr="005E0B54" w:rsidRDefault="004D43F2" w:rsidP="004D43F2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3. </w:t>
      </w:r>
      <w:r w:rsidR="00DD7355"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Конкурстың бірінші кезеңінің қорытындыларын шығару</w:t>
      </w:r>
    </w:p>
    <w:p w14:paraId="7D0FA182" w14:textId="77777777" w:rsidR="00DD7355" w:rsidRPr="005E0B54" w:rsidRDefault="00DD7355" w:rsidP="00DD73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0EFE85C" w14:textId="77777777" w:rsidR="00DD7355" w:rsidRPr="005E0B54" w:rsidRDefault="00DD7355" w:rsidP="00DD735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Халықтық дауыс беру қорытындылары және Өңірлік комиссияның бағалауы (1-қосымша) негізінде үш жеңімпаз айқындалады: </w:t>
      </w:r>
    </w:p>
    <w:p w14:paraId="1EB1E08C" w14:textId="77777777" w:rsidR="00DD7355" w:rsidRPr="005E0B54" w:rsidRDefault="00DD7355" w:rsidP="00DD7355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бірінші орын – 1 жеңімпаз; </w:t>
      </w:r>
    </w:p>
    <w:p w14:paraId="29002D82" w14:textId="77777777" w:rsidR="00DD7355" w:rsidRPr="005E0B54" w:rsidRDefault="00DD7355" w:rsidP="00DD7355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екінші орын – 1 жеңімпаз; </w:t>
      </w:r>
    </w:p>
    <w:p w14:paraId="06DE951E" w14:textId="77777777" w:rsidR="00DD7355" w:rsidRPr="005E0B54" w:rsidRDefault="00DD7355" w:rsidP="00DD7355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үшінші орын – 1 жеңімпаз. </w:t>
      </w:r>
    </w:p>
    <w:p w14:paraId="240B5EEA" w14:textId="77777777" w:rsidR="00DD7355" w:rsidRPr="005E0B54" w:rsidRDefault="00DD7355" w:rsidP="00DD7355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Халықтық дауыс беру және Өңірлік комиссияның бағалау қорытындылары бойынша жеңімпаздарды «Үздік сапалы қызмет көрсетуші» дипломдарымен марапаттау жүргізіледі. </w:t>
      </w:r>
    </w:p>
    <w:p w14:paraId="634507A1" w14:textId="77777777" w:rsidR="00DD7355" w:rsidRPr="005E0B54" w:rsidRDefault="00DD7355" w:rsidP="00DD7355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Өңірлік конкурс ұйымдастырушылары жеңімпаздарды марапаттауға байланысты қаржыландыру мәселелерін пысықтайды. </w:t>
      </w:r>
    </w:p>
    <w:p w14:paraId="6A429669" w14:textId="77777777" w:rsidR="00DD7355" w:rsidRPr="005E0B54" w:rsidRDefault="00DD7355" w:rsidP="00DD7355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Бірінші орын алған жеңімпаздар конкурстың екінші кезеңіне қатысу үшін жіберіледі.</w:t>
      </w:r>
    </w:p>
    <w:p w14:paraId="015ECA26" w14:textId="55531D46" w:rsidR="00DD7355" w:rsidRPr="005E0B54" w:rsidRDefault="00DD7355" w:rsidP="00DD7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FF7989" w14:textId="2F0BD928" w:rsidR="00DD7355" w:rsidRPr="005E0B54" w:rsidRDefault="004D43F2" w:rsidP="004D43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4. </w:t>
      </w:r>
      <w:r w:rsidR="00DD7355"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Конкурстың екінші кезеңін өткізу тәртібі</w:t>
      </w:r>
    </w:p>
    <w:p w14:paraId="068C39AC" w14:textId="77777777" w:rsidR="00DD7355" w:rsidRPr="005E0B54" w:rsidRDefault="00DD7355" w:rsidP="00DD73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7E65736" w14:textId="77777777" w:rsidR="00DD7355" w:rsidRPr="005E0B54" w:rsidRDefault="00DD7355" w:rsidP="00DD735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Конкурстың екінші кезеңіне өткен үміткерлердің тізімі Агенттіктің интернет-ресурсында жарияланады. </w:t>
      </w:r>
    </w:p>
    <w:p w14:paraId="7AAC6F4E" w14:textId="77777777" w:rsidR="00DD7355" w:rsidRPr="005E0B54" w:rsidRDefault="00DD7355" w:rsidP="00DD735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Конкурстың бірінші кезеңінде үміткерлер ұсынған құжаттар мен материалдар (фото, өмірбаян, халықтық дауыс беру қорытындылары, бейнеролик), сондай-ақ Өңірлік комиссияның шешімі конкурстың бірінші 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кезеңі аяқталған күннен бастап екі жұмыс күнінен кешіктірілмей тікелей Агенттікке жолданады.</w:t>
      </w:r>
    </w:p>
    <w:p w14:paraId="111F8112" w14:textId="77777777" w:rsidR="00355636" w:rsidRPr="005E0B54" w:rsidRDefault="00355636" w:rsidP="00355636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Материалдарға қойылатын талаптар: </w:t>
      </w:r>
    </w:p>
    <w:p w14:paraId="67B83651" w14:textId="77777777" w:rsidR="00355636" w:rsidRPr="005E0B54" w:rsidRDefault="00355636" w:rsidP="0035563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Фотосурет</w:t>
      </w:r>
    </w:p>
    <w:p w14:paraId="00A75CCB" w14:textId="00AB6045" w:rsidR="00355636" w:rsidRPr="005E0B54" w:rsidRDefault="00355636" w:rsidP="0035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Фотосурет сапалы, бейнесі анық, бұлыңғырлықсыз және пикселденусіз, су белгілерінсіз, бөгде жазулар мен логотиптерсіз болуы қажет. Кескін форматы: тік (3:4 қатынаста), ең төменгі ажыратымдылығы кемінде 900х1200 px, файл форматы: JPEG немесе PNG болуы тиіс. </w:t>
      </w:r>
    </w:p>
    <w:p w14:paraId="70F2AC94" w14:textId="77777777" w:rsidR="00355636" w:rsidRPr="005E0B54" w:rsidRDefault="00355636" w:rsidP="0035563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Өмірбаян</w:t>
      </w:r>
    </w:p>
    <w:p w14:paraId="58883AA7" w14:textId="77777777" w:rsidR="00742615" w:rsidRPr="005E0B54" w:rsidRDefault="00742615" w:rsidP="00742615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Өмірбаян Word мәтіндік форматында ұсынылады, мәтіннің максималды көлемі 500 таңбадан (бос орындарды қоса алғанда) аспауы тиіс, мәтін ақпаратты, </w:t>
      </w:r>
      <w:r w:rsidRPr="005E0B54">
        <w:rPr>
          <w:rFonts w:ascii="Times New Roman" w:hAnsi="Times New Roman" w:cs="Times New Roman"/>
          <w:sz w:val="28"/>
          <w:szCs w:val="28"/>
          <w:lang w:val="kk-KZ"/>
        </w:rPr>
        <w:t xml:space="preserve">үміткердің қызмет саласын қысқаша сипаттауы керек,  жарнамалық ұрандар мен артық ақпаратты 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қамтымауы тиіс. </w:t>
      </w:r>
    </w:p>
    <w:p w14:paraId="64FED107" w14:textId="77777777" w:rsidR="00355636" w:rsidRPr="005E0B54" w:rsidRDefault="00355636" w:rsidP="0035563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Бейнеролик</w:t>
      </w:r>
    </w:p>
    <w:p w14:paraId="183C6968" w14:textId="2D34AA32" w:rsidR="00355636" w:rsidRPr="005E0B54" w:rsidRDefault="00355636" w:rsidP="0035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Бейне сапалы сурет және дыбысқа ие болуы тиіс, өткір шу</w:t>
      </w:r>
      <w:r w:rsidR="00394DAE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бұрмалану</w:t>
      </w:r>
      <w:r w:rsidR="00394DAE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сыз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болуы және жарияланған тақырыпқа сәйкес келуі қажет. Бейне</w:t>
      </w:r>
      <w:r w:rsidR="00394DAE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ролик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форматы: көлденең (16:9), </w:t>
      </w:r>
      <w:r w:rsidR="00394DAE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максималды 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ұзақтығы 10 минутқа дейін, файл форматы: MP4. </w:t>
      </w:r>
    </w:p>
    <w:p w14:paraId="60A47BEE" w14:textId="47AC5C52" w:rsidR="00355636" w:rsidRPr="005E0B54" w:rsidRDefault="00355636" w:rsidP="00355636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Республикалық комиссия ұсынылған материалдар негізінде </w:t>
      </w:r>
      <w:r w:rsidR="00394DAE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сұхбаттасу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қорытындылары бойынша дауыс беру арқылы конкурс жеңімпазын айқындайды.</w:t>
      </w:r>
    </w:p>
    <w:p w14:paraId="084B609E" w14:textId="4EC63123" w:rsidR="00355636" w:rsidRPr="005E0B54" w:rsidRDefault="00355636" w:rsidP="00394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FB59EC" w14:textId="1A98D688" w:rsidR="00394DAE" w:rsidRPr="005E0B54" w:rsidRDefault="004D43F2" w:rsidP="004D4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="00394DAE"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Конкурстың</w:t>
      </w:r>
      <w:proofErr w:type="spellEnd"/>
      <w:r w:rsidR="00394DAE"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94DAE"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екінші</w:t>
      </w:r>
      <w:proofErr w:type="spellEnd"/>
      <w:r w:rsidR="00394DAE"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94DAE"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кезеңінің</w:t>
      </w:r>
      <w:proofErr w:type="spellEnd"/>
      <w:r w:rsidR="00394DAE"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94DAE"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қорытындыларын</w:t>
      </w:r>
      <w:proofErr w:type="spellEnd"/>
      <w:r w:rsidR="00394DAE"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94DAE" w:rsidRPr="005E0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шығару</w:t>
      </w:r>
      <w:proofErr w:type="spellEnd"/>
    </w:p>
    <w:p w14:paraId="5C11F455" w14:textId="77777777" w:rsidR="00394DAE" w:rsidRPr="005E0B54" w:rsidRDefault="00394DAE" w:rsidP="00394DA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5853C" w14:textId="77777777" w:rsidR="00394DAE" w:rsidRPr="005E0B54" w:rsidRDefault="00394DAE" w:rsidP="00394DA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Дауыс беру қорытындылары бойынша Республикалық комиссия Конкурстың нәтижелері туралы шешім қабылдайды, онда үш жеңімпаз айқындалады: </w:t>
      </w:r>
    </w:p>
    <w:p w14:paraId="11C501C0" w14:textId="77777777" w:rsidR="00394DAE" w:rsidRPr="005E0B54" w:rsidRDefault="00394DAE" w:rsidP="00394DA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бірінші орын – 1 жеңімпаз; </w:t>
      </w:r>
    </w:p>
    <w:p w14:paraId="4DE0EA02" w14:textId="77777777" w:rsidR="00394DAE" w:rsidRPr="005E0B54" w:rsidRDefault="00394DAE" w:rsidP="00394DA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екінші орын – 1 жеңімпаз; </w:t>
      </w:r>
    </w:p>
    <w:p w14:paraId="487E1E9A" w14:textId="77777777" w:rsidR="00394DAE" w:rsidRPr="005E0B54" w:rsidRDefault="00394DAE" w:rsidP="00394DA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үшінші орын – 1 жеңімпаз. </w:t>
      </w:r>
    </w:p>
    <w:p w14:paraId="2968C58D" w14:textId="056D1114" w:rsidR="00394DAE" w:rsidRPr="005E0B54" w:rsidRDefault="00394DAE" w:rsidP="00394DA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Жеңімпаздар «Үздік сапалы қызмет көрсетуші» </w:t>
      </w:r>
      <w:r w:rsidR="00AC4F5A" w:rsidRPr="005E0B54">
        <w:rPr>
          <w:rFonts w:ascii="Times New Roman" w:hAnsi="Times New Roman" w:cs="Times New Roman"/>
          <w:sz w:val="28"/>
          <w:lang w:val="kk-KZ"/>
        </w:rPr>
        <w:t>статуэткалары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дипломдарымен марапатталады. </w:t>
      </w:r>
    </w:p>
    <w:p w14:paraId="336F7044" w14:textId="12E50F14" w:rsidR="00394DAE" w:rsidRPr="005E0B54" w:rsidRDefault="00394DAE" w:rsidP="00394DA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Конкурс жеңімпаздары үшін бір жыл ішінде келесі іс-шараларға қатысу мүмкіндігі </w:t>
      </w:r>
      <w:r w:rsidR="00AC4F5A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қарастырылатын болады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</w:p>
    <w:p w14:paraId="5532A377" w14:textId="1320B8B5" w:rsidR="00394DAE" w:rsidRPr="005E0B54" w:rsidRDefault="00394DAE" w:rsidP="00394DAE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бірінші орын үшін – Қазақстан Республикасы</w:t>
      </w:r>
      <w:r w:rsidR="00AC4F5A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нан 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тыс</w:t>
      </w:r>
      <w:r w:rsidR="00AC4F5A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шет елде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бейіндік тағылымдамаларға қатысу; </w:t>
      </w:r>
    </w:p>
    <w:p w14:paraId="12B5E001" w14:textId="77777777" w:rsidR="00394DAE" w:rsidRPr="005E0B54" w:rsidRDefault="00394DAE" w:rsidP="00394DAE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екінші орын үшін – сертификатталған білім беру бағдарламаларынан өту; </w:t>
      </w:r>
    </w:p>
    <w:p w14:paraId="665F3CAF" w14:textId="02AF7C7F" w:rsidR="00394DAE" w:rsidRPr="005E0B54" w:rsidRDefault="00394DAE" w:rsidP="00394DAE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үшінші орын үшін – Қазақстан Республикасы Президентінің жанындағы Мемлекеттік басқару академиясына оқуға түсу кезінде кандидатураны қарастыруға негіз болатын ұсыным хат беру. </w:t>
      </w:r>
    </w:p>
    <w:p w14:paraId="6F898938" w14:textId="77777777" w:rsidR="00755DBC" w:rsidRPr="005E0B54" w:rsidRDefault="00394DAE" w:rsidP="00755DB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Конкурстың </w:t>
      </w:r>
      <w:r w:rsidR="00755DBC"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еспубликалық кезеңінің ұйымдастырушысы жеңімпаздарды марапаттауға байланысты қаржыландыру мәселелерін пысықтайды. </w:t>
      </w:r>
    </w:p>
    <w:p w14:paraId="02C4B10A" w14:textId="5A399EAF" w:rsidR="00755DBC" w:rsidRPr="005E0B54" w:rsidRDefault="00755DBC" w:rsidP="00755DB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hAnsi="Times New Roman" w:cs="Times New Roman"/>
          <w:sz w:val="28"/>
          <w:lang w:val="kk-KZ"/>
        </w:rPr>
        <w:lastRenderedPageBreak/>
        <w:t>Конкурстың жеңімпаздарын марапаттау уақыты мен орны туралы ақпарат Агенттік тарапынан хабарланады.</w:t>
      </w:r>
    </w:p>
    <w:p w14:paraId="78C23C94" w14:textId="77777777" w:rsidR="00394DAE" w:rsidRPr="005E0B54" w:rsidRDefault="00394DAE" w:rsidP="00394DA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Конкурстың қорытынды кезеңін өткізуді ұйымдастырушылық-техникалық қамтамасыз етуді Агенттік жүзеге асырады. </w:t>
      </w:r>
    </w:p>
    <w:p w14:paraId="2457FE35" w14:textId="0D3F4D0F" w:rsidR="00355636" w:rsidRPr="005E0B54" w:rsidRDefault="0035563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4044302C" w14:textId="77777777" w:rsidR="002361B6" w:rsidRPr="005E0B54" w:rsidRDefault="002361B6" w:rsidP="002361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2F8D204" w14:textId="77777777" w:rsidR="002361B6" w:rsidRPr="005E0B54" w:rsidRDefault="002361B6" w:rsidP="002361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5E0B54">
        <w:rPr>
          <w:rFonts w:ascii="Times New Roman" w:eastAsia="Calibri" w:hAnsi="Times New Roman" w:cs="Times New Roman"/>
          <w:sz w:val="28"/>
        </w:rPr>
        <w:t>___________________________________________</w:t>
      </w:r>
    </w:p>
    <w:p w14:paraId="6E9DA89C" w14:textId="77777777" w:rsidR="002361B6" w:rsidRPr="005E0B54" w:rsidRDefault="002361B6" w:rsidP="00236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507C0121" w14:textId="35B4CDD8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7449A804" w14:textId="48BF8568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766DCC9B" w14:textId="6D4F50BD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16D95B5F" w14:textId="2B9316F7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44E4D833" w14:textId="1A46E788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2D2D1F6E" w14:textId="371B7C54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347D734A" w14:textId="4BBCB061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20C7528E" w14:textId="19B6D8D8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16A9A658" w14:textId="055F4993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33964A72" w14:textId="27B2BA2D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0E9D241F" w14:textId="3D7F6F96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5CE89B6B" w14:textId="629F2E1D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0FB8EB00" w14:textId="441C1805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04D25A6D" w14:textId="14E3BC93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7FC616FC" w14:textId="6D6CBB9A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7F65FF19" w14:textId="06F8618A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01C29D90" w14:textId="22235A28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414676E4" w14:textId="474BE8D0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462F4130" w14:textId="1DE4AF2C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6920F191" w14:textId="2FE02590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450DCFA4" w14:textId="3DE3A79C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61A1EE20" w14:textId="1C393564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59C20928" w14:textId="03E6167B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2CF92315" w14:textId="6CC3B185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2A7E33CE" w14:textId="46961C4F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07C8DE91" w14:textId="400F0850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1BBEC247" w14:textId="002FCFC6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45429853" w14:textId="26DA873D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28830448" w14:textId="4547FED2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76078EC2" w14:textId="1AFCABD4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6A58A786" w14:textId="661FB2C4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691A0967" w14:textId="26E7AC74" w:rsidR="002361B6" w:rsidRPr="005E0B54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2361B6" w:rsidRPr="00227331" w14:paraId="1EBBA09D" w14:textId="77777777" w:rsidTr="0055229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98246D7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5E49AC6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E124A5C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5E0B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«Үздік сапалы қызмет көрсетуші» республикалық конкурсын өткізу жөніндегі әдістемелік ұсынымдарға </w:t>
            </w:r>
            <w:r w:rsidRPr="005E0B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br/>
              <w:t>1-қосымша</w:t>
            </w:r>
          </w:p>
        </w:tc>
      </w:tr>
    </w:tbl>
    <w:p w14:paraId="6009738F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828BFC5" w14:textId="36C20346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Қатысушылардың қызметін бағалау өлшемшарттары</w:t>
      </w:r>
    </w:p>
    <w:p w14:paraId="4C04699F" w14:textId="6054E6C1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"/>
        <w:gridCol w:w="5284"/>
        <w:gridCol w:w="3685"/>
      </w:tblGrid>
      <w:tr w:rsidR="002361B6" w:rsidRPr="005E0B54" w14:paraId="7608A2E8" w14:textId="77777777" w:rsidTr="00552295">
        <w:tc>
          <w:tcPr>
            <w:tcW w:w="778" w:type="dxa"/>
          </w:tcPr>
          <w:p w14:paraId="1ACCDE61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14:paraId="407BEF27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284" w:type="dxa"/>
          </w:tcPr>
          <w:p w14:paraId="6D9282AF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685" w:type="dxa"/>
          </w:tcPr>
          <w:p w14:paraId="28AC5369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Ең</w:t>
            </w:r>
            <w:proofErr w:type="spellEnd"/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ба</w:t>
            </w: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ға</w:t>
            </w: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ұпай</w:t>
            </w:r>
            <w:proofErr w:type="spellEnd"/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)*»</w:t>
            </w:r>
          </w:p>
        </w:tc>
      </w:tr>
      <w:tr w:rsidR="002361B6" w:rsidRPr="005E0B54" w14:paraId="18E80BF5" w14:textId="77777777" w:rsidTr="00552295">
        <w:tc>
          <w:tcPr>
            <w:tcW w:w="778" w:type="dxa"/>
            <w:tcBorders>
              <w:bottom w:val="single" w:sz="4" w:space="0" w:color="auto"/>
            </w:tcBorders>
          </w:tcPr>
          <w:p w14:paraId="445E8E39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84" w:type="dxa"/>
          </w:tcPr>
          <w:p w14:paraId="7A8308EE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14:paraId="0FFA85B4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361B6" w:rsidRPr="005E0B54" w14:paraId="25BD0C50" w14:textId="77777777" w:rsidTr="00552295">
        <w:tc>
          <w:tcPr>
            <w:tcW w:w="778" w:type="dxa"/>
            <w:vMerge w:val="restart"/>
          </w:tcPr>
          <w:p w14:paraId="191F6702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69" w:type="dxa"/>
            <w:gridSpan w:val="2"/>
          </w:tcPr>
          <w:p w14:paraId="64BF899F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Мемлекетт</w:t>
            </w:r>
            <w:proofErr w:type="spellEnd"/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ік қ</w:t>
            </w:r>
            <w:proofErr w:type="spellStart"/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ызмет</w:t>
            </w:r>
            <w:proofErr w:type="spellEnd"/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тердің</w:t>
            </w: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көрсету</w:t>
            </w:r>
            <w:proofErr w:type="spellEnd"/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сапасы</w:t>
            </w:r>
            <w:proofErr w:type="spellEnd"/>
          </w:p>
          <w:p w14:paraId="230F870F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361B6" w:rsidRPr="005E0B54" w14:paraId="28954374" w14:textId="77777777" w:rsidTr="00552295">
        <w:tc>
          <w:tcPr>
            <w:tcW w:w="778" w:type="dxa"/>
            <w:vMerge/>
          </w:tcPr>
          <w:p w14:paraId="608E25F0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4" w:type="dxa"/>
          </w:tcPr>
          <w:p w14:paraId="48524FF7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5E0B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Мемлекеттік қызмет көрсету сапасына қатысты шағымдардың болмауы</w:t>
            </w:r>
          </w:p>
          <w:p w14:paraId="18D2802A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685" w:type="dxa"/>
          </w:tcPr>
          <w:p w14:paraId="5E8B7F08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361B6" w:rsidRPr="005E0B54" w14:paraId="5427B52D" w14:textId="77777777" w:rsidTr="00552295">
        <w:tc>
          <w:tcPr>
            <w:tcW w:w="778" w:type="dxa"/>
            <w:vMerge/>
          </w:tcPr>
          <w:p w14:paraId="0149820D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4" w:type="dxa"/>
          </w:tcPr>
          <w:p w14:paraId="7C0ED614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5E0B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Мемлекеттік қызметтерді көрсету мерзімдерінің сақталуы</w:t>
            </w:r>
          </w:p>
          <w:p w14:paraId="6037C7A8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685" w:type="dxa"/>
          </w:tcPr>
          <w:p w14:paraId="56F3704A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361B6" w:rsidRPr="005E0B54" w14:paraId="4BDEF5BB" w14:textId="77777777" w:rsidTr="00552295">
        <w:tc>
          <w:tcPr>
            <w:tcW w:w="778" w:type="dxa"/>
            <w:vMerge/>
            <w:tcBorders>
              <w:bottom w:val="single" w:sz="4" w:space="0" w:color="auto"/>
            </w:tcBorders>
          </w:tcPr>
          <w:p w14:paraId="125E6793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4" w:type="dxa"/>
          </w:tcPr>
          <w:p w14:paraId="4AB83F47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5E0B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Мемлекеттік қызметтер көрсету саласындағы өзге де бұзушылықтардың болмауы</w:t>
            </w:r>
          </w:p>
          <w:p w14:paraId="19606E92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685" w:type="dxa"/>
          </w:tcPr>
          <w:p w14:paraId="237EA079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361B6" w:rsidRPr="005E0B54" w14:paraId="0CF4FF95" w14:textId="77777777" w:rsidTr="00552295">
        <w:trPr>
          <w:trHeight w:val="70"/>
        </w:trPr>
        <w:tc>
          <w:tcPr>
            <w:tcW w:w="778" w:type="dxa"/>
            <w:vMerge w:val="restart"/>
          </w:tcPr>
          <w:p w14:paraId="4385F47B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69" w:type="dxa"/>
            <w:gridSpan w:val="2"/>
          </w:tcPr>
          <w:p w14:paraId="0500DB98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5E0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Мемлекеттік қызметтер көрсету орындарында қолайлы жағдайлар жасау</w:t>
            </w:r>
          </w:p>
        </w:tc>
      </w:tr>
      <w:tr w:rsidR="002361B6" w:rsidRPr="005E0B54" w14:paraId="6A663E4B" w14:textId="77777777" w:rsidTr="00552295">
        <w:trPr>
          <w:trHeight w:val="70"/>
        </w:trPr>
        <w:tc>
          <w:tcPr>
            <w:tcW w:w="778" w:type="dxa"/>
            <w:vMerge/>
          </w:tcPr>
          <w:p w14:paraId="2DFDB4CC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4" w:type="dxa"/>
          </w:tcPr>
          <w:p w14:paraId="790DBC64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E0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Мемлекеттік қызметтер туралы қажетті ақпараттың болуы және оның мемлекеттік және орыс тілдерінде қолжетімділігі (мемлекеттік қызметтер көрсету қағидалары, өтініш үлгілері және т.б.)</w:t>
            </w:r>
          </w:p>
          <w:p w14:paraId="1F0130B5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685" w:type="dxa"/>
          </w:tcPr>
          <w:p w14:paraId="0BB64448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361B6" w:rsidRPr="005E0B54" w14:paraId="7095DF19" w14:textId="77777777" w:rsidTr="00552295">
        <w:trPr>
          <w:trHeight w:val="70"/>
        </w:trPr>
        <w:tc>
          <w:tcPr>
            <w:tcW w:w="778" w:type="dxa"/>
            <w:vMerge/>
          </w:tcPr>
          <w:p w14:paraId="6F70AFAA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4" w:type="dxa"/>
          </w:tcPr>
          <w:p w14:paraId="51100697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E0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Кеңістікті ұйымдастыру және күту аймақтарының болуы (ресепшн, кеңесші, электрондық кезек, күту залы/отыратын орындар)</w:t>
            </w:r>
          </w:p>
          <w:p w14:paraId="6ED9B62E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685" w:type="dxa"/>
          </w:tcPr>
          <w:p w14:paraId="312EEF0F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361B6" w:rsidRPr="005E0B54" w14:paraId="5644AE62" w14:textId="77777777" w:rsidTr="00552295">
        <w:trPr>
          <w:trHeight w:val="70"/>
        </w:trPr>
        <w:tc>
          <w:tcPr>
            <w:tcW w:w="778" w:type="dxa"/>
            <w:vMerge/>
            <w:tcBorders>
              <w:bottom w:val="single" w:sz="4" w:space="0" w:color="auto"/>
            </w:tcBorders>
          </w:tcPr>
          <w:p w14:paraId="409CBB51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4" w:type="dxa"/>
          </w:tcPr>
          <w:p w14:paraId="57CAE85E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E0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Мүмкіндігі шектеулі адамдар үшін қажетті жағдайлар жасау (пандустар, лифтілер, шақыру түймелері, Брайль қарпі, тактильді тақталар және т.б.)</w:t>
            </w:r>
          </w:p>
          <w:p w14:paraId="1E41451A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685" w:type="dxa"/>
          </w:tcPr>
          <w:p w14:paraId="4904BFF3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14:paraId="34256CD4" w14:textId="6B178A4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120AA93" w14:textId="477DD4BF" w:rsidR="002361B6" w:rsidRPr="00227331" w:rsidRDefault="00227331" w:rsidP="00227331">
      <w:pPr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227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*Б</w:t>
      </w:r>
      <w:r w:rsidRPr="00227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ұзушылықтар болуы 0 балл</w:t>
      </w:r>
    </w:p>
    <w:p w14:paraId="7655C0FA" w14:textId="52D91CB9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954"/>
        <w:gridCol w:w="5077"/>
        <w:gridCol w:w="3807"/>
      </w:tblGrid>
      <w:tr w:rsidR="002361B6" w:rsidRPr="00227331" w14:paraId="6083DF0A" w14:textId="77777777" w:rsidTr="00552295">
        <w:trPr>
          <w:trHeight w:val="1778"/>
        </w:trPr>
        <w:tc>
          <w:tcPr>
            <w:tcW w:w="954" w:type="dxa"/>
          </w:tcPr>
          <w:p w14:paraId="7AAC83A5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077" w:type="dxa"/>
          </w:tcPr>
          <w:p w14:paraId="474345FB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807" w:type="dxa"/>
          </w:tcPr>
          <w:p w14:paraId="7AE07D88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5E0B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«Үздік сапалы қызмет көрсетуші» республикалық конкурсын өткізу жөніндегі әдістемелік ұсынымдарға </w:t>
            </w:r>
            <w:r w:rsidRPr="005E0B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br/>
              <w:t>2-қосымша</w:t>
            </w:r>
          </w:p>
          <w:p w14:paraId="113CB1F6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361B6" w:rsidRPr="005E0B54" w14:paraId="358F248D" w14:textId="77777777" w:rsidTr="00552295">
        <w:trPr>
          <w:trHeight w:val="602"/>
        </w:trPr>
        <w:tc>
          <w:tcPr>
            <w:tcW w:w="954" w:type="dxa"/>
          </w:tcPr>
          <w:p w14:paraId="3E107712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077" w:type="dxa"/>
          </w:tcPr>
          <w:p w14:paraId="18B4D1B9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807" w:type="dxa"/>
          </w:tcPr>
          <w:p w14:paraId="6BDE5410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0B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Комиссияның Төрағасы</w:t>
            </w:r>
          </w:p>
          <w:p w14:paraId="4B4BC9F2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2361B6" w:rsidRPr="005E0B54" w14:paraId="60DF861E" w14:textId="77777777" w:rsidTr="00552295">
        <w:trPr>
          <w:trHeight w:val="293"/>
        </w:trPr>
        <w:tc>
          <w:tcPr>
            <w:tcW w:w="954" w:type="dxa"/>
          </w:tcPr>
          <w:p w14:paraId="4F7A14AE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</w:tcPr>
          <w:p w14:paraId="197840CA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</w:tcPr>
          <w:p w14:paraId="355A363D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</w:tc>
      </w:tr>
      <w:tr w:rsidR="002361B6" w:rsidRPr="005E0B54" w14:paraId="362B933B" w14:textId="77777777" w:rsidTr="00552295">
        <w:trPr>
          <w:trHeight w:val="1916"/>
        </w:trPr>
        <w:tc>
          <w:tcPr>
            <w:tcW w:w="954" w:type="dxa"/>
          </w:tcPr>
          <w:p w14:paraId="7A29236F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</w:tcPr>
          <w:p w14:paraId="174140CE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</w:tcPr>
          <w:p w14:paraId="3D5FCC78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14:paraId="1F33E2D3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14:paraId="24917A37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14:paraId="7C0A6758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5E0B54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 w:eastAsia="ru-RU"/>
              </w:rPr>
              <w:t xml:space="preserve">қызмет көрсетушінің басшысының немесе басшы орынбасарының Т.А.Ә. және лауазымы </w:t>
            </w:r>
          </w:p>
        </w:tc>
      </w:tr>
      <w:tr w:rsidR="002361B6" w:rsidRPr="005E0B54" w14:paraId="458FD4B5" w14:textId="77777777" w:rsidTr="00552295">
        <w:trPr>
          <w:trHeight w:val="293"/>
        </w:trPr>
        <w:tc>
          <w:tcPr>
            <w:tcW w:w="954" w:type="dxa"/>
          </w:tcPr>
          <w:p w14:paraId="40BC0671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077" w:type="dxa"/>
          </w:tcPr>
          <w:p w14:paraId="084FE5E3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807" w:type="dxa"/>
          </w:tcPr>
          <w:p w14:paraId="7C32D7DB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0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________________</w:t>
            </w:r>
            <w:r w:rsidRPr="005E0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</w:t>
            </w:r>
          </w:p>
        </w:tc>
      </w:tr>
      <w:tr w:rsidR="002361B6" w:rsidRPr="005E0B54" w14:paraId="4BE1A1DB" w14:textId="77777777" w:rsidTr="00552295">
        <w:trPr>
          <w:trHeight w:val="293"/>
        </w:trPr>
        <w:tc>
          <w:tcPr>
            <w:tcW w:w="954" w:type="dxa"/>
          </w:tcPr>
          <w:p w14:paraId="39E0102D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077" w:type="dxa"/>
          </w:tcPr>
          <w:p w14:paraId="63D961D1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807" w:type="dxa"/>
          </w:tcPr>
          <w:p w14:paraId="258A761B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0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___________________</w:t>
            </w:r>
          </w:p>
        </w:tc>
      </w:tr>
      <w:tr w:rsidR="002361B6" w:rsidRPr="005E0B54" w14:paraId="13C167CF" w14:textId="77777777" w:rsidTr="00552295">
        <w:trPr>
          <w:trHeight w:val="293"/>
        </w:trPr>
        <w:tc>
          <w:tcPr>
            <w:tcW w:w="954" w:type="dxa"/>
          </w:tcPr>
          <w:p w14:paraId="2A0B234E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077" w:type="dxa"/>
          </w:tcPr>
          <w:p w14:paraId="08562B86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807" w:type="dxa"/>
          </w:tcPr>
          <w:p w14:paraId="6CD07264" w14:textId="77777777" w:rsidR="002361B6" w:rsidRPr="005E0B54" w:rsidRDefault="002361B6" w:rsidP="002361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14:paraId="6E2FC03E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D21A74D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Өтініш</w:t>
      </w:r>
    </w:p>
    <w:p w14:paraId="0F1C4091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5BD70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0DA14576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i/>
          <w:sz w:val="20"/>
          <w:szCs w:val="28"/>
          <w:lang w:val="kk-KZ" w:eastAsia="ru-RU"/>
        </w:rPr>
        <w:t>(мемлекеттік органың немесе ұйымның – қызмет көретушінің атауы)</w:t>
      </w:r>
    </w:p>
    <w:p w14:paraId="7EF27630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«Үздік сапалы қызмет көрсетуші» республикалық конкурсына қатысуға рұқсат беруіңізді сұраймын. </w:t>
      </w:r>
    </w:p>
    <w:p w14:paraId="36AD03BA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 көрсетушінің өкіл(дер)і_______________________________</w:t>
      </w:r>
    </w:p>
    <w:p w14:paraId="2674CCD1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               </w:t>
      </w:r>
      <w:r w:rsidRPr="005E0B54">
        <w:rPr>
          <w:rFonts w:ascii="Times New Roman" w:eastAsia="Times New Roman" w:hAnsi="Times New Roman" w:cs="Times New Roman"/>
          <w:i/>
          <w:sz w:val="20"/>
          <w:szCs w:val="28"/>
          <w:lang w:val="kk-KZ" w:eastAsia="ru-RU"/>
        </w:rPr>
        <w:t>(қызметкер(лер)дің Т.А.Ә. лауазымы)</w:t>
      </w:r>
    </w:p>
    <w:p w14:paraId="69E22406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5E0B54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Қосымша:</w:t>
      </w:r>
      <w:r w:rsidRPr="005E0B54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</w:p>
    <w:p w14:paraId="238CD991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5E0B54">
        <w:rPr>
          <w:rFonts w:ascii="Times New Roman" w:eastAsia="Calibri" w:hAnsi="Times New Roman" w:cs="Times New Roman"/>
          <w:i/>
          <w:sz w:val="24"/>
          <w:szCs w:val="24"/>
          <w:lang w:val="kk-KZ"/>
        </w:rPr>
        <w:t>1)Фотосурет (файл форматы: JPEG немесе PNG)</w:t>
      </w:r>
    </w:p>
    <w:p w14:paraId="6D834BEA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5E0B54">
        <w:rPr>
          <w:rFonts w:ascii="Times New Roman" w:eastAsia="Calibri" w:hAnsi="Times New Roman" w:cs="Times New Roman"/>
          <w:i/>
          <w:sz w:val="24"/>
          <w:szCs w:val="24"/>
          <w:lang w:val="kk-KZ"/>
        </w:rPr>
        <w:t>2) Өмірбаяны (Word мәтіндік форматында)</w:t>
      </w:r>
    </w:p>
    <w:p w14:paraId="610451B5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5E0B54">
        <w:rPr>
          <w:rFonts w:ascii="Times New Roman" w:eastAsia="Calibri" w:hAnsi="Times New Roman" w:cs="Times New Roman"/>
          <w:i/>
          <w:sz w:val="24"/>
          <w:szCs w:val="24"/>
          <w:lang w:val="kk-KZ"/>
        </w:rPr>
        <w:t>3) Бейнеролик (файл форматы: МР4)</w:t>
      </w:r>
    </w:p>
    <w:p w14:paraId="7DBF76C6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</w:p>
    <w:p w14:paraId="353C8AF5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  <w:r w:rsidRPr="005E0B54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*Мен өзімнің жеке деректерімді жинауға, өңдеуге, сақтауға, пайдалануға, сондай-ақ таратылуына келісім беремін, соның ішінде менің қатысуыммен түсірілген ақпарат пен көрнекі материалдардың (фото/видео) ашық дереккөздерде (ресми интернет-ресурстарда, БАҚ-та, әлеуметтік желілерде және басқа ақпараттық платформаларда) орналастырылуына келісімімді білдіремін.</w:t>
      </w:r>
    </w:p>
    <w:p w14:paraId="6EABAAC0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AC2681C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Конкурстың шарттарымен таныстым және келісемін.</w:t>
      </w:r>
    </w:p>
    <w:p w14:paraId="1F20C46E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71C63A9" w14:textId="77777777" w:rsidR="002361B6" w:rsidRPr="005E0B54" w:rsidRDefault="002361B6" w:rsidP="002361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_________________            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 ____________________________</w:t>
      </w:r>
    </w:p>
    <w:p w14:paraId="272830F9" w14:textId="77777777" w:rsidR="002361B6" w:rsidRPr="002361B6" w:rsidRDefault="002361B6" w:rsidP="002361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(күні)                           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  </w:t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5E0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(қолы)</w:t>
      </w:r>
    </w:p>
    <w:p w14:paraId="4BEB8D7C" w14:textId="77777777" w:rsidR="002361B6" w:rsidRPr="002361B6" w:rsidRDefault="002361B6" w:rsidP="002361B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</w:p>
    <w:p w14:paraId="269F9D66" w14:textId="77777777" w:rsidR="002361B6" w:rsidRPr="002361B6" w:rsidRDefault="002361B6" w:rsidP="002361B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</w:p>
    <w:p w14:paraId="20CFB788" w14:textId="77777777" w:rsidR="002361B6" w:rsidRPr="00755DBC" w:rsidRDefault="002361B6" w:rsidP="0039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sectPr w:rsidR="002361B6" w:rsidRPr="00755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14C2"/>
    <w:multiLevelType w:val="multilevel"/>
    <w:tmpl w:val="F6D871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70DBC"/>
    <w:multiLevelType w:val="multilevel"/>
    <w:tmpl w:val="390A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845BD"/>
    <w:multiLevelType w:val="multilevel"/>
    <w:tmpl w:val="DE4ED0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71872"/>
    <w:multiLevelType w:val="multilevel"/>
    <w:tmpl w:val="3F24CC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049B3"/>
    <w:multiLevelType w:val="multilevel"/>
    <w:tmpl w:val="E056FE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61131"/>
    <w:multiLevelType w:val="multilevel"/>
    <w:tmpl w:val="BCB0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D220E"/>
    <w:multiLevelType w:val="multilevel"/>
    <w:tmpl w:val="D3A645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736278"/>
    <w:multiLevelType w:val="multilevel"/>
    <w:tmpl w:val="09EC12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9A1F2B"/>
    <w:multiLevelType w:val="multilevel"/>
    <w:tmpl w:val="3886D08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D1426"/>
    <w:multiLevelType w:val="multilevel"/>
    <w:tmpl w:val="758AA7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45D84"/>
    <w:multiLevelType w:val="multilevel"/>
    <w:tmpl w:val="930CAB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054C9"/>
    <w:multiLevelType w:val="multilevel"/>
    <w:tmpl w:val="38AA41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A3A3C"/>
    <w:multiLevelType w:val="multilevel"/>
    <w:tmpl w:val="A74815D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321C80"/>
    <w:multiLevelType w:val="multilevel"/>
    <w:tmpl w:val="5BD21290"/>
    <w:lvl w:ilvl="0">
      <w:start w:val="1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4" w15:restartNumberingAfterBreak="0">
    <w:nsid w:val="4F1E74B1"/>
    <w:multiLevelType w:val="multilevel"/>
    <w:tmpl w:val="0AFE1D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006C1"/>
    <w:multiLevelType w:val="multilevel"/>
    <w:tmpl w:val="41E67BD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A2EE2"/>
    <w:multiLevelType w:val="multilevel"/>
    <w:tmpl w:val="A09AC4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475EA"/>
    <w:multiLevelType w:val="multilevel"/>
    <w:tmpl w:val="CEF2B1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DF1AE0"/>
    <w:multiLevelType w:val="multilevel"/>
    <w:tmpl w:val="C57218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9B4140"/>
    <w:multiLevelType w:val="multilevel"/>
    <w:tmpl w:val="8C9012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E50559"/>
    <w:multiLevelType w:val="multilevel"/>
    <w:tmpl w:val="14FA20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2C389B"/>
    <w:multiLevelType w:val="multilevel"/>
    <w:tmpl w:val="EA7C40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A45390"/>
    <w:multiLevelType w:val="multilevel"/>
    <w:tmpl w:val="625867C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DB5D38"/>
    <w:multiLevelType w:val="multilevel"/>
    <w:tmpl w:val="D9B4768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BC234B"/>
    <w:multiLevelType w:val="multilevel"/>
    <w:tmpl w:val="D5B07C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7"/>
  </w:num>
  <w:num w:numId="5">
    <w:abstractNumId w:val="16"/>
  </w:num>
  <w:num w:numId="6">
    <w:abstractNumId w:val="24"/>
  </w:num>
  <w:num w:numId="7">
    <w:abstractNumId w:val="0"/>
  </w:num>
  <w:num w:numId="8">
    <w:abstractNumId w:val="6"/>
  </w:num>
  <w:num w:numId="9">
    <w:abstractNumId w:val="1"/>
  </w:num>
  <w:num w:numId="10">
    <w:abstractNumId w:val="18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20"/>
  </w:num>
  <w:num w:numId="16">
    <w:abstractNumId w:val="21"/>
  </w:num>
  <w:num w:numId="17">
    <w:abstractNumId w:val="15"/>
  </w:num>
  <w:num w:numId="18">
    <w:abstractNumId w:val="22"/>
  </w:num>
  <w:num w:numId="19">
    <w:abstractNumId w:val="3"/>
  </w:num>
  <w:num w:numId="20">
    <w:abstractNumId w:val="19"/>
  </w:num>
  <w:num w:numId="21">
    <w:abstractNumId w:val="12"/>
  </w:num>
  <w:num w:numId="22">
    <w:abstractNumId w:val="11"/>
  </w:num>
  <w:num w:numId="23">
    <w:abstractNumId w:val="8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6D"/>
    <w:rsid w:val="0003408A"/>
    <w:rsid w:val="00101188"/>
    <w:rsid w:val="001A4A1B"/>
    <w:rsid w:val="00227331"/>
    <w:rsid w:val="002361B6"/>
    <w:rsid w:val="00260699"/>
    <w:rsid w:val="00355636"/>
    <w:rsid w:val="00394DAE"/>
    <w:rsid w:val="003B38F3"/>
    <w:rsid w:val="004461B2"/>
    <w:rsid w:val="00460A3B"/>
    <w:rsid w:val="004D43F2"/>
    <w:rsid w:val="005313DF"/>
    <w:rsid w:val="005E0B54"/>
    <w:rsid w:val="006A3084"/>
    <w:rsid w:val="00736240"/>
    <w:rsid w:val="00742615"/>
    <w:rsid w:val="00755DBC"/>
    <w:rsid w:val="007600FC"/>
    <w:rsid w:val="008C3779"/>
    <w:rsid w:val="00A251AD"/>
    <w:rsid w:val="00AC4F5A"/>
    <w:rsid w:val="00AD75AA"/>
    <w:rsid w:val="00B019F8"/>
    <w:rsid w:val="00B70223"/>
    <w:rsid w:val="00CB610F"/>
    <w:rsid w:val="00D86658"/>
    <w:rsid w:val="00DD7355"/>
    <w:rsid w:val="00E62F3B"/>
    <w:rsid w:val="00E9436D"/>
    <w:rsid w:val="00F4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8F06"/>
  <w15:chartTrackingRefBased/>
  <w15:docId w15:val="{08ABFB6B-C47B-4FEC-A39A-000C22E3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6A3084"/>
  </w:style>
  <w:style w:type="paragraph" w:styleId="a3">
    <w:name w:val="Normal (Web)"/>
    <w:basedOn w:val="a"/>
    <w:uiPriority w:val="99"/>
    <w:semiHidden/>
    <w:unhideWhenUsed/>
    <w:rsid w:val="006A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75AA"/>
    <w:pPr>
      <w:ind w:left="720"/>
      <w:contextualSpacing/>
    </w:pPr>
  </w:style>
  <w:style w:type="character" w:styleId="a5">
    <w:name w:val="Strong"/>
    <w:basedOn w:val="a0"/>
    <w:uiPriority w:val="22"/>
    <w:qFormat/>
    <w:rsid w:val="00A25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8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Kanagat Sharipbek</dc:creator>
  <cp:keywords/>
  <dc:description/>
  <cp:lastModifiedBy>Раслана Салманова</cp:lastModifiedBy>
  <cp:revision>11</cp:revision>
  <cp:lastPrinted>2026-04-15T14:47:00Z</cp:lastPrinted>
  <dcterms:created xsi:type="dcterms:W3CDTF">2026-04-15T10:32:00Z</dcterms:created>
  <dcterms:modified xsi:type="dcterms:W3CDTF">2026-04-15T14:49:00Z</dcterms:modified>
</cp:coreProperties>
</file>