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A7642" w14:textId="3FC42281" w:rsidR="00EF4E93" w:rsidRPr="00B974B6" w:rsidRDefault="00386737" w:rsidP="00EF4E93">
      <w:r w:rsidRPr="00B974B6">
        <w:rPr>
          <w:lang w:val="kk-KZ"/>
        </w:rPr>
        <w:t xml:space="preserve">             </w:t>
      </w:r>
      <w:r w:rsidR="00DA79A3" w:rsidRPr="00B974B6">
        <w:rPr>
          <w:lang w:val="kk-KZ"/>
        </w:rPr>
        <w:t xml:space="preserve">         </w:t>
      </w:r>
      <w:r w:rsidR="00D9212E" w:rsidRPr="00B974B6">
        <w:t>Алматы</w:t>
      </w:r>
      <w:r w:rsidR="00D9212E" w:rsidRPr="00B974B6">
        <w:rPr>
          <w:lang w:val="kk-KZ"/>
        </w:rPr>
        <w:t xml:space="preserve"> </w:t>
      </w:r>
      <w:r w:rsidR="00EF4E93" w:rsidRPr="00B974B6">
        <w:rPr>
          <w:lang w:val="kk-KZ"/>
        </w:rPr>
        <w:t>қ</w:t>
      </w:r>
      <w:proofErr w:type="spellStart"/>
      <w:r w:rsidR="00EF4E93" w:rsidRPr="00B974B6">
        <w:t>аласы</w:t>
      </w:r>
      <w:proofErr w:type="spellEnd"/>
      <w:r w:rsidR="00EF4E93" w:rsidRPr="00B974B6">
        <w:rPr>
          <w:lang w:val="kk-KZ"/>
        </w:rPr>
        <w:t xml:space="preserve">                                  </w:t>
      </w:r>
      <w:bookmarkStart w:id="0" w:name="_GoBack"/>
      <w:bookmarkEnd w:id="0"/>
      <w:r w:rsidR="00EF4E93" w:rsidRPr="00B974B6">
        <w:rPr>
          <w:lang w:val="kk-KZ"/>
        </w:rPr>
        <w:t xml:space="preserve">                                                            </w:t>
      </w:r>
      <w:r w:rsidRPr="00B974B6">
        <w:rPr>
          <w:lang w:val="kk-KZ"/>
        </w:rPr>
        <w:t xml:space="preserve"> </w:t>
      </w:r>
      <w:r w:rsidR="00EF4E93" w:rsidRPr="00B974B6">
        <w:rPr>
          <w:lang w:val="kk-KZ"/>
        </w:rPr>
        <w:t xml:space="preserve">           </w:t>
      </w:r>
      <w:proofErr w:type="spellStart"/>
      <w:r w:rsidR="00EF4E93" w:rsidRPr="00B974B6">
        <w:rPr>
          <w:lang w:val="kk-KZ"/>
        </w:rPr>
        <w:t>город</w:t>
      </w:r>
      <w:proofErr w:type="spellEnd"/>
      <w:r w:rsidR="00EF4E93" w:rsidRPr="00B974B6">
        <w:rPr>
          <w:lang w:val="kk-KZ"/>
        </w:rPr>
        <w:t xml:space="preserve"> </w:t>
      </w:r>
      <w:r w:rsidR="00D9212E" w:rsidRPr="00B974B6">
        <w:t>Алматы</w:t>
      </w:r>
    </w:p>
    <w:p w14:paraId="660791C6" w14:textId="77777777" w:rsidR="005C14F1" w:rsidRDefault="005C14F1" w:rsidP="00934587"/>
    <w:p w14:paraId="4B7043ED" w14:textId="626C7598" w:rsidR="0094678B" w:rsidRDefault="0094678B" w:rsidP="00934587"/>
    <w:p w14:paraId="467F27CC" w14:textId="77777777" w:rsidR="00D9212E" w:rsidRPr="00573BD5" w:rsidRDefault="00D9212E" w:rsidP="00D9212E">
      <w:pPr>
        <w:overflowPunct/>
        <w:autoSpaceDE/>
        <w:adjustRightInd/>
        <w:ind w:firstLine="709"/>
        <w:jc w:val="center"/>
        <w:rPr>
          <w:b/>
          <w:sz w:val="28"/>
          <w:szCs w:val="28"/>
        </w:rPr>
      </w:pPr>
      <w:r w:rsidRPr="00573BD5">
        <w:rPr>
          <w:b/>
          <w:sz w:val="28"/>
          <w:szCs w:val="28"/>
        </w:rPr>
        <w:t>Об утверждении Правил установления признаков контроля, признаков крупного участника банка, банковского холдинга, значительного участия в капитале организации и внесении изменений в</w:t>
      </w:r>
      <w:r w:rsidRPr="00573BD5">
        <w:t xml:space="preserve"> </w:t>
      </w:r>
      <w:r w:rsidRPr="00573BD5">
        <w:rPr>
          <w:b/>
          <w:sz w:val="28"/>
          <w:szCs w:val="28"/>
        </w:rPr>
        <w:t>постановление Правления Национального Банка Республики Казахстан от 2 июля 2019 года № 113 «Об установлении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w:t>
      </w:r>
    </w:p>
    <w:p w14:paraId="1726A710" w14:textId="77777777" w:rsidR="00D9212E" w:rsidRDefault="00D9212E" w:rsidP="00D9212E">
      <w:pPr>
        <w:overflowPunct/>
        <w:autoSpaceDE/>
        <w:adjustRightInd/>
        <w:ind w:firstLine="709"/>
        <w:jc w:val="center"/>
        <w:rPr>
          <w:sz w:val="28"/>
          <w:szCs w:val="28"/>
        </w:rPr>
      </w:pPr>
    </w:p>
    <w:p w14:paraId="40E3BE25" w14:textId="77777777" w:rsidR="00D9212E" w:rsidRPr="00573BD5" w:rsidRDefault="00D9212E" w:rsidP="00D9212E">
      <w:pPr>
        <w:overflowPunct/>
        <w:autoSpaceDE/>
        <w:adjustRightInd/>
        <w:ind w:firstLine="709"/>
        <w:jc w:val="center"/>
        <w:rPr>
          <w:sz w:val="28"/>
          <w:szCs w:val="28"/>
        </w:rPr>
      </w:pPr>
    </w:p>
    <w:p w14:paraId="7C026728" w14:textId="77777777" w:rsidR="00D9212E" w:rsidRPr="00573BD5" w:rsidRDefault="00D9212E" w:rsidP="00D9212E">
      <w:pPr>
        <w:overflowPunct/>
        <w:autoSpaceDE/>
        <w:adjustRightInd/>
        <w:ind w:firstLine="709"/>
        <w:jc w:val="both"/>
        <w:rPr>
          <w:rFonts w:eastAsia="Calibri"/>
          <w:sz w:val="28"/>
          <w:szCs w:val="28"/>
        </w:rPr>
      </w:pPr>
      <w:r w:rsidRPr="00573BD5">
        <w:rPr>
          <w:rFonts w:eastAsia="Calibri"/>
          <w:sz w:val="28"/>
          <w:szCs w:val="28"/>
        </w:rPr>
        <w:t xml:space="preserve">В соответствии с абзацем пятым подпункта 4), абзацем третьим подпункта 10), абзацем третьим подпункта 11), абзацем первым подпункта 35) статьи 1, подпунктом 8) пункта 5, подпунктом 6) пункта 6, пунктом 12 статьи 9 Закона Республики Казахстан «О банках и банковской деятельности» Правление Агентства Республики Казахстан по регулированию и развитию финансового рынка </w:t>
      </w:r>
      <w:r w:rsidRPr="00573BD5">
        <w:rPr>
          <w:rFonts w:eastAsia="Calibri"/>
          <w:b/>
          <w:sz w:val="28"/>
          <w:szCs w:val="28"/>
        </w:rPr>
        <w:t>ПОСТАНОВЛЯЕТ</w:t>
      </w:r>
      <w:r w:rsidRPr="00573BD5">
        <w:rPr>
          <w:rFonts w:eastAsia="Calibri"/>
          <w:sz w:val="28"/>
          <w:szCs w:val="28"/>
        </w:rPr>
        <w:t>:</w:t>
      </w:r>
    </w:p>
    <w:p w14:paraId="033C61F2" w14:textId="77777777" w:rsidR="00D9212E" w:rsidRPr="00573BD5" w:rsidRDefault="00D9212E" w:rsidP="00D9212E">
      <w:pPr>
        <w:overflowPunct/>
        <w:autoSpaceDE/>
        <w:adjustRightInd/>
        <w:ind w:firstLine="709"/>
        <w:jc w:val="both"/>
        <w:rPr>
          <w:rFonts w:eastAsia="Calibri"/>
          <w:sz w:val="28"/>
          <w:szCs w:val="28"/>
        </w:rPr>
      </w:pPr>
      <w:r w:rsidRPr="00573BD5">
        <w:rPr>
          <w:rFonts w:eastAsia="Calibri"/>
          <w:sz w:val="28"/>
          <w:szCs w:val="28"/>
        </w:rPr>
        <w:t>1. Утвердить прилагаемые Правила установления признаков контроля, признаков крупного участника банка, банковского холдинга, значительного участия в капитале организации.</w:t>
      </w:r>
    </w:p>
    <w:p w14:paraId="3E86307E" w14:textId="77777777" w:rsidR="00D9212E" w:rsidRPr="00573BD5" w:rsidRDefault="00D9212E" w:rsidP="00D9212E">
      <w:pPr>
        <w:overflowPunct/>
        <w:autoSpaceDE/>
        <w:adjustRightInd/>
        <w:ind w:firstLine="709"/>
        <w:jc w:val="both"/>
        <w:rPr>
          <w:bCs/>
          <w:sz w:val="28"/>
          <w:szCs w:val="28"/>
        </w:rPr>
      </w:pPr>
      <w:r w:rsidRPr="00573BD5">
        <w:rPr>
          <w:rFonts w:eastAsia="Calibri"/>
          <w:sz w:val="28"/>
          <w:szCs w:val="28"/>
        </w:rPr>
        <w:t xml:space="preserve">2. Внести в </w:t>
      </w:r>
      <w:r w:rsidRPr="00573BD5">
        <w:rPr>
          <w:bCs/>
          <w:sz w:val="28"/>
          <w:szCs w:val="28"/>
        </w:rPr>
        <w:t>постановление Правления Национального Банка Республики Казахстан от 2 июля 2019 года № 113 «Об установлении случая наличия возможности одного лица самостоятельно либо совместно с одним или несколькими лицами определять решения юридического лица иным образом» (зарегистрировано в Реестре государственной регистрации нормативных правовых актов под № 18996)</w:t>
      </w:r>
      <w:r w:rsidRPr="00573BD5">
        <w:rPr>
          <w:rFonts w:eastAsia="Calibri"/>
          <w:sz w:val="28"/>
          <w:szCs w:val="28"/>
        </w:rPr>
        <w:t xml:space="preserve"> следующие изменения:</w:t>
      </w:r>
    </w:p>
    <w:p w14:paraId="3CFF38BA" w14:textId="77777777" w:rsidR="00D9212E" w:rsidRPr="00573BD5" w:rsidRDefault="00D9212E" w:rsidP="00D9212E">
      <w:pPr>
        <w:overflowPunct/>
        <w:autoSpaceDE/>
        <w:adjustRightInd/>
        <w:ind w:firstLine="709"/>
        <w:jc w:val="both"/>
        <w:rPr>
          <w:bCs/>
          <w:sz w:val="28"/>
          <w:szCs w:val="28"/>
        </w:rPr>
      </w:pPr>
      <w:r w:rsidRPr="00573BD5">
        <w:rPr>
          <w:bCs/>
          <w:sz w:val="28"/>
          <w:szCs w:val="28"/>
        </w:rPr>
        <w:t>заголовок изложить в следующей редакции:</w:t>
      </w:r>
    </w:p>
    <w:p w14:paraId="26301814" w14:textId="77777777" w:rsidR="00D9212E" w:rsidRPr="00573BD5" w:rsidRDefault="00D9212E" w:rsidP="00D9212E">
      <w:pPr>
        <w:overflowPunct/>
        <w:autoSpaceDE/>
        <w:adjustRightInd/>
        <w:ind w:firstLine="709"/>
        <w:jc w:val="both"/>
        <w:rPr>
          <w:bCs/>
          <w:sz w:val="28"/>
          <w:szCs w:val="28"/>
        </w:rPr>
      </w:pPr>
      <w:r w:rsidRPr="00573BD5">
        <w:rPr>
          <w:bCs/>
          <w:sz w:val="28"/>
          <w:szCs w:val="28"/>
        </w:rPr>
        <w:t xml:space="preserve">«Об установлении случая наличия возможности одного лица самостоятельно либо совместно с одним или несколькими лицами определять </w:t>
      </w:r>
      <w:r w:rsidRPr="00573BD5">
        <w:rPr>
          <w:bCs/>
          <w:sz w:val="28"/>
          <w:szCs w:val="28"/>
        </w:rPr>
        <w:lastRenderedPageBreak/>
        <w:t>решения юридического лица или организации, не являющейся юридическим лицом, иным образом»;</w:t>
      </w:r>
    </w:p>
    <w:p w14:paraId="1E188F4F" w14:textId="77777777" w:rsidR="00D9212E" w:rsidRPr="00573BD5" w:rsidRDefault="00D9212E" w:rsidP="00D9212E">
      <w:pPr>
        <w:overflowPunct/>
        <w:autoSpaceDE/>
        <w:adjustRightInd/>
        <w:ind w:firstLine="709"/>
        <w:jc w:val="both"/>
        <w:rPr>
          <w:bCs/>
          <w:sz w:val="28"/>
          <w:szCs w:val="28"/>
        </w:rPr>
      </w:pPr>
      <w:r w:rsidRPr="00573BD5">
        <w:rPr>
          <w:bCs/>
          <w:sz w:val="28"/>
          <w:szCs w:val="28"/>
        </w:rPr>
        <w:t>преамбулу и пункт 1 изложить в следующей редакции:</w:t>
      </w:r>
    </w:p>
    <w:p w14:paraId="2F3E8D96" w14:textId="77777777" w:rsidR="00D9212E" w:rsidRPr="00764BF1" w:rsidRDefault="00D9212E" w:rsidP="00D9212E">
      <w:pPr>
        <w:overflowPunct/>
        <w:autoSpaceDE/>
        <w:adjustRightInd/>
        <w:ind w:firstLine="709"/>
        <w:jc w:val="both"/>
        <w:rPr>
          <w:bCs/>
          <w:sz w:val="28"/>
          <w:szCs w:val="28"/>
        </w:rPr>
      </w:pPr>
      <w:r w:rsidRPr="00573BD5">
        <w:rPr>
          <w:bCs/>
          <w:sz w:val="28"/>
          <w:szCs w:val="28"/>
        </w:rPr>
        <w:t xml:space="preserve">«В соответствии с </w:t>
      </w:r>
      <w:r w:rsidRPr="00764BF1">
        <w:rPr>
          <w:rFonts w:eastAsia="Calibri"/>
          <w:sz w:val="28"/>
          <w:szCs w:val="28"/>
        </w:rPr>
        <w:t xml:space="preserve">подпунктом 3) статьи </w:t>
      </w:r>
      <w:r w:rsidRPr="00764BF1">
        <w:rPr>
          <w:bCs/>
          <w:sz w:val="28"/>
          <w:szCs w:val="28"/>
        </w:rPr>
        <w:t>3 Закона Республики Казахстан «О страховой деятельности» Правление Национального Банка Республики Казахстан ПОСТАНОВЛЯЕТ:</w:t>
      </w:r>
    </w:p>
    <w:p w14:paraId="0DCA7CB3" w14:textId="77777777" w:rsidR="00D9212E" w:rsidRPr="00573BD5" w:rsidRDefault="00D9212E" w:rsidP="00D9212E">
      <w:pPr>
        <w:tabs>
          <w:tab w:val="left" w:pos="709"/>
        </w:tabs>
        <w:ind w:firstLine="709"/>
        <w:jc w:val="both"/>
        <w:rPr>
          <w:bCs/>
          <w:sz w:val="28"/>
          <w:szCs w:val="28"/>
        </w:rPr>
      </w:pPr>
      <w:r w:rsidRPr="00764BF1">
        <w:rPr>
          <w:bCs/>
          <w:sz w:val="28"/>
          <w:szCs w:val="28"/>
        </w:rPr>
        <w:t>1. Установить случай наличия возможности одного лица самостоятельно либо совместно с одним или несколькими лицами определять решения юридического лица или</w:t>
      </w:r>
      <w:r w:rsidRPr="00764BF1">
        <w:t xml:space="preserve"> </w:t>
      </w:r>
      <w:r w:rsidRPr="00764BF1">
        <w:rPr>
          <w:bCs/>
          <w:sz w:val="28"/>
          <w:szCs w:val="28"/>
        </w:rPr>
        <w:t>организации, не являющейся юридическим лицом, иным образом, когда одно юридическое лицо финансирует другое юридическое лицо или</w:t>
      </w:r>
      <w:r w:rsidRPr="00764BF1">
        <w:t xml:space="preserve"> </w:t>
      </w:r>
      <w:r w:rsidRPr="00764BF1">
        <w:rPr>
          <w:bCs/>
          <w:sz w:val="28"/>
          <w:szCs w:val="28"/>
        </w:rPr>
        <w:t xml:space="preserve">организацию, не являющуюся юридическим лицом, (далее - организация, являющаяся подконтрольной), должностным лицом (за исключением независимого директора) и (или) крупным акционером (крупным участником) или учредителем, которых являются должностное </w:t>
      </w:r>
      <w:r w:rsidRPr="00573BD5">
        <w:rPr>
          <w:bCs/>
          <w:sz w:val="28"/>
          <w:szCs w:val="28"/>
        </w:rPr>
        <w:t>лицо и (или) руководящий работник (за исключением независимого директора) финансирующего (финансирующих) лица (лиц), в размере, превышающем собственный капитал организации, являющейся подконтрольной.</w:t>
      </w:r>
    </w:p>
    <w:p w14:paraId="2C1EA443" w14:textId="77777777" w:rsidR="00D9212E" w:rsidRPr="00573BD5" w:rsidRDefault="00D9212E" w:rsidP="00D9212E">
      <w:pPr>
        <w:tabs>
          <w:tab w:val="left" w:pos="709"/>
        </w:tabs>
        <w:ind w:firstLine="709"/>
        <w:jc w:val="both"/>
        <w:rPr>
          <w:bCs/>
          <w:sz w:val="28"/>
          <w:szCs w:val="28"/>
        </w:rPr>
      </w:pPr>
      <w:r w:rsidRPr="00573BD5">
        <w:rPr>
          <w:bCs/>
          <w:sz w:val="28"/>
          <w:szCs w:val="28"/>
        </w:rPr>
        <w:t>Для целей настоящего пункта:</w:t>
      </w:r>
    </w:p>
    <w:p w14:paraId="2E9071E3" w14:textId="77777777" w:rsidR="00D9212E" w:rsidRPr="00573BD5" w:rsidRDefault="00D9212E" w:rsidP="00D9212E">
      <w:pPr>
        <w:tabs>
          <w:tab w:val="left" w:pos="709"/>
        </w:tabs>
        <w:ind w:firstLine="709"/>
        <w:jc w:val="both"/>
        <w:rPr>
          <w:bCs/>
          <w:sz w:val="28"/>
          <w:szCs w:val="28"/>
        </w:rPr>
      </w:pPr>
      <w:r w:rsidRPr="00573BD5">
        <w:rPr>
          <w:bCs/>
          <w:sz w:val="28"/>
          <w:szCs w:val="28"/>
        </w:rPr>
        <w:t xml:space="preserve">под организацией, являющейся подконтрольной, понимается юридическое лицо или организация, не являющаяся юридическим лицом, решения которого определяются страховой (перестраховочной) организацией самостоятельно либо совместно с одним или несколькими лицами, либо юридическое лицо, являющееся страховой (перестраховочной)  организацией, решения которого определяются юридическим лицом самостоятельно либо совместно с одним или несколькими лицами; </w:t>
      </w:r>
    </w:p>
    <w:p w14:paraId="766DD93E" w14:textId="77777777" w:rsidR="00D9212E" w:rsidRPr="00573BD5" w:rsidRDefault="00D9212E" w:rsidP="00D9212E">
      <w:pPr>
        <w:tabs>
          <w:tab w:val="left" w:pos="709"/>
        </w:tabs>
        <w:ind w:firstLine="709"/>
        <w:jc w:val="both"/>
        <w:rPr>
          <w:bCs/>
          <w:sz w:val="28"/>
          <w:szCs w:val="28"/>
        </w:rPr>
      </w:pPr>
      <w:r w:rsidRPr="00573BD5">
        <w:rPr>
          <w:bCs/>
          <w:sz w:val="28"/>
          <w:szCs w:val="28"/>
        </w:rPr>
        <w:t xml:space="preserve">под лицом, самостоятельно либо совместно с одним или несколькими лицами определяющим решения юридического лица или организации, не являющейся юридическим лицом, понимается юридическое лицо, самостоятельно либо совместно с одним или несколькими лицами определяющее решения страховой (перестраховочной)  организации, либо страховая (перестраховочная)  организация, самостоятельно либо совместно с одним или несколькими лицами определяющая решения юридического лица </w:t>
      </w:r>
      <w:r w:rsidRPr="00573BD5">
        <w:rPr>
          <w:sz w:val="28"/>
          <w:szCs w:val="28"/>
        </w:rPr>
        <w:t>или организации, не являющейся юридическим лицом</w:t>
      </w:r>
      <w:r w:rsidRPr="00573BD5">
        <w:rPr>
          <w:bCs/>
          <w:sz w:val="28"/>
          <w:szCs w:val="28"/>
        </w:rPr>
        <w:t>.».</w:t>
      </w:r>
    </w:p>
    <w:p w14:paraId="6F34202C" w14:textId="77777777" w:rsidR="00D9212E" w:rsidRPr="00573BD5" w:rsidRDefault="00D9212E" w:rsidP="00D9212E">
      <w:pPr>
        <w:overflowPunct/>
        <w:autoSpaceDE/>
        <w:adjustRightInd/>
        <w:ind w:firstLine="709"/>
        <w:jc w:val="both"/>
        <w:rPr>
          <w:rFonts w:eastAsia="Calibri"/>
          <w:sz w:val="28"/>
          <w:szCs w:val="28"/>
        </w:rPr>
      </w:pPr>
      <w:r w:rsidRPr="00573BD5">
        <w:rPr>
          <w:rFonts w:eastAsia="Calibri"/>
          <w:sz w:val="28"/>
          <w:szCs w:val="28"/>
        </w:rPr>
        <w:t>3. Департаменту банковского регулирования в установленном законодательством Республики Казахстан порядке обеспечить:</w:t>
      </w:r>
    </w:p>
    <w:p w14:paraId="3DC3338B" w14:textId="77777777" w:rsidR="00D9212E" w:rsidRPr="00573BD5" w:rsidRDefault="00D9212E" w:rsidP="00D9212E">
      <w:pPr>
        <w:overflowPunct/>
        <w:autoSpaceDE/>
        <w:adjustRightInd/>
        <w:ind w:firstLine="709"/>
        <w:jc w:val="both"/>
        <w:rPr>
          <w:rFonts w:eastAsia="Calibri"/>
          <w:sz w:val="28"/>
          <w:szCs w:val="28"/>
        </w:rPr>
      </w:pPr>
      <w:r w:rsidRPr="00573BD5">
        <w:rPr>
          <w:rFonts w:eastAsia="Calibri"/>
          <w:sz w:val="28"/>
          <w:szCs w:val="28"/>
        </w:rPr>
        <w:t>1) совместно с Юридическим департаментом государственную регистрацию настоящего постановления в Министерстве юстиции Республики Казахстан;</w:t>
      </w:r>
    </w:p>
    <w:p w14:paraId="049D2335" w14:textId="77777777" w:rsidR="00D9212E" w:rsidRPr="00573BD5" w:rsidRDefault="00D9212E" w:rsidP="00D9212E">
      <w:pPr>
        <w:overflowPunct/>
        <w:autoSpaceDE/>
        <w:adjustRightInd/>
        <w:ind w:firstLine="709"/>
        <w:jc w:val="both"/>
        <w:rPr>
          <w:rFonts w:eastAsia="Calibri"/>
          <w:sz w:val="28"/>
          <w:szCs w:val="28"/>
        </w:rPr>
      </w:pPr>
      <w:r w:rsidRPr="00573BD5">
        <w:rPr>
          <w:rFonts w:eastAsia="Calibri"/>
          <w:sz w:val="28"/>
          <w:szCs w:val="28"/>
        </w:rPr>
        <w:t xml:space="preserve">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p w14:paraId="1B5C5537" w14:textId="77777777" w:rsidR="00D9212E" w:rsidRPr="00573BD5" w:rsidRDefault="00D9212E" w:rsidP="00D9212E">
      <w:pPr>
        <w:overflowPunct/>
        <w:autoSpaceDE/>
        <w:adjustRightInd/>
        <w:ind w:firstLine="709"/>
        <w:jc w:val="both"/>
        <w:rPr>
          <w:rFonts w:eastAsia="Calibri"/>
          <w:sz w:val="28"/>
          <w:szCs w:val="28"/>
        </w:rPr>
      </w:pPr>
      <w:r w:rsidRPr="00573BD5">
        <w:rPr>
          <w:rFonts w:eastAsia="Calibri"/>
          <w:sz w:val="28"/>
          <w:szCs w:val="28"/>
        </w:rPr>
        <w:t xml:space="preserve">3) в течение десяти рабочих дней после государственной регистрации настоящего постановления представление в Юридический департамент </w:t>
      </w:r>
      <w:r w:rsidRPr="00573BD5">
        <w:rPr>
          <w:rFonts w:eastAsia="Calibri"/>
          <w:sz w:val="28"/>
          <w:szCs w:val="28"/>
        </w:rPr>
        <w:lastRenderedPageBreak/>
        <w:t>сведений об исполнении мероприятия, предусмотренного подпунктом 2) настоящего пункта.</w:t>
      </w:r>
    </w:p>
    <w:p w14:paraId="403DD1DB" w14:textId="77777777" w:rsidR="00D9212E" w:rsidRPr="00573BD5" w:rsidRDefault="00D9212E" w:rsidP="00D9212E">
      <w:pPr>
        <w:overflowPunct/>
        <w:autoSpaceDE/>
        <w:adjustRightInd/>
        <w:ind w:firstLine="709"/>
        <w:jc w:val="both"/>
        <w:rPr>
          <w:rFonts w:eastAsia="Calibri"/>
          <w:sz w:val="28"/>
          <w:szCs w:val="28"/>
        </w:rPr>
      </w:pPr>
      <w:r w:rsidRPr="00573BD5">
        <w:rPr>
          <w:rFonts w:eastAsia="Calibri"/>
          <w:sz w:val="28"/>
          <w:szCs w:val="28"/>
        </w:rPr>
        <w:t>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p w14:paraId="75E8340A" w14:textId="72215EAC" w:rsidR="00D9212E" w:rsidRDefault="00D9212E" w:rsidP="00D9212E">
      <w:pPr>
        <w:ind w:firstLine="708"/>
        <w:jc w:val="both"/>
        <w:rPr>
          <w:rFonts w:eastAsia="Calibri"/>
          <w:sz w:val="28"/>
          <w:szCs w:val="28"/>
        </w:rPr>
      </w:pPr>
      <w:r w:rsidRPr="00573BD5">
        <w:rPr>
          <w:rFonts w:eastAsia="Calibri"/>
          <w:sz w:val="28"/>
          <w:szCs w:val="28"/>
        </w:rPr>
        <w:t>5. Настоящее постановление вводится в действие по истечении десяти календарных дней после дня его первого официального опубликования.</w:t>
      </w:r>
    </w:p>
    <w:p w14:paraId="0539E2A6" w14:textId="18B8BF04" w:rsidR="00D9212E" w:rsidRDefault="00D9212E" w:rsidP="00D9212E"/>
    <w:p w14:paraId="0284C596" w14:textId="3A9CC9C2" w:rsidR="00D9212E" w:rsidRDefault="00D9212E" w:rsidP="00D9212E"/>
    <w:p w14:paraId="2BF4EF26" w14:textId="77777777" w:rsidR="00D9212E" w:rsidRDefault="00D9212E" w:rsidP="00D9212E"/>
    <w:tbl>
      <w:tblPr>
        <w:tblStyle w:val="a9"/>
        <w:tblW w:w="836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536"/>
      </w:tblGrid>
      <w:tr w:rsidR="007115B9" w14:paraId="0CF0BD3B" w14:textId="77777777" w:rsidTr="007115B9">
        <w:tc>
          <w:tcPr>
            <w:tcW w:w="3827" w:type="dxa"/>
          </w:tcPr>
          <w:p w14:paraId="0C6A2F0D" w14:textId="77777777" w:rsidR="007115B9" w:rsidRDefault="007115B9">
            <w:pPr>
              <w:rPr>
                <w:b/>
                <w:sz w:val="28"/>
                <w:szCs w:val="28"/>
              </w:rPr>
            </w:pPr>
            <w:r>
              <w:rPr>
                <w:b/>
                <w:sz w:val="28"/>
                <w:szCs w:val="28"/>
              </w:rPr>
              <w:t>Председатель</w:t>
            </w:r>
          </w:p>
          <w:p w14:paraId="609BC1BD" w14:textId="77777777" w:rsidR="007115B9" w:rsidRDefault="007115B9">
            <w:pPr>
              <w:rPr>
                <w:b/>
                <w:sz w:val="28"/>
                <w:szCs w:val="28"/>
              </w:rPr>
            </w:pPr>
            <w:r>
              <w:rPr>
                <w:b/>
                <w:sz w:val="28"/>
                <w:szCs w:val="28"/>
              </w:rPr>
              <w:t xml:space="preserve">Агентства Республики </w:t>
            </w:r>
          </w:p>
          <w:p w14:paraId="52645C75" w14:textId="77777777" w:rsidR="007115B9" w:rsidRDefault="007115B9">
            <w:pPr>
              <w:rPr>
                <w:b/>
                <w:sz w:val="28"/>
                <w:szCs w:val="28"/>
              </w:rPr>
            </w:pPr>
            <w:r>
              <w:rPr>
                <w:b/>
                <w:sz w:val="28"/>
                <w:szCs w:val="28"/>
              </w:rPr>
              <w:t>Казахстан по регулированию и развитию финансового рынка</w:t>
            </w:r>
          </w:p>
          <w:p w14:paraId="6F3BC473" w14:textId="77777777" w:rsidR="007115B9" w:rsidRDefault="007115B9">
            <w:pPr>
              <w:rPr>
                <w:b/>
                <w:sz w:val="28"/>
                <w:szCs w:val="28"/>
              </w:rPr>
            </w:pPr>
          </w:p>
        </w:tc>
        <w:tc>
          <w:tcPr>
            <w:tcW w:w="4536" w:type="dxa"/>
          </w:tcPr>
          <w:p w14:paraId="62EC68B6" w14:textId="77777777" w:rsidR="007115B9" w:rsidRDefault="007115B9">
            <w:pPr>
              <w:jc w:val="right"/>
              <w:rPr>
                <w:b/>
                <w:sz w:val="28"/>
                <w:szCs w:val="28"/>
              </w:rPr>
            </w:pPr>
          </w:p>
          <w:p w14:paraId="2279EE8D" w14:textId="77777777" w:rsidR="007115B9" w:rsidRDefault="007115B9">
            <w:pPr>
              <w:jc w:val="right"/>
              <w:rPr>
                <w:b/>
                <w:sz w:val="28"/>
                <w:szCs w:val="28"/>
              </w:rPr>
            </w:pPr>
          </w:p>
          <w:p w14:paraId="3AC1684C" w14:textId="77777777" w:rsidR="007115B9" w:rsidRDefault="007115B9">
            <w:pPr>
              <w:jc w:val="right"/>
              <w:rPr>
                <w:b/>
                <w:sz w:val="28"/>
                <w:szCs w:val="28"/>
              </w:rPr>
            </w:pPr>
          </w:p>
          <w:p w14:paraId="28CAF39E" w14:textId="77777777" w:rsidR="007115B9" w:rsidRDefault="007115B9">
            <w:pPr>
              <w:jc w:val="right"/>
              <w:rPr>
                <w:b/>
                <w:sz w:val="28"/>
                <w:szCs w:val="28"/>
              </w:rPr>
            </w:pPr>
            <w:r>
              <w:rPr>
                <w:b/>
                <w:sz w:val="28"/>
                <w:szCs w:val="28"/>
              </w:rPr>
              <w:t xml:space="preserve">М. </w:t>
            </w:r>
            <w:proofErr w:type="spellStart"/>
            <w:r>
              <w:rPr>
                <w:b/>
                <w:sz w:val="28"/>
                <w:szCs w:val="28"/>
              </w:rPr>
              <w:t>Абылкасымова</w:t>
            </w:r>
            <w:proofErr w:type="spellEnd"/>
          </w:p>
        </w:tc>
      </w:tr>
    </w:tbl>
    <w:p w14:paraId="63E37AF5" w14:textId="74883281" w:rsidR="007115B9" w:rsidRDefault="007115B9" w:rsidP="00934587"/>
    <w:p w14:paraId="28066B96" w14:textId="77777777" w:rsidR="007115B9" w:rsidRDefault="007115B9">
      <w:pPr>
        <w:overflowPunct/>
        <w:autoSpaceDE/>
        <w:autoSpaceDN/>
        <w:adjustRightInd/>
      </w:pPr>
      <w:r>
        <w:br w:type="page"/>
      </w:r>
    </w:p>
    <w:tbl>
      <w:tblPr>
        <w:tblStyle w:val="a9"/>
        <w:tblW w:w="0" w:type="auto"/>
        <w:tblInd w:w="5103" w:type="dxa"/>
        <w:tblLook w:val="04A0" w:firstRow="1" w:lastRow="0" w:firstColumn="1" w:lastColumn="0" w:noHBand="0" w:noVBand="1"/>
      </w:tblPr>
      <w:tblGrid>
        <w:gridCol w:w="4111"/>
      </w:tblGrid>
      <w:tr w:rsidR="007115B9" w14:paraId="07D93272" w14:textId="77777777" w:rsidTr="00A066EB">
        <w:tc>
          <w:tcPr>
            <w:tcW w:w="4111" w:type="dxa"/>
            <w:tcBorders>
              <w:top w:val="nil"/>
              <w:left w:val="nil"/>
              <w:bottom w:val="nil"/>
              <w:right w:val="nil"/>
            </w:tcBorders>
          </w:tcPr>
          <w:p w14:paraId="20724AC1" w14:textId="77777777" w:rsidR="007115B9" w:rsidRDefault="007115B9" w:rsidP="00A066EB">
            <w:pPr>
              <w:rPr>
                <w:sz w:val="28"/>
                <w:szCs w:val="28"/>
              </w:rPr>
            </w:pPr>
            <w:r w:rsidRPr="002B0FB8">
              <w:rPr>
                <w:sz w:val="28"/>
                <w:szCs w:val="28"/>
              </w:rPr>
              <w:lastRenderedPageBreak/>
              <w:t>Утвержден</w:t>
            </w:r>
            <w:r>
              <w:rPr>
                <w:sz w:val="28"/>
                <w:szCs w:val="28"/>
              </w:rPr>
              <w:t>ы постановлением Правления Агентства Республики Казахстан по регулированию и развитию финансового рынка</w:t>
            </w:r>
            <w:r w:rsidRPr="002B0FB8">
              <w:rPr>
                <w:sz w:val="28"/>
                <w:szCs w:val="28"/>
              </w:rPr>
              <w:t xml:space="preserve"> </w:t>
            </w:r>
          </w:p>
          <w:p w14:paraId="5BAA8FF9" w14:textId="77777777" w:rsidR="007115B9" w:rsidRPr="00DB777A" w:rsidRDefault="007115B9" w:rsidP="00A066EB">
            <w:pPr>
              <w:rPr>
                <w:i/>
                <w:sz w:val="28"/>
                <w:szCs w:val="28"/>
              </w:rPr>
            </w:pPr>
            <w:r w:rsidRPr="00DB777A">
              <w:rPr>
                <w:sz w:val="28"/>
                <w:szCs w:val="28"/>
              </w:rPr>
              <w:t>от 7 апреля 2026 года №</w:t>
            </w:r>
            <w:r>
              <w:rPr>
                <w:sz w:val="28"/>
                <w:szCs w:val="28"/>
              </w:rPr>
              <w:t xml:space="preserve"> </w:t>
            </w:r>
            <w:r w:rsidRPr="00DB777A">
              <w:rPr>
                <w:sz w:val="28"/>
                <w:szCs w:val="28"/>
              </w:rPr>
              <w:t>56</w:t>
            </w:r>
          </w:p>
          <w:p w14:paraId="396236B3" w14:textId="77777777" w:rsidR="007115B9" w:rsidRDefault="007115B9" w:rsidP="00A066EB">
            <w:pPr>
              <w:rPr>
                <w:i/>
                <w:sz w:val="28"/>
                <w:szCs w:val="28"/>
                <w:lang w:val="kk-KZ"/>
              </w:rPr>
            </w:pPr>
          </w:p>
        </w:tc>
      </w:tr>
    </w:tbl>
    <w:p w14:paraId="3270E27B" w14:textId="77777777" w:rsidR="007115B9" w:rsidRDefault="007115B9" w:rsidP="007115B9">
      <w:pPr>
        <w:jc w:val="center"/>
        <w:rPr>
          <w:b/>
          <w:sz w:val="28"/>
          <w:szCs w:val="28"/>
        </w:rPr>
      </w:pPr>
    </w:p>
    <w:p w14:paraId="2FAD62D3" w14:textId="77777777" w:rsidR="007115B9" w:rsidRDefault="007115B9" w:rsidP="007115B9">
      <w:pPr>
        <w:jc w:val="center"/>
        <w:rPr>
          <w:b/>
          <w:sz w:val="28"/>
          <w:szCs w:val="28"/>
        </w:rPr>
      </w:pPr>
    </w:p>
    <w:p w14:paraId="29B4FFD6" w14:textId="77777777" w:rsidR="007115B9" w:rsidRDefault="007115B9" w:rsidP="007115B9">
      <w:pPr>
        <w:jc w:val="center"/>
        <w:rPr>
          <w:b/>
          <w:sz w:val="28"/>
          <w:szCs w:val="28"/>
        </w:rPr>
      </w:pPr>
    </w:p>
    <w:p w14:paraId="1FC77DA6" w14:textId="77777777" w:rsidR="007115B9" w:rsidRDefault="007115B9" w:rsidP="007115B9">
      <w:pPr>
        <w:widowControl w:val="0"/>
        <w:jc w:val="center"/>
        <w:rPr>
          <w:b/>
          <w:sz w:val="28"/>
          <w:szCs w:val="28"/>
        </w:rPr>
      </w:pPr>
      <w:r w:rsidRPr="00573BD5">
        <w:rPr>
          <w:b/>
          <w:sz w:val="28"/>
          <w:szCs w:val="28"/>
        </w:rPr>
        <w:t>Правила установления признаков контроля, признаков крупного</w:t>
      </w:r>
    </w:p>
    <w:p w14:paraId="432C1907" w14:textId="77777777" w:rsidR="007115B9" w:rsidRDefault="007115B9" w:rsidP="007115B9">
      <w:pPr>
        <w:widowControl w:val="0"/>
        <w:jc w:val="center"/>
        <w:rPr>
          <w:b/>
          <w:sz w:val="28"/>
          <w:szCs w:val="28"/>
        </w:rPr>
      </w:pPr>
      <w:r>
        <w:rPr>
          <w:b/>
          <w:sz w:val="28"/>
          <w:szCs w:val="28"/>
        </w:rPr>
        <w:t xml:space="preserve"> </w:t>
      </w:r>
      <w:r w:rsidRPr="00573BD5">
        <w:rPr>
          <w:b/>
          <w:sz w:val="28"/>
          <w:szCs w:val="28"/>
        </w:rPr>
        <w:t xml:space="preserve">участника банка, банковского холдинга, значительного участия </w:t>
      </w:r>
    </w:p>
    <w:p w14:paraId="0DC90593" w14:textId="77777777" w:rsidR="007115B9" w:rsidRPr="00573BD5" w:rsidRDefault="007115B9" w:rsidP="007115B9">
      <w:pPr>
        <w:widowControl w:val="0"/>
        <w:jc w:val="center"/>
        <w:rPr>
          <w:b/>
          <w:sz w:val="28"/>
          <w:szCs w:val="28"/>
        </w:rPr>
      </w:pPr>
      <w:r w:rsidRPr="00573BD5">
        <w:rPr>
          <w:b/>
          <w:sz w:val="28"/>
          <w:szCs w:val="28"/>
        </w:rPr>
        <w:t>в капитале организации</w:t>
      </w:r>
    </w:p>
    <w:p w14:paraId="73E79EAF" w14:textId="77777777" w:rsidR="007115B9" w:rsidRPr="00573BD5" w:rsidRDefault="007115B9" w:rsidP="007115B9">
      <w:pPr>
        <w:jc w:val="center"/>
        <w:rPr>
          <w:b/>
          <w:sz w:val="28"/>
          <w:szCs w:val="28"/>
        </w:rPr>
      </w:pPr>
    </w:p>
    <w:p w14:paraId="17BF87F4" w14:textId="77777777" w:rsidR="007115B9" w:rsidRPr="00573BD5" w:rsidRDefault="007115B9" w:rsidP="007115B9">
      <w:pPr>
        <w:jc w:val="center"/>
        <w:rPr>
          <w:b/>
          <w:sz w:val="28"/>
          <w:szCs w:val="28"/>
        </w:rPr>
      </w:pPr>
    </w:p>
    <w:p w14:paraId="29CF502B" w14:textId="77777777" w:rsidR="007115B9" w:rsidRPr="00797B35" w:rsidRDefault="007115B9" w:rsidP="007115B9">
      <w:pPr>
        <w:tabs>
          <w:tab w:val="left" w:pos="709"/>
        </w:tabs>
        <w:ind w:firstLine="709"/>
        <w:jc w:val="both"/>
        <w:rPr>
          <w:bCs/>
          <w:sz w:val="28"/>
          <w:szCs w:val="28"/>
        </w:rPr>
      </w:pPr>
      <w:bookmarkStart w:id="1" w:name="_Hlk123746238"/>
      <w:r w:rsidRPr="00573BD5">
        <w:rPr>
          <w:bCs/>
          <w:sz w:val="28"/>
          <w:szCs w:val="28"/>
        </w:rPr>
        <w:t xml:space="preserve">1. Настоящие Правила установления признаков контроля, признаков крупного участника банка, банковского холдинга, значительного участия в капитале организации (далее – Правила) разработаны в соответствии с абзацем пятым подпункта 4), абзацем третьим подпункта 10), абзацем третьим подпункта 11), абзацем первым подпункта 35) статьи 1, подпунктом 8) пункта 5, подпунктом 6) пункта 6, пунктом 12 статьи 9 Закона Республики Казахстан «О банках и </w:t>
      </w:r>
      <w:r w:rsidRPr="00797B35">
        <w:rPr>
          <w:bCs/>
          <w:sz w:val="28"/>
          <w:szCs w:val="28"/>
        </w:rPr>
        <w:t>банковской деятельности в Республике Казахстан» (далее – Закон о банках) и определяют порядок установления признаков контроля, признаков крупного участника банка, банковского холдинга, значительного участия в капитале организации.</w:t>
      </w:r>
    </w:p>
    <w:p w14:paraId="114341C3" w14:textId="77777777" w:rsidR="007115B9" w:rsidRPr="00573BD5" w:rsidRDefault="007115B9" w:rsidP="007115B9">
      <w:pPr>
        <w:tabs>
          <w:tab w:val="left" w:pos="709"/>
        </w:tabs>
        <w:ind w:firstLine="709"/>
        <w:jc w:val="both"/>
        <w:rPr>
          <w:bCs/>
          <w:sz w:val="28"/>
          <w:szCs w:val="28"/>
        </w:rPr>
      </w:pPr>
      <w:r w:rsidRPr="00797B35">
        <w:rPr>
          <w:bCs/>
          <w:sz w:val="28"/>
          <w:szCs w:val="28"/>
        </w:rPr>
        <w:t>2. Для целей установления признаков крупного участника банка к случаю оказания физическим или юридическим лицом прямого и (или) косвенного влияния на принимаемые</w:t>
      </w:r>
      <w:r w:rsidRPr="00573BD5">
        <w:rPr>
          <w:bCs/>
          <w:sz w:val="28"/>
          <w:szCs w:val="28"/>
        </w:rPr>
        <w:t xml:space="preserve"> банком решения (голосования) десятью или более процентами голосующих акций банка иным образом  относится предоставление финансирования банку в размере, превышающем десять процентов собственного капитала данного банка, на любом из следующих условий:</w:t>
      </w:r>
    </w:p>
    <w:p w14:paraId="5C3E9BE5" w14:textId="77777777" w:rsidR="007115B9" w:rsidRPr="00573BD5" w:rsidRDefault="007115B9" w:rsidP="007115B9">
      <w:pPr>
        <w:tabs>
          <w:tab w:val="left" w:pos="709"/>
        </w:tabs>
        <w:ind w:firstLine="709"/>
        <w:jc w:val="both"/>
        <w:rPr>
          <w:bCs/>
          <w:sz w:val="28"/>
          <w:szCs w:val="28"/>
        </w:rPr>
      </w:pPr>
      <w:r w:rsidRPr="00573BD5">
        <w:rPr>
          <w:bCs/>
          <w:sz w:val="28"/>
          <w:szCs w:val="28"/>
        </w:rPr>
        <w:t>1) взимание вознаграждения по займу ниже, чем по условиям, на которых банк привлекает аналогичные займы у третьих лиц;</w:t>
      </w:r>
    </w:p>
    <w:p w14:paraId="68EF9A06" w14:textId="77777777" w:rsidR="007115B9" w:rsidRPr="00573BD5" w:rsidRDefault="007115B9" w:rsidP="007115B9">
      <w:pPr>
        <w:tabs>
          <w:tab w:val="left" w:pos="709"/>
        </w:tabs>
        <w:ind w:firstLine="709"/>
        <w:jc w:val="both"/>
        <w:rPr>
          <w:bCs/>
          <w:sz w:val="28"/>
          <w:szCs w:val="28"/>
        </w:rPr>
      </w:pPr>
      <w:r w:rsidRPr="00573BD5">
        <w:rPr>
          <w:bCs/>
          <w:sz w:val="28"/>
          <w:szCs w:val="28"/>
        </w:rPr>
        <w:t>2) выплата банком вознаграждения по депозитам, размещенным в банке, ниже, чем по условиям, предлагаемым им третьим лицам по аналогичным депозитам;</w:t>
      </w:r>
    </w:p>
    <w:p w14:paraId="4AF4BF5B" w14:textId="77777777" w:rsidR="007115B9" w:rsidRPr="00573BD5" w:rsidRDefault="007115B9" w:rsidP="007115B9">
      <w:pPr>
        <w:tabs>
          <w:tab w:val="left" w:pos="709"/>
        </w:tabs>
        <w:ind w:firstLine="709"/>
        <w:jc w:val="both"/>
        <w:rPr>
          <w:bCs/>
          <w:sz w:val="28"/>
          <w:szCs w:val="28"/>
        </w:rPr>
      </w:pPr>
      <w:r w:rsidRPr="00573BD5">
        <w:rPr>
          <w:bCs/>
          <w:sz w:val="28"/>
          <w:szCs w:val="28"/>
        </w:rPr>
        <w:t>3) предоставление банку отсрочки по уплате вознаграждения, погашению основного долга и (или) иных платежей больше, чем по аналогичным операциям с третьими лицами.</w:t>
      </w:r>
    </w:p>
    <w:p w14:paraId="2A5DE478" w14:textId="77777777" w:rsidR="007115B9" w:rsidRPr="00573BD5" w:rsidRDefault="007115B9" w:rsidP="007115B9">
      <w:pPr>
        <w:tabs>
          <w:tab w:val="left" w:pos="709"/>
        </w:tabs>
        <w:ind w:firstLine="709"/>
        <w:jc w:val="both"/>
        <w:rPr>
          <w:bCs/>
          <w:sz w:val="28"/>
          <w:szCs w:val="28"/>
        </w:rPr>
      </w:pPr>
      <w:r w:rsidRPr="00573BD5">
        <w:rPr>
          <w:bCs/>
          <w:sz w:val="28"/>
          <w:szCs w:val="28"/>
        </w:rPr>
        <w:t xml:space="preserve">3. Для целей установления признаков банковского холдинга к случаю оказания юридическим лицом прямого и (или) косвенного влияния на принимаемые банком решения (голосования) двадцатью пятью или более процентами голосующих акций банка иным образом  относится предоставление </w:t>
      </w:r>
      <w:r w:rsidRPr="00573BD5">
        <w:rPr>
          <w:bCs/>
          <w:sz w:val="28"/>
          <w:szCs w:val="28"/>
        </w:rPr>
        <w:lastRenderedPageBreak/>
        <w:t>финансирования банку в размере, превышающем двадцать пять процентов собственного капитала данного банка, на условиях, предусмотренных в пункте 2 Правил.</w:t>
      </w:r>
    </w:p>
    <w:p w14:paraId="6F12A456" w14:textId="77777777" w:rsidR="007115B9" w:rsidRPr="00573BD5" w:rsidRDefault="007115B9" w:rsidP="007115B9">
      <w:pPr>
        <w:tabs>
          <w:tab w:val="left" w:pos="709"/>
        </w:tabs>
        <w:ind w:firstLine="709"/>
        <w:jc w:val="both"/>
        <w:rPr>
          <w:bCs/>
          <w:sz w:val="28"/>
          <w:szCs w:val="28"/>
        </w:rPr>
      </w:pPr>
      <w:r w:rsidRPr="00573BD5">
        <w:rPr>
          <w:bCs/>
          <w:sz w:val="28"/>
          <w:szCs w:val="28"/>
        </w:rPr>
        <w:t>4. Положения, предусмотренные пунктами 2 и 3 Правил, не распространяются на лиц, указанных в части второй пункта 2 статьи 9 Закона о банках, а также на Национальный Банк Республики Казахстан и его дочерние организации, акционерное общество «Фонд национального благосостояния «</w:t>
      </w:r>
      <w:proofErr w:type="spellStart"/>
      <w:r w:rsidRPr="00573BD5">
        <w:rPr>
          <w:bCs/>
          <w:sz w:val="28"/>
          <w:szCs w:val="28"/>
        </w:rPr>
        <w:t>Самрук-Қазына</w:t>
      </w:r>
      <w:proofErr w:type="spellEnd"/>
      <w:r w:rsidRPr="00573BD5">
        <w:rPr>
          <w:bCs/>
          <w:sz w:val="28"/>
          <w:szCs w:val="28"/>
        </w:rPr>
        <w:t>», акционерное общество «Национальный инвестиционный холдинг «Байтерек» и их дочерние организации, международные финансовые организации.</w:t>
      </w:r>
    </w:p>
    <w:p w14:paraId="393761CA" w14:textId="77777777" w:rsidR="007115B9" w:rsidRPr="00573BD5" w:rsidRDefault="007115B9" w:rsidP="007115B9">
      <w:pPr>
        <w:tabs>
          <w:tab w:val="left" w:pos="709"/>
        </w:tabs>
        <w:ind w:firstLine="709"/>
        <w:jc w:val="both"/>
        <w:rPr>
          <w:bCs/>
          <w:sz w:val="28"/>
          <w:szCs w:val="28"/>
        </w:rPr>
      </w:pPr>
      <w:r w:rsidRPr="00573BD5">
        <w:rPr>
          <w:bCs/>
          <w:sz w:val="28"/>
          <w:szCs w:val="28"/>
        </w:rPr>
        <w:t>5. Для целей признания лиц, совместно являющимися крупным участником банка (банковским холдингом), к случаям совместного влияния на решения банка иным образом лицами, прямо и (или) косвенно владеющими и (или) пользующимися, и (или) распоряжающимися в совокупности десятью или более (двадцатью пятью или более) процентами голосующих акций банка, в том числе посредством производных ценных бумаг, выпущенных в соответствии с законодательством Республики Казахстан или иностранного государства, базовым активом которых являются голосующие акции банка (далее – голосующие акции), относятся следующие случаи:</w:t>
      </w:r>
    </w:p>
    <w:p w14:paraId="1CAF679D" w14:textId="77777777" w:rsidR="007115B9" w:rsidRPr="00573BD5" w:rsidRDefault="007115B9" w:rsidP="007115B9">
      <w:pPr>
        <w:tabs>
          <w:tab w:val="left" w:pos="709"/>
        </w:tabs>
        <w:ind w:firstLine="709"/>
        <w:jc w:val="both"/>
        <w:rPr>
          <w:bCs/>
          <w:sz w:val="28"/>
          <w:szCs w:val="28"/>
        </w:rPr>
      </w:pPr>
      <w:r w:rsidRPr="00573BD5">
        <w:rPr>
          <w:bCs/>
          <w:sz w:val="28"/>
          <w:szCs w:val="28"/>
        </w:rPr>
        <w:t xml:space="preserve">1) приобретение двумя и более лицами в совокупности десяти и более </w:t>
      </w:r>
      <w:bookmarkStart w:id="2" w:name="_Hlk221793078"/>
      <w:r w:rsidRPr="00573BD5">
        <w:rPr>
          <w:bCs/>
          <w:sz w:val="28"/>
          <w:szCs w:val="28"/>
        </w:rPr>
        <w:t xml:space="preserve">(двадцати пяти и более) </w:t>
      </w:r>
      <w:bookmarkEnd w:id="2"/>
      <w:r w:rsidRPr="00573BD5">
        <w:rPr>
          <w:bCs/>
          <w:sz w:val="28"/>
          <w:szCs w:val="28"/>
        </w:rPr>
        <w:t xml:space="preserve">процентов голосующих акций банка у одного лица в течение девяноста последовательных календарных дней, за исключением случаев, когда такое приобретение осуществляется десятью и более лицами на организованном рынке ценных бумаг, а также на международных фондовых биржах, указанных в Списке международных фондовых бирж согласно приложению  к Правилам;  </w:t>
      </w:r>
    </w:p>
    <w:p w14:paraId="1026B4B9" w14:textId="77777777" w:rsidR="007115B9" w:rsidRPr="00573BD5" w:rsidRDefault="007115B9" w:rsidP="007115B9">
      <w:pPr>
        <w:tabs>
          <w:tab w:val="left" w:pos="709"/>
        </w:tabs>
        <w:ind w:firstLine="709"/>
        <w:jc w:val="both"/>
        <w:rPr>
          <w:bCs/>
          <w:sz w:val="28"/>
          <w:szCs w:val="28"/>
        </w:rPr>
      </w:pPr>
      <w:r w:rsidRPr="00573BD5">
        <w:rPr>
          <w:bCs/>
          <w:sz w:val="28"/>
          <w:szCs w:val="28"/>
        </w:rPr>
        <w:t xml:space="preserve">2) получение двумя и более лицами в совокупности </w:t>
      </w:r>
      <w:r w:rsidRPr="008C0020">
        <w:rPr>
          <w:bCs/>
          <w:sz w:val="28"/>
          <w:szCs w:val="28"/>
        </w:rPr>
        <w:t>десяти и более (двадцати пяти и более) процентов голосующих акций банка в доверительное управление от одного и того же лица в течение двенадцати послед</w:t>
      </w:r>
      <w:r w:rsidRPr="00573BD5">
        <w:rPr>
          <w:bCs/>
          <w:sz w:val="28"/>
          <w:szCs w:val="28"/>
        </w:rPr>
        <w:t>овательных календарных месяцев, за исключением случаев, когда одним из лиц, принимающих голосующие акции в доверительное управление, является крупный участник банка (банковский холдинг).</w:t>
      </w:r>
    </w:p>
    <w:p w14:paraId="37EFEA02" w14:textId="77777777" w:rsidR="007115B9" w:rsidRPr="00573BD5" w:rsidRDefault="007115B9" w:rsidP="007115B9">
      <w:pPr>
        <w:tabs>
          <w:tab w:val="left" w:pos="709"/>
        </w:tabs>
        <w:ind w:firstLine="709"/>
        <w:jc w:val="both"/>
        <w:rPr>
          <w:bCs/>
          <w:sz w:val="28"/>
          <w:szCs w:val="28"/>
        </w:rPr>
      </w:pPr>
      <w:bookmarkStart w:id="3" w:name="_Hlk222749622"/>
      <w:r w:rsidRPr="00573BD5">
        <w:rPr>
          <w:bCs/>
          <w:sz w:val="28"/>
          <w:szCs w:val="28"/>
        </w:rPr>
        <w:t>6. Для целей установления признаков контроля к случаю наличия возможности одного лица самостоятельно либо совместно с одним или несколькими лицами определять решения юридического лица или</w:t>
      </w:r>
      <w:r w:rsidRPr="00573BD5">
        <w:t xml:space="preserve"> </w:t>
      </w:r>
      <w:r w:rsidRPr="00573BD5">
        <w:rPr>
          <w:bCs/>
          <w:sz w:val="28"/>
          <w:szCs w:val="28"/>
        </w:rPr>
        <w:t>организации, не являющейся юридическим лицом, иным образом относится случай, когда одно юридическое лицо финансирует другое юридическое лицо или</w:t>
      </w:r>
      <w:r w:rsidRPr="00573BD5">
        <w:t xml:space="preserve"> </w:t>
      </w:r>
      <w:r w:rsidRPr="00573BD5">
        <w:rPr>
          <w:bCs/>
          <w:sz w:val="28"/>
          <w:szCs w:val="28"/>
        </w:rPr>
        <w:t xml:space="preserve">организацию, не являющуюся юридическим лицом, (далее - организация, являющаяся подконтрольной), должностным лицом (за исключением независимого директора) и (или) крупным акционером (крупным участником) или учредителем, которых являются должностное лицо и (или) руководящий работник (за исключением независимого директора) финансирующего </w:t>
      </w:r>
      <w:r w:rsidRPr="00573BD5">
        <w:rPr>
          <w:bCs/>
          <w:sz w:val="28"/>
          <w:szCs w:val="28"/>
        </w:rPr>
        <w:lastRenderedPageBreak/>
        <w:t>(финансирующих) лица (лиц), в размере, превышающем собственный капитал организации, являющейся подконтрольной.</w:t>
      </w:r>
    </w:p>
    <w:p w14:paraId="09F12F8A" w14:textId="77777777" w:rsidR="007115B9" w:rsidRPr="00573BD5" w:rsidRDefault="007115B9" w:rsidP="007115B9">
      <w:pPr>
        <w:tabs>
          <w:tab w:val="left" w:pos="709"/>
        </w:tabs>
        <w:ind w:firstLine="709"/>
        <w:jc w:val="both"/>
        <w:rPr>
          <w:bCs/>
          <w:sz w:val="28"/>
          <w:szCs w:val="28"/>
        </w:rPr>
      </w:pPr>
      <w:bookmarkStart w:id="4" w:name="_Hlk215757471"/>
      <w:r w:rsidRPr="00573BD5">
        <w:rPr>
          <w:bCs/>
          <w:sz w:val="28"/>
          <w:szCs w:val="28"/>
        </w:rPr>
        <w:t>Для целей настоящего пункта:</w:t>
      </w:r>
    </w:p>
    <w:p w14:paraId="04B96853" w14:textId="77777777" w:rsidR="007115B9" w:rsidRPr="00573BD5" w:rsidRDefault="007115B9" w:rsidP="007115B9">
      <w:pPr>
        <w:tabs>
          <w:tab w:val="left" w:pos="709"/>
        </w:tabs>
        <w:ind w:firstLine="709"/>
        <w:jc w:val="both"/>
        <w:rPr>
          <w:bCs/>
          <w:sz w:val="28"/>
          <w:szCs w:val="28"/>
        </w:rPr>
      </w:pPr>
      <w:r w:rsidRPr="00573BD5">
        <w:rPr>
          <w:bCs/>
          <w:sz w:val="28"/>
          <w:szCs w:val="28"/>
        </w:rPr>
        <w:t xml:space="preserve">под организацией, являющейся подконтрольной, понимается </w:t>
      </w:r>
      <w:bookmarkStart w:id="5" w:name="_Hlk221806550"/>
      <w:r w:rsidRPr="00573BD5">
        <w:rPr>
          <w:bCs/>
          <w:sz w:val="28"/>
          <w:szCs w:val="28"/>
        </w:rPr>
        <w:t xml:space="preserve">юридическое лицо или организация, не являющаяся юридическим лицом, </w:t>
      </w:r>
      <w:bookmarkEnd w:id="5"/>
      <w:r w:rsidRPr="008C0020">
        <w:rPr>
          <w:bCs/>
          <w:sz w:val="28"/>
          <w:szCs w:val="28"/>
        </w:rPr>
        <w:t>решения которых</w:t>
      </w:r>
      <w:r w:rsidRPr="00573BD5">
        <w:rPr>
          <w:bCs/>
          <w:sz w:val="28"/>
          <w:szCs w:val="28"/>
        </w:rPr>
        <w:t xml:space="preserve"> определяются банком самостоятельно либо совместно с одним или несколькими лицами, либо юридическое лицо, являющееся банком, решения которого определяются юридическим лицом самостоятельно либо совместно с одним или несколькими лицами;</w:t>
      </w:r>
    </w:p>
    <w:p w14:paraId="57E3EB8D" w14:textId="77777777" w:rsidR="007115B9" w:rsidRPr="00797B35" w:rsidRDefault="007115B9" w:rsidP="007115B9">
      <w:pPr>
        <w:tabs>
          <w:tab w:val="left" w:pos="709"/>
        </w:tabs>
        <w:ind w:firstLine="709"/>
        <w:jc w:val="both"/>
        <w:rPr>
          <w:bCs/>
          <w:sz w:val="28"/>
          <w:szCs w:val="28"/>
        </w:rPr>
      </w:pPr>
      <w:r w:rsidRPr="00573BD5">
        <w:rPr>
          <w:bCs/>
          <w:sz w:val="28"/>
          <w:szCs w:val="28"/>
        </w:rPr>
        <w:t xml:space="preserve">под лицом, самостоятельно либо совместно с одним или несколькими лицами определяющим решения юридического лица или организации, не </w:t>
      </w:r>
      <w:r w:rsidRPr="00797B35">
        <w:rPr>
          <w:bCs/>
          <w:sz w:val="28"/>
          <w:szCs w:val="28"/>
        </w:rPr>
        <w:t xml:space="preserve">являющейся юридическим лицом, понимается юридическое лицо, самостоятельно либо совместно с одним или несколькими лицами определяющее решения банка, либо банк, самостоятельно либо совместно с одним или несколькими лицами определяющий решения юридического лица </w:t>
      </w:r>
      <w:r w:rsidRPr="00797B35">
        <w:rPr>
          <w:sz w:val="28"/>
          <w:szCs w:val="28"/>
        </w:rPr>
        <w:t>или организации, не являющейся юридическим лицом</w:t>
      </w:r>
      <w:r w:rsidRPr="00797B35">
        <w:rPr>
          <w:bCs/>
          <w:sz w:val="28"/>
          <w:szCs w:val="28"/>
        </w:rPr>
        <w:t>.</w:t>
      </w:r>
    </w:p>
    <w:bookmarkEnd w:id="3"/>
    <w:bookmarkEnd w:id="4"/>
    <w:p w14:paraId="5DD0714A" w14:textId="77777777" w:rsidR="007115B9" w:rsidRPr="00797B35" w:rsidRDefault="007115B9" w:rsidP="007115B9">
      <w:pPr>
        <w:tabs>
          <w:tab w:val="left" w:pos="709"/>
        </w:tabs>
        <w:ind w:firstLine="709"/>
        <w:jc w:val="both"/>
        <w:rPr>
          <w:bCs/>
          <w:sz w:val="28"/>
          <w:szCs w:val="28"/>
        </w:rPr>
      </w:pPr>
      <w:r w:rsidRPr="00797B35">
        <w:rPr>
          <w:bCs/>
          <w:sz w:val="28"/>
          <w:szCs w:val="28"/>
        </w:rPr>
        <w:t>7. Для целей установления признаков значительного участия в капитале организации к случаю прямого и (или) косвенного владения и (или) пользования, и (или) распоряжения иным образом самостоятельно или совместно с одним или несколькими лицами двадцатью и более процентами голосующих акций, долей участия, паев либо других форм долевого участия в организации относится случай, при котором два и более банка, находящиеся под контролем одного лица, приобретают в совокупности двадцать и более процентов голосующих акций, долей участия, паев либо других форм долевого участия в одной организации.</w:t>
      </w:r>
    </w:p>
    <w:p w14:paraId="20970165" w14:textId="77777777" w:rsidR="007115B9" w:rsidRPr="00797B35" w:rsidRDefault="007115B9" w:rsidP="007115B9">
      <w:pPr>
        <w:tabs>
          <w:tab w:val="left" w:pos="709"/>
        </w:tabs>
        <w:ind w:firstLine="709"/>
        <w:jc w:val="both"/>
        <w:rPr>
          <w:sz w:val="28"/>
          <w:szCs w:val="28"/>
        </w:rPr>
      </w:pPr>
      <w:r w:rsidRPr="00797B35" w:rsidDel="00956DF0">
        <w:rPr>
          <w:sz w:val="28"/>
          <w:szCs w:val="28"/>
        </w:rPr>
        <w:t>8</w:t>
      </w:r>
      <w:r w:rsidRPr="00797B35">
        <w:rPr>
          <w:sz w:val="28"/>
          <w:szCs w:val="28"/>
        </w:rPr>
        <w:t xml:space="preserve">. Лицо (лица), соответствующее (совместно соответствующие) признакам крупного участника банка или банковского холдинга, предусмотренным в пунктах 2, 3 и 5 Правил, представляет (представляют) в уполномоченный орган по регулированию, контролю и надзору финансового рынка и финансовых организаций (далее – уполномоченный орган) заявление о приобретении соответствующего статуса в течение тридцати календарных дней с момента, когда ему (им) стало известно, что оно (они) соответствует (совместно соответствуют) признакам крупного участника банка или банковского холдинга, если только данное лицо не собирается (данные лица не собираются) принять меры по устранению признаков, предусмотренных в пунктах 2, 3 и 5 Правил, в указанный срок. </w:t>
      </w:r>
    </w:p>
    <w:p w14:paraId="5C1D4D8A" w14:textId="77777777" w:rsidR="007115B9" w:rsidRPr="00797B35" w:rsidRDefault="007115B9" w:rsidP="007115B9">
      <w:pPr>
        <w:tabs>
          <w:tab w:val="left" w:pos="709"/>
        </w:tabs>
        <w:ind w:firstLine="709"/>
        <w:jc w:val="both"/>
        <w:rPr>
          <w:sz w:val="28"/>
          <w:szCs w:val="28"/>
        </w:rPr>
      </w:pPr>
      <w:r w:rsidRPr="00797B35">
        <w:rPr>
          <w:sz w:val="28"/>
          <w:szCs w:val="28"/>
        </w:rPr>
        <w:t>Информация о принятии решения об устранении признаков крупного участника банка или банковского холдинга предоставляется в уполномоченный орган немедленно с даты принятия такого решения.</w:t>
      </w:r>
      <w:bookmarkEnd w:id="1"/>
    </w:p>
    <w:p w14:paraId="6B349CC5" w14:textId="77777777" w:rsidR="007115B9" w:rsidRPr="00797B35" w:rsidRDefault="007115B9" w:rsidP="007115B9">
      <w:pPr>
        <w:tabs>
          <w:tab w:val="left" w:pos="709"/>
        </w:tabs>
        <w:ind w:firstLine="709"/>
        <w:jc w:val="both"/>
        <w:rPr>
          <w:sz w:val="28"/>
          <w:szCs w:val="28"/>
        </w:rPr>
      </w:pPr>
      <w:r w:rsidRPr="00797B35">
        <w:rPr>
          <w:sz w:val="28"/>
          <w:szCs w:val="28"/>
        </w:rPr>
        <w:t xml:space="preserve">После устранения признаков крупного участника банка или банковского холдинга, предусмотренных в пунктах 2, 3 и 5 Правил, лица, указанные в части первой настоящего пункта, немедленно информируют об этом уполномоченный орган с представлением подтверждающих документов.  </w:t>
      </w:r>
    </w:p>
    <w:p w14:paraId="5C6F1226" w14:textId="77777777" w:rsidR="007115B9" w:rsidRDefault="007115B9" w:rsidP="007115B9">
      <w:pPr>
        <w:tabs>
          <w:tab w:val="left" w:pos="709"/>
        </w:tabs>
        <w:ind w:firstLine="709"/>
        <w:jc w:val="both"/>
        <w:rPr>
          <w:sz w:val="28"/>
          <w:szCs w:val="28"/>
        </w:rPr>
      </w:pPr>
      <w:r w:rsidRPr="00797B35">
        <w:rPr>
          <w:sz w:val="28"/>
          <w:szCs w:val="28"/>
        </w:rPr>
        <w:lastRenderedPageBreak/>
        <w:t xml:space="preserve"> В случае не выполнения требований, предусмотренных настоящим пунктом Правил, уполномоченный орган применяет меры надзорного реагирования, предусмотренные Законом о банках, к лицу (лицам), соответствующему (совместно соответствующим) признакам крупного участника банка или банковского холдинга без письменного согласия уполномоченного органа. </w:t>
      </w:r>
    </w:p>
    <w:p w14:paraId="2C181AE4" w14:textId="77777777" w:rsidR="007115B9" w:rsidRDefault="007115B9" w:rsidP="007115B9">
      <w:pPr>
        <w:ind w:firstLine="709"/>
        <w:rPr>
          <w:rFonts w:eastAsia="Calibri"/>
          <w:sz w:val="28"/>
          <w:szCs w:val="28"/>
        </w:rPr>
      </w:pPr>
    </w:p>
    <w:p w14:paraId="33CC6390" w14:textId="77777777" w:rsidR="007115B9" w:rsidRDefault="007115B9" w:rsidP="007115B9">
      <w:pPr>
        <w:spacing w:after="160" w:line="259" w:lineRule="auto"/>
        <w:rPr>
          <w:rFonts w:eastAsia="Calibri"/>
          <w:sz w:val="28"/>
          <w:szCs w:val="28"/>
        </w:rPr>
      </w:pPr>
      <w:r>
        <w:rPr>
          <w:rFonts w:eastAsia="Calibri"/>
          <w:sz w:val="28"/>
          <w:szCs w:val="28"/>
        </w:rPr>
        <w:br w:type="page"/>
      </w:r>
    </w:p>
    <w:p w14:paraId="431450C5" w14:textId="77777777" w:rsidR="007115B9" w:rsidRPr="00573BD5" w:rsidRDefault="007115B9" w:rsidP="007115B9">
      <w:pPr>
        <w:ind w:firstLine="709"/>
        <w:jc w:val="center"/>
        <w:rPr>
          <w:rFonts w:eastAsia="Calibri"/>
          <w:sz w:val="28"/>
          <w:szCs w:val="28"/>
        </w:rPr>
      </w:pPr>
      <w:r>
        <w:rPr>
          <w:rFonts w:eastAsia="Calibri"/>
          <w:sz w:val="28"/>
          <w:szCs w:val="28"/>
        </w:rPr>
        <w:lastRenderedPageBreak/>
        <w:t xml:space="preserve"> </w:t>
      </w:r>
      <w:r>
        <w:rPr>
          <w:rFonts w:eastAsia="Calibri"/>
          <w:sz w:val="28"/>
          <w:szCs w:val="28"/>
        </w:rPr>
        <w:tab/>
      </w:r>
      <w:r>
        <w:rPr>
          <w:rFonts w:eastAsia="Calibri"/>
          <w:sz w:val="28"/>
          <w:szCs w:val="28"/>
        </w:rPr>
        <w:tab/>
      </w:r>
      <w:r>
        <w:rPr>
          <w:rFonts w:eastAsia="Calibri"/>
          <w:sz w:val="28"/>
          <w:szCs w:val="28"/>
        </w:rPr>
        <w:tab/>
        <w:t xml:space="preserve">     </w:t>
      </w:r>
      <w:r w:rsidRPr="00573BD5">
        <w:rPr>
          <w:rFonts w:eastAsia="Calibri"/>
          <w:sz w:val="28"/>
          <w:szCs w:val="28"/>
        </w:rPr>
        <w:t>Приложение</w:t>
      </w:r>
    </w:p>
    <w:p w14:paraId="7D6B7E03" w14:textId="77777777" w:rsidR="007115B9" w:rsidRPr="00573BD5" w:rsidRDefault="007115B9" w:rsidP="007115B9">
      <w:pPr>
        <w:widowControl w:val="0"/>
        <w:ind w:left="5664"/>
        <w:rPr>
          <w:sz w:val="28"/>
          <w:szCs w:val="28"/>
        </w:rPr>
      </w:pPr>
      <w:r w:rsidRPr="00573BD5">
        <w:rPr>
          <w:rFonts w:eastAsia="Calibri"/>
          <w:sz w:val="28"/>
          <w:szCs w:val="28"/>
        </w:rPr>
        <w:t xml:space="preserve">к Правилам </w:t>
      </w:r>
      <w:r w:rsidRPr="00573BD5">
        <w:rPr>
          <w:sz w:val="28"/>
          <w:szCs w:val="28"/>
        </w:rPr>
        <w:t>установления признаков контроля, признаков крупного участника банка, банковского холдинга, значительного участия в капитале организации</w:t>
      </w:r>
    </w:p>
    <w:p w14:paraId="1FCE413D" w14:textId="77777777" w:rsidR="007115B9" w:rsidRPr="00573BD5" w:rsidRDefault="007115B9" w:rsidP="007115B9">
      <w:pPr>
        <w:ind w:firstLine="709"/>
        <w:jc w:val="right"/>
        <w:rPr>
          <w:rFonts w:eastAsia="Calibri"/>
          <w:sz w:val="28"/>
          <w:szCs w:val="28"/>
        </w:rPr>
      </w:pPr>
    </w:p>
    <w:p w14:paraId="46A97649" w14:textId="77777777" w:rsidR="007115B9" w:rsidRPr="00573BD5" w:rsidRDefault="007115B9" w:rsidP="007115B9">
      <w:pPr>
        <w:ind w:firstLine="709"/>
        <w:jc w:val="right"/>
        <w:rPr>
          <w:rFonts w:eastAsia="Calibri"/>
          <w:sz w:val="28"/>
          <w:szCs w:val="28"/>
        </w:rPr>
      </w:pPr>
    </w:p>
    <w:p w14:paraId="6E2BA00A" w14:textId="77777777" w:rsidR="007115B9" w:rsidRPr="00573BD5" w:rsidRDefault="007115B9" w:rsidP="007115B9">
      <w:pPr>
        <w:ind w:firstLine="709"/>
        <w:jc w:val="center"/>
        <w:rPr>
          <w:rFonts w:eastAsia="Calibri"/>
          <w:b/>
          <w:sz w:val="28"/>
          <w:szCs w:val="28"/>
        </w:rPr>
      </w:pPr>
      <w:r w:rsidRPr="00573BD5">
        <w:rPr>
          <w:rFonts w:eastAsia="Calibri"/>
          <w:b/>
          <w:sz w:val="28"/>
          <w:szCs w:val="28"/>
        </w:rPr>
        <w:t>Список международных фондовых бирж</w:t>
      </w:r>
    </w:p>
    <w:p w14:paraId="1AA79174" w14:textId="77777777" w:rsidR="007115B9" w:rsidRPr="00573BD5" w:rsidRDefault="007115B9" w:rsidP="007115B9">
      <w:pPr>
        <w:ind w:firstLine="709"/>
        <w:rPr>
          <w:rFonts w:eastAsia="Calibri"/>
          <w:sz w:val="28"/>
          <w:szCs w:val="28"/>
        </w:rPr>
      </w:pPr>
    </w:p>
    <w:p w14:paraId="2983BF52"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1.</w:t>
      </w:r>
      <w:r w:rsidRPr="00573BD5">
        <w:rPr>
          <w:rFonts w:eastAsia="Calibri"/>
          <w:color w:val="000000"/>
          <w:sz w:val="28"/>
          <w:szCs w:val="28"/>
          <w14:ligatures w14:val="standardContextual"/>
        </w:rPr>
        <w:tab/>
        <w:t>Фондовая биржа Австралии (</w:t>
      </w:r>
      <w:r w:rsidRPr="00573BD5">
        <w:rPr>
          <w:rFonts w:eastAsia="Calibri"/>
          <w:color w:val="000000"/>
          <w:sz w:val="28"/>
          <w:szCs w:val="28"/>
          <w:lang w:val="en-US"/>
          <w14:ligatures w14:val="standardContextual"/>
        </w:rPr>
        <w:t>Australian</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Securities</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w:t>
      </w:r>
    </w:p>
    <w:p w14:paraId="3E4F7EC3"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2.</w:t>
      </w:r>
      <w:r w:rsidRPr="00573BD5">
        <w:rPr>
          <w:rFonts w:eastAsia="Calibri"/>
          <w:color w:val="000000"/>
          <w:sz w:val="28"/>
          <w:szCs w:val="28"/>
          <w14:ligatures w14:val="standardContextual"/>
        </w:rPr>
        <w:tab/>
        <w:t>Австрийская фондовая биржа (</w:t>
      </w:r>
      <w:r w:rsidRPr="00573BD5">
        <w:rPr>
          <w:rFonts w:eastAsia="Calibri"/>
          <w:color w:val="000000"/>
          <w:sz w:val="28"/>
          <w:szCs w:val="28"/>
          <w:lang w:val="en-US"/>
          <w14:ligatures w14:val="standardContextual"/>
        </w:rPr>
        <w:t>Wiener</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bourse</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AG</w:t>
      </w:r>
      <w:r w:rsidRPr="00573BD5">
        <w:rPr>
          <w:rFonts w:eastAsia="Calibri"/>
          <w:color w:val="000000"/>
          <w:sz w:val="28"/>
          <w:szCs w:val="28"/>
          <w14:ligatures w14:val="standardContextual"/>
        </w:rPr>
        <w:t>)</w:t>
      </w:r>
    </w:p>
    <w:p w14:paraId="0ABECDBE"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3.</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США (National Association of Securities Dealers Automated Quotation, NASDAQ)</w:t>
      </w:r>
    </w:p>
    <w:p w14:paraId="54E7AFC3"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4.</w:t>
      </w:r>
      <w:r w:rsidRPr="00573BD5">
        <w:rPr>
          <w:rFonts w:eastAsia="Calibri"/>
          <w:color w:val="000000"/>
          <w:sz w:val="28"/>
          <w:szCs w:val="28"/>
          <w14:ligatures w14:val="standardContextual"/>
        </w:rPr>
        <w:tab/>
        <w:t>Европейская фондовая биржа «</w:t>
      </w:r>
      <w:proofErr w:type="spellStart"/>
      <w:r w:rsidRPr="00573BD5">
        <w:rPr>
          <w:rFonts w:eastAsia="Calibri"/>
          <w:color w:val="000000"/>
          <w:sz w:val="28"/>
          <w:szCs w:val="28"/>
          <w14:ligatures w14:val="standardContextual"/>
        </w:rPr>
        <w:t>Евронекст</w:t>
      </w:r>
      <w:proofErr w:type="spellEnd"/>
      <w:r w:rsidRPr="00573BD5">
        <w:rPr>
          <w:rFonts w:eastAsia="Calibri"/>
          <w:color w:val="000000"/>
          <w:sz w:val="28"/>
          <w:szCs w:val="28"/>
          <w14:ligatures w14:val="standardContextual"/>
        </w:rPr>
        <w:t>» в Амстердаме (</w:t>
      </w:r>
      <w:r w:rsidRPr="00573BD5">
        <w:rPr>
          <w:rFonts w:eastAsia="Calibri"/>
          <w:color w:val="000000"/>
          <w:sz w:val="28"/>
          <w:szCs w:val="28"/>
          <w:lang w:val="en-US"/>
          <w14:ligatures w14:val="standardContextual"/>
        </w:rPr>
        <w:t>Euronext</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Amsterdam</w:t>
      </w:r>
      <w:r w:rsidRPr="00573BD5">
        <w:rPr>
          <w:rFonts w:eastAsia="Calibri"/>
          <w:color w:val="000000"/>
          <w:sz w:val="28"/>
          <w:szCs w:val="28"/>
          <w14:ligatures w14:val="standardContextual"/>
        </w:rPr>
        <w:t>)</w:t>
      </w:r>
    </w:p>
    <w:p w14:paraId="574EBF74"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5.</w:t>
      </w:r>
      <w:r w:rsidRPr="00573BD5">
        <w:rPr>
          <w:rFonts w:eastAsia="Calibri"/>
          <w:color w:val="000000"/>
          <w:sz w:val="28"/>
          <w:szCs w:val="28"/>
          <w14:ligatures w14:val="standardContextual"/>
        </w:rPr>
        <w:tab/>
        <w:t>Биржа Международного финансового центра «Астана» (</w:t>
      </w:r>
      <w:r w:rsidRPr="00573BD5">
        <w:rPr>
          <w:rFonts w:eastAsia="Calibri"/>
          <w:color w:val="000000"/>
          <w:sz w:val="28"/>
          <w:szCs w:val="28"/>
          <w:lang w:val="en-US"/>
          <w14:ligatures w14:val="standardContextual"/>
        </w:rPr>
        <w:t>Astana</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International</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AIX</w:t>
      </w:r>
      <w:r w:rsidRPr="00573BD5">
        <w:rPr>
          <w:rFonts w:eastAsia="Calibri"/>
          <w:color w:val="000000"/>
          <w:sz w:val="28"/>
          <w:szCs w:val="28"/>
          <w14:ligatures w14:val="standardContextual"/>
        </w:rPr>
        <w:t>)</w:t>
      </w:r>
    </w:p>
    <w:p w14:paraId="0313A966"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6.</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Афин</w:t>
      </w:r>
      <w:proofErr w:type="spellEnd"/>
      <w:r w:rsidRPr="00573BD5">
        <w:rPr>
          <w:rFonts w:eastAsia="Calibri"/>
          <w:color w:val="000000"/>
          <w:sz w:val="28"/>
          <w:szCs w:val="28"/>
          <w:lang w:val="en-US"/>
          <w14:ligatures w14:val="standardContextual"/>
        </w:rPr>
        <w:t xml:space="preserve"> (Athens Stock Exchange (ATHEX)</w:t>
      </w:r>
    </w:p>
    <w:p w14:paraId="245662E2"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7.</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Бомбейская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(Bombay Stock Exchange Limited, BSE)</w:t>
      </w:r>
    </w:p>
    <w:p w14:paraId="211C2DC1"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8.</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Бразильская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(B3 S.A. – </w:t>
      </w:r>
      <w:proofErr w:type="spellStart"/>
      <w:r w:rsidRPr="00573BD5">
        <w:rPr>
          <w:rFonts w:eastAsia="Calibri"/>
          <w:color w:val="000000"/>
          <w:sz w:val="28"/>
          <w:szCs w:val="28"/>
          <w:lang w:val="en-US"/>
          <w14:ligatures w14:val="standardContextual"/>
        </w:rPr>
        <w:t>Brasil</w:t>
      </w:r>
      <w:proofErr w:type="spellEnd"/>
      <w:r w:rsidRPr="00573BD5">
        <w:rPr>
          <w:rFonts w:eastAsia="Calibri"/>
          <w:color w:val="000000"/>
          <w:sz w:val="28"/>
          <w:szCs w:val="28"/>
          <w:lang w:val="en-US"/>
          <w14:ligatures w14:val="standardContextual"/>
        </w:rPr>
        <w:t xml:space="preserve">, Bolsa, </w:t>
      </w:r>
      <w:proofErr w:type="spellStart"/>
      <w:r w:rsidRPr="00573BD5">
        <w:rPr>
          <w:rFonts w:eastAsia="Calibri"/>
          <w:color w:val="000000"/>
          <w:sz w:val="28"/>
          <w:szCs w:val="28"/>
          <w:lang w:val="en-US"/>
          <w14:ligatures w14:val="standardContextual"/>
        </w:rPr>
        <w:t>Balcão</w:t>
      </w:r>
      <w:proofErr w:type="spellEnd"/>
      <w:r w:rsidRPr="00573BD5">
        <w:rPr>
          <w:rFonts w:eastAsia="Calibri"/>
          <w:color w:val="000000"/>
          <w:sz w:val="28"/>
          <w:szCs w:val="28"/>
          <w:lang w:val="en-US"/>
          <w14:ligatures w14:val="standardContextual"/>
        </w:rPr>
        <w:t>)</w:t>
      </w:r>
    </w:p>
    <w:p w14:paraId="511411B0"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9.</w:t>
      </w:r>
      <w:r w:rsidRPr="00573BD5">
        <w:rPr>
          <w:rFonts w:eastAsia="Calibri"/>
          <w:color w:val="000000"/>
          <w:sz w:val="28"/>
          <w:szCs w:val="28"/>
          <w14:ligatures w14:val="standardContextual"/>
        </w:rPr>
        <w:tab/>
        <w:t>Европейская фондовая биржа «</w:t>
      </w:r>
      <w:proofErr w:type="spellStart"/>
      <w:r w:rsidRPr="00573BD5">
        <w:rPr>
          <w:rFonts w:eastAsia="Calibri"/>
          <w:color w:val="000000"/>
          <w:sz w:val="28"/>
          <w:szCs w:val="28"/>
          <w14:ligatures w14:val="standardContextual"/>
        </w:rPr>
        <w:t>Евронекст</w:t>
      </w:r>
      <w:proofErr w:type="spellEnd"/>
      <w:r w:rsidRPr="00573BD5">
        <w:rPr>
          <w:rFonts w:eastAsia="Calibri"/>
          <w:color w:val="000000"/>
          <w:sz w:val="28"/>
          <w:szCs w:val="28"/>
          <w14:ligatures w14:val="standardContextual"/>
        </w:rPr>
        <w:t>» в Брюсселе (</w:t>
      </w:r>
      <w:r w:rsidRPr="00573BD5">
        <w:rPr>
          <w:rFonts w:eastAsia="Calibri"/>
          <w:color w:val="000000"/>
          <w:sz w:val="28"/>
          <w:szCs w:val="28"/>
          <w:lang w:val="en-US"/>
          <w14:ligatures w14:val="standardContextual"/>
        </w:rPr>
        <w:t>Euronext</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Brussels</w:t>
      </w:r>
      <w:r w:rsidRPr="00573BD5">
        <w:rPr>
          <w:rFonts w:eastAsia="Calibri"/>
          <w:color w:val="000000"/>
          <w:sz w:val="28"/>
          <w:szCs w:val="28"/>
          <w14:ligatures w14:val="standardContextual"/>
        </w:rPr>
        <w:t>)</w:t>
      </w:r>
    </w:p>
    <w:p w14:paraId="09F77F35"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10.</w:t>
      </w:r>
      <w:r w:rsidRPr="00573BD5">
        <w:rPr>
          <w:rFonts w:eastAsia="Calibri"/>
          <w:color w:val="000000"/>
          <w:sz w:val="28"/>
          <w:szCs w:val="28"/>
          <w14:ligatures w14:val="standardContextual"/>
        </w:rPr>
        <w:tab/>
        <w:t>Варшавская фондовая биржа (</w:t>
      </w:r>
      <w:r w:rsidRPr="00573BD5">
        <w:rPr>
          <w:rFonts w:eastAsia="Calibri"/>
          <w:color w:val="000000"/>
          <w:sz w:val="28"/>
          <w:szCs w:val="28"/>
          <w:lang w:val="en-US"/>
          <w14:ligatures w14:val="standardContextual"/>
        </w:rPr>
        <w:t>Warsaw</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Stock</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w:t>
      </w:r>
    </w:p>
    <w:p w14:paraId="76D7C7CD"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11.</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Гонконгская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(Hong Kong Exchanges and Clearing)</w:t>
      </w:r>
    </w:p>
    <w:p w14:paraId="4F19027A"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12.</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Джакарты</w:t>
      </w:r>
      <w:proofErr w:type="spellEnd"/>
      <w:r w:rsidRPr="00573BD5">
        <w:rPr>
          <w:rFonts w:eastAsia="Calibri"/>
          <w:color w:val="000000"/>
          <w:sz w:val="28"/>
          <w:szCs w:val="28"/>
          <w:lang w:val="en-US"/>
          <w14:ligatures w14:val="standardContextual"/>
        </w:rPr>
        <w:t xml:space="preserve"> (Jakarta Stock Exchange)</w:t>
      </w:r>
    </w:p>
    <w:p w14:paraId="0D80D7AB"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13.</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Новой</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Зеландии</w:t>
      </w:r>
      <w:proofErr w:type="spellEnd"/>
      <w:r w:rsidRPr="00573BD5">
        <w:rPr>
          <w:rFonts w:eastAsia="Calibri"/>
          <w:color w:val="000000"/>
          <w:sz w:val="28"/>
          <w:szCs w:val="28"/>
          <w:lang w:val="en-US"/>
          <w14:ligatures w14:val="standardContextual"/>
        </w:rPr>
        <w:t xml:space="preserve"> (New Zealand Exchange)</w:t>
      </w:r>
    </w:p>
    <w:p w14:paraId="22DE6A54"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14.</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Ирландская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(Euronext Dublin)</w:t>
      </w:r>
    </w:p>
    <w:p w14:paraId="49A1DCA0"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15.</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Объединенная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Испании</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Bolsas</w:t>
      </w:r>
      <w:proofErr w:type="spellEnd"/>
      <w:r w:rsidRPr="00573BD5">
        <w:rPr>
          <w:rFonts w:eastAsia="Calibri"/>
          <w:color w:val="000000"/>
          <w:sz w:val="28"/>
          <w:szCs w:val="28"/>
          <w:lang w:val="en-US"/>
          <w14:ligatures w14:val="standardContextual"/>
        </w:rPr>
        <w:t xml:space="preserve"> y </w:t>
      </w:r>
      <w:proofErr w:type="spellStart"/>
      <w:r w:rsidRPr="00573BD5">
        <w:rPr>
          <w:rFonts w:eastAsia="Calibri"/>
          <w:color w:val="000000"/>
          <w:sz w:val="28"/>
          <w:szCs w:val="28"/>
          <w:lang w:val="en-US"/>
          <w14:ligatures w14:val="standardContextual"/>
        </w:rPr>
        <w:t>Mercados</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Españoles</w:t>
      </w:r>
      <w:proofErr w:type="spellEnd"/>
      <w:r w:rsidRPr="00573BD5">
        <w:rPr>
          <w:rFonts w:eastAsia="Calibri"/>
          <w:color w:val="000000"/>
          <w:sz w:val="28"/>
          <w:szCs w:val="28"/>
          <w:lang w:val="en-US"/>
          <w14:ligatures w14:val="standardContextual"/>
        </w:rPr>
        <w:t xml:space="preserve"> (BME), Spain)</w:t>
      </w:r>
    </w:p>
    <w:p w14:paraId="6199C43C"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16.</w:t>
      </w:r>
      <w:r w:rsidRPr="00573BD5">
        <w:rPr>
          <w:rFonts w:eastAsia="Calibri"/>
          <w:color w:val="000000"/>
          <w:sz w:val="28"/>
          <w:szCs w:val="28"/>
          <w14:ligatures w14:val="standardContextual"/>
        </w:rPr>
        <w:tab/>
        <w:t>Итальянская фондовая биржа (</w:t>
      </w:r>
      <w:proofErr w:type="spellStart"/>
      <w:r w:rsidRPr="00573BD5">
        <w:rPr>
          <w:rFonts w:eastAsia="Calibri"/>
          <w:color w:val="000000"/>
          <w:sz w:val="28"/>
          <w:szCs w:val="28"/>
          <w:lang w:val="en-US"/>
          <w14:ligatures w14:val="standardContextual"/>
        </w:rPr>
        <w:t>Borsa</w:t>
      </w:r>
      <w:proofErr w:type="spellEnd"/>
      <w:r w:rsidRPr="00573BD5">
        <w:rPr>
          <w:rFonts w:eastAsia="Calibri"/>
          <w:color w:val="000000"/>
          <w:sz w:val="28"/>
          <w:szCs w:val="28"/>
          <w14:ligatures w14:val="standardContextual"/>
        </w:rPr>
        <w:t xml:space="preserve"> </w:t>
      </w:r>
      <w:proofErr w:type="spellStart"/>
      <w:r w:rsidRPr="00573BD5">
        <w:rPr>
          <w:rFonts w:eastAsia="Calibri"/>
          <w:color w:val="000000"/>
          <w:sz w:val="28"/>
          <w:szCs w:val="28"/>
          <w:lang w:val="en-US"/>
          <w14:ligatures w14:val="standardContextual"/>
        </w:rPr>
        <w:t>Italiana</w:t>
      </w:r>
      <w:proofErr w:type="spellEnd"/>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SPA</w:t>
      </w:r>
      <w:r w:rsidRPr="00573BD5">
        <w:rPr>
          <w:rFonts w:eastAsia="Calibri"/>
          <w:color w:val="000000"/>
          <w:sz w:val="28"/>
          <w:szCs w:val="28"/>
          <w14:ligatures w14:val="standardContextual"/>
        </w:rPr>
        <w:t>)</w:t>
      </w:r>
    </w:p>
    <w:p w14:paraId="630A1107"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17.</w:t>
      </w:r>
      <w:r w:rsidRPr="00573BD5">
        <w:rPr>
          <w:rFonts w:eastAsia="Calibri"/>
          <w:color w:val="000000"/>
          <w:sz w:val="28"/>
          <w:szCs w:val="28"/>
          <w14:ligatures w14:val="standardContextual"/>
        </w:rPr>
        <w:tab/>
        <w:t>Фондовая биржа Йоханнесбурга (Южная Африка) (</w:t>
      </w:r>
      <w:r w:rsidRPr="00573BD5">
        <w:rPr>
          <w:rFonts w:eastAsia="Calibri"/>
          <w:color w:val="000000"/>
          <w:sz w:val="28"/>
          <w:szCs w:val="28"/>
          <w:lang w:val="en-US"/>
          <w14:ligatures w14:val="standardContextual"/>
        </w:rPr>
        <w:t>JSE</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Johannesburg</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Stock</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South</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Africa</w:t>
      </w:r>
      <w:r w:rsidRPr="00573BD5">
        <w:rPr>
          <w:rFonts w:eastAsia="Calibri"/>
          <w:color w:val="000000"/>
          <w:sz w:val="28"/>
          <w:szCs w:val="28"/>
          <w14:ligatures w14:val="standardContextual"/>
        </w:rPr>
        <w:t>)</w:t>
      </w:r>
    </w:p>
    <w:p w14:paraId="143C3494"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18.</w:t>
      </w:r>
      <w:r w:rsidRPr="00573BD5">
        <w:rPr>
          <w:rFonts w:eastAsia="Calibri"/>
          <w:color w:val="000000"/>
          <w:sz w:val="28"/>
          <w:szCs w:val="28"/>
          <w14:ligatures w14:val="standardContextual"/>
        </w:rPr>
        <w:tab/>
        <w:t>Фондовая биржа Копенгагена (</w:t>
      </w:r>
      <w:r w:rsidRPr="00573BD5">
        <w:rPr>
          <w:rFonts w:eastAsia="Calibri"/>
          <w:color w:val="000000"/>
          <w:sz w:val="28"/>
          <w:szCs w:val="28"/>
          <w:lang w:val="en-US"/>
          <w14:ligatures w14:val="standardContextual"/>
        </w:rPr>
        <w:t>Nasdaq</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Copenhagen</w:t>
      </w:r>
      <w:r w:rsidRPr="00573BD5">
        <w:rPr>
          <w:rFonts w:eastAsia="Calibri"/>
          <w:color w:val="000000"/>
          <w:sz w:val="28"/>
          <w:szCs w:val="28"/>
          <w14:ligatures w14:val="standardContextual"/>
        </w:rPr>
        <w:t>)</w:t>
      </w:r>
    </w:p>
    <w:p w14:paraId="64B9CEFB"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19.</w:t>
      </w:r>
      <w:r w:rsidRPr="00573BD5">
        <w:rPr>
          <w:rFonts w:eastAsia="Calibri"/>
          <w:color w:val="000000"/>
          <w:sz w:val="28"/>
          <w:szCs w:val="28"/>
          <w14:ligatures w14:val="standardContextual"/>
        </w:rPr>
        <w:tab/>
        <w:t>Объединенная фондовая биржа, в состав которой входят биржи Стокгольма, Хельсинки, Таллина и Риги (</w:t>
      </w:r>
      <w:r w:rsidRPr="00573BD5">
        <w:rPr>
          <w:rFonts w:eastAsia="Calibri"/>
          <w:color w:val="000000"/>
          <w:sz w:val="28"/>
          <w:szCs w:val="28"/>
          <w:lang w:val="en-US"/>
          <w14:ligatures w14:val="standardContextual"/>
        </w:rPr>
        <w:t>Hex</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Integrated</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Markets</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Ltd</w:t>
      </w:r>
      <w:r w:rsidRPr="00573BD5">
        <w:rPr>
          <w:rFonts w:eastAsia="Calibri"/>
          <w:color w:val="000000"/>
          <w:sz w:val="28"/>
          <w:szCs w:val="28"/>
          <w14:ligatures w14:val="standardContextual"/>
        </w:rPr>
        <w:t>.)</w:t>
      </w:r>
    </w:p>
    <w:p w14:paraId="47465C62"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20.</w:t>
      </w:r>
      <w:r w:rsidRPr="00573BD5">
        <w:rPr>
          <w:rFonts w:eastAsia="Calibri"/>
          <w:color w:val="000000"/>
          <w:sz w:val="28"/>
          <w:szCs w:val="28"/>
          <w14:ligatures w14:val="standardContextual"/>
        </w:rPr>
        <w:tab/>
        <w:t>Европейская фондовая биржа «</w:t>
      </w:r>
      <w:proofErr w:type="spellStart"/>
      <w:r w:rsidRPr="00573BD5">
        <w:rPr>
          <w:rFonts w:eastAsia="Calibri"/>
          <w:color w:val="000000"/>
          <w:sz w:val="28"/>
          <w:szCs w:val="28"/>
          <w14:ligatures w14:val="standardContextual"/>
        </w:rPr>
        <w:t>Евронекст</w:t>
      </w:r>
      <w:proofErr w:type="spellEnd"/>
      <w:r w:rsidRPr="00573BD5">
        <w:rPr>
          <w:rFonts w:eastAsia="Calibri"/>
          <w:color w:val="000000"/>
          <w:sz w:val="28"/>
          <w:szCs w:val="28"/>
          <w14:ligatures w14:val="standardContextual"/>
        </w:rPr>
        <w:t>» в Лиссабоне (</w:t>
      </w:r>
      <w:r w:rsidRPr="00573BD5">
        <w:rPr>
          <w:rFonts w:eastAsia="Calibri"/>
          <w:color w:val="000000"/>
          <w:sz w:val="28"/>
          <w:szCs w:val="28"/>
          <w:lang w:val="en-US"/>
          <w14:ligatures w14:val="standardContextual"/>
        </w:rPr>
        <w:t>Euronext</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Lisbon</w:t>
      </w:r>
      <w:r w:rsidRPr="00573BD5">
        <w:rPr>
          <w:rFonts w:eastAsia="Calibri"/>
          <w:color w:val="000000"/>
          <w:sz w:val="28"/>
          <w:szCs w:val="28"/>
          <w14:ligatures w14:val="standardContextual"/>
        </w:rPr>
        <w:t>)</w:t>
      </w:r>
    </w:p>
    <w:p w14:paraId="7152F656"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21.</w:t>
      </w:r>
      <w:r w:rsidRPr="00573BD5">
        <w:rPr>
          <w:rFonts w:eastAsia="Calibri"/>
          <w:color w:val="000000"/>
          <w:sz w:val="28"/>
          <w:szCs w:val="28"/>
          <w14:ligatures w14:val="standardContextual"/>
        </w:rPr>
        <w:tab/>
        <w:t>Лондонская фондовая биржа (</w:t>
      </w:r>
      <w:r w:rsidRPr="00573BD5">
        <w:rPr>
          <w:rFonts w:eastAsia="Calibri"/>
          <w:color w:val="000000"/>
          <w:sz w:val="28"/>
          <w:szCs w:val="28"/>
          <w:lang w:val="en-US"/>
          <w14:ligatures w14:val="standardContextual"/>
        </w:rPr>
        <w:t>London</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Stock</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w:t>
      </w:r>
    </w:p>
    <w:p w14:paraId="16C1402C"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22.</w:t>
      </w:r>
      <w:r w:rsidRPr="00573BD5">
        <w:rPr>
          <w:rFonts w:eastAsia="Calibri"/>
          <w:color w:val="000000"/>
          <w:sz w:val="28"/>
          <w:szCs w:val="28"/>
          <w14:ligatures w14:val="standardContextual"/>
        </w:rPr>
        <w:tab/>
        <w:t>Фондовая биржа Люксембурга (</w:t>
      </w:r>
      <w:r w:rsidRPr="00573BD5">
        <w:rPr>
          <w:rFonts w:eastAsia="Calibri"/>
          <w:color w:val="000000"/>
          <w:sz w:val="28"/>
          <w:szCs w:val="28"/>
          <w:lang w:val="en-US"/>
          <w14:ligatures w14:val="standardContextual"/>
        </w:rPr>
        <w:t>Bourse</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de</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Luxembourg</w:t>
      </w:r>
      <w:r w:rsidRPr="00573BD5">
        <w:rPr>
          <w:rFonts w:eastAsia="Calibri"/>
          <w:color w:val="000000"/>
          <w:sz w:val="28"/>
          <w:szCs w:val="28"/>
          <w14:ligatures w14:val="standardContextual"/>
        </w:rPr>
        <w:t>)</w:t>
      </w:r>
    </w:p>
    <w:p w14:paraId="0EC7A670"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23.</w:t>
      </w:r>
      <w:r w:rsidRPr="00573BD5">
        <w:rPr>
          <w:rFonts w:eastAsia="Calibri"/>
          <w:color w:val="000000"/>
          <w:sz w:val="28"/>
          <w:szCs w:val="28"/>
          <w14:ligatures w14:val="standardContextual"/>
        </w:rPr>
        <w:tab/>
        <w:t>Малазийская фондовая биржа (</w:t>
      </w:r>
      <w:r w:rsidRPr="00573BD5">
        <w:rPr>
          <w:rFonts w:eastAsia="Calibri"/>
          <w:color w:val="000000"/>
          <w:sz w:val="28"/>
          <w:szCs w:val="28"/>
          <w:lang w:val="en-US"/>
          <w14:ligatures w14:val="standardContextual"/>
        </w:rPr>
        <w:t>Bursa</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Malaysia</w:t>
      </w:r>
      <w:r w:rsidRPr="00573BD5">
        <w:rPr>
          <w:rFonts w:eastAsia="Calibri"/>
          <w:color w:val="000000"/>
          <w:sz w:val="28"/>
          <w:szCs w:val="28"/>
          <w14:ligatures w14:val="standardContextual"/>
        </w:rPr>
        <w:t>)</w:t>
      </w:r>
    </w:p>
    <w:p w14:paraId="1C48D0FC"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24.</w:t>
      </w:r>
      <w:r w:rsidRPr="00573BD5">
        <w:rPr>
          <w:rFonts w:eastAsia="Calibri"/>
          <w:color w:val="000000"/>
          <w:sz w:val="28"/>
          <w:szCs w:val="28"/>
          <w14:ligatures w14:val="standardContextual"/>
        </w:rPr>
        <w:tab/>
        <w:t>Фондовая биржа Мальты (</w:t>
      </w:r>
      <w:r w:rsidRPr="00573BD5">
        <w:rPr>
          <w:rFonts w:eastAsia="Calibri"/>
          <w:color w:val="000000"/>
          <w:sz w:val="28"/>
          <w:szCs w:val="28"/>
          <w:lang w:val="en-US"/>
          <w14:ligatures w14:val="standardContextual"/>
        </w:rPr>
        <w:t>Malta</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Stock</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w:t>
      </w:r>
    </w:p>
    <w:p w14:paraId="3086132A"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lastRenderedPageBreak/>
        <w:t>25.</w:t>
      </w:r>
      <w:r w:rsidRPr="00573BD5">
        <w:rPr>
          <w:rFonts w:eastAsia="Calibri"/>
          <w:color w:val="000000"/>
          <w:sz w:val="28"/>
          <w:szCs w:val="28"/>
          <w14:ligatures w14:val="standardContextual"/>
        </w:rPr>
        <w:tab/>
        <w:t>Мексиканская фондовая биржа (</w:t>
      </w:r>
      <w:r w:rsidRPr="00573BD5">
        <w:rPr>
          <w:rFonts w:eastAsia="Calibri"/>
          <w:color w:val="000000"/>
          <w:sz w:val="28"/>
          <w:szCs w:val="28"/>
          <w:lang w:val="en-US"/>
          <w14:ligatures w14:val="standardContextual"/>
        </w:rPr>
        <w:t>Bolsa</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Mexicana</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de</w:t>
      </w:r>
      <w:r w:rsidRPr="00573BD5">
        <w:rPr>
          <w:rFonts w:eastAsia="Calibri"/>
          <w:color w:val="000000"/>
          <w:sz w:val="28"/>
          <w:szCs w:val="28"/>
          <w14:ligatures w14:val="standardContextual"/>
        </w:rPr>
        <w:t xml:space="preserve"> </w:t>
      </w:r>
      <w:proofErr w:type="spellStart"/>
      <w:r w:rsidRPr="00573BD5">
        <w:rPr>
          <w:rFonts w:eastAsia="Calibri"/>
          <w:color w:val="000000"/>
          <w:sz w:val="28"/>
          <w:szCs w:val="28"/>
          <w:lang w:val="en-US"/>
          <w14:ligatures w14:val="standardContextual"/>
        </w:rPr>
        <w:t>Valores</w:t>
      </w:r>
      <w:proofErr w:type="spellEnd"/>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BMV</w:t>
      </w:r>
      <w:r w:rsidRPr="00573BD5">
        <w:rPr>
          <w:rFonts w:eastAsia="Calibri"/>
          <w:color w:val="000000"/>
          <w:sz w:val="28"/>
          <w:szCs w:val="28"/>
          <w14:ligatures w14:val="standardContextual"/>
        </w:rPr>
        <w:t>)</w:t>
      </w:r>
    </w:p>
    <w:p w14:paraId="2299EDE7"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26.</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Монреаля</w:t>
      </w:r>
      <w:proofErr w:type="spellEnd"/>
      <w:r w:rsidRPr="00573BD5">
        <w:rPr>
          <w:rFonts w:eastAsia="Calibri"/>
          <w:color w:val="000000"/>
          <w:sz w:val="28"/>
          <w:szCs w:val="28"/>
          <w:lang w:val="en-US"/>
          <w14:ligatures w14:val="standardContextual"/>
        </w:rPr>
        <w:t xml:space="preserve"> (Bourse de Montreal)</w:t>
      </w:r>
    </w:p>
    <w:p w14:paraId="064880E0"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27.</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Немецкая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(Deutsche bourse AG)</w:t>
      </w:r>
    </w:p>
    <w:p w14:paraId="2684CF91"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28.</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Нью-Йоркская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(New York Stock Exchange)</w:t>
      </w:r>
    </w:p>
    <w:p w14:paraId="501BBE5F"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29.</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Южнокорейская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(Korea Stock Exchange)</w:t>
      </w:r>
    </w:p>
    <w:p w14:paraId="53633467"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30.</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Осаки</w:t>
      </w:r>
      <w:proofErr w:type="spellEnd"/>
      <w:r w:rsidRPr="00573BD5">
        <w:rPr>
          <w:rFonts w:eastAsia="Calibri"/>
          <w:color w:val="000000"/>
          <w:sz w:val="28"/>
          <w:szCs w:val="28"/>
          <w:lang w:val="en-US"/>
          <w14:ligatures w14:val="standardContextual"/>
        </w:rPr>
        <w:t xml:space="preserve"> (Osaka Securities Exchange)</w:t>
      </w:r>
    </w:p>
    <w:p w14:paraId="1FDE30DB"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31.</w:t>
      </w:r>
      <w:r w:rsidRPr="00573BD5">
        <w:rPr>
          <w:rFonts w:eastAsia="Calibri"/>
          <w:color w:val="000000"/>
          <w:sz w:val="28"/>
          <w:szCs w:val="28"/>
          <w14:ligatures w14:val="standardContextual"/>
        </w:rPr>
        <w:tab/>
        <w:t>Фондовая биржа Осло (</w:t>
      </w:r>
      <w:r w:rsidRPr="00573BD5">
        <w:rPr>
          <w:rFonts w:eastAsia="Calibri"/>
          <w:color w:val="000000"/>
          <w:sz w:val="28"/>
          <w:szCs w:val="28"/>
          <w:lang w:val="en-US"/>
          <w14:ligatures w14:val="standardContextual"/>
        </w:rPr>
        <w:t>Oslo</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bourse</w:t>
      </w:r>
      <w:r w:rsidRPr="00573BD5">
        <w:rPr>
          <w:rFonts w:eastAsia="Calibri"/>
          <w:color w:val="000000"/>
          <w:sz w:val="28"/>
          <w:szCs w:val="28"/>
          <w14:ligatures w14:val="standardContextual"/>
        </w:rPr>
        <w:t>)</w:t>
      </w:r>
    </w:p>
    <w:p w14:paraId="2A050871"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32.</w:t>
      </w:r>
      <w:r w:rsidRPr="00573BD5">
        <w:rPr>
          <w:rFonts w:eastAsia="Calibri"/>
          <w:color w:val="000000"/>
          <w:sz w:val="28"/>
          <w:szCs w:val="28"/>
          <w14:ligatures w14:val="standardContextual"/>
        </w:rPr>
        <w:tab/>
        <w:t>Европейская фондовая биржа «</w:t>
      </w:r>
      <w:proofErr w:type="spellStart"/>
      <w:r w:rsidRPr="00573BD5">
        <w:rPr>
          <w:rFonts w:eastAsia="Calibri"/>
          <w:color w:val="000000"/>
          <w:sz w:val="28"/>
          <w:szCs w:val="28"/>
          <w14:ligatures w14:val="standardContextual"/>
        </w:rPr>
        <w:t>Евронекст</w:t>
      </w:r>
      <w:proofErr w:type="spellEnd"/>
      <w:r w:rsidRPr="00573BD5">
        <w:rPr>
          <w:rFonts w:eastAsia="Calibri"/>
          <w:color w:val="000000"/>
          <w:sz w:val="28"/>
          <w:szCs w:val="28"/>
          <w14:ligatures w14:val="standardContextual"/>
        </w:rPr>
        <w:t>» в Париже (</w:t>
      </w:r>
      <w:r w:rsidRPr="00573BD5">
        <w:rPr>
          <w:rFonts w:eastAsia="Calibri"/>
          <w:color w:val="000000"/>
          <w:sz w:val="28"/>
          <w:szCs w:val="28"/>
          <w:lang w:val="en-US"/>
          <w14:ligatures w14:val="standardContextual"/>
        </w:rPr>
        <w:t>Euronext</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Paris</w:t>
      </w:r>
      <w:r w:rsidRPr="00573BD5">
        <w:rPr>
          <w:rFonts w:eastAsia="Calibri"/>
          <w:color w:val="000000"/>
          <w:sz w:val="28"/>
          <w:szCs w:val="28"/>
          <w14:ligatures w14:val="standardContextual"/>
        </w:rPr>
        <w:t>)</w:t>
      </w:r>
    </w:p>
    <w:p w14:paraId="1E21AA73"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33.</w:t>
      </w:r>
      <w:r w:rsidRPr="00573BD5">
        <w:rPr>
          <w:rFonts w:eastAsia="Calibri"/>
          <w:color w:val="000000"/>
          <w:sz w:val="28"/>
          <w:szCs w:val="28"/>
          <w14:ligatures w14:val="standardContextual"/>
        </w:rPr>
        <w:tab/>
        <w:t>Фондовая биржа Российской Федерации (ПАО Московская биржа)</w:t>
      </w:r>
    </w:p>
    <w:p w14:paraId="0C94B7A0"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34.</w:t>
      </w:r>
      <w:r w:rsidRPr="00573BD5">
        <w:rPr>
          <w:rFonts w:eastAsia="Calibri"/>
          <w:color w:val="000000"/>
          <w:sz w:val="28"/>
          <w:szCs w:val="28"/>
          <w14:ligatures w14:val="standardContextual"/>
        </w:rPr>
        <w:tab/>
        <w:t>Сингапурская фондовая биржа (</w:t>
      </w:r>
      <w:r w:rsidRPr="00573BD5">
        <w:rPr>
          <w:rFonts w:eastAsia="Calibri"/>
          <w:color w:val="000000"/>
          <w:sz w:val="28"/>
          <w:szCs w:val="28"/>
          <w:lang w:val="en-US"/>
          <w14:ligatures w14:val="standardContextual"/>
        </w:rPr>
        <w:t>Singapore</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w:t>
      </w:r>
    </w:p>
    <w:p w14:paraId="4055314B"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35.</w:t>
      </w:r>
      <w:r w:rsidRPr="00573BD5">
        <w:rPr>
          <w:rFonts w:eastAsia="Calibri"/>
          <w:color w:val="000000"/>
          <w:sz w:val="28"/>
          <w:szCs w:val="28"/>
          <w14:ligatures w14:val="standardContextual"/>
        </w:rPr>
        <w:tab/>
        <w:t>Стамбульская фондовая биржа (</w:t>
      </w:r>
      <w:proofErr w:type="spellStart"/>
      <w:r w:rsidRPr="00573BD5">
        <w:rPr>
          <w:rFonts w:eastAsia="Calibri"/>
          <w:color w:val="000000"/>
          <w:sz w:val="28"/>
          <w:szCs w:val="28"/>
          <w:lang w:val="en-US"/>
          <w14:ligatures w14:val="standardContextual"/>
        </w:rPr>
        <w:t>Borsa</w:t>
      </w:r>
      <w:proofErr w:type="spellEnd"/>
      <w:r w:rsidRPr="00573BD5">
        <w:rPr>
          <w:rFonts w:eastAsia="Calibri"/>
          <w:color w:val="000000"/>
          <w:sz w:val="28"/>
          <w:szCs w:val="28"/>
          <w14:ligatures w14:val="standardContextual"/>
        </w:rPr>
        <w:t xml:space="preserve"> İ</w:t>
      </w:r>
      <w:proofErr w:type="spellStart"/>
      <w:r w:rsidRPr="00573BD5">
        <w:rPr>
          <w:rFonts w:eastAsia="Calibri"/>
          <w:color w:val="000000"/>
          <w:sz w:val="28"/>
          <w:szCs w:val="28"/>
          <w:lang w:val="en-US"/>
          <w14:ligatures w14:val="standardContextual"/>
        </w:rPr>
        <w:t>stanbul</w:t>
      </w:r>
      <w:proofErr w:type="spellEnd"/>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A</w:t>
      </w:r>
      <w:r w:rsidRPr="00573BD5">
        <w:rPr>
          <w:rFonts w:eastAsia="Calibri"/>
          <w:color w:val="000000"/>
          <w:sz w:val="28"/>
          <w:szCs w:val="28"/>
          <w14:ligatures w14:val="standardContextual"/>
        </w:rPr>
        <w:t>.Ş.)</w:t>
      </w:r>
    </w:p>
    <w:p w14:paraId="1F50DE9E"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36.</w:t>
      </w:r>
      <w:r w:rsidRPr="00573BD5">
        <w:rPr>
          <w:rFonts w:eastAsia="Calibri"/>
          <w:color w:val="000000"/>
          <w:sz w:val="28"/>
          <w:szCs w:val="28"/>
          <w14:ligatures w14:val="standardContextual"/>
        </w:rPr>
        <w:tab/>
        <w:t>Стокгольмская фондовая биржа (</w:t>
      </w:r>
      <w:r w:rsidRPr="00573BD5">
        <w:rPr>
          <w:rFonts w:eastAsia="Calibri"/>
          <w:color w:val="000000"/>
          <w:sz w:val="28"/>
          <w:szCs w:val="28"/>
          <w:lang w:val="en-US"/>
          <w14:ligatures w14:val="standardContextual"/>
        </w:rPr>
        <w:t>Nasdaq</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Stockholm</w:t>
      </w:r>
      <w:r w:rsidRPr="00573BD5">
        <w:rPr>
          <w:rFonts w:eastAsia="Calibri"/>
          <w:color w:val="000000"/>
          <w:sz w:val="28"/>
          <w:szCs w:val="28"/>
          <w14:ligatures w14:val="standardContextual"/>
        </w:rPr>
        <w:t>)</w:t>
      </w:r>
    </w:p>
    <w:p w14:paraId="7C791B1A"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37.</w:t>
      </w:r>
      <w:r w:rsidRPr="00573BD5">
        <w:rPr>
          <w:rFonts w:eastAsia="Calibri"/>
          <w:color w:val="000000"/>
          <w:sz w:val="28"/>
          <w:szCs w:val="28"/>
          <w14:ligatures w14:val="standardContextual"/>
        </w:rPr>
        <w:tab/>
        <w:t>Токийская фондовая биржа (</w:t>
      </w:r>
      <w:r w:rsidRPr="00573BD5">
        <w:rPr>
          <w:rFonts w:eastAsia="Calibri"/>
          <w:color w:val="000000"/>
          <w:sz w:val="28"/>
          <w:szCs w:val="28"/>
          <w:lang w:val="en-US"/>
          <w14:ligatures w14:val="standardContextual"/>
        </w:rPr>
        <w:t>Tokyo</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Stock</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w:t>
      </w:r>
    </w:p>
    <w:p w14:paraId="4D11AE21"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38.</w:t>
      </w:r>
      <w:r w:rsidRPr="00573BD5">
        <w:rPr>
          <w:rFonts w:eastAsia="Calibri"/>
          <w:color w:val="000000"/>
          <w:sz w:val="28"/>
          <w:szCs w:val="28"/>
          <w14:ligatures w14:val="standardContextual"/>
        </w:rPr>
        <w:tab/>
        <w:t>Фондовая биржа Торонто (</w:t>
      </w:r>
      <w:r w:rsidRPr="00573BD5">
        <w:rPr>
          <w:rFonts w:eastAsia="Calibri"/>
          <w:color w:val="000000"/>
          <w:sz w:val="28"/>
          <w:szCs w:val="28"/>
          <w:lang w:val="en-US"/>
          <w14:ligatures w14:val="standardContextual"/>
        </w:rPr>
        <w:t>Toronto</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Stock</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w:t>
      </w:r>
    </w:p>
    <w:p w14:paraId="3A52013B"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39.</w:t>
      </w:r>
      <w:r w:rsidRPr="00573BD5">
        <w:rPr>
          <w:rFonts w:eastAsia="Calibri"/>
          <w:color w:val="000000"/>
          <w:sz w:val="28"/>
          <w:szCs w:val="28"/>
          <w14:ligatures w14:val="standardContextual"/>
        </w:rPr>
        <w:tab/>
        <w:t>Индийская фондовая биржа (</w:t>
      </w:r>
      <w:r w:rsidRPr="00573BD5">
        <w:rPr>
          <w:rFonts w:eastAsia="Calibri"/>
          <w:color w:val="000000"/>
          <w:sz w:val="28"/>
          <w:szCs w:val="28"/>
          <w:lang w:val="en-US"/>
          <w14:ligatures w14:val="standardContextual"/>
        </w:rPr>
        <w:t>Delhi</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Stock</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w:t>
      </w:r>
    </w:p>
    <w:p w14:paraId="7705F4B8"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40.</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Национальная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Индии</w:t>
      </w:r>
      <w:proofErr w:type="spellEnd"/>
      <w:r w:rsidRPr="00573BD5">
        <w:rPr>
          <w:rFonts w:eastAsia="Calibri"/>
          <w:color w:val="000000"/>
          <w:sz w:val="28"/>
          <w:szCs w:val="28"/>
          <w:lang w:val="en-US"/>
          <w14:ligatures w14:val="standardContextual"/>
        </w:rPr>
        <w:t xml:space="preserve"> (National Stock Exchange of India Limited)</w:t>
      </w:r>
    </w:p>
    <w:p w14:paraId="3A8A3134"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41.</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Филиппинская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(Philippine Stock Exchange)</w:t>
      </w:r>
    </w:p>
    <w:p w14:paraId="628E6331"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42.</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Франкфуртская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(Frankfurt Stock Exchange)</w:t>
      </w:r>
    </w:p>
    <w:p w14:paraId="0B803DB3" w14:textId="77777777" w:rsidR="007115B9" w:rsidRPr="00573BD5" w:rsidRDefault="007115B9" w:rsidP="007115B9">
      <w:pPr>
        <w:tabs>
          <w:tab w:val="left" w:pos="1134"/>
        </w:tabs>
        <w:ind w:firstLine="709"/>
        <w:rPr>
          <w:rFonts w:eastAsia="Calibri"/>
          <w:color w:val="000000"/>
          <w:sz w:val="28"/>
          <w:szCs w:val="28"/>
          <w:lang w:val="en-US"/>
          <w14:ligatures w14:val="standardContextual"/>
        </w:rPr>
      </w:pPr>
      <w:r w:rsidRPr="00573BD5">
        <w:rPr>
          <w:rFonts w:eastAsia="Calibri"/>
          <w:color w:val="000000"/>
          <w:sz w:val="28"/>
          <w:szCs w:val="28"/>
          <w:lang w:val="en-US"/>
          <w14:ligatures w14:val="standardContextual"/>
        </w:rPr>
        <w:t>43.</w:t>
      </w:r>
      <w:r w:rsidRPr="00573BD5">
        <w:rPr>
          <w:rFonts w:eastAsia="Calibri"/>
          <w:color w:val="000000"/>
          <w:sz w:val="28"/>
          <w:szCs w:val="28"/>
          <w:lang w:val="en-US"/>
          <w14:ligatures w14:val="standardContextual"/>
        </w:rPr>
        <w:tab/>
      </w:r>
      <w:proofErr w:type="spellStart"/>
      <w:r w:rsidRPr="00573BD5">
        <w:rPr>
          <w:rFonts w:eastAsia="Calibri"/>
          <w:color w:val="000000"/>
          <w:sz w:val="28"/>
          <w:szCs w:val="28"/>
          <w:lang w:val="en-US"/>
          <w14:ligatures w14:val="standardContextual"/>
        </w:rPr>
        <w:t>Шанхайская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фондовая</w:t>
      </w:r>
      <w:proofErr w:type="spellEnd"/>
      <w:r w:rsidRPr="00573BD5">
        <w:rPr>
          <w:rFonts w:eastAsia="Calibri"/>
          <w:color w:val="000000"/>
          <w:sz w:val="28"/>
          <w:szCs w:val="28"/>
          <w:lang w:val="en-US"/>
          <w14:ligatures w14:val="standardContextual"/>
        </w:rPr>
        <w:t xml:space="preserve"> </w:t>
      </w:r>
      <w:proofErr w:type="spellStart"/>
      <w:r w:rsidRPr="00573BD5">
        <w:rPr>
          <w:rFonts w:eastAsia="Calibri"/>
          <w:color w:val="000000"/>
          <w:sz w:val="28"/>
          <w:szCs w:val="28"/>
          <w:lang w:val="en-US"/>
          <w14:ligatures w14:val="standardContextual"/>
        </w:rPr>
        <w:t>биржа</w:t>
      </w:r>
      <w:proofErr w:type="spellEnd"/>
      <w:r w:rsidRPr="00573BD5">
        <w:rPr>
          <w:rFonts w:eastAsia="Calibri"/>
          <w:color w:val="000000"/>
          <w:sz w:val="28"/>
          <w:szCs w:val="28"/>
          <w:lang w:val="en-US"/>
          <w14:ligatures w14:val="standardContextual"/>
        </w:rPr>
        <w:t xml:space="preserve"> (Shanghai Stock Exchange)</w:t>
      </w:r>
    </w:p>
    <w:p w14:paraId="51CBA8E9" w14:textId="77777777" w:rsidR="007115B9" w:rsidRPr="00573BD5" w:rsidRDefault="007115B9" w:rsidP="007115B9">
      <w:pPr>
        <w:tabs>
          <w:tab w:val="left" w:pos="1134"/>
        </w:tabs>
        <w:ind w:firstLine="709"/>
        <w:rPr>
          <w:rFonts w:eastAsia="Calibri"/>
          <w:color w:val="000000"/>
          <w:sz w:val="28"/>
          <w:szCs w:val="28"/>
          <w14:ligatures w14:val="standardContextual"/>
        </w:rPr>
      </w:pPr>
      <w:r w:rsidRPr="00573BD5">
        <w:rPr>
          <w:rFonts w:eastAsia="Calibri"/>
          <w:color w:val="000000"/>
          <w:sz w:val="28"/>
          <w:szCs w:val="28"/>
          <w14:ligatures w14:val="standardContextual"/>
        </w:rPr>
        <w:t>44.</w:t>
      </w:r>
      <w:r w:rsidRPr="00573BD5">
        <w:rPr>
          <w:rFonts w:eastAsia="Calibri"/>
          <w:color w:val="000000"/>
          <w:sz w:val="28"/>
          <w:szCs w:val="28"/>
          <w14:ligatures w14:val="standardContextual"/>
        </w:rPr>
        <w:tab/>
        <w:t>Фондовая биржа Швейцарии (</w:t>
      </w:r>
      <w:r w:rsidRPr="00573BD5">
        <w:rPr>
          <w:rFonts w:eastAsia="Calibri"/>
          <w:color w:val="000000"/>
          <w:sz w:val="28"/>
          <w:szCs w:val="28"/>
          <w:lang w:val="en-US"/>
          <w14:ligatures w14:val="standardContextual"/>
        </w:rPr>
        <w:t>SIX</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Swiss</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w:t>
      </w:r>
    </w:p>
    <w:p w14:paraId="0D1BC4EB" w14:textId="77777777" w:rsidR="007115B9" w:rsidRPr="00703B45" w:rsidRDefault="007115B9" w:rsidP="007115B9">
      <w:pPr>
        <w:tabs>
          <w:tab w:val="left" w:pos="1134"/>
        </w:tabs>
        <w:ind w:firstLine="709"/>
        <w:rPr>
          <w:rFonts w:eastAsia="Calibri"/>
          <w:sz w:val="28"/>
          <w:szCs w:val="28"/>
        </w:rPr>
      </w:pPr>
      <w:r w:rsidRPr="00573BD5">
        <w:rPr>
          <w:rFonts w:eastAsia="Calibri"/>
          <w:color w:val="000000"/>
          <w:sz w:val="28"/>
          <w:szCs w:val="28"/>
          <w14:ligatures w14:val="standardContextual"/>
        </w:rPr>
        <w:t>45.</w:t>
      </w:r>
      <w:r w:rsidRPr="00573BD5">
        <w:rPr>
          <w:rFonts w:eastAsia="Calibri"/>
          <w:color w:val="000000"/>
          <w:sz w:val="28"/>
          <w:szCs w:val="28"/>
          <w14:ligatures w14:val="standardContextual"/>
        </w:rPr>
        <w:tab/>
      </w:r>
      <w:proofErr w:type="spellStart"/>
      <w:r w:rsidRPr="00573BD5">
        <w:rPr>
          <w:rFonts w:eastAsia="Calibri"/>
          <w:color w:val="000000"/>
          <w:sz w:val="28"/>
          <w:szCs w:val="28"/>
          <w14:ligatures w14:val="standardContextual"/>
        </w:rPr>
        <w:t>Шэньчженьская</w:t>
      </w:r>
      <w:proofErr w:type="spellEnd"/>
      <w:r w:rsidRPr="00573BD5">
        <w:rPr>
          <w:rFonts w:eastAsia="Calibri"/>
          <w:color w:val="000000"/>
          <w:sz w:val="28"/>
          <w:szCs w:val="28"/>
          <w14:ligatures w14:val="standardContextual"/>
        </w:rPr>
        <w:t xml:space="preserve"> фондовая биржа (</w:t>
      </w:r>
      <w:proofErr w:type="spellStart"/>
      <w:r w:rsidRPr="00573BD5">
        <w:rPr>
          <w:rFonts w:eastAsia="Calibri"/>
          <w:color w:val="000000"/>
          <w:sz w:val="28"/>
          <w:szCs w:val="28"/>
          <w:lang w:val="en-US"/>
          <w14:ligatures w14:val="standardContextual"/>
        </w:rPr>
        <w:t>Shenchzhen</w:t>
      </w:r>
      <w:proofErr w:type="spellEnd"/>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Stock</w:t>
      </w:r>
      <w:r w:rsidRPr="00573BD5">
        <w:rPr>
          <w:rFonts w:eastAsia="Calibri"/>
          <w:color w:val="000000"/>
          <w:sz w:val="28"/>
          <w:szCs w:val="28"/>
          <w14:ligatures w14:val="standardContextual"/>
        </w:rPr>
        <w:t xml:space="preserve"> </w:t>
      </w:r>
      <w:r w:rsidRPr="00573BD5">
        <w:rPr>
          <w:rFonts w:eastAsia="Calibri"/>
          <w:color w:val="000000"/>
          <w:sz w:val="28"/>
          <w:szCs w:val="28"/>
          <w:lang w:val="en-US"/>
          <w14:ligatures w14:val="standardContextual"/>
        </w:rPr>
        <w:t>Exchange</w:t>
      </w:r>
      <w:r w:rsidRPr="00573BD5">
        <w:rPr>
          <w:rFonts w:eastAsia="Calibri"/>
          <w:color w:val="000000"/>
          <w:sz w:val="28"/>
          <w:szCs w:val="28"/>
          <w14:ligatures w14:val="standardContextual"/>
        </w:rPr>
        <w:t>)</w:t>
      </w:r>
    </w:p>
    <w:p w14:paraId="7D5E2FC7" w14:textId="77777777" w:rsidR="007115B9" w:rsidRDefault="007115B9" w:rsidP="007115B9">
      <w:pPr>
        <w:jc w:val="center"/>
        <w:rPr>
          <w:b/>
          <w:sz w:val="28"/>
          <w:szCs w:val="28"/>
        </w:rPr>
      </w:pPr>
    </w:p>
    <w:p w14:paraId="79D17BD2" w14:textId="77777777" w:rsidR="0094678B" w:rsidRPr="00934587" w:rsidRDefault="0094678B" w:rsidP="00934587"/>
    <w:sectPr w:rsidR="0094678B" w:rsidRPr="00934587" w:rsidSect="00942E89">
      <w:headerReference w:type="even" r:id="rId7"/>
      <w:headerReference w:type="default" r:id="rId8"/>
      <w:headerReference w:type="first" r:id="rId9"/>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F4B16" w14:textId="77777777" w:rsidR="008B2AAB" w:rsidRDefault="008B2AAB">
      <w:r>
        <w:separator/>
      </w:r>
    </w:p>
  </w:endnote>
  <w:endnote w:type="continuationSeparator" w:id="0">
    <w:p w14:paraId="7E3E038A" w14:textId="77777777" w:rsidR="008B2AAB" w:rsidRDefault="008B2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3E79D" w14:textId="77777777" w:rsidR="008B2AAB" w:rsidRDefault="008B2AAB">
      <w:r>
        <w:separator/>
      </w:r>
    </w:p>
  </w:footnote>
  <w:footnote w:type="continuationSeparator" w:id="0">
    <w:p w14:paraId="29345111" w14:textId="77777777" w:rsidR="008B2AAB" w:rsidRDefault="008B2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07042"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011F8187" w14:textId="77777777" w:rsidR="00BE78CA" w:rsidRDefault="00BE78C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DC38" w14:textId="77777777" w:rsidR="00BE78CA" w:rsidRDefault="00BE78CA" w:rsidP="00E43190">
    <w:pPr>
      <w:pStyle w:val="aa"/>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separate"/>
    </w:r>
    <w:r w:rsidR="00073119">
      <w:rPr>
        <w:rStyle w:val="af0"/>
        <w:noProof/>
      </w:rPr>
      <w:t>2</w:t>
    </w:r>
    <w:r>
      <w:rPr>
        <w:rStyle w:val="af0"/>
      </w:rPr>
      <w:fldChar w:fldCharType="end"/>
    </w:r>
  </w:p>
  <w:p w14:paraId="1C3F1984" w14:textId="77777777" w:rsidR="00BE78CA" w:rsidRDefault="00BE78C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51" w:type="dxa"/>
      <w:tblInd w:w="-431" w:type="dxa"/>
      <w:tblLayout w:type="fixed"/>
      <w:tblLook w:val="01E0" w:firstRow="1" w:lastRow="1" w:firstColumn="1" w:lastColumn="1" w:noHBand="0" w:noVBand="0"/>
    </w:tblPr>
    <w:tblGrid>
      <w:gridCol w:w="426"/>
      <w:gridCol w:w="3936"/>
      <w:gridCol w:w="2126"/>
      <w:gridCol w:w="4263"/>
    </w:tblGrid>
    <w:tr w:rsidR="00163D81" w:rsidRPr="00D100F6" w14:paraId="3669136B" w14:textId="77777777" w:rsidTr="00163D81">
      <w:trPr>
        <w:trHeight w:val="142"/>
      </w:trPr>
      <w:tc>
        <w:tcPr>
          <w:tcW w:w="10751" w:type="dxa"/>
          <w:gridSpan w:val="4"/>
          <w:shd w:val="clear" w:color="auto" w:fill="auto"/>
        </w:tcPr>
        <w:p w14:paraId="033B3DD6" w14:textId="302670C9" w:rsidR="00163D81" w:rsidRDefault="00163D81" w:rsidP="00830A7A">
          <w:pPr>
            <w:overflowPunct/>
            <w:autoSpaceDE/>
            <w:adjustRightInd/>
            <w:jc w:val="center"/>
            <w:rPr>
              <w:i/>
              <w:color w:val="333333"/>
            </w:rPr>
          </w:pPr>
          <w:r>
            <w:rPr>
              <w:i/>
              <w:color w:val="333333"/>
            </w:rPr>
            <w:t xml:space="preserve">Зарегистрировано в Министерстве юстиции РК </w:t>
          </w:r>
          <w:r w:rsidRPr="00163D81">
            <w:rPr>
              <w:i/>
              <w:color w:val="333333"/>
            </w:rPr>
            <w:t>8</w:t>
          </w:r>
          <w:r>
            <w:rPr>
              <w:i/>
              <w:color w:val="333333"/>
            </w:rPr>
            <w:t xml:space="preserve"> апреля 202</w:t>
          </w:r>
          <w:r w:rsidRPr="00163D81">
            <w:rPr>
              <w:i/>
              <w:color w:val="333333"/>
            </w:rPr>
            <w:t>6</w:t>
          </w:r>
          <w:r>
            <w:rPr>
              <w:i/>
              <w:color w:val="333333"/>
            </w:rPr>
            <w:t xml:space="preserve"> года под № </w:t>
          </w:r>
          <w:r w:rsidRPr="00163D81">
            <w:rPr>
              <w:i/>
              <w:color w:val="333333"/>
            </w:rPr>
            <w:t>38360</w:t>
          </w:r>
        </w:p>
        <w:p w14:paraId="6707EF02" w14:textId="77777777" w:rsidR="00163D81" w:rsidRPr="005F2B1C" w:rsidRDefault="00163D81" w:rsidP="00D9212E">
          <w:pPr>
            <w:jc w:val="center"/>
            <w:rPr>
              <w:lang w:val="kk-KZ"/>
            </w:rPr>
          </w:pPr>
        </w:p>
      </w:tc>
    </w:tr>
    <w:tr w:rsidR="00830A7A" w:rsidRPr="00D100F6" w14:paraId="49D9631F" w14:textId="77777777" w:rsidTr="00163D81">
      <w:trPr>
        <w:trHeight w:val="80"/>
      </w:trPr>
      <w:tc>
        <w:tcPr>
          <w:tcW w:w="4362" w:type="dxa"/>
          <w:gridSpan w:val="2"/>
          <w:shd w:val="clear" w:color="auto" w:fill="auto"/>
        </w:tcPr>
        <w:p w14:paraId="781AB4BA" w14:textId="77777777" w:rsidR="00830A7A" w:rsidRPr="005F2B1C" w:rsidRDefault="00830A7A" w:rsidP="00D9212E">
          <w:pPr>
            <w:jc w:val="center"/>
            <w:rPr>
              <w:b/>
              <w:lang w:val="kk-KZ"/>
            </w:rPr>
          </w:pPr>
        </w:p>
      </w:tc>
      <w:tc>
        <w:tcPr>
          <w:tcW w:w="2126" w:type="dxa"/>
          <w:shd w:val="clear" w:color="auto" w:fill="auto"/>
        </w:tcPr>
        <w:p w14:paraId="33944100" w14:textId="77777777" w:rsidR="00830A7A" w:rsidRPr="00777E63" w:rsidRDefault="00830A7A" w:rsidP="00782A16">
          <w:pPr>
            <w:jc w:val="center"/>
            <w:rPr>
              <w:noProof/>
              <w:color w:val="00B0F0"/>
            </w:rPr>
          </w:pPr>
        </w:p>
      </w:tc>
      <w:tc>
        <w:tcPr>
          <w:tcW w:w="4263" w:type="dxa"/>
          <w:shd w:val="clear" w:color="auto" w:fill="auto"/>
        </w:tcPr>
        <w:p w14:paraId="598E7989" w14:textId="77777777" w:rsidR="00830A7A" w:rsidRPr="005F2B1C" w:rsidRDefault="00830A7A" w:rsidP="00D9212E">
          <w:pPr>
            <w:jc w:val="center"/>
            <w:rPr>
              <w:lang w:val="kk-KZ"/>
            </w:rPr>
          </w:pPr>
        </w:p>
      </w:tc>
    </w:tr>
    <w:tr w:rsidR="004B400D" w:rsidRPr="00D100F6" w14:paraId="0AD6EEF4" w14:textId="77777777" w:rsidTr="005D1846">
      <w:trPr>
        <w:trHeight w:val="1348"/>
      </w:trPr>
      <w:tc>
        <w:tcPr>
          <w:tcW w:w="4362" w:type="dxa"/>
          <w:gridSpan w:val="2"/>
          <w:shd w:val="clear" w:color="auto" w:fill="auto"/>
        </w:tcPr>
        <w:p w14:paraId="72E92F8F" w14:textId="77777777" w:rsidR="00D9212E" w:rsidRPr="005F2B1C" w:rsidRDefault="00D9212E" w:rsidP="00D9212E">
          <w:pPr>
            <w:jc w:val="center"/>
            <w:rPr>
              <w:b/>
              <w:lang w:val="kk-KZ"/>
            </w:rPr>
          </w:pPr>
          <w:r w:rsidRPr="005F2B1C">
            <w:rPr>
              <w:b/>
              <w:lang w:val="kk-KZ"/>
            </w:rPr>
            <w:t>«ҚАЗАҚСТАН РЕСПУБЛИКАСЫНЫҢ</w:t>
          </w:r>
        </w:p>
        <w:p w14:paraId="76D26B6B" w14:textId="77777777" w:rsidR="00D9212E" w:rsidRPr="005F2B1C" w:rsidRDefault="00D9212E" w:rsidP="00D9212E">
          <w:pPr>
            <w:jc w:val="center"/>
            <w:rPr>
              <w:b/>
              <w:lang w:val="kk-KZ"/>
            </w:rPr>
          </w:pPr>
          <w:r w:rsidRPr="005F2B1C">
            <w:rPr>
              <w:b/>
              <w:lang w:val="kk-KZ"/>
            </w:rPr>
            <w:t>ҚАРЖЫ НАРЫҒЫН РЕТТЕУ ЖӘНЕ ДАМЫТУ АГЕНТТІГІ»</w:t>
          </w:r>
        </w:p>
        <w:p w14:paraId="016FEC6C" w14:textId="77777777" w:rsidR="00D9212E" w:rsidRPr="005F2B1C" w:rsidRDefault="00D9212E" w:rsidP="00D9212E">
          <w:pPr>
            <w:jc w:val="center"/>
            <w:rPr>
              <w:lang w:val="kk-KZ"/>
            </w:rPr>
          </w:pPr>
        </w:p>
        <w:p w14:paraId="3DCDAB26" w14:textId="77777777" w:rsidR="00D9212E" w:rsidRPr="005F2B1C" w:rsidRDefault="00D9212E" w:rsidP="00D9212E">
          <w:pPr>
            <w:jc w:val="center"/>
            <w:rPr>
              <w:lang w:val="kk-KZ"/>
            </w:rPr>
          </w:pPr>
          <w:r w:rsidRPr="005F2B1C">
            <w:rPr>
              <w:lang w:val="kk-KZ"/>
            </w:rPr>
            <w:t>РЕСПУБЛИКАЛЫҚ МЕМЛЕКЕТТІК МЕКЕМЕСІ</w:t>
          </w:r>
        </w:p>
        <w:p w14:paraId="117D106E" w14:textId="41D06616" w:rsidR="004B400D" w:rsidRPr="00D100F6" w:rsidRDefault="004B400D" w:rsidP="00522578">
          <w:pPr>
            <w:spacing w:line="288" w:lineRule="auto"/>
            <w:ind w:right="459"/>
            <w:jc w:val="center"/>
            <w:rPr>
              <w:b/>
              <w:color w:val="3A7298"/>
              <w:sz w:val="32"/>
              <w:szCs w:val="32"/>
              <w:lang w:val="kk-KZ"/>
            </w:rPr>
          </w:pPr>
        </w:p>
      </w:tc>
      <w:tc>
        <w:tcPr>
          <w:tcW w:w="2126" w:type="dxa"/>
          <w:shd w:val="clear" w:color="auto" w:fill="auto"/>
        </w:tcPr>
        <w:p w14:paraId="05EC10C0" w14:textId="4E7EEAE8" w:rsidR="004B400D" w:rsidRPr="00D100F6" w:rsidRDefault="00522578" w:rsidP="00782A16">
          <w:pPr>
            <w:jc w:val="center"/>
            <w:rPr>
              <w:sz w:val="22"/>
              <w:szCs w:val="22"/>
              <w:lang w:val="kk-KZ"/>
            </w:rPr>
          </w:pPr>
          <w:r w:rsidRPr="00777E63">
            <w:rPr>
              <w:noProof/>
              <w:color w:val="00B0F0"/>
            </w:rPr>
            <w:drawing>
              <wp:anchor distT="0" distB="0" distL="0" distR="0" simplePos="0" relativeHeight="251659776" behindDoc="0" locked="0" layoutInCell="1" allowOverlap="1" wp14:anchorId="7606A0A4" wp14:editId="412BED19">
                <wp:simplePos x="0" y="0"/>
                <wp:positionH relativeFrom="page">
                  <wp:posOffset>193675</wp:posOffset>
                </wp:positionH>
                <wp:positionV relativeFrom="page">
                  <wp:posOffset>-66040</wp:posOffset>
                </wp:positionV>
                <wp:extent cx="950477" cy="987551"/>
                <wp:effectExtent l="0" t="0" r="0" b="0"/>
                <wp:wrapNone/>
                <wp:docPr id="195131288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50477" cy="987551"/>
                        </a:xfrm>
                        <a:prstGeom prst="rect">
                          <a:avLst/>
                        </a:prstGeom>
                      </pic:spPr>
                    </pic:pic>
                  </a:graphicData>
                </a:graphic>
              </wp:anchor>
            </w:drawing>
          </w:r>
        </w:p>
      </w:tc>
      <w:tc>
        <w:tcPr>
          <w:tcW w:w="4263" w:type="dxa"/>
          <w:shd w:val="clear" w:color="auto" w:fill="auto"/>
        </w:tcPr>
        <w:p w14:paraId="3ED86162" w14:textId="77777777" w:rsidR="00D9212E" w:rsidRPr="005F2B1C" w:rsidRDefault="00D9212E" w:rsidP="00D9212E">
          <w:pPr>
            <w:jc w:val="center"/>
            <w:rPr>
              <w:lang w:val="kk-KZ"/>
            </w:rPr>
          </w:pPr>
          <w:r w:rsidRPr="005F2B1C">
            <w:rPr>
              <w:lang w:val="kk-KZ"/>
            </w:rPr>
            <w:t>РЕСПУБЛИКАНСКОЕ ГОСУДАРСТВЕННОЕ УЧРЕЖДЕНИЕ</w:t>
          </w:r>
        </w:p>
        <w:p w14:paraId="0E1CC159" w14:textId="77777777" w:rsidR="00D9212E" w:rsidRPr="005F2B1C" w:rsidRDefault="00D9212E" w:rsidP="00D9212E">
          <w:pPr>
            <w:jc w:val="center"/>
            <w:rPr>
              <w:b/>
            </w:rPr>
          </w:pPr>
        </w:p>
        <w:p w14:paraId="00323785" w14:textId="77777777" w:rsidR="00D9212E" w:rsidRPr="005F2B1C" w:rsidRDefault="00D9212E" w:rsidP="00D9212E">
          <w:pPr>
            <w:ind w:left="-132"/>
            <w:jc w:val="center"/>
            <w:rPr>
              <w:b/>
            </w:rPr>
          </w:pPr>
          <w:r w:rsidRPr="005F2B1C">
            <w:rPr>
              <w:b/>
            </w:rPr>
            <w:t>«АГЕНТСТВО РЕСПУБЛИКИ</w:t>
          </w:r>
        </w:p>
        <w:p w14:paraId="2188A809" w14:textId="77777777" w:rsidR="00D9212E" w:rsidRPr="005F2B1C" w:rsidRDefault="00D9212E" w:rsidP="00D9212E">
          <w:pPr>
            <w:ind w:left="-132"/>
            <w:jc w:val="center"/>
            <w:rPr>
              <w:b/>
              <w:iCs/>
            </w:rPr>
          </w:pPr>
          <w:r w:rsidRPr="005F2B1C">
            <w:rPr>
              <w:b/>
            </w:rPr>
            <w:t>КАЗАХСТАН</w:t>
          </w:r>
          <w:r w:rsidRPr="005F2B1C">
            <w:rPr>
              <w:iCs/>
            </w:rPr>
            <w:t xml:space="preserve"> </w:t>
          </w:r>
          <w:r w:rsidRPr="005F2B1C">
            <w:rPr>
              <w:b/>
              <w:iCs/>
            </w:rPr>
            <w:t>ПО РЕГУЛИРОВАНИЮ</w:t>
          </w:r>
        </w:p>
        <w:p w14:paraId="12A31606" w14:textId="77777777" w:rsidR="00D9212E" w:rsidRPr="005F2B1C" w:rsidRDefault="00D9212E" w:rsidP="00D9212E">
          <w:pPr>
            <w:ind w:left="-132"/>
            <w:jc w:val="center"/>
            <w:rPr>
              <w:b/>
              <w:lang w:val="kk-KZ"/>
            </w:rPr>
          </w:pPr>
          <w:r w:rsidRPr="005F2B1C">
            <w:rPr>
              <w:b/>
              <w:iCs/>
            </w:rPr>
            <w:t>И РАЗВИТИЮ ФИНАНСОВОГО РЫНКА</w:t>
          </w:r>
          <w:r w:rsidRPr="005F2B1C">
            <w:rPr>
              <w:b/>
            </w:rPr>
            <w:t>»</w:t>
          </w:r>
        </w:p>
        <w:p w14:paraId="0AE83F74" w14:textId="74B5A8A3" w:rsidR="004B400D" w:rsidRPr="00D100F6" w:rsidRDefault="004B400D" w:rsidP="00E15847">
          <w:pPr>
            <w:spacing w:line="288" w:lineRule="auto"/>
            <w:jc w:val="center"/>
            <w:rPr>
              <w:b/>
              <w:color w:val="3A7298"/>
              <w:sz w:val="29"/>
              <w:szCs w:val="29"/>
              <w:lang w:val="kk-KZ"/>
            </w:rPr>
          </w:pPr>
        </w:p>
      </w:tc>
    </w:tr>
    <w:tr w:rsidR="00642211" w:rsidRPr="00D100F6" w14:paraId="7172DBBF" w14:textId="77777777" w:rsidTr="005D1846">
      <w:trPr>
        <w:gridBefore w:val="1"/>
        <w:wBefore w:w="426" w:type="dxa"/>
        <w:trHeight w:val="591"/>
      </w:trPr>
      <w:tc>
        <w:tcPr>
          <w:tcW w:w="3936" w:type="dxa"/>
          <w:shd w:val="clear" w:color="auto" w:fill="auto"/>
        </w:tcPr>
        <w:p w14:paraId="7299C7C0" w14:textId="77777777" w:rsidR="00642211" w:rsidRDefault="00642211" w:rsidP="00642211">
          <w:pPr>
            <w:widowControl w:val="0"/>
            <w:ind w:right="459"/>
            <w:jc w:val="center"/>
            <w:rPr>
              <w:b/>
              <w:bCs/>
              <w:color w:val="3399FF"/>
              <w:sz w:val="22"/>
              <w:szCs w:val="22"/>
            </w:rPr>
          </w:pPr>
        </w:p>
        <w:p w14:paraId="5BA4550F" w14:textId="77777777" w:rsidR="00D9212E" w:rsidRPr="005F2B1C" w:rsidRDefault="00D9212E" w:rsidP="00D9212E">
          <w:pPr>
            <w:jc w:val="center"/>
            <w:rPr>
              <w:b/>
              <w:sz w:val="28"/>
              <w:szCs w:val="28"/>
              <w:lang w:val="kk-KZ"/>
            </w:rPr>
          </w:pPr>
          <w:r w:rsidRPr="005F2B1C">
            <w:rPr>
              <w:b/>
              <w:sz w:val="28"/>
              <w:szCs w:val="28"/>
            </w:rPr>
            <w:t>БА</w:t>
          </w:r>
          <w:r w:rsidRPr="005F2B1C">
            <w:rPr>
              <w:b/>
              <w:sz w:val="28"/>
              <w:szCs w:val="28"/>
              <w:lang w:val="kk-KZ"/>
            </w:rPr>
            <w:t>СҚАРМАСЫНЫҢ</w:t>
          </w:r>
        </w:p>
        <w:p w14:paraId="10910B09" w14:textId="4A60054D" w:rsidR="00642211" w:rsidRPr="00642211" w:rsidRDefault="00D9212E" w:rsidP="00D9212E">
          <w:pPr>
            <w:widowControl w:val="0"/>
            <w:ind w:right="459"/>
            <w:jc w:val="center"/>
            <w:rPr>
              <w:b/>
              <w:bCs/>
              <w:color w:val="3399FF"/>
              <w:sz w:val="22"/>
              <w:szCs w:val="22"/>
            </w:rPr>
          </w:pPr>
          <w:r w:rsidRPr="005F2B1C">
            <w:rPr>
              <w:b/>
              <w:sz w:val="28"/>
              <w:szCs w:val="28"/>
              <w:lang w:val="kk-KZ"/>
            </w:rPr>
            <w:t>ҚАУЛЫСЫ</w:t>
          </w:r>
        </w:p>
      </w:tc>
      <w:tc>
        <w:tcPr>
          <w:tcW w:w="2126" w:type="dxa"/>
          <w:shd w:val="clear" w:color="auto" w:fill="auto"/>
        </w:tcPr>
        <w:p w14:paraId="27611C88" w14:textId="77777777" w:rsidR="00642211" w:rsidRDefault="00642211" w:rsidP="00782A16">
          <w:pPr>
            <w:jc w:val="center"/>
            <w:rPr>
              <w:sz w:val="22"/>
              <w:szCs w:val="22"/>
              <w:lang w:val="kk-KZ"/>
            </w:rPr>
          </w:pPr>
        </w:p>
      </w:tc>
      <w:tc>
        <w:tcPr>
          <w:tcW w:w="4263" w:type="dxa"/>
          <w:shd w:val="clear" w:color="auto" w:fill="auto"/>
        </w:tcPr>
        <w:p w14:paraId="53905317" w14:textId="77777777" w:rsidR="00642211" w:rsidRPr="00BB2386" w:rsidRDefault="005D1846" w:rsidP="001A1881">
          <w:pPr>
            <w:spacing w:line="288" w:lineRule="auto"/>
            <w:jc w:val="center"/>
            <w:rPr>
              <w:b/>
              <w:bCs/>
              <w:color w:val="000000" w:themeColor="text1"/>
              <w:sz w:val="22"/>
              <w:szCs w:val="22"/>
            </w:rPr>
          </w:pPr>
          <w:r w:rsidRPr="00BB2386">
            <w:rPr>
              <w:noProof/>
              <w:color w:val="000000" w:themeColor="text1"/>
              <w:sz w:val="22"/>
              <w:szCs w:val="22"/>
            </w:rPr>
            <mc:AlternateContent>
              <mc:Choice Requires="wps">
                <w:drawing>
                  <wp:anchor distT="0" distB="0" distL="114300" distR="114300" simplePos="0" relativeHeight="251657728" behindDoc="0" locked="0" layoutInCell="1" allowOverlap="1" wp14:anchorId="77386662" wp14:editId="0D54E025">
                    <wp:simplePos x="0" y="0"/>
                    <wp:positionH relativeFrom="column">
                      <wp:posOffset>-3936365</wp:posOffset>
                    </wp:positionH>
                    <wp:positionV relativeFrom="page">
                      <wp:posOffset>70485</wp:posOffset>
                    </wp:positionV>
                    <wp:extent cx="6411595" cy="0"/>
                    <wp:effectExtent l="0" t="0" r="0" b="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85676" id="Line 26"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9.95pt,5.55pt" to="194.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" strokecolor="black [3213]" strokeweight="1.25pt">
                    <w10:wrap anchory="page"/>
                  </v:line>
                </w:pict>
              </mc:Fallback>
            </mc:AlternateContent>
          </w:r>
        </w:p>
        <w:p w14:paraId="07FEB91E" w14:textId="77777777" w:rsidR="00D9212E" w:rsidRPr="005F2B1C" w:rsidRDefault="00D9212E" w:rsidP="00D9212E">
          <w:pPr>
            <w:jc w:val="center"/>
            <w:rPr>
              <w:b/>
              <w:sz w:val="28"/>
              <w:szCs w:val="28"/>
              <w:lang w:val="kk-KZ"/>
            </w:rPr>
          </w:pPr>
          <w:r w:rsidRPr="005F2B1C">
            <w:rPr>
              <w:b/>
              <w:sz w:val="28"/>
              <w:szCs w:val="28"/>
              <w:lang w:val="kk-KZ"/>
            </w:rPr>
            <w:t xml:space="preserve">ПОСТАНОВЛЕНИЕ </w:t>
          </w:r>
        </w:p>
        <w:p w14:paraId="52107A41" w14:textId="77777777" w:rsidR="00D9212E" w:rsidRPr="005F2B1C" w:rsidRDefault="00D9212E" w:rsidP="00D9212E">
          <w:pPr>
            <w:jc w:val="center"/>
            <w:rPr>
              <w:b/>
              <w:sz w:val="28"/>
              <w:szCs w:val="28"/>
              <w:lang w:val="kk-KZ"/>
            </w:rPr>
          </w:pPr>
          <w:r w:rsidRPr="005F2B1C">
            <w:rPr>
              <w:b/>
              <w:sz w:val="28"/>
              <w:szCs w:val="28"/>
              <w:lang w:val="kk-KZ"/>
            </w:rPr>
            <w:t>ПРАВЛЕНИЯ</w:t>
          </w:r>
        </w:p>
        <w:p w14:paraId="62D07058" w14:textId="15E4DCFE" w:rsidR="00642211" w:rsidRPr="00D9212E" w:rsidRDefault="00642211" w:rsidP="001A1881">
          <w:pPr>
            <w:spacing w:line="288" w:lineRule="auto"/>
            <w:jc w:val="center"/>
            <w:rPr>
              <w:b/>
              <w:bCs/>
              <w:color w:val="3399FF"/>
              <w:lang w:val="en-US"/>
            </w:rPr>
          </w:pPr>
        </w:p>
      </w:tc>
    </w:tr>
  </w:tbl>
  <w:p w14:paraId="5E653149" w14:textId="77777777" w:rsidR="00C7780A" w:rsidRDefault="00C7780A" w:rsidP="004B400D">
    <w:pPr>
      <w:pStyle w:val="aa"/>
      <w:rPr>
        <w:color w:val="3A7298"/>
        <w:sz w:val="22"/>
        <w:szCs w:val="22"/>
        <w:lang w:val="kk-KZ"/>
      </w:rPr>
    </w:pPr>
  </w:p>
  <w:p w14:paraId="6B20A3F2" w14:textId="090EEDF7" w:rsidR="004B400D" w:rsidRPr="00B974B6" w:rsidRDefault="00B974B6" w:rsidP="00B974B6">
    <w:pPr>
      <w:pStyle w:val="aa"/>
      <w:jc w:val="center"/>
      <w:rPr>
        <w:sz w:val="22"/>
        <w:szCs w:val="22"/>
      </w:rPr>
    </w:pPr>
    <w:r>
      <w:rPr>
        <w:b/>
        <w:bCs/>
        <w:sz w:val="22"/>
        <w:szCs w:val="22"/>
        <w:lang w:eastAsia="ru-RU"/>
      </w:rPr>
      <w:t xml:space="preserve">               </w:t>
    </w:r>
    <w:r w:rsidR="00642211" w:rsidRPr="00B974B6">
      <w:rPr>
        <w:b/>
        <w:bCs/>
        <w:sz w:val="22"/>
        <w:szCs w:val="22"/>
        <w:lang w:eastAsia="ru-RU"/>
      </w:rPr>
      <w:t xml:space="preserve">№ </w:t>
    </w:r>
    <w:r>
      <w:rPr>
        <w:b/>
        <w:bCs/>
        <w:sz w:val="22"/>
        <w:szCs w:val="22"/>
        <w:lang w:eastAsia="ru-RU"/>
      </w:rPr>
      <w:t>56</w:t>
    </w:r>
    <w:r w:rsidR="00642211" w:rsidRPr="00B974B6">
      <w:rPr>
        <w:b/>
        <w:bCs/>
        <w:sz w:val="22"/>
        <w:szCs w:val="22"/>
        <w:lang w:eastAsia="ru-RU"/>
      </w:rPr>
      <w:t xml:space="preserve">                                       </w:t>
    </w:r>
    <w:r>
      <w:rPr>
        <w:b/>
        <w:bCs/>
        <w:sz w:val="22"/>
        <w:szCs w:val="22"/>
        <w:lang w:eastAsia="ru-RU"/>
      </w:rPr>
      <w:t xml:space="preserve">                                          </w:t>
    </w:r>
    <w:r w:rsidR="008856E3" w:rsidRPr="00B974B6">
      <w:rPr>
        <w:b/>
        <w:bCs/>
        <w:sz w:val="22"/>
        <w:szCs w:val="22"/>
        <w:lang w:eastAsia="ru-RU"/>
      </w:rPr>
      <w:t xml:space="preserve"> от </w:t>
    </w:r>
    <w:r>
      <w:rPr>
        <w:b/>
        <w:bCs/>
        <w:sz w:val="22"/>
        <w:szCs w:val="22"/>
        <w:lang w:eastAsia="ru-RU"/>
      </w:rPr>
      <w:t>7 апреля</w:t>
    </w:r>
    <w:r w:rsidR="008856E3" w:rsidRPr="00B974B6">
      <w:rPr>
        <w:b/>
        <w:bCs/>
        <w:sz w:val="22"/>
        <w:szCs w:val="22"/>
        <w:lang w:eastAsia="ru-RU"/>
      </w:rPr>
      <w:t xml:space="preserve"> 20</w:t>
    </w:r>
    <w:r>
      <w:rPr>
        <w:b/>
        <w:bCs/>
        <w:sz w:val="22"/>
        <w:szCs w:val="22"/>
        <w:lang w:eastAsia="ru-RU"/>
      </w:rPr>
      <w:t>26</w:t>
    </w:r>
    <w:r w:rsidR="00642211" w:rsidRPr="00B974B6">
      <w:rPr>
        <w:b/>
        <w:bCs/>
        <w:sz w:val="22"/>
        <w:szCs w:val="22"/>
        <w:lang w:eastAsia="ru-RU"/>
      </w:rPr>
      <w:t xml:space="preserve"> года</w:t>
    </w:r>
  </w:p>
  <w:p w14:paraId="5E3E605E" w14:textId="77777777" w:rsidR="004B400D" w:rsidRPr="00B974B6" w:rsidRDefault="004B400D" w:rsidP="004B400D">
    <w:pPr>
      <w:rPr>
        <w:sz w:val="14"/>
        <w:szCs w:val="14"/>
        <w:lang w:val="kk-KZ"/>
      </w:rPr>
    </w:pPr>
  </w:p>
  <w:p w14:paraId="1A03CDE4" w14:textId="77777777" w:rsidR="004726FE" w:rsidRPr="00934587" w:rsidRDefault="004726FE" w:rsidP="00934587">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D62"/>
    <w:rsid w:val="00066A87"/>
    <w:rsid w:val="00073119"/>
    <w:rsid w:val="000922AA"/>
    <w:rsid w:val="000D4DAC"/>
    <w:rsid w:val="000F48E7"/>
    <w:rsid w:val="001204BA"/>
    <w:rsid w:val="001319EE"/>
    <w:rsid w:val="00143292"/>
    <w:rsid w:val="00163D81"/>
    <w:rsid w:val="001763DE"/>
    <w:rsid w:val="001A1881"/>
    <w:rsid w:val="001B61C1"/>
    <w:rsid w:val="001F4925"/>
    <w:rsid w:val="001F64CB"/>
    <w:rsid w:val="002000F4"/>
    <w:rsid w:val="0022101F"/>
    <w:rsid w:val="0023374B"/>
    <w:rsid w:val="00251F3F"/>
    <w:rsid w:val="00277426"/>
    <w:rsid w:val="002A394A"/>
    <w:rsid w:val="002C49BE"/>
    <w:rsid w:val="002E29FD"/>
    <w:rsid w:val="00315CD9"/>
    <w:rsid w:val="00330B0F"/>
    <w:rsid w:val="00364E0B"/>
    <w:rsid w:val="00386737"/>
    <w:rsid w:val="0038799B"/>
    <w:rsid w:val="003A462F"/>
    <w:rsid w:val="003D781A"/>
    <w:rsid w:val="003F241E"/>
    <w:rsid w:val="00423754"/>
    <w:rsid w:val="00430E89"/>
    <w:rsid w:val="004726FE"/>
    <w:rsid w:val="0049623C"/>
    <w:rsid w:val="004B400D"/>
    <w:rsid w:val="004C34B8"/>
    <w:rsid w:val="004C4C4E"/>
    <w:rsid w:val="004E49BE"/>
    <w:rsid w:val="004F3375"/>
    <w:rsid w:val="00522578"/>
    <w:rsid w:val="005B0A27"/>
    <w:rsid w:val="005C14F1"/>
    <w:rsid w:val="005D1846"/>
    <w:rsid w:val="005F582C"/>
    <w:rsid w:val="0063638B"/>
    <w:rsid w:val="00642211"/>
    <w:rsid w:val="00664C88"/>
    <w:rsid w:val="006B6938"/>
    <w:rsid w:val="007006E3"/>
    <w:rsid w:val="007111E8"/>
    <w:rsid w:val="007115B9"/>
    <w:rsid w:val="00731B2A"/>
    <w:rsid w:val="00740441"/>
    <w:rsid w:val="007767CD"/>
    <w:rsid w:val="00782495"/>
    <w:rsid w:val="00782A16"/>
    <w:rsid w:val="00787A78"/>
    <w:rsid w:val="007D5C5B"/>
    <w:rsid w:val="007E588D"/>
    <w:rsid w:val="0081000A"/>
    <w:rsid w:val="00830A7A"/>
    <w:rsid w:val="008436CA"/>
    <w:rsid w:val="00866964"/>
    <w:rsid w:val="00867FA4"/>
    <w:rsid w:val="008856E3"/>
    <w:rsid w:val="008B2AAB"/>
    <w:rsid w:val="00901D17"/>
    <w:rsid w:val="009139A9"/>
    <w:rsid w:val="00914138"/>
    <w:rsid w:val="00915A4B"/>
    <w:rsid w:val="00934587"/>
    <w:rsid w:val="00942E89"/>
    <w:rsid w:val="0094678B"/>
    <w:rsid w:val="00975BB4"/>
    <w:rsid w:val="009924CE"/>
    <w:rsid w:val="009B69F4"/>
    <w:rsid w:val="00A10052"/>
    <w:rsid w:val="00A17FE7"/>
    <w:rsid w:val="00A32E90"/>
    <w:rsid w:val="00A338BC"/>
    <w:rsid w:val="00A47D62"/>
    <w:rsid w:val="00A646AF"/>
    <w:rsid w:val="00A721B9"/>
    <w:rsid w:val="00AA225A"/>
    <w:rsid w:val="00AC76FB"/>
    <w:rsid w:val="00AD462C"/>
    <w:rsid w:val="00B0298F"/>
    <w:rsid w:val="00B86340"/>
    <w:rsid w:val="00B974B6"/>
    <w:rsid w:val="00BB2386"/>
    <w:rsid w:val="00BD42EA"/>
    <w:rsid w:val="00BE3CFA"/>
    <w:rsid w:val="00BE78CA"/>
    <w:rsid w:val="00C7780A"/>
    <w:rsid w:val="00CA1875"/>
    <w:rsid w:val="00CC7D90"/>
    <w:rsid w:val="00CE6A1B"/>
    <w:rsid w:val="00D02BDF"/>
    <w:rsid w:val="00D03D0C"/>
    <w:rsid w:val="00D11982"/>
    <w:rsid w:val="00D14F06"/>
    <w:rsid w:val="00D42C93"/>
    <w:rsid w:val="00D52DE8"/>
    <w:rsid w:val="00D73E39"/>
    <w:rsid w:val="00D9212E"/>
    <w:rsid w:val="00DA79A3"/>
    <w:rsid w:val="00E15847"/>
    <w:rsid w:val="00E43190"/>
    <w:rsid w:val="00E57A5B"/>
    <w:rsid w:val="00E8227B"/>
    <w:rsid w:val="00E866E0"/>
    <w:rsid w:val="00EB54A3"/>
    <w:rsid w:val="00EC3C11"/>
    <w:rsid w:val="00EC6599"/>
    <w:rsid w:val="00EE1A39"/>
    <w:rsid w:val="00EF4E93"/>
    <w:rsid w:val="00F22932"/>
    <w:rsid w:val="00F30591"/>
    <w:rsid w:val="00F32A0B"/>
    <w:rsid w:val="00F525B9"/>
    <w:rsid w:val="00F64017"/>
    <w:rsid w:val="00F66167"/>
    <w:rsid w:val="00F93EE0"/>
    <w:rsid w:val="00FA7E02"/>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754A3"/>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rsid w:val="00A47D62"/>
    <w:pPr>
      <w:overflowPunct/>
      <w:autoSpaceDE/>
      <w:autoSpaceDN/>
      <w:adjustRightInd/>
      <w:ind w:firstLine="1122"/>
      <w:jc w:val="both"/>
    </w:pPr>
    <w:rPr>
      <w:sz w:val="24"/>
      <w:szCs w:val="24"/>
      <w:lang w:val="kk-KZ"/>
    </w:rPr>
  </w:style>
  <w:style w:type="paragraph" w:styleId="a5">
    <w:name w:val="Title"/>
    <w:basedOn w:val="a"/>
    <w:qFormat/>
    <w:rsid w:val="00A47D62"/>
    <w:pPr>
      <w:overflowPunct/>
      <w:autoSpaceDE/>
      <w:autoSpaceDN/>
      <w:adjustRightInd/>
      <w:jc w:val="center"/>
    </w:pPr>
    <w:rPr>
      <w:sz w:val="28"/>
      <w:szCs w:val="24"/>
    </w:rPr>
  </w:style>
  <w:style w:type="paragraph" w:styleId="a6">
    <w:name w:val="Subtitle"/>
    <w:basedOn w:val="a"/>
    <w:link w:val="a7"/>
    <w:qFormat/>
    <w:rsid w:val="00A47D62"/>
    <w:pPr>
      <w:overflowPunct/>
      <w:autoSpaceDE/>
      <w:autoSpaceDN/>
      <w:adjustRightInd/>
      <w:ind w:firstLine="709"/>
      <w:jc w:val="both"/>
    </w:pPr>
    <w:rPr>
      <w:sz w:val="28"/>
      <w:szCs w:val="24"/>
    </w:rPr>
  </w:style>
  <w:style w:type="paragraph" w:styleId="a8">
    <w:name w:val="No Spacing"/>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7">
    <w:name w:val="Подзаголовок Знак"/>
    <w:link w:val="a6"/>
    <w:rsid w:val="00A47D62"/>
    <w:rPr>
      <w:sz w:val="28"/>
      <w:szCs w:val="24"/>
      <w:lang w:val="ru-RU" w:eastAsia="ru-RU" w:bidi="ar-SA"/>
    </w:rPr>
  </w:style>
  <w:style w:type="table" w:styleId="a9">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b">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c">
    <w:name w:val="Hyperlink"/>
    <w:rsid w:val="0023374B"/>
    <w:rPr>
      <w:rFonts w:ascii="Times New Roman" w:hAnsi="Times New Roman" w:cs="Times New Roman" w:hint="default"/>
      <w:color w:val="333399"/>
      <w:u w:val="single"/>
    </w:rPr>
  </w:style>
  <w:style w:type="paragraph" w:customStyle="1" w:styleId="ad">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e">
    <w:name w:val="List Paragraph"/>
    <w:basedOn w:val="a"/>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
    <w:name w:val="Normal (Web)"/>
    <w:basedOn w:val="a"/>
    <w:rsid w:val="00364E0B"/>
    <w:pPr>
      <w:overflowPunct/>
      <w:autoSpaceDE/>
      <w:autoSpaceDN/>
      <w:adjustRightInd/>
      <w:spacing w:before="100" w:beforeAutospacing="1" w:after="100" w:afterAutospacing="1"/>
    </w:pPr>
    <w:rPr>
      <w:sz w:val="24"/>
      <w:szCs w:val="24"/>
    </w:rPr>
  </w:style>
  <w:style w:type="character" w:styleId="af0">
    <w:name w:val="page number"/>
    <w:basedOn w:val="a0"/>
    <w:rsid w:val="00BE78CA"/>
  </w:style>
  <w:style w:type="character" w:styleId="af1">
    <w:name w:val="Strong"/>
    <w:qFormat/>
    <w:rsid w:val="007111E8"/>
    <w:rPr>
      <w:b/>
      <w:bCs/>
    </w:rPr>
  </w:style>
  <w:style w:type="paragraph" w:styleId="af2">
    <w:name w:val="footer"/>
    <w:basedOn w:val="a"/>
    <w:link w:val="af3"/>
    <w:rsid w:val="004726FE"/>
    <w:pPr>
      <w:tabs>
        <w:tab w:val="center" w:pos="4677"/>
        <w:tab w:val="right" w:pos="9355"/>
      </w:tabs>
    </w:pPr>
  </w:style>
  <w:style w:type="character" w:customStyle="1" w:styleId="af3">
    <w:name w:val="Нижний колонтитул Знак"/>
    <w:basedOn w:val="a0"/>
    <w:link w:val="af2"/>
    <w:rsid w:val="004726FE"/>
  </w:style>
  <w:style w:type="paragraph" w:customStyle="1" w:styleId="af4">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5">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6">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5298">
      <w:bodyDiv w:val="1"/>
      <w:marLeft w:val="0"/>
      <w:marRight w:val="0"/>
      <w:marTop w:val="0"/>
      <w:marBottom w:val="0"/>
      <w:divBdr>
        <w:top w:val="none" w:sz="0" w:space="0" w:color="auto"/>
        <w:left w:val="none" w:sz="0" w:space="0" w:color="auto"/>
        <w:bottom w:val="none" w:sz="0" w:space="0" w:color="auto"/>
        <w:right w:val="none" w:sz="0" w:space="0" w:color="auto"/>
      </w:divBdr>
    </w:div>
    <w:div w:id="68617417">
      <w:bodyDiv w:val="1"/>
      <w:marLeft w:val="0"/>
      <w:marRight w:val="0"/>
      <w:marTop w:val="0"/>
      <w:marBottom w:val="0"/>
      <w:divBdr>
        <w:top w:val="none" w:sz="0" w:space="0" w:color="auto"/>
        <w:left w:val="none" w:sz="0" w:space="0" w:color="auto"/>
        <w:bottom w:val="none" w:sz="0" w:space="0" w:color="auto"/>
        <w:right w:val="none" w:sz="0" w:space="0" w:color="auto"/>
      </w:divBdr>
    </w:div>
    <w:div w:id="296037505">
      <w:bodyDiv w:val="1"/>
      <w:marLeft w:val="0"/>
      <w:marRight w:val="0"/>
      <w:marTop w:val="0"/>
      <w:marBottom w:val="0"/>
      <w:divBdr>
        <w:top w:val="none" w:sz="0" w:space="0" w:color="auto"/>
        <w:left w:val="none" w:sz="0" w:space="0" w:color="auto"/>
        <w:bottom w:val="none" w:sz="0" w:space="0" w:color="auto"/>
        <w:right w:val="none" w:sz="0" w:space="0" w:color="auto"/>
      </w:divBdr>
    </w:div>
    <w:div w:id="380444784">
      <w:bodyDiv w:val="1"/>
      <w:marLeft w:val="0"/>
      <w:marRight w:val="0"/>
      <w:marTop w:val="0"/>
      <w:marBottom w:val="0"/>
      <w:divBdr>
        <w:top w:val="none" w:sz="0" w:space="0" w:color="auto"/>
        <w:left w:val="none" w:sz="0" w:space="0" w:color="auto"/>
        <w:bottom w:val="none" w:sz="0" w:space="0" w:color="auto"/>
        <w:right w:val="none" w:sz="0" w:space="0" w:color="auto"/>
      </w:divBdr>
    </w:div>
    <w:div w:id="650256491">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819373833">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9</Pages>
  <Words>2335</Words>
  <Characters>13313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Айнаш Серикбаева</cp:lastModifiedBy>
  <cp:revision>10</cp:revision>
  <dcterms:created xsi:type="dcterms:W3CDTF">2026-02-25T13:35:00Z</dcterms:created>
  <dcterms:modified xsi:type="dcterms:W3CDTF">2026-04-13T04:39:00Z</dcterms:modified>
</cp:coreProperties>
</file>