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916"/>
        <w:tblW w:w="10215" w:type="dxa"/>
        <w:tblLayout w:type="fixed"/>
        <w:tblLook w:val="01E0" w:firstRow="1" w:lastRow="1" w:firstColumn="1" w:lastColumn="1" w:noHBand="0" w:noVBand="0"/>
      </w:tblPr>
      <w:tblGrid>
        <w:gridCol w:w="4249"/>
        <w:gridCol w:w="1561"/>
        <w:gridCol w:w="4390"/>
        <w:gridCol w:w="15"/>
      </w:tblGrid>
      <w:tr w:rsidR="00046B70" w:rsidRPr="00B3269F" w:rsidTr="00AC0180">
        <w:trPr>
          <w:gridAfter w:val="1"/>
          <w:wAfter w:w="15" w:type="dxa"/>
          <w:trHeight w:val="1611"/>
        </w:trPr>
        <w:tc>
          <w:tcPr>
            <w:tcW w:w="4249" w:type="dxa"/>
          </w:tcPr>
          <w:p w:rsidR="00046B70" w:rsidRPr="00B3269F" w:rsidRDefault="00046B70" w:rsidP="00AC0180">
            <w:pPr>
              <w:overflowPunct/>
              <w:autoSpaceDE/>
              <w:adjustRightInd/>
              <w:jc w:val="center"/>
              <w:rPr>
                <w:b/>
                <w:sz w:val="22"/>
                <w:szCs w:val="22"/>
                <w:lang w:val="kk-KZ"/>
              </w:rPr>
            </w:pPr>
            <w:r w:rsidRPr="00B3269F">
              <w:rPr>
                <w:b/>
                <w:sz w:val="22"/>
                <w:szCs w:val="22"/>
                <w:lang w:val="kk-KZ"/>
              </w:rPr>
              <w:t>«ҚАЗАҚСТАН РЕСПУБЛИКАСЫНЫҢ</w:t>
            </w:r>
          </w:p>
          <w:p w:rsidR="00046B70" w:rsidRPr="00B3269F" w:rsidRDefault="00046B70" w:rsidP="00AC0180">
            <w:pPr>
              <w:overflowPunct/>
              <w:autoSpaceDE/>
              <w:adjustRightInd/>
              <w:jc w:val="center"/>
              <w:rPr>
                <w:b/>
                <w:sz w:val="22"/>
                <w:szCs w:val="22"/>
                <w:lang w:val="kk-KZ"/>
              </w:rPr>
            </w:pPr>
            <w:r w:rsidRPr="00B3269F">
              <w:rPr>
                <w:b/>
                <w:sz w:val="22"/>
                <w:szCs w:val="22"/>
                <w:lang w:val="kk-KZ"/>
              </w:rPr>
              <w:t>ҚАРЖЫ НАРЫҒЫН РЕТТЕУ ЖӘНЕ ДАМЫТУ АГЕНТТІГІ»</w:t>
            </w:r>
          </w:p>
          <w:p w:rsidR="00046B70" w:rsidRPr="00B3269F" w:rsidRDefault="00046B70" w:rsidP="00AC0180">
            <w:pPr>
              <w:overflowPunct/>
              <w:autoSpaceDE/>
              <w:adjustRightInd/>
              <w:jc w:val="center"/>
              <w:rPr>
                <w:sz w:val="22"/>
                <w:szCs w:val="22"/>
                <w:lang w:val="kk-KZ"/>
              </w:rPr>
            </w:pPr>
          </w:p>
          <w:p w:rsidR="00046B70" w:rsidRPr="00B3269F" w:rsidRDefault="00046B70" w:rsidP="00AC0180">
            <w:pPr>
              <w:overflowPunct/>
              <w:autoSpaceDE/>
              <w:adjustRightInd/>
              <w:jc w:val="center"/>
              <w:rPr>
                <w:sz w:val="22"/>
                <w:szCs w:val="22"/>
                <w:lang w:val="kk-KZ"/>
              </w:rPr>
            </w:pPr>
            <w:r w:rsidRPr="00B3269F">
              <w:rPr>
                <w:sz w:val="22"/>
                <w:szCs w:val="22"/>
                <w:lang w:val="kk-KZ"/>
              </w:rPr>
              <w:t>РЕСПУБЛИКАЛЫҚ МЕМЛЕКЕТТІК МЕКЕМЕСІ</w:t>
            </w:r>
          </w:p>
          <w:p w:rsidR="00046B70" w:rsidRPr="00B3269F" w:rsidRDefault="00046B70" w:rsidP="00AC0180">
            <w:pPr>
              <w:overflowPunct/>
              <w:autoSpaceDE/>
              <w:adjustRightInd/>
              <w:jc w:val="center"/>
              <w:rPr>
                <w:sz w:val="22"/>
                <w:szCs w:val="22"/>
                <w:lang w:val="kk-KZ"/>
              </w:rPr>
            </w:pPr>
          </w:p>
          <w:p w:rsidR="00046B70" w:rsidRPr="00B3269F" w:rsidRDefault="00046B70" w:rsidP="00AC0180">
            <w:pPr>
              <w:overflowPunct/>
              <w:autoSpaceDE/>
              <w:adjustRightInd/>
              <w:jc w:val="center"/>
              <w:rPr>
                <w:b/>
                <w:sz w:val="10"/>
                <w:szCs w:val="10"/>
                <w:lang w:val="kk-KZ"/>
              </w:rPr>
            </w:pPr>
          </w:p>
        </w:tc>
        <w:tc>
          <w:tcPr>
            <w:tcW w:w="1561" w:type="dxa"/>
            <w:hideMark/>
          </w:tcPr>
          <w:p w:rsidR="00046B70" w:rsidRPr="00B3269F" w:rsidRDefault="00046B70" w:rsidP="00AC0180">
            <w:pPr>
              <w:overflowPunct/>
              <w:autoSpaceDE/>
              <w:adjustRightInd/>
              <w:ind w:hanging="108"/>
              <w:jc w:val="both"/>
              <w:rPr>
                <w:sz w:val="22"/>
                <w:szCs w:val="22"/>
                <w:lang w:val="en-US"/>
              </w:rPr>
            </w:pPr>
            <w:r w:rsidRPr="00B3269F">
              <w:rPr>
                <w:noProof/>
                <w:sz w:val="24"/>
                <w:szCs w:val="24"/>
              </w:rPr>
              <w:drawing>
                <wp:inline distT="0" distB="0" distL="0" distR="0" wp14:anchorId="7138C531" wp14:editId="29F1EABA">
                  <wp:extent cx="981075" cy="1009650"/>
                  <wp:effectExtent l="0" t="0" r="9525"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12">
                            <a:extLst>
                              <a:ext uri="{28A0092B-C50C-407E-A947-70E740481C1C}">
                                <a14:useLocalDpi xmlns:a14="http://schemas.microsoft.com/office/drawing/2010/main" val="0"/>
                              </a:ext>
                            </a:extLst>
                          </a:blip>
                          <a:srcRect l="7114" t="5652" r="7115" b="5652"/>
                          <a:stretch>
                            <a:fillRect/>
                          </a:stretch>
                        </pic:blipFill>
                        <pic:spPr bwMode="auto">
                          <a:xfrm>
                            <a:off x="0" y="0"/>
                            <a:ext cx="981075" cy="1009650"/>
                          </a:xfrm>
                          <a:prstGeom prst="rect">
                            <a:avLst/>
                          </a:prstGeom>
                          <a:noFill/>
                          <a:ln>
                            <a:noFill/>
                          </a:ln>
                        </pic:spPr>
                      </pic:pic>
                    </a:graphicData>
                  </a:graphic>
                </wp:inline>
              </w:drawing>
            </w:r>
          </w:p>
        </w:tc>
        <w:tc>
          <w:tcPr>
            <w:tcW w:w="4390" w:type="dxa"/>
          </w:tcPr>
          <w:p w:rsidR="00046B70" w:rsidRPr="00B3269F" w:rsidRDefault="00046B70" w:rsidP="00AC0180">
            <w:pPr>
              <w:overflowPunct/>
              <w:autoSpaceDE/>
              <w:adjustRightInd/>
              <w:jc w:val="center"/>
              <w:rPr>
                <w:sz w:val="22"/>
                <w:szCs w:val="22"/>
                <w:lang w:val="kk-KZ"/>
              </w:rPr>
            </w:pPr>
            <w:r w:rsidRPr="00B3269F">
              <w:rPr>
                <w:sz w:val="22"/>
                <w:szCs w:val="22"/>
                <w:lang w:val="kk-KZ"/>
              </w:rPr>
              <w:t>РЕСПУБЛИКАНСКОЕ ГОСУДАРСТВЕННОЕ УЧРЕЖДЕНИЕ</w:t>
            </w:r>
          </w:p>
          <w:p w:rsidR="00046B70" w:rsidRPr="00B3269F" w:rsidRDefault="00046B70" w:rsidP="00AC0180">
            <w:pPr>
              <w:overflowPunct/>
              <w:autoSpaceDE/>
              <w:adjustRightInd/>
              <w:jc w:val="center"/>
              <w:rPr>
                <w:b/>
                <w:sz w:val="22"/>
                <w:szCs w:val="22"/>
              </w:rPr>
            </w:pPr>
          </w:p>
          <w:p w:rsidR="00046B70" w:rsidRPr="00B3269F" w:rsidRDefault="00046B70" w:rsidP="00AC0180">
            <w:pPr>
              <w:overflowPunct/>
              <w:autoSpaceDE/>
              <w:adjustRightInd/>
              <w:ind w:left="-132"/>
              <w:jc w:val="center"/>
              <w:rPr>
                <w:b/>
                <w:sz w:val="22"/>
                <w:szCs w:val="22"/>
              </w:rPr>
            </w:pPr>
            <w:r w:rsidRPr="00B3269F">
              <w:rPr>
                <w:b/>
                <w:sz w:val="22"/>
                <w:szCs w:val="22"/>
              </w:rPr>
              <w:t>«АГЕНТСТВО РЕСПУБЛИКИ</w:t>
            </w:r>
          </w:p>
          <w:p w:rsidR="00046B70" w:rsidRPr="00B3269F" w:rsidRDefault="00046B70" w:rsidP="00AC0180">
            <w:pPr>
              <w:overflowPunct/>
              <w:autoSpaceDE/>
              <w:adjustRightInd/>
              <w:ind w:left="-132"/>
              <w:jc w:val="center"/>
              <w:rPr>
                <w:b/>
                <w:iCs/>
                <w:sz w:val="22"/>
                <w:szCs w:val="22"/>
              </w:rPr>
            </w:pPr>
            <w:r w:rsidRPr="00B3269F">
              <w:rPr>
                <w:b/>
                <w:sz w:val="22"/>
                <w:szCs w:val="22"/>
              </w:rPr>
              <w:t>КАЗАХСТАН</w:t>
            </w:r>
            <w:r w:rsidRPr="00B3269F">
              <w:rPr>
                <w:iCs/>
                <w:sz w:val="22"/>
                <w:szCs w:val="22"/>
              </w:rPr>
              <w:t xml:space="preserve"> </w:t>
            </w:r>
            <w:r w:rsidRPr="00B3269F">
              <w:rPr>
                <w:b/>
                <w:iCs/>
                <w:sz w:val="22"/>
                <w:szCs w:val="22"/>
              </w:rPr>
              <w:t>ПО РЕГУЛИРОВАНИЮ</w:t>
            </w:r>
          </w:p>
          <w:p w:rsidR="00046B70" w:rsidRPr="00B3269F" w:rsidRDefault="00046B70" w:rsidP="00AC0180">
            <w:pPr>
              <w:overflowPunct/>
              <w:autoSpaceDE/>
              <w:adjustRightInd/>
              <w:ind w:left="-132"/>
              <w:jc w:val="center"/>
              <w:rPr>
                <w:b/>
                <w:sz w:val="22"/>
                <w:szCs w:val="22"/>
                <w:lang w:val="kk-KZ"/>
              </w:rPr>
            </w:pPr>
            <w:r w:rsidRPr="00B3269F">
              <w:rPr>
                <w:b/>
                <w:iCs/>
                <w:sz w:val="22"/>
                <w:szCs w:val="22"/>
              </w:rPr>
              <w:t>И РАЗВИТИЮ ФИНАНСОВОГО РЫНКА</w:t>
            </w:r>
            <w:r w:rsidRPr="00B3269F">
              <w:rPr>
                <w:b/>
                <w:sz w:val="22"/>
                <w:szCs w:val="22"/>
              </w:rPr>
              <w:t>»</w:t>
            </w:r>
          </w:p>
          <w:p w:rsidR="00046B70" w:rsidRPr="00B3269F" w:rsidRDefault="00046B70" w:rsidP="00AC0180">
            <w:pPr>
              <w:overflowPunct/>
              <w:autoSpaceDE/>
              <w:adjustRightInd/>
              <w:jc w:val="center"/>
              <w:rPr>
                <w:b/>
                <w:sz w:val="22"/>
                <w:szCs w:val="22"/>
              </w:rPr>
            </w:pPr>
          </w:p>
          <w:p w:rsidR="00046B70" w:rsidRPr="00B3269F" w:rsidRDefault="00046B70" w:rsidP="00AC0180">
            <w:pPr>
              <w:overflowPunct/>
              <w:autoSpaceDE/>
              <w:adjustRightInd/>
              <w:jc w:val="center"/>
              <w:rPr>
                <w:b/>
                <w:sz w:val="10"/>
                <w:szCs w:val="10"/>
              </w:rPr>
            </w:pPr>
          </w:p>
        </w:tc>
      </w:tr>
      <w:tr w:rsidR="00046B70" w:rsidRPr="00B3269F" w:rsidTr="00AC0180">
        <w:trPr>
          <w:trHeight w:val="869"/>
        </w:trPr>
        <w:tc>
          <w:tcPr>
            <w:tcW w:w="4249" w:type="dxa"/>
            <w:hideMark/>
          </w:tcPr>
          <w:p w:rsidR="00046B70" w:rsidRPr="00B3269F" w:rsidRDefault="00046B70" w:rsidP="00AC0180">
            <w:pPr>
              <w:overflowPunct/>
              <w:autoSpaceDE/>
              <w:adjustRightInd/>
              <w:jc w:val="center"/>
              <w:rPr>
                <w:b/>
                <w:sz w:val="28"/>
                <w:szCs w:val="28"/>
                <w:lang w:val="kk-KZ"/>
              </w:rPr>
            </w:pPr>
            <w:r w:rsidRPr="00B3269F">
              <w:rPr>
                <w:b/>
                <w:sz w:val="28"/>
                <w:szCs w:val="28"/>
              </w:rPr>
              <w:t>БА</w:t>
            </w:r>
            <w:r w:rsidRPr="00B3269F">
              <w:rPr>
                <w:b/>
                <w:sz w:val="28"/>
                <w:szCs w:val="28"/>
                <w:lang w:val="kk-KZ"/>
              </w:rPr>
              <w:t>СҚАРМАСЫНЫҢ</w:t>
            </w:r>
          </w:p>
          <w:p w:rsidR="00046B70" w:rsidRPr="00B3269F" w:rsidRDefault="00046B70" w:rsidP="00AC0180">
            <w:pPr>
              <w:overflowPunct/>
              <w:autoSpaceDE/>
              <w:adjustRightInd/>
              <w:jc w:val="center"/>
              <w:rPr>
                <w:b/>
                <w:sz w:val="22"/>
                <w:szCs w:val="22"/>
                <w:lang w:val="kk-KZ"/>
              </w:rPr>
            </w:pPr>
            <w:r w:rsidRPr="00B3269F">
              <w:rPr>
                <w:b/>
                <w:sz w:val="28"/>
                <w:szCs w:val="28"/>
                <w:lang w:val="kk-KZ"/>
              </w:rPr>
              <w:t>ҚАУЛЫСЫ</w:t>
            </w:r>
          </w:p>
        </w:tc>
        <w:tc>
          <w:tcPr>
            <w:tcW w:w="1561" w:type="dxa"/>
          </w:tcPr>
          <w:p w:rsidR="00046B70" w:rsidRPr="00B3269F" w:rsidRDefault="00046B70" w:rsidP="00AC0180">
            <w:pPr>
              <w:overflowPunct/>
              <w:autoSpaceDE/>
              <w:adjustRightInd/>
              <w:ind w:left="158"/>
              <w:rPr>
                <w:sz w:val="24"/>
                <w:szCs w:val="24"/>
                <w:lang w:val="kk-KZ"/>
              </w:rPr>
            </w:pPr>
          </w:p>
        </w:tc>
        <w:tc>
          <w:tcPr>
            <w:tcW w:w="4405" w:type="dxa"/>
            <w:gridSpan w:val="2"/>
            <w:hideMark/>
          </w:tcPr>
          <w:p w:rsidR="00046B70" w:rsidRPr="00B3269F" w:rsidRDefault="00046B70" w:rsidP="00AC0180">
            <w:pPr>
              <w:overflowPunct/>
              <w:autoSpaceDE/>
              <w:adjustRightInd/>
              <w:jc w:val="center"/>
              <w:rPr>
                <w:b/>
                <w:sz w:val="28"/>
                <w:szCs w:val="28"/>
                <w:lang w:val="kk-KZ"/>
              </w:rPr>
            </w:pPr>
            <w:r w:rsidRPr="00B3269F">
              <w:rPr>
                <w:b/>
                <w:sz w:val="28"/>
                <w:szCs w:val="28"/>
                <w:lang w:val="kk-KZ"/>
              </w:rPr>
              <w:t xml:space="preserve">ПОСТАНОВЛЕНИЕ </w:t>
            </w:r>
          </w:p>
          <w:p w:rsidR="00046B70" w:rsidRPr="00B3269F" w:rsidRDefault="00046B70" w:rsidP="00AC0180">
            <w:pPr>
              <w:overflowPunct/>
              <w:autoSpaceDE/>
              <w:adjustRightInd/>
              <w:jc w:val="center"/>
              <w:rPr>
                <w:b/>
                <w:sz w:val="22"/>
                <w:szCs w:val="22"/>
              </w:rPr>
            </w:pPr>
            <w:r w:rsidRPr="00B3269F">
              <w:rPr>
                <w:b/>
                <w:sz w:val="28"/>
                <w:szCs w:val="28"/>
                <w:lang w:val="kk-KZ"/>
              </w:rPr>
              <w:t>ПРАВЛЕНИЯ</w:t>
            </w:r>
          </w:p>
        </w:tc>
      </w:tr>
      <w:tr w:rsidR="00046B70" w:rsidRPr="00B3269F" w:rsidTr="00AC0180">
        <w:trPr>
          <w:trHeight w:val="691"/>
        </w:trPr>
        <w:tc>
          <w:tcPr>
            <w:tcW w:w="4249" w:type="dxa"/>
            <w:hideMark/>
          </w:tcPr>
          <w:p w:rsidR="00046B70" w:rsidRPr="00B3269F" w:rsidRDefault="00046B70" w:rsidP="00AC0180">
            <w:pPr>
              <w:overflowPunct/>
              <w:autoSpaceDE/>
              <w:adjustRightInd/>
              <w:jc w:val="center"/>
              <w:rPr>
                <w:b/>
                <w:bCs/>
                <w:sz w:val="22"/>
                <w:szCs w:val="22"/>
              </w:rPr>
            </w:pPr>
            <w:r w:rsidRPr="00B3269F">
              <w:rPr>
                <w:b/>
                <w:bCs/>
                <w:sz w:val="22"/>
                <w:szCs w:val="22"/>
              </w:rPr>
              <w:t xml:space="preserve">№ ____________________                                                              </w:t>
            </w:r>
          </w:p>
          <w:p w:rsidR="00046B70" w:rsidRPr="00B3269F" w:rsidRDefault="00046B70" w:rsidP="00AC0180">
            <w:pPr>
              <w:overflowPunct/>
              <w:autoSpaceDE/>
              <w:adjustRightInd/>
              <w:jc w:val="center"/>
              <w:rPr>
                <w:sz w:val="22"/>
                <w:szCs w:val="22"/>
              </w:rPr>
            </w:pPr>
          </w:p>
          <w:p w:rsidR="00046B70" w:rsidRPr="00B3269F" w:rsidRDefault="00046B70" w:rsidP="00AC0180">
            <w:pPr>
              <w:overflowPunct/>
              <w:autoSpaceDE/>
              <w:adjustRightInd/>
              <w:jc w:val="center"/>
              <w:rPr>
                <w:b/>
                <w:sz w:val="22"/>
                <w:szCs w:val="22"/>
                <w:lang w:val="kk-KZ"/>
              </w:rPr>
            </w:pPr>
            <w:r w:rsidRPr="00B3269F">
              <w:rPr>
                <w:sz w:val="22"/>
                <w:szCs w:val="22"/>
              </w:rPr>
              <w:t xml:space="preserve">Алматы </w:t>
            </w:r>
            <w:r w:rsidRPr="00B3269F">
              <w:rPr>
                <w:sz w:val="22"/>
                <w:szCs w:val="22"/>
                <w:lang w:val="kk-KZ"/>
              </w:rPr>
              <w:t>қаласы</w:t>
            </w:r>
          </w:p>
        </w:tc>
        <w:tc>
          <w:tcPr>
            <w:tcW w:w="1561" w:type="dxa"/>
          </w:tcPr>
          <w:p w:rsidR="00046B70" w:rsidRPr="00B3269F" w:rsidRDefault="00046B70" w:rsidP="00AC0180">
            <w:pPr>
              <w:overflowPunct/>
              <w:autoSpaceDE/>
              <w:adjustRightInd/>
              <w:ind w:left="158"/>
              <w:rPr>
                <w:sz w:val="24"/>
                <w:szCs w:val="24"/>
                <w:lang w:val="kk-KZ"/>
              </w:rPr>
            </w:pPr>
          </w:p>
        </w:tc>
        <w:tc>
          <w:tcPr>
            <w:tcW w:w="4405" w:type="dxa"/>
            <w:gridSpan w:val="2"/>
          </w:tcPr>
          <w:p w:rsidR="00046B70" w:rsidRPr="00B3269F" w:rsidRDefault="00046B70" w:rsidP="00AC0180">
            <w:pPr>
              <w:overflowPunct/>
              <w:autoSpaceDE/>
              <w:adjustRightInd/>
              <w:jc w:val="center"/>
              <w:rPr>
                <w:sz w:val="22"/>
                <w:szCs w:val="22"/>
                <w:lang w:val="en-US"/>
              </w:rPr>
            </w:pPr>
            <w:r w:rsidRPr="00B3269F">
              <w:rPr>
                <w:b/>
                <w:bCs/>
                <w:sz w:val="22"/>
                <w:szCs w:val="22"/>
              </w:rPr>
              <w:t>от «___» ___________ 20</w:t>
            </w:r>
            <w:r w:rsidRPr="00B3269F">
              <w:rPr>
                <w:sz w:val="22"/>
                <w:szCs w:val="22"/>
                <w:lang w:val="kk-KZ"/>
              </w:rPr>
              <w:t>___</w:t>
            </w:r>
            <w:r w:rsidRPr="00B3269F">
              <w:rPr>
                <w:b/>
                <w:bCs/>
                <w:sz w:val="22"/>
                <w:szCs w:val="22"/>
              </w:rPr>
              <w:t xml:space="preserve"> года</w:t>
            </w:r>
            <w:r w:rsidRPr="00B3269F">
              <w:rPr>
                <w:sz w:val="22"/>
                <w:szCs w:val="22"/>
                <w:lang w:val="en-US"/>
              </w:rPr>
              <w:t xml:space="preserve"> </w:t>
            </w:r>
          </w:p>
          <w:p w:rsidR="00046B70" w:rsidRPr="00B3269F" w:rsidRDefault="00046B70" w:rsidP="00AC0180">
            <w:pPr>
              <w:overflowPunct/>
              <w:autoSpaceDE/>
              <w:adjustRightInd/>
              <w:jc w:val="center"/>
              <w:rPr>
                <w:sz w:val="22"/>
                <w:szCs w:val="22"/>
                <w:lang w:val="en-US"/>
              </w:rPr>
            </w:pPr>
          </w:p>
          <w:p w:rsidR="00046B70" w:rsidRPr="00B3269F" w:rsidRDefault="00046B70" w:rsidP="00AC0180">
            <w:pPr>
              <w:overflowPunct/>
              <w:autoSpaceDE/>
              <w:adjustRightInd/>
              <w:jc w:val="center"/>
              <w:rPr>
                <w:b/>
                <w:sz w:val="22"/>
                <w:szCs w:val="22"/>
              </w:rPr>
            </w:pPr>
            <w:r w:rsidRPr="00B3269F">
              <w:rPr>
                <w:sz w:val="22"/>
                <w:szCs w:val="22"/>
              </w:rPr>
              <w:t xml:space="preserve">город Алматы </w:t>
            </w:r>
          </w:p>
        </w:tc>
      </w:tr>
    </w:tbl>
    <w:p w:rsidR="00046B70" w:rsidRPr="00B3269F" w:rsidRDefault="00046B70" w:rsidP="00046B70">
      <w:pPr>
        <w:overflowPunct/>
        <w:autoSpaceDE/>
        <w:adjustRightInd/>
        <w:rPr>
          <w:b/>
          <w:color w:val="000000" w:themeColor="text1"/>
          <w:sz w:val="28"/>
        </w:rPr>
      </w:pPr>
    </w:p>
    <w:p w:rsidR="00917A13" w:rsidRPr="00B3269F" w:rsidRDefault="00917A13" w:rsidP="001C170F">
      <w:pPr>
        <w:jc w:val="center"/>
        <w:rPr>
          <w:rFonts w:eastAsia="Calibri"/>
          <w:b/>
          <w:sz w:val="28"/>
          <w:szCs w:val="28"/>
        </w:rPr>
      </w:pPr>
    </w:p>
    <w:p w:rsidR="00B3269F" w:rsidRPr="00B3269F" w:rsidRDefault="00B3269F" w:rsidP="001C170F">
      <w:pPr>
        <w:jc w:val="center"/>
        <w:rPr>
          <w:rFonts w:eastAsia="Calibri"/>
          <w:b/>
          <w:sz w:val="28"/>
          <w:szCs w:val="28"/>
        </w:rPr>
      </w:pPr>
    </w:p>
    <w:p w:rsidR="00B3269F" w:rsidRPr="00B3269F" w:rsidRDefault="00B3269F" w:rsidP="00B3269F">
      <w:pPr>
        <w:shd w:val="clear" w:color="auto" w:fill="FFFFFF"/>
        <w:jc w:val="center"/>
        <w:rPr>
          <w:b/>
          <w:bCs/>
          <w:sz w:val="28"/>
        </w:rPr>
      </w:pPr>
      <w:r w:rsidRPr="00B3269F">
        <w:rPr>
          <w:b/>
          <w:bCs/>
          <w:sz w:val="28"/>
        </w:rPr>
        <w:t xml:space="preserve">Об утверждении Требований к Правилам внутреннего контроля </w:t>
      </w:r>
      <w:bookmarkStart w:id="0" w:name="_Hlk213949759"/>
      <w:r w:rsidRPr="00B3269F">
        <w:rPr>
          <w:b/>
          <w:bCs/>
          <w:sz w:val="28"/>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bookmarkEnd w:id="0"/>
    </w:p>
    <w:p w:rsidR="00B3269F" w:rsidRPr="00B3269F" w:rsidRDefault="00B3269F" w:rsidP="00B3269F">
      <w:pPr>
        <w:shd w:val="clear" w:color="auto" w:fill="FFFFFF"/>
        <w:jc w:val="center"/>
        <w:rPr>
          <w:b/>
          <w:bCs/>
          <w:sz w:val="28"/>
        </w:rPr>
      </w:pPr>
    </w:p>
    <w:p w:rsidR="00B3269F" w:rsidRPr="00B3269F" w:rsidRDefault="00B3269F" w:rsidP="00B3269F">
      <w:pPr>
        <w:shd w:val="clear" w:color="auto" w:fill="FFFFFF"/>
        <w:jc w:val="center"/>
        <w:rPr>
          <w:b/>
          <w:bCs/>
          <w:sz w:val="28"/>
        </w:rPr>
      </w:pPr>
    </w:p>
    <w:p w:rsidR="00B3269F" w:rsidRPr="00B3269F" w:rsidRDefault="00B3269F" w:rsidP="00B3269F">
      <w:pPr>
        <w:ind w:firstLine="709"/>
        <w:jc w:val="both"/>
        <w:rPr>
          <w:color w:val="000000"/>
          <w:sz w:val="28"/>
        </w:rPr>
      </w:pPr>
      <w:r w:rsidRPr="00B3269F">
        <w:rPr>
          <w:color w:val="000000"/>
          <w:sz w:val="28"/>
        </w:rPr>
        <w:t>В соответствии с пунктом 3-2 статьи 11 Закона Республики Казахстан «О противодействии легализации (отмыванию) доходов, полученных преступным путем, финансированию терроризма</w:t>
      </w:r>
      <w:r w:rsidRPr="00B3269F">
        <w:t xml:space="preserve"> </w:t>
      </w:r>
      <w:r w:rsidRPr="00B3269F">
        <w:rPr>
          <w:color w:val="000000"/>
          <w:sz w:val="28"/>
        </w:rPr>
        <w:t xml:space="preserve">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sidRPr="00B3269F">
        <w:rPr>
          <w:b/>
          <w:color w:val="000000"/>
          <w:sz w:val="28"/>
        </w:rPr>
        <w:t>ПОСТАНОВЛЯЕТ</w:t>
      </w:r>
      <w:r w:rsidRPr="00B3269F">
        <w:rPr>
          <w:color w:val="000000"/>
          <w:sz w:val="28"/>
        </w:rPr>
        <w:t>:</w:t>
      </w:r>
    </w:p>
    <w:p w:rsidR="00B3269F" w:rsidRPr="00B3269F" w:rsidRDefault="00B3269F" w:rsidP="00B3269F">
      <w:pPr>
        <w:ind w:firstLine="709"/>
        <w:jc w:val="both"/>
        <w:rPr>
          <w:color w:val="000000"/>
          <w:sz w:val="28"/>
        </w:rPr>
      </w:pPr>
      <w:r w:rsidRPr="00B3269F">
        <w:rPr>
          <w:color w:val="000000"/>
          <w:sz w:val="28"/>
        </w:rPr>
        <w:t>1. Утвердить прилагаемые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p>
    <w:p w:rsidR="00B3269F" w:rsidRPr="00B3269F" w:rsidRDefault="00B3269F" w:rsidP="00B3269F">
      <w:pPr>
        <w:ind w:firstLine="709"/>
        <w:jc w:val="both"/>
        <w:rPr>
          <w:color w:val="000000"/>
          <w:sz w:val="28"/>
        </w:rPr>
      </w:pPr>
      <w:r w:rsidRPr="00B3269F">
        <w:rPr>
          <w:color w:val="000000"/>
          <w:sz w:val="28"/>
        </w:rPr>
        <w:lastRenderedPageBreak/>
        <w:t xml:space="preserve">2. Департаменту методологии и </w:t>
      </w:r>
      <w:proofErr w:type="spellStart"/>
      <w:r w:rsidRPr="00B3269F">
        <w:rPr>
          <w:color w:val="000000"/>
          <w:sz w:val="28"/>
        </w:rPr>
        <w:t>пруденциального</w:t>
      </w:r>
      <w:proofErr w:type="spellEnd"/>
      <w:r w:rsidRPr="00B3269F">
        <w:rPr>
          <w:color w:val="000000"/>
          <w:sz w:val="28"/>
        </w:rPr>
        <w:t xml:space="preserve"> регулирования финансовых организаций в установленном законодательством Республики Казахстан порядке обеспечить:</w:t>
      </w:r>
    </w:p>
    <w:p w:rsidR="00B3269F" w:rsidRPr="00B3269F" w:rsidRDefault="00B3269F" w:rsidP="00B3269F">
      <w:pPr>
        <w:ind w:firstLine="709"/>
        <w:jc w:val="both"/>
        <w:rPr>
          <w:color w:val="000000"/>
          <w:sz w:val="28"/>
        </w:rPr>
      </w:pPr>
      <w:r w:rsidRPr="00B3269F">
        <w:rPr>
          <w:color w:val="000000"/>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B3269F" w:rsidRPr="00B3269F" w:rsidRDefault="00B3269F" w:rsidP="00B3269F">
      <w:pPr>
        <w:ind w:firstLine="709"/>
        <w:jc w:val="both"/>
        <w:rPr>
          <w:color w:val="000000"/>
          <w:sz w:val="28"/>
        </w:rPr>
      </w:pPr>
      <w:r w:rsidRPr="00B3269F">
        <w:rPr>
          <w:color w:val="000000"/>
          <w:sz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B3269F" w:rsidRPr="00B3269F" w:rsidRDefault="00B3269F" w:rsidP="00B3269F">
      <w:pPr>
        <w:ind w:firstLine="709"/>
        <w:jc w:val="both"/>
        <w:rPr>
          <w:color w:val="000000"/>
          <w:sz w:val="28"/>
        </w:rPr>
      </w:pPr>
      <w:r w:rsidRPr="00B3269F">
        <w:rPr>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B3269F" w:rsidRPr="00B3269F" w:rsidRDefault="00B3269F" w:rsidP="00B3269F">
      <w:pPr>
        <w:ind w:firstLine="709"/>
        <w:jc w:val="both"/>
        <w:rPr>
          <w:color w:val="000000"/>
          <w:sz w:val="28"/>
        </w:rPr>
      </w:pPr>
      <w:r w:rsidRPr="00B3269F">
        <w:rPr>
          <w:color w:val="000000"/>
          <w:sz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B3269F" w:rsidRPr="00B3269F" w:rsidRDefault="00B3269F" w:rsidP="00B3269F">
      <w:pPr>
        <w:tabs>
          <w:tab w:val="left" w:pos="1134"/>
        </w:tabs>
        <w:ind w:firstLine="709"/>
        <w:jc w:val="both"/>
        <w:rPr>
          <w:color w:val="000000"/>
          <w:sz w:val="28"/>
        </w:rPr>
      </w:pPr>
      <w:r w:rsidRPr="00B3269F">
        <w:rPr>
          <w:color w:val="000000"/>
          <w:sz w:val="28"/>
        </w:rPr>
        <w:t>4.</w:t>
      </w:r>
      <w:r w:rsidRPr="00B3269F">
        <w:rPr>
          <w:color w:val="000000"/>
          <w:sz w:val="28"/>
        </w:rPr>
        <w:tab/>
        <w:t>Настоящее постановление вводится в действие с 1 мая 2026 года.</w:t>
      </w:r>
    </w:p>
    <w:p w:rsidR="00B3269F" w:rsidRPr="00B3269F" w:rsidRDefault="00B3269F" w:rsidP="00B3269F">
      <w:pPr>
        <w:rPr>
          <w:lang w:val="kk-KZ"/>
        </w:rPr>
      </w:pPr>
    </w:p>
    <w:p w:rsidR="00B3269F" w:rsidRPr="00B3269F" w:rsidRDefault="00B3269F" w:rsidP="00B3269F">
      <w:pPr>
        <w:rPr>
          <w:lang w:val="kk-KZ"/>
        </w:rPr>
      </w:pPr>
      <w:r w:rsidRPr="00B3269F">
        <w:rPr>
          <w:lang w:val="kk-KZ"/>
        </w:rPr>
        <w:tab/>
      </w:r>
    </w:p>
    <w:p w:rsidR="00B3269F" w:rsidRPr="00B3269F" w:rsidRDefault="00B3269F" w:rsidP="00B3269F">
      <w:pPr>
        <w:rPr>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B3269F" w:rsidRPr="00B3269F" w:rsidTr="00BA4505">
        <w:tc>
          <w:tcPr>
            <w:tcW w:w="3652" w:type="dxa"/>
            <w:hideMark/>
          </w:tcPr>
          <w:p w:rsidR="00B3269F" w:rsidRPr="00B3269F" w:rsidRDefault="00B3269F" w:rsidP="00BA4505">
            <w:pPr>
              <w:rPr>
                <w:b/>
                <w:sz w:val="28"/>
                <w:szCs w:val="28"/>
              </w:rPr>
            </w:pPr>
            <w:r w:rsidRPr="00B3269F">
              <w:rPr>
                <w:b/>
                <w:sz w:val="28"/>
                <w:szCs w:val="28"/>
              </w:rPr>
              <w:t>Должность</w:t>
            </w:r>
          </w:p>
        </w:tc>
        <w:tc>
          <w:tcPr>
            <w:tcW w:w="2126" w:type="dxa"/>
          </w:tcPr>
          <w:p w:rsidR="00B3269F" w:rsidRPr="00B3269F" w:rsidRDefault="00B3269F" w:rsidP="00BA4505">
            <w:pPr>
              <w:rPr>
                <w:b/>
                <w:sz w:val="28"/>
                <w:szCs w:val="28"/>
                <w:lang w:val="kk-KZ"/>
              </w:rPr>
            </w:pPr>
          </w:p>
        </w:tc>
        <w:tc>
          <w:tcPr>
            <w:tcW w:w="3152" w:type="dxa"/>
            <w:hideMark/>
          </w:tcPr>
          <w:p w:rsidR="00B3269F" w:rsidRPr="00B3269F" w:rsidRDefault="00B3269F" w:rsidP="00BA4505">
            <w:pPr>
              <w:rPr>
                <w:b/>
                <w:sz w:val="28"/>
                <w:szCs w:val="28"/>
                <w:lang w:val="kk-KZ"/>
              </w:rPr>
            </w:pPr>
            <w:r w:rsidRPr="00B3269F">
              <w:rPr>
                <w:b/>
                <w:sz w:val="28"/>
                <w:szCs w:val="28"/>
                <w:lang w:val="kk-KZ"/>
              </w:rPr>
              <w:t>ФИО</w:t>
            </w:r>
          </w:p>
        </w:tc>
      </w:tr>
    </w:tbl>
    <w:p w:rsidR="00B3269F" w:rsidRPr="00B3269F" w:rsidRDefault="00B3269F" w:rsidP="00B3269F">
      <w:pPr>
        <w:rPr>
          <w:lang w:val="kk-KZ"/>
        </w:rPr>
      </w:pPr>
    </w:p>
    <w:p w:rsidR="00B3269F" w:rsidRPr="00B3269F" w:rsidRDefault="00B3269F" w:rsidP="00B3269F">
      <w:pPr>
        <w:shd w:val="clear" w:color="auto" w:fill="FFFFFF"/>
        <w:tabs>
          <w:tab w:val="left" w:pos="1134"/>
        </w:tabs>
        <w:jc w:val="both"/>
        <w:rPr>
          <w:bCs/>
          <w:sz w:val="28"/>
          <w:szCs w:val="28"/>
        </w:rPr>
      </w:pPr>
    </w:p>
    <w:p w:rsidR="00B3269F" w:rsidRPr="00B3269F" w:rsidRDefault="00B3269F" w:rsidP="00B3269F">
      <w:pPr>
        <w:shd w:val="clear" w:color="auto" w:fill="FFFFFF"/>
        <w:tabs>
          <w:tab w:val="left" w:pos="1134"/>
        </w:tabs>
        <w:jc w:val="both"/>
        <w:rPr>
          <w:bCs/>
          <w:sz w:val="28"/>
          <w:szCs w:val="28"/>
        </w:rPr>
      </w:pPr>
    </w:p>
    <w:p w:rsidR="00B3269F" w:rsidRPr="00B3269F" w:rsidRDefault="00B3269F" w:rsidP="00B3269F">
      <w:pPr>
        <w:shd w:val="clear" w:color="auto" w:fill="FFFFFF"/>
        <w:tabs>
          <w:tab w:val="left" w:pos="1134"/>
        </w:tabs>
        <w:jc w:val="both"/>
        <w:rPr>
          <w:bCs/>
          <w:sz w:val="28"/>
          <w:szCs w:val="28"/>
        </w:rPr>
      </w:pPr>
    </w:p>
    <w:p w:rsidR="00B3269F" w:rsidRPr="00B3269F" w:rsidRDefault="00B3269F" w:rsidP="00B3269F">
      <w:pPr>
        <w:shd w:val="clear" w:color="auto" w:fill="FFFFFF"/>
        <w:tabs>
          <w:tab w:val="left" w:pos="1134"/>
        </w:tabs>
        <w:ind w:firstLine="709"/>
        <w:jc w:val="both"/>
        <w:rPr>
          <w:bCs/>
          <w:sz w:val="28"/>
          <w:szCs w:val="28"/>
        </w:rPr>
      </w:pPr>
      <w:r w:rsidRPr="00B3269F">
        <w:rPr>
          <w:bCs/>
          <w:sz w:val="28"/>
          <w:szCs w:val="28"/>
        </w:rPr>
        <w:t>«СОГЛАСОВАНО»</w:t>
      </w:r>
    </w:p>
    <w:p w:rsidR="00B3269F" w:rsidRPr="00B3269F" w:rsidRDefault="00B3269F" w:rsidP="00B3269F">
      <w:pPr>
        <w:shd w:val="clear" w:color="auto" w:fill="FFFFFF"/>
        <w:tabs>
          <w:tab w:val="left" w:pos="1134"/>
        </w:tabs>
        <w:ind w:firstLine="709"/>
        <w:jc w:val="both"/>
        <w:rPr>
          <w:bCs/>
          <w:sz w:val="28"/>
          <w:szCs w:val="28"/>
        </w:rPr>
      </w:pPr>
      <w:r w:rsidRPr="00B3269F">
        <w:rPr>
          <w:bCs/>
          <w:sz w:val="28"/>
          <w:szCs w:val="28"/>
        </w:rPr>
        <w:t xml:space="preserve">Агентство Республики Казахстан </w:t>
      </w:r>
    </w:p>
    <w:p w:rsidR="00B3269F" w:rsidRPr="00B3269F" w:rsidRDefault="00B3269F" w:rsidP="00B3269F">
      <w:pPr>
        <w:shd w:val="clear" w:color="auto" w:fill="FFFFFF"/>
        <w:tabs>
          <w:tab w:val="left" w:pos="1134"/>
        </w:tabs>
        <w:ind w:firstLine="709"/>
        <w:jc w:val="both"/>
        <w:rPr>
          <w:bCs/>
          <w:sz w:val="28"/>
          <w:szCs w:val="28"/>
        </w:rPr>
      </w:pPr>
      <w:r w:rsidRPr="00B3269F">
        <w:rPr>
          <w:bCs/>
          <w:sz w:val="28"/>
          <w:szCs w:val="28"/>
        </w:rPr>
        <w:t>по финансовому мониторингу</w:t>
      </w:r>
    </w:p>
    <w:p w:rsidR="00B3269F" w:rsidRPr="00B3269F" w:rsidRDefault="00B3269F" w:rsidP="00B3269F">
      <w:pPr>
        <w:shd w:val="clear" w:color="auto" w:fill="FFFFFF"/>
        <w:tabs>
          <w:tab w:val="left" w:pos="1134"/>
        </w:tabs>
        <w:ind w:firstLine="709"/>
        <w:jc w:val="both"/>
        <w:rPr>
          <w:lang w:val="kk-KZ"/>
        </w:rPr>
      </w:pPr>
    </w:p>
    <w:p w:rsidR="00B3269F" w:rsidRPr="00B3269F" w:rsidRDefault="00B3269F" w:rsidP="00B3269F">
      <w:pPr>
        <w:shd w:val="clear" w:color="auto" w:fill="FFFFFF"/>
        <w:tabs>
          <w:tab w:val="left" w:pos="1134"/>
        </w:tabs>
        <w:ind w:firstLine="709"/>
        <w:jc w:val="both"/>
        <w:rPr>
          <w:lang w:val="kk-KZ"/>
        </w:rPr>
      </w:pPr>
    </w:p>
    <w:p w:rsidR="00B3269F" w:rsidRPr="00B3269F" w:rsidRDefault="00B3269F" w:rsidP="00B3269F">
      <w:pPr>
        <w:shd w:val="clear" w:color="auto" w:fill="FFFFFF"/>
        <w:tabs>
          <w:tab w:val="left" w:pos="1134"/>
        </w:tabs>
        <w:ind w:firstLine="709"/>
        <w:jc w:val="both"/>
        <w:rPr>
          <w:lang w:val="kk-KZ"/>
        </w:rPr>
      </w:pPr>
    </w:p>
    <w:p w:rsidR="00B3269F" w:rsidRPr="00B3269F" w:rsidRDefault="00B3269F" w:rsidP="00B3269F">
      <w:pPr>
        <w:shd w:val="clear" w:color="auto" w:fill="FFFFFF"/>
        <w:tabs>
          <w:tab w:val="left" w:pos="1134"/>
        </w:tabs>
        <w:ind w:firstLine="709"/>
        <w:jc w:val="both"/>
        <w:rPr>
          <w:lang w:val="kk-KZ"/>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p>
    <w:p w:rsidR="00B3269F" w:rsidRPr="00B3269F" w:rsidRDefault="00B3269F" w:rsidP="00B3269F">
      <w:pPr>
        <w:ind w:left="5103"/>
        <w:rPr>
          <w:sz w:val="28"/>
          <w:szCs w:val="28"/>
        </w:rPr>
      </w:pPr>
      <w:r w:rsidRPr="00B3269F">
        <w:rPr>
          <w:sz w:val="28"/>
          <w:szCs w:val="28"/>
        </w:rPr>
        <w:lastRenderedPageBreak/>
        <w:t>Утверждены постановлением</w:t>
      </w:r>
    </w:p>
    <w:p w:rsidR="00B3269F" w:rsidRPr="00B3269F" w:rsidRDefault="00B3269F" w:rsidP="00B3269F">
      <w:pPr>
        <w:ind w:left="5103"/>
        <w:rPr>
          <w:sz w:val="28"/>
          <w:szCs w:val="28"/>
        </w:rPr>
      </w:pPr>
      <w:r w:rsidRPr="00B3269F">
        <w:rPr>
          <w:sz w:val="28"/>
          <w:szCs w:val="28"/>
        </w:rPr>
        <w:t>Правления Агентства</w:t>
      </w:r>
    </w:p>
    <w:p w:rsidR="00B3269F" w:rsidRPr="00B3269F" w:rsidRDefault="00B3269F" w:rsidP="00B3269F">
      <w:pPr>
        <w:ind w:left="5103"/>
        <w:rPr>
          <w:sz w:val="28"/>
          <w:szCs w:val="28"/>
        </w:rPr>
      </w:pPr>
      <w:r w:rsidRPr="00B3269F">
        <w:rPr>
          <w:sz w:val="28"/>
          <w:szCs w:val="28"/>
        </w:rPr>
        <w:t>Республики Казахстан</w:t>
      </w:r>
    </w:p>
    <w:p w:rsidR="00B3269F" w:rsidRPr="00B3269F" w:rsidRDefault="00B3269F" w:rsidP="00B3269F">
      <w:pPr>
        <w:ind w:left="5103"/>
        <w:rPr>
          <w:sz w:val="28"/>
          <w:szCs w:val="28"/>
        </w:rPr>
      </w:pPr>
      <w:r w:rsidRPr="00B3269F">
        <w:rPr>
          <w:sz w:val="28"/>
          <w:szCs w:val="28"/>
        </w:rPr>
        <w:t>по регулированию и развитию</w:t>
      </w:r>
    </w:p>
    <w:p w:rsidR="00B3269F" w:rsidRPr="00B3269F" w:rsidRDefault="00B3269F" w:rsidP="00B3269F">
      <w:pPr>
        <w:ind w:left="5103"/>
        <w:rPr>
          <w:sz w:val="28"/>
          <w:szCs w:val="28"/>
        </w:rPr>
      </w:pPr>
      <w:r w:rsidRPr="00B3269F">
        <w:rPr>
          <w:sz w:val="28"/>
          <w:szCs w:val="28"/>
        </w:rPr>
        <w:t>финансового рынка</w:t>
      </w:r>
    </w:p>
    <w:p w:rsidR="00B3269F" w:rsidRPr="00B3269F" w:rsidRDefault="00B3269F" w:rsidP="00B3269F">
      <w:pPr>
        <w:pStyle w:val="pr"/>
        <w:ind w:left="5103"/>
        <w:jc w:val="left"/>
        <w:rPr>
          <w:rStyle w:val="s0"/>
          <w:color w:val="auto"/>
          <w:sz w:val="28"/>
          <w:szCs w:val="28"/>
        </w:rPr>
      </w:pPr>
      <w:r w:rsidRPr="00B3269F">
        <w:rPr>
          <w:rStyle w:val="s0"/>
          <w:color w:val="auto"/>
          <w:sz w:val="28"/>
          <w:szCs w:val="28"/>
        </w:rPr>
        <w:t>от ____________ 202</w:t>
      </w:r>
      <w:r w:rsidR="00787FE7">
        <w:rPr>
          <w:rStyle w:val="s0"/>
          <w:color w:val="auto"/>
          <w:sz w:val="28"/>
          <w:szCs w:val="28"/>
        </w:rPr>
        <w:t>6</w:t>
      </w:r>
      <w:bookmarkStart w:id="1" w:name="_GoBack"/>
      <w:bookmarkEnd w:id="1"/>
      <w:r w:rsidRPr="00B3269F">
        <w:rPr>
          <w:rStyle w:val="s0"/>
          <w:color w:val="auto"/>
          <w:sz w:val="28"/>
          <w:szCs w:val="28"/>
        </w:rPr>
        <w:t xml:space="preserve"> года № ____</w:t>
      </w:r>
    </w:p>
    <w:p w:rsidR="00B3269F" w:rsidRPr="00B3269F" w:rsidRDefault="00B3269F" w:rsidP="00B3269F">
      <w:pPr>
        <w:jc w:val="right"/>
        <w:rPr>
          <w:sz w:val="28"/>
          <w:szCs w:val="28"/>
        </w:rPr>
      </w:pPr>
    </w:p>
    <w:p w:rsidR="00B3269F" w:rsidRPr="00B3269F" w:rsidRDefault="00B3269F" w:rsidP="00B3269F">
      <w:pPr>
        <w:jc w:val="right"/>
        <w:rPr>
          <w:b/>
          <w:sz w:val="28"/>
          <w:szCs w:val="28"/>
        </w:rPr>
      </w:pPr>
    </w:p>
    <w:p w:rsidR="00B3269F" w:rsidRPr="00B3269F" w:rsidRDefault="00B3269F" w:rsidP="00B3269F">
      <w:pPr>
        <w:jc w:val="center"/>
        <w:rPr>
          <w:b/>
          <w:sz w:val="28"/>
          <w:szCs w:val="28"/>
        </w:rPr>
      </w:pPr>
      <w:r w:rsidRPr="00B3269F">
        <w:rPr>
          <w:b/>
          <w:sz w:val="28"/>
          <w:szCs w:val="28"/>
        </w:rPr>
        <w:t xml:space="preserve">Требования к Правилам внутреннего контроля </w:t>
      </w:r>
      <w:r w:rsidRPr="00B3269F">
        <w:rPr>
          <w:b/>
          <w:bCs/>
          <w:sz w:val="28"/>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p>
    <w:p w:rsidR="00B3269F" w:rsidRPr="00B3269F" w:rsidRDefault="00B3269F" w:rsidP="00B3269F">
      <w:pPr>
        <w:jc w:val="both"/>
        <w:rPr>
          <w:sz w:val="28"/>
          <w:szCs w:val="28"/>
        </w:rPr>
      </w:pPr>
    </w:p>
    <w:p w:rsidR="00B3269F" w:rsidRPr="00B3269F" w:rsidRDefault="00B3269F" w:rsidP="00B3269F">
      <w:pPr>
        <w:jc w:val="both"/>
        <w:rPr>
          <w:sz w:val="28"/>
          <w:szCs w:val="28"/>
        </w:rPr>
      </w:pPr>
    </w:p>
    <w:p w:rsidR="00B3269F" w:rsidRPr="00B3269F" w:rsidRDefault="00B3269F" w:rsidP="00B3269F">
      <w:pPr>
        <w:ind w:firstLine="709"/>
        <w:jc w:val="center"/>
        <w:rPr>
          <w:b/>
          <w:sz w:val="28"/>
          <w:szCs w:val="28"/>
        </w:rPr>
      </w:pPr>
      <w:r w:rsidRPr="00B3269F">
        <w:rPr>
          <w:b/>
          <w:sz w:val="28"/>
          <w:szCs w:val="28"/>
        </w:rPr>
        <w:t>Глава 1. Общие положения</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r w:rsidRPr="00B3269F">
        <w:rPr>
          <w:sz w:val="28"/>
          <w:szCs w:val="28"/>
        </w:rPr>
        <w:t>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 (далее – Требования) разработаны в соответствии с законами Республики Казахстан «О цифровых активах в Республике Казахстан» (далее – Закон о цифровых активах) 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p w:rsidR="00B3269F" w:rsidRPr="00B3269F" w:rsidRDefault="00B3269F" w:rsidP="00B3269F">
      <w:pPr>
        <w:ind w:firstLine="709"/>
        <w:jc w:val="both"/>
        <w:rPr>
          <w:sz w:val="28"/>
          <w:szCs w:val="28"/>
        </w:rPr>
      </w:pPr>
      <w:r w:rsidRPr="00B3269F">
        <w:rPr>
          <w:sz w:val="28"/>
          <w:szCs w:val="28"/>
        </w:rPr>
        <w:t xml:space="preserve">Требования распространяются на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w:t>
      </w:r>
      <w:r w:rsidRPr="00B3269F">
        <w:rPr>
          <w:sz w:val="28"/>
          <w:szCs w:val="28"/>
        </w:rPr>
        <w:lastRenderedPageBreak/>
        <w:t>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 (далее – эмитенты).</w:t>
      </w:r>
    </w:p>
    <w:p w:rsidR="00B3269F" w:rsidRPr="00B3269F" w:rsidRDefault="00B3269F" w:rsidP="00B3269F">
      <w:pPr>
        <w:ind w:firstLine="709"/>
        <w:jc w:val="both"/>
        <w:rPr>
          <w:sz w:val="28"/>
          <w:szCs w:val="28"/>
        </w:rPr>
      </w:pPr>
      <w:r w:rsidRPr="00B3269F">
        <w:rPr>
          <w:sz w:val="28"/>
          <w:szCs w:val="28"/>
        </w:rPr>
        <w:t>2. Понятия, используемые в Требованиях, применяются в значениях, указанных в Законе о ПОД/ФТ/ФРОМУ и Законе о цифровых активах.</w:t>
      </w:r>
    </w:p>
    <w:p w:rsidR="00B3269F" w:rsidRPr="00B3269F" w:rsidRDefault="00B3269F" w:rsidP="00B3269F">
      <w:pPr>
        <w:ind w:firstLine="709"/>
        <w:jc w:val="both"/>
        <w:rPr>
          <w:sz w:val="28"/>
          <w:szCs w:val="28"/>
        </w:rPr>
      </w:pPr>
      <w:r w:rsidRPr="00B3269F">
        <w:rPr>
          <w:sz w:val="28"/>
          <w:szCs w:val="28"/>
        </w:rPr>
        <w:t>Для целей Требований используются следующие основные понятия:</w:t>
      </w:r>
    </w:p>
    <w:p w:rsidR="00B3269F" w:rsidRPr="00B3269F" w:rsidRDefault="00B3269F" w:rsidP="00B3269F">
      <w:pPr>
        <w:ind w:firstLine="709"/>
        <w:jc w:val="both"/>
        <w:rPr>
          <w:sz w:val="28"/>
          <w:szCs w:val="28"/>
        </w:rPr>
      </w:pPr>
      <w:r w:rsidRPr="00B3269F">
        <w:rPr>
          <w:sz w:val="28"/>
          <w:szCs w:val="28"/>
        </w:rPr>
        <w:t>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эмитентами самостоятельно, за исключением признаков подозрительной деятельности клиента, подлежащей финансовому мониторингу;</w:t>
      </w:r>
    </w:p>
    <w:p w:rsidR="00B3269F" w:rsidRPr="00B3269F" w:rsidRDefault="00B3269F" w:rsidP="00B3269F">
      <w:pPr>
        <w:ind w:firstLine="709"/>
        <w:jc w:val="both"/>
        <w:rPr>
          <w:sz w:val="28"/>
          <w:szCs w:val="28"/>
        </w:rPr>
      </w:pPr>
      <w:r w:rsidRPr="00B3269F">
        <w:rPr>
          <w:sz w:val="28"/>
          <w:szCs w:val="28"/>
        </w:rPr>
        <w:t>2) управление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 совокупность принимаемых эмитентами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B3269F" w:rsidRPr="00B3269F" w:rsidRDefault="00B3269F" w:rsidP="00B3269F">
      <w:pPr>
        <w:ind w:firstLine="709"/>
        <w:jc w:val="both"/>
        <w:rPr>
          <w:sz w:val="28"/>
          <w:szCs w:val="28"/>
        </w:rPr>
      </w:pPr>
      <w:r w:rsidRPr="00B3269F">
        <w:rPr>
          <w:sz w:val="28"/>
          <w:szCs w:val="28"/>
        </w:rPr>
        <w:t>3) клиент – физическое, юридическое лицо или иностранная структура без образования юридического лица, являющиеся держателями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финансовых инструментов, выпускаемых в электронно-цифровой форме на цифровой платформе оператора платформы цифровых финансовых активов;</w:t>
      </w:r>
    </w:p>
    <w:p w:rsidR="00B3269F" w:rsidRPr="00B3269F" w:rsidRDefault="00B3269F" w:rsidP="00B3269F">
      <w:pPr>
        <w:ind w:firstLine="709"/>
        <w:jc w:val="both"/>
        <w:rPr>
          <w:sz w:val="28"/>
          <w:szCs w:val="28"/>
        </w:rPr>
      </w:pPr>
      <w:r w:rsidRPr="00B3269F">
        <w:rPr>
          <w:sz w:val="28"/>
          <w:szCs w:val="28"/>
        </w:rPr>
        <w:t>4) риски ОД/ФТ/ФРОМУ – риски преднамеренного или непреднамеренного вовлечения эмитентов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B3269F" w:rsidRPr="00B3269F" w:rsidRDefault="00B3269F" w:rsidP="00B3269F">
      <w:pPr>
        <w:ind w:firstLine="709"/>
        <w:jc w:val="both"/>
        <w:rPr>
          <w:sz w:val="28"/>
          <w:szCs w:val="28"/>
        </w:rPr>
      </w:pPr>
      <w:r w:rsidRPr="00B3269F">
        <w:rPr>
          <w:sz w:val="28"/>
          <w:szCs w:val="28"/>
        </w:rPr>
        <w:t>5)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p w:rsidR="00B3269F" w:rsidRPr="00B3269F" w:rsidRDefault="00B3269F" w:rsidP="00B3269F">
      <w:pPr>
        <w:ind w:firstLine="709"/>
        <w:jc w:val="both"/>
        <w:rPr>
          <w:sz w:val="28"/>
          <w:szCs w:val="28"/>
        </w:rPr>
      </w:pPr>
      <w:r w:rsidRPr="00B3269F">
        <w:rPr>
          <w:sz w:val="28"/>
          <w:szCs w:val="28"/>
        </w:rPr>
        <w:lastRenderedPageBreak/>
        <w:t>6) цифровой финансовый актив:</w:t>
      </w:r>
    </w:p>
    <w:p w:rsidR="00B3269F" w:rsidRPr="00B3269F" w:rsidRDefault="00B3269F" w:rsidP="00B3269F">
      <w:pPr>
        <w:ind w:firstLine="709"/>
        <w:jc w:val="both"/>
        <w:rPr>
          <w:sz w:val="28"/>
          <w:szCs w:val="28"/>
        </w:rPr>
      </w:pPr>
      <w:r w:rsidRPr="00B3269F">
        <w:rPr>
          <w:sz w:val="28"/>
          <w:szCs w:val="28"/>
        </w:rPr>
        <w:t xml:space="preserve">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B3269F" w:rsidRPr="00B3269F" w:rsidRDefault="00B3269F" w:rsidP="00B3269F">
      <w:pPr>
        <w:ind w:firstLine="709"/>
        <w:jc w:val="both"/>
        <w:rPr>
          <w:sz w:val="28"/>
          <w:szCs w:val="28"/>
        </w:rPr>
      </w:pPr>
      <w:r w:rsidRPr="00B3269F">
        <w:rPr>
          <w:sz w:val="28"/>
          <w:szCs w:val="28"/>
        </w:rPr>
        <w:t xml:space="preserve">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rsidR="00B3269F" w:rsidRPr="00B3269F" w:rsidRDefault="00B3269F" w:rsidP="00B3269F">
      <w:pPr>
        <w:ind w:firstLine="709"/>
        <w:jc w:val="both"/>
        <w:rPr>
          <w:sz w:val="28"/>
          <w:szCs w:val="28"/>
        </w:rPr>
      </w:pPr>
      <w:r w:rsidRPr="00B3269F">
        <w:rPr>
          <w:sz w:val="28"/>
          <w:szCs w:val="28"/>
        </w:rPr>
        <w:t>7) необеспеченный цифровой актив – цифровой актив, не являющийся цифровым финансовым активом;</w:t>
      </w:r>
    </w:p>
    <w:p w:rsidR="00B3269F" w:rsidRPr="00B3269F" w:rsidRDefault="00B3269F" w:rsidP="00B3269F">
      <w:pPr>
        <w:ind w:firstLine="709"/>
        <w:jc w:val="both"/>
        <w:rPr>
          <w:sz w:val="28"/>
          <w:szCs w:val="28"/>
        </w:rPr>
      </w:pPr>
      <w:r w:rsidRPr="00B3269F">
        <w:rPr>
          <w:sz w:val="28"/>
          <w:szCs w:val="28"/>
        </w:rPr>
        <w:t>8) пороговая операция – операция клиента с деньгами и (или) иным имуществом, подлежащая финансовому мониторингу в соответствии с пунктом 1 статьи 4 Закона о ПОД/ФТ/ФРОМУ;</w:t>
      </w:r>
    </w:p>
    <w:p w:rsidR="00B3269F" w:rsidRPr="00B3269F" w:rsidRDefault="00B3269F" w:rsidP="00B3269F">
      <w:pPr>
        <w:ind w:firstLine="709"/>
        <w:jc w:val="both"/>
        <w:rPr>
          <w:sz w:val="28"/>
          <w:szCs w:val="28"/>
        </w:rPr>
      </w:pPr>
      <w:r w:rsidRPr="00B3269F">
        <w:rPr>
          <w:sz w:val="28"/>
          <w:szCs w:val="28"/>
        </w:rPr>
        <w:t>9) деловые отношения – отношения по предоставлению эмитентами клиенту услуг (продуктов), относящихся к профессиональной деятельности, связанной с цифровыми финансовыми активами.</w:t>
      </w:r>
    </w:p>
    <w:p w:rsidR="00B3269F" w:rsidRPr="00B3269F" w:rsidRDefault="00B3269F" w:rsidP="00B3269F">
      <w:pPr>
        <w:ind w:firstLine="709"/>
        <w:jc w:val="both"/>
        <w:rPr>
          <w:sz w:val="28"/>
          <w:szCs w:val="28"/>
        </w:rPr>
      </w:pPr>
      <w:r w:rsidRPr="00B3269F">
        <w:rPr>
          <w:sz w:val="28"/>
          <w:szCs w:val="28"/>
        </w:rPr>
        <w:t>3. Внутренний контроль в целях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(далее – ПОД/ФТ/ФРОМУ) осуществляется эмитентами в целях:</w:t>
      </w:r>
    </w:p>
    <w:p w:rsidR="00B3269F" w:rsidRPr="00B3269F" w:rsidRDefault="00B3269F" w:rsidP="00B3269F">
      <w:pPr>
        <w:ind w:firstLine="709"/>
        <w:jc w:val="both"/>
        <w:rPr>
          <w:sz w:val="28"/>
          <w:szCs w:val="28"/>
        </w:rPr>
      </w:pPr>
      <w:r w:rsidRPr="00B3269F">
        <w:rPr>
          <w:sz w:val="28"/>
          <w:szCs w:val="28"/>
        </w:rPr>
        <w:t>1) обеспечения выполнения требований Закона о ПОД/ФТ/ФРОМУ;</w:t>
      </w:r>
    </w:p>
    <w:p w:rsidR="00B3269F" w:rsidRPr="00B3269F" w:rsidRDefault="00B3269F" w:rsidP="00B3269F">
      <w:pPr>
        <w:ind w:firstLine="709"/>
        <w:jc w:val="both"/>
        <w:rPr>
          <w:sz w:val="28"/>
          <w:szCs w:val="28"/>
        </w:rPr>
      </w:pPr>
      <w:r w:rsidRPr="00B3269F">
        <w:rPr>
          <w:sz w:val="28"/>
          <w:szCs w:val="28"/>
        </w:rPr>
        <w:t>2) поддержания эффективности системы внутреннего контроля эмитентов на уровне, достаточном для управления рисками ОД/ФТ/ФРОМУ и сопряженными рисками (операционного, репутационного, правового);</w:t>
      </w:r>
    </w:p>
    <w:p w:rsidR="00B3269F" w:rsidRPr="00B3269F" w:rsidRDefault="00B3269F" w:rsidP="00B3269F">
      <w:pPr>
        <w:ind w:firstLine="709"/>
        <w:jc w:val="both"/>
        <w:rPr>
          <w:sz w:val="28"/>
          <w:szCs w:val="28"/>
        </w:rPr>
      </w:pPr>
      <w:r w:rsidRPr="00B3269F">
        <w:rPr>
          <w:sz w:val="28"/>
          <w:szCs w:val="28"/>
        </w:rPr>
        <w:t>3) исключения вовлечения эмитентов, их должностных лиц и работников в процессы ОД/ФТ/ФРОМУ.</w:t>
      </w:r>
    </w:p>
    <w:p w:rsidR="00B3269F" w:rsidRPr="00B3269F" w:rsidRDefault="00B3269F" w:rsidP="00B3269F">
      <w:pPr>
        <w:ind w:firstLine="709"/>
        <w:jc w:val="both"/>
        <w:rPr>
          <w:sz w:val="28"/>
          <w:szCs w:val="28"/>
        </w:rPr>
      </w:pPr>
      <w:r w:rsidRPr="00B3269F">
        <w:rPr>
          <w:sz w:val="28"/>
          <w:szCs w:val="28"/>
        </w:rPr>
        <w:t>4. В рамках организации внутреннего контроля в целях ПОД/ФТ/ФРОМУ эмитентами разрабатываются и принимаются правила внутреннего контроля.</w:t>
      </w:r>
    </w:p>
    <w:p w:rsidR="00B3269F" w:rsidRPr="00B3269F" w:rsidRDefault="00B3269F" w:rsidP="00B3269F">
      <w:pPr>
        <w:ind w:firstLine="709"/>
        <w:jc w:val="both"/>
        <w:rPr>
          <w:sz w:val="28"/>
          <w:szCs w:val="28"/>
        </w:rPr>
      </w:pPr>
      <w:r w:rsidRPr="00B3269F">
        <w:rPr>
          <w:sz w:val="28"/>
          <w:szCs w:val="28"/>
        </w:rPr>
        <w:t>Правила внутреннего контроля включают в себя программы, предусмотренные статьей 11 Закона о ПОД/ФТ/ФРОМУ, которые разрабатываются эмитентами самостоятельно в соответствии с Требованиями и являются внутренними документами эмитентов либо совокупностью таких документов, утвержденными эмитентами.</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p>
    <w:p w:rsidR="00B3269F" w:rsidRPr="00B3269F" w:rsidRDefault="00B3269F" w:rsidP="00B3269F">
      <w:pPr>
        <w:jc w:val="center"/>
        <w:rPr>
          <w:b/>
          <w:sz w:val="28"/>
          <w:szCs w:val="28"/>
        </w:rPr>
      </w:pPr>
      <w:r w:rsidRPr="00B3269F">
        <w:rPr>
          <w:b/>
          <w:sz w:val="28"/>
          <w:szCs w:val="28"/>
        </w:rPr>
        <w:t>Глава 2. Программа организации внутреннего контроля в целях ПОД/ФТ/ФРОМУ</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r w:rsidRPr="00B3269F">
        <w:rPr>
          <w:sz w:val="28"/>
          <w:szCs w:val="28"/>
        </w:rPr>
        <w:t xml:space="preserve">5. В порядке, установленном внутренними документами эмитента, у эмитента назначается лицо, ответственное за реализацию и соблюдение правил </w:t>
      </w:r>
      <w:r w:rsidRPr="00B3269F">
        <w:rPr>
          <w:sz w:val="28"/>
          <w:szCs w:val="28"/>
        </w:rPr>
        <w:lastRenderedPageBreak/>
        <w:t>внутреннего контроля (далее – ответственный работник), которое имеет высшее образование, стаж работы в организации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ПОД/ФТ/ФРОМУ.</w:t>
      </w:r>
    </w:p>
    <w:p w:rsidR="00B3269F" w:rsidRPr="00B3269F" w:rsidRDefault="00B3269F" w:rsidP="00B3269F">
      <w:pPr>
        <w:ind w:firstLine="709"/>
        <w:jc w:val="both"/>
        <w:rPr>
          <w:sz w:val="28"/>
          <w:szCs w:val="28"/>
        </w:rPr>
      </w:pPr>
      <w:r w:rsidRPr="00B3269F">
        <w:rPr>
          <w:sz w:val="28"/>
          <w:szCs w:val="28"/>
        </w:rPr>
        <w:t>6. Программа организации внутреннего контроля в целях ПОД/ФТ/ФРОМУ включает, но не ограничивается:</w:t>
      </w:r>
    </w:p>
    <w:p w:rsidR="00B3269F" w:rsidRPr="00B3269F" w:rsidRDefault="00B3269F" w:rsidP="00B3269F">
      <w:pPr>
        <w:ind w:firstLine="709"/>
        <w:jc w:val="both"/>
        <w:rPr>
          <w:sz w:val="28"/>
          <w:szCs w:val="28"/>
        </w:rPr>
      </w:pPr>
      <w:r w:rsidRPr="00B3269F">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B3269F" w:rsidRPr="00B3269F" w:rsidRDefault="00B3269F" w:rsidP="00B3269F">
      <w:pPr>
        <w:ind w:firstLine="709"/>
        <w:jc w:val="both"/>
        <w:rPr>
          <w:sz w:val="28"/>
          <w:szCs w:val="28"/>
        </w:rPr>
      </w:pPr>
      <w:r w:rsidRPr="00B3269F">
        <w:rPr>
          <w:sz w:val="28"/>
          <w:szCs w:val="28"/>
        </w:rPr>
        <w:t>2) порядок применения целевых финансовых санкций и проверки клиента (его представителя) и бенефициарного собственника на наличие в перечне 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статьей 12-1 Закона о ПОД/ФТ/ФРОМУ (далее – Перечень ФРОМУ);</w:t>
      </w:r>
    </w:p>
    <w:p w:rsidR="00B3269F" w:rsidRPr="00B3269F" w:rsidRDefault="00B3269F" w:rsidP="00B3269F">
      <w:pPr>
        <w:ind w:firstLine="709"/>
        <w:jc w:val="both"/>
        <w:rPr>
          <w:sz w:val="28"/>
          <w:szCs w:val="28"/>
        </w:rPr>
      </w:pPr>
      <w:r w:rsidRPr="00B3269F">
        <w:rPr>
          <w:sz w:val="28"/>
          <w:szCs w:val="28"/>
        </w:rPr>
        <w:t>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p w:rsidR="00B3269F" w:rsidRPr="00B3269F" w:rsidRDefault="00B3269F" w:rsidP="00B3269F">
      <w:pPr>
        <w:ind w:firstLine="709"/>
        <w:jc w:val="both"/>
        <w:rPr>
          <w:sz w:val="28"/>
          <w:szCs w:val="28"/>
        </w:rPr>
      </w:pPr>
      <w:r w:rsidRPr="00B3269F">
        <w:rPr>
          <w:sz w:val="28"/>
          <w:szCs w:val="28"/>
        </w:rPr>
        <w:t>4) порядок информирования работниками эмитентов о ставших им известными фактах нарушения Закона о ПОД/ФТ/ФРОМУ, а также правил внутреннего контроля, допущенных работниками эмитентов;</w:t>
      </w:r>
    </w:p>
    <w:p w:rsidR="00B3269F" w:rsidRPr="00B3269F" w:rsidRDefault="00B3269F" w:rsidP="00B3269F">
      <w:pPr>
        <w:ind w:firstLine="709"/>
        <w:jc w:val="both"/>
        <w:rPr>
          <w:sz w:val="28"/>
          <w:szCs w:val="28"/>
        </w:rPr>
      </w:pPr>
      <w:r w:rsidRPr="00B3269F">
        <w:rPr>
          <w:sz w:val="28"/>
          <w:szCs w:val="28"/>
        </w:rPr>
        <w:t>5) описание требований по ПОД/ФТ/ФРОМУ, установленных юридическими лицами, которые имеют контроль над эмитентами (при наличии);</w:t>
      </w:r>
    </w:p>
    <w:p w:rsidR="00B3269F" w:rsidRPr="00B3269F" w:rsidRDefault="00B3269F" w:rsidP="00B3269F">
      <w:pPr>
        <w:ind w:firstLine="709"/>
        <w:jc w:val="both"/>
        <w:rPr>
          <w:sz w:val="28"/>
          <w:szCs w:val="28"/>
        </w:rPr>
      </w:pPr>
      <w:r w:rsidRPr="00B3269F">
        <w:rPr>
          <w:sz w:val="28"/>
          <w:szCs w:val="28"/>
        </w:rPr>
        <w:t>7. Функции ответственного работника в соответствии с программой организации внутреннего контроля в целях ПОД/ФТ/ФРОМУ включают, но не ограничиваются:</w:t>
      </w:r>
    </w:p>
    <w:p w:rsidR="00B3269F" w:rsidRPr="00B3269F" w:rsidRDefault="00B3269F" w:rsidP="00B3269F">
      <w:pPr>
        <w:ind w:firstLine="709"/>
        <w:jc w:val="both"/>
        <w:rPr>
          <w:sz w:val="28"/>
          <w:szCs w:val="28"/>
        </w:rPr>
      </w:pPr>
      <w:r w:rsidRPr="00B3269F">
        <w:rPr>
          <w:sz w:val="28"/>
          <w:szCs w:val="28"/>
        </w:rPr>
        <w:t>1) обеспечение наличия разработанных эмитентом правил внутреннего контроля и (или) изменений (дополнений) к ним, а также мониторинг за их соблюдением;</w:t>
      </w:r>
    </w:p>
    <w:p w:rsidR="00B3269F" w:rsidRPr="00B3269F" w:rsidRDefault="00B3269F" w:rsidP="00B3269F">
      <w:pPr>
        <w:ind w:firstLine="709"/>
        <w:jc w:val="both"/>
        <w:rPr>
          <w:sz w:val="28"/>
          <w:szCs w:val="28"/>
        </w:rPr>
      </w:pPr>
      <w:r w:rsidRPr="00B3269F">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B3269F" w:rsidRPr="00B3269F" w:rsidRDefault="00B3269F" w:rsidP="00B3269F">
      <w:pPr>
        <w:ind w:firstLine="709"/>
        <w:jc w:val="both"/>
        <w:rPr>
          <w:sz w:val="28"/>
          <w:szCs w:val="28"/>
        </w:rPr>
      </w:pPr>
      <w:r w:rsidRPr="00B3269F">
        <w:rPr>
          <w:sz w:val="28"/>
          <w:szCs w:val="28"/>
        </w:rPr>
        <w:t>3) информирование руководства эмитентов о выявленных клиентах, состоящих в Перечне, Перечне ФРОМУ и принятых мерах по применению целевых финансовых санкций;</w:t>
      </w:r>
    </w:p>
    <w:p w:rsidR="00B3269F" w:rsidRPr="00B3269F" w:rsidRDefault="00B3269F" w:rsidP="00B3269F">
      <w:pPr>
        <w:ind w:firstLine="709"/>
        <w:jc w:val="both"/>
        <w:rPr>
          <w:sz w:val="28"/>
          <w:szCs w:val="28"/>
        </w:rPr>
      </w:pPr>
      <w:r w:rsidRPr="00B3269F">
        <w:rPr>
          <w:sz w:val="28"/>
          <w:szCs w:val="28"/>
        </w:rPr>
        <w:t>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эмитентов;</w:t>
      </w:r>
    </w:p>
    <w:p w:rsidR="00B3269F" w:rsidRPr="00B3269F" w:rsidRDefault="00B3269F" w:rsidP="00B3269F">
      <w:pPr>
        <w:ind w:firstLine="709"/>
        <w:jc w:val="both"/>
        <w:rPr>
          <w:sz w:val="28"/>
          <w:szCs w:val="28"/>
        </w:rPr>
      </w:pPr>
      <w:r w:rsidRPr="00B3269F">
        <w:rPr>
          <w:sz w:val="28"/>
          <w:szCs w:val="28"/>
        </w:rPr>
        <w:t>5) принятие либо согласование с руководством эмитентов решений о приостановлении, 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эмитента;</w:t>
      </w:r>
    </w:p>
    <w:p w:rsidR="00B3269F" w:rsidRPr="00B3269F" w:rsidRDefault="00B3269F" w:rsidP="00B3269F">
      <w:pPr>
        <w:ind w:firstLine="709"/>
        <w:jc w:val="both"/>
        <w:rPr>
          <w:sz w:val="28"/>
          <w:szCs w:val="28"/>
        </w:rPr>
      </w:pPr>
      <w:r w:rsidRPr="00B3269F">
        <w:rPr>
          <w:sz w:val="28"/>
          <w:szCs w:val="28"/>
        </w:rPr>
        <w:lastRenderedPageBreak/>
        <w:t>8. Для выполнения возложенных функций ответственный работник наделяется следующими полномочиями, включая, но не ограничиваясь:</w:t>
      </w:r>
    </w:p>
    <w:p w:rsidR="00B3269F" w:rsidRPr="00B3269F" w:rsidRDefault="00B3269F" w:rsidP="00B3269F">
      <w:pPr>
        <w:ind w:firstLine="709"/>
        <w:jc w:val="both"/>
        <w:rPr>
          <w:sz w:val="28"/>
          <w:szCs w:val="28"/>
        </w:rPr>
      </w:pPr>
      <w:r w:rsidRPr="00B3269F">
        <w:rPr>
          <w:sz w:val="28"/>
          <w:szCs w:val="28"/>
        </w:rPr>
        <w:t>1) получение доступа ко всем помещениям эмитента,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эмитента;</w:t>
      </w:r>
    </w:p>
    <w:p w:rsidR="00B3269F" w:rsidRPr="00B3269F" w:rsidRDefault="00B3269F" w:rsidP="00B3269F">
      <w:pPr>
        <w:ind w:firstLine="709"/>
        <w:jc w:val="both"/>
        <w:rPr>
          <w:sz w:val="28"/>
          <w:szCs w:val="28"/>
        </w:rPr>
      </w:pPr>
      <w:r w:rsidRPr="00B3269F">
        <w:rPr>
          <w:sz w:val="28"/>
          <w:szCs w:val="28"/>
        </w:rPr>
        <w:t>2) обеспечение конфиденциальности информации, полученной при осуществлении своих функций.</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p>
    <w:p w:rsidR="00B3269F" w:rsidRPr="00B3269F" w:rsidRDefault="00B3269F" w:rsidP="00B3269F">
      <w:pPr>
        <w:jc w:val="center"/>
        <w:rPr>
          <w:b/>
          <w:sz w:val="28"/>
          <w:szCs w:val="28"/>
        </w:rPr>
      </w:pPr>
      <w:r w:rsidRPr="00B3269F">
        <w:rPr>
          <w:b/>
          <w:sz w:val="28"/>
          <w:szCs w:val="28"/>
        </w:rPr>
        <w:t>Глава 3. Программа управления рисками ОД/ФТ/ФРОМУ</w:t>
      </w:r>
    </w:p>
    <w:p w:rsidR="00B3269F" w:rsidRPr="00B3269F" w:rsidRDefault="00B3269F" w:rsidP="00B3269F">
      <w:pPr>
        <w:jc w:val="center"/>
        <w:rPr>
          <w:b/>
          <w:sz w:val="28"/>
          <w:szCs w:val="28"/>
        </w:rPr>
      </w:pPr>
    </w:p>
    <w:p w:rsidR="00B3269F" w:rsidRPr="00B3269F" w:rsidRDefault="00B3269F" w:rsidP="00B3269F">
      <w:pPr>
        <w:ind w:firstLine="709"/>
        <w:jc w:val="both"/>
        <w:rPr>
          <w:sz w:val="28"/>
          <w:szCs w:val="28"/>
        </w:rPr>
      </w:pPr>
      <w:r w:rsidRPr="00B3269F">
        <w:rPr>
          <w:sz w:val="28"/>
          <w:szCs w:val="28"/>
        </w:rPr>
        <w:t>9. В целях организации управления рисками ОД/ФТ/ФРОМУ эмитент разрабатывает программу управления рисками (оценки рисков) ОД/ФТ/ФРОМУ.</w:t>
      </w:r>
    </w:p>
    <w:p w:rsidR="00B3269F" w:rsidRPr="00B3269F" w:rsidRDefault="00B3269F" w:rsidP="00B3269F">
      <w:pPr>
        <w:ind w:firstLine="709"/>
        <w:jc w:val="both"/>
        <w:rPr>
          <w:sz w:val="28"/>
          <w:szCs w:val="28"/>
        </w:rPr>
      </w:pPr>
      <w:r w:rsidRPr="00B3269F">
        <w:rPr>
          <w:sz w:val="28"/>
          <w:szCs w:val="28"/>
        </w:rPr>
        <w:t>10. При реализации программы управления рисками ОД/ФТ/ФРОМУ эмитент учитывает опубликованную информацию из отчета рисков легализации (отмывания) доходов, финансирования терроризма и</w:t>
      </w:r>
      <w:r w:rsidRPr="00B3269F">
        <w:t xml:space="preserve"> </w:t>
      </w:r>
      <w:r w:rsidRPr="00B3269F">
        <w:rPr>
          <w:sz w:val="28"/>
          <w:szCs w:val="28"/>
        </w:rPr>
        <w:t>финансирования распространения оружия массового уничтожения в соответствии с пунктом 6 статьи 11-1 Закона о ПОД/ФТ/ФРОМУ.</w:t>
      </w:r>
    </w:p>
    <w:p w:rsidR="00B3269F" w:rsidRPr="00B3269F" w:rsidRDefault="00B3269F" w:rsidP="00B3269F">
      <w:pPr>
        <w:ind w:firstLine="709"/>
        <w:jc w:val="both"/>
        <w:rPr>
          <w:sz w:val="28"/>
          <w:szCs w:val="28"/>
        </w:rPr>
      </w:pPr>
      <w:r w:rsidRPr="00B3269F">
        <w:rPr>
          <w:sz w:val="28"/>
          <w:szCs w:val="28"/>
        </w:rPr>
        <w:t>11. Программа управления рисками ОД/ФТ/ФРОМУ включает, но не ограничивается:</w:t>
      </w:r>
    </w:p>
    <w:p w:rsidR="00B3269F" w:rsidRPr="00B3269F" w:rsidRDefault="00B3269F" w:rsidP="00B3269F">
      <w:pPr>
        <w:ind w:firstLine="709"/>
        <w:jc w:val="both"/>
        <w:rPr>
          <w:sz w:val="28"/>
          <w:szCs w:val="28"/>
        </w:rPr>
      </w:pPr>
      <w:r w:rsidRPr="00B3269F">
        <w:rPr>
          <w:sz w:val="28"/>
          <w:szCs w:val="28"/>
        </w:rPr>
        <w:t>1) порядок организации управления рисками ОД/ФТ/ФРОМУ эмитента;</w:t>
      </w:r>
    </w:p>
    <w:p w:rsidR="00B3269F" w:rsidRPr="00B3269F" w:rsidRDefault="00B3269F" w:rsidP="00B3269F">
      <w:pPr>
        <w:ind w:firstLine="709"/>
        <w:jc w:val="both"/>
        <w:rPr>
          <w:sz w:val="28"/>
          <w:szCs w:val="28"/>
        </w:rPr>
      </w:pPr>
      <w:r w:rsidRPr="00B3269F">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B3269F" w:rsidRPr="00B3269F" w:rsidRDefault="00B3269F" w:rsidP="00B3269F">
      <w:pPr>
        <w:ind w:firstLine="709"/>
        <w:jc w:val="both"/>
        <w:rPr>
          <w:sz w:val="28"/>
          <w:szCs w:val="28"/>
        </w:rPr>
      </w:pPr>
      <w:r w:rsidRPr="00B3269F">
        <w:rPr>
          <w:sz w:val="28"/>
          <w:szCs w:val="28"/>
        </w:rPr>
        <w:t>уровня риска клиента;</w:t>
      </w:r>
    </w:p>
    <w:p w:rsidR="00B3269F" w:rsidRPr="00B3269F" w:rsidRDefault="00B3269F" w:rsidP="00B3269F">
      <w:pPr>
        <w:ind w:firstLine="709"/>
        <w:jc w:val="both"/>
        <w:rPr>
          <w:sz w:val="28"/>
          <w:szCs w:val="28"/>
        </w:rPr>
      </w:pPr>
      <w:r w:rsidRPr="00B3269F">
        <w:rPr>
          <w:sz w:val="28"/>
          <w:szCs w:val="28"/>
        </w:rPr>
        <w:t>степени подверженности услуг (продуктов) эмитента рискам ОД/ФТ/ФРОМУ;</w:t>
      </w:r>
    </w:p>
    <w:p w:rsidR="00B3269F" w:rsidRPr="00B3269F" w:rsidRDefault="00B3269F" w:rsidP="00B3269F">
      <w:pPr>
        <w:ind w:firstLine="709"/>
        <w:jc w:val="both"/>
        <w:rPr>
          <w:sz w:val="28"/>
          <w:szCs w:val="28"/>
        </w:rPr>
      </w:pPr>
      <w:r w:rsidRPr="00B3269F">
        <w:rPr>
          <w:sz w:val="28"/>
          <w:szCs w:val="28"/>
        </w:rPr>
        <w:t>3) порядок присвоения, сроки и основания для пересмотра уровней рисков клиентов.</w:t>
      </w:r>
    </w:p>
    <w:p w:rsidR="00B3269F" w:rsidRPr="00B3269F" w:rsidRDefault="00B3269F" w:rsidP="00B3269F">
      <w:pPr>
        <w:ind w:firstLine="709"/>
        <w:jc w:val="both"/>
        <w:rPr>
          <w:sz w:val="28"/>
          <w:szCs w:val="28"/>
        </w:rPr>
      </w:pPr>
      <w:r w:rsidRPr="00B3269F">
        <w:rPr>
          <w:sz w:val="28"/>
          <w:szCs w:val="28"/>
        </w:rPr>
        <w:t>12. Типы клиентов, чей статус и (или) чья деятельность повышают риск ОД/ФТ, включают, но не ограничиваются:</w:t>
      </w:r>
    </w:p>
    <w:p w:rsidR="00B3269F" w:rsidRPr="00B3269F" w:rsidRDefault="00B3269F" w:rsidP="00B3269F">
      <w:pPr>
        <w:ind w:firstLine="709"/>
        <w:jc w:val="both"/>
        <w:rPr>
          <w:sz w:val="28"/>
          <w:szCs w:val="28"/>
        </w:rPr>
      </w:pPr>
      <w:r w:rsidRPr="00B3269F">
        <w:rPr>
          <w:sz w:val="28"/>
          <w:szCs w:val="28"/>
        </w:rPr>
        <w:t>1) публичные должностные лица, их супруги и близкие родственники;</w:t>
      </w:r>
    </w:p>
    <w:p w:rsidR="00B3269F" w:rsidRPr="00B3269F" w:rsidRDefault="00B3269F" w:rsidP="00B3269F">
      <w:pPr>
        <w:ind w:firstLine="709"/>
        <w:jc w:val="both"/>
        <w:rPr>
          <w:sz w:val="28"/>
          <w:szCs w:val="28"/>
        </w:rPr>
      </w:pPr>
      <w:r w:rsidRPr="00B3269F">
        <w:rPr>
          <w:sz w:val="28"/>
          <w:szCs w:val="28"/>
        </w:rPr>
        <w:t>2) иностранные финансовые организации;</w:t>
      </w:r>
    </w:p>
    <w:p w:rsidR="00B3269F" w:rsidRPr="00B3269F" w:rsidRDefault="00B3269F" w:rsidP="00B3269F">
      <w:pPr>
        <w:ind w:firstLine="709"/>
        <w:jc w:val="both"/>
        <w:rPr>
          <w:sz w:val="28"/>
          <w:szCs w:val="28"/>
        </w:rPr>
      </w:pPr>
      <w:r w:rsidRPr="00B3269F">
        <w:rPr>
          <w:sz w:val="28"/>
          <w:szCs w:val="28"/>
        </w:rPr>
        <w:t>3) лица, осуществляющие выпуск и оборот необеспеченных цифровых активов на территории Международного финансового центра «Астана».</w:t>
      </w:r>
    </w:p>
    <w:p w:rsidR="00B3269F" w:rsidRPr="00B3269F" w:rsidRDefault="00B3269F" w:rsidP="00B3269F">
      <w:pPr>
        <w:ind w:firstLine="709"/>
        <w:jc w:val="both"/>
        <w:rPr>
          <w:sz w:val="28"/>
          <w:szCs w:val="28"/>
        </w:rPr>
      </w:pPr>
      <w:r w:rsidRPr="00B3269F">
        <w:rPr>
          <w:sz w:val="28"/>
          <w:szCs w:val="28"/>
        </w:rPr>
        <w:t>13. Типы клиентов, чей статус и (или) чья деятельность понижают риск ОД/ФТ/ФРОМУ, включают, но не ограничиваются:</w:t>
      </w:r>
    </w:p>
    <w:p w:rsidR="00B3269F" w:rsidRPr="00B3269F" w:rsidRDefault="00B3269F" w:rsidP="00B3269F">
      <w:pPr>
        <w:ind w:firstLine="709"/>
        <w:jc w:val="both"/>
        <w:rPr>
          <w:sz w:val="28"/>
          <w:szCs w:val="28"/>
        </w:rPr>
      </w:pPr>
      <w:r w:rsidRPr="00B3269F">
        <w:rPr>
          <w:sz w:val="28"/>
          <w:szCs w:val="28"/>
        </w:rPr>
        <w:t>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Республики Казахстан;</w:t>
      </w:r>
    </w:p>
    <w:p w:rsidR="00B3269F" w:rsidRPr="00B3269F" w:rsidRDefault="00B3269F" w:rsidP="00B3269F">
      <w:pPr>
        <w:ind w:firstLine="709"/>
        <w:jc w:val="both"/>
        <w:rPr>
          <w:sz w:val="28"/>
          <w:szCs w:val="28"/>
        </w:rPr>
      </w:pPr>
      <w:r w:rsidRPr="00B3269F">
        <w:rPr>
          <w:sz w:val="28"/>
          <w:szCs w:val="28"/>
        </w:rPr>
        <w:lastRenderedPageBreak/>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B3269F" w:rsidRPr="00B3269F" w:rsidRDefault="00B3269F" w:rsidP="00B3269F">
      <w:pPr>
        <w:ind w:firstLine="709"/>
        <w:jc w:val="both"/>
        <w:rPr>
          <w:sz w:val="28"/>
          <w:szCs w:val="28"/>
        </w:rPr>
      </w:pPr>
      <w:r w:rsidRPr="00B3269F">
        <w:rPr>
          <w:sz w:val="28"/>
          <w:szCs w:val="28"/>
        </w:rPr>
        <w:t>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w:t>
      </w:r>
    </w:p>
    <w:p w:rsidR="00B3269F" w:rsidRPr="00B3269F" w:rsidRDefault="00B3269F" w:rsidP="00B3269F">
      <w:pPr>
        <w:ind w:firstLine="709"/>
        <w:jc w:val="both"/>
        <w:rPr>
          <w:sz w:val="28"/>
          <w:szCs w:val="28"/>
        </w:rPr>
      </w:pPr>
      <w:r w:rsidRPr="00B3269F">
        <w:rPr>
          <w:sz w:val="28"/>
          <w:szCs w:val="28"/>
        </w:rPr>
        <w:t>14. Эмитент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клиентам из таких иностранных государств, осуществлением операций с участием таких иностранных государств.</w:t>
      </w:r>
    </w:p>
    <w:p w:rsidR="00B3269F" w:rsidRPr="00B3269F" w:rsidRDefault="00B3269F" w:rsidP="00B3269F">
      <w:pPr>
        <w:ind w:firstLine="709"/>
        <w:jc w:val="both"/>
        <w:rPr>
          <w:sz w:val="28"/>
          <w:szCs w:val="28"/>
        </w:rPr>
      </w:pPr>
      <w:r w:rsidRPr="00B3269F">
        <w:rPr>
          <w:sz w:val="28"/>
          <w:szCs w:val="28"/>
        </w:rPr>
        <w:t>Иностранными государствами, операции с которыми повышают риск ОД/ФТ/ФРОМУ, являются:</w:t>
      </w:r>
    </w:p>
    <w:p w:rsidR="00B3269F" w:rsidRPr="00B3269F" w:rsidRDefault="00B3269F" w:rsidP="00B3269F">
      <w:pPr>
        <w:ind w:firstLine="709"/>
        <w:jc w:val="both"/>
        <w:rPr>
          <w:sz w:val="28"/>
          <w:szCs w:val="28"/>
        </w:rPr>
      </w:pPr>
      <w:r w:rsidRPr="00B3269F">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B3269F" w:rsidRPr="00B3269F" w:rsidRDefault="00B3269F" w:rsidP="00B3269F">
      <w:pPr>
        <w:ind w:firstLine="709"/>
        <w:jc w:val="both"/>
        <w:rPr>
          <w:sz w:val="28"/>
          <w:szCs w:val="28"/>
        </w:rPr>
      </w:pPr>
      <w:r w:rsidRPr="00B3269F">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p w:rsidR="00B3269F" w:rsidRPr="00B3269F" w:rsidRDefault="00B3269F" w:rsidP="00B3269F">
      <w:pPr>
        <w:ind w:firstLine="709"/>
        <w:jc w:val="both"/>
        <w:rPr>
          <w:sz w:val="28"/>
          <w:szCs w:val="28"/>
        </w:rPr>
      </w:pPr>
      <w:r w:rsidRPr="00B3269F">
        <w:rPr>
          <w:sz w:val="28"/>
          <w:szCs w:val="28"/>
        </w:rPr>
        <w:t>3) иностранные государства (территории), включенные в перечень оффшорных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p w:rsidR="00B3269F" w:rsidRPr="00B3269F" w:rsidRDefault="00B3269F" w:rsidP="00B3269F">
      <w:pPr>
        <w:ind w:firstLine="709"/>
        <w:jc w:val="both"/>
        <w:rPr>
          <w:sz w:val="28"/>
          <w:szCs w:val="28"/>
        </w:rPr>
      </w:pPr>
      <w:r w:rsidRPr="00B3269F">
        <w:rPr>
          <w:sz w:val="28"/>
          <w:szCs w:val="28"/>
        </w:rPr>
        <w:t>4) иностранные государства (территории), определенные эмитентом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B3269F" w:rsidRPr="00B3269F" w:rsidRDefault="00B3269F" w:rsidP="00B3269F">
      <w:pPr>
        <w:ind w:firstLine="709"/>
        <w:jc w:val="both"/>
        <w:rPr>
          <w:sz w:val="28"/>
          <w:szCs w:val="28"/>
        </w:rPr>
      </w:pPr>
      <w:r w:rsidRPr="00B3269F">
        <w:rPr>
          <w:sz w:val="28"/>
          <w:szCs w:val="28"/>
        </w:rPr>
        <w:t>15. Услуги (продукты, операции) эмитента, а также способы их предоставления, повышающие риск ОД/ФТ/ФРОМУ, включают, но не ограничиваются:</w:t>
      </w:r>
    </w:p>
    <w:p w:rsidR="00B3269F" w:rsidRPr="00B3269F" w:rsidRDefault="00B3269F" w:rsidP="00B3269F">
      <w:pPr>
        <w:ind w:firstLine="709"/>
        <w:jc w:val="both"/>
        <w:rPr>
          <w:sz w:val="28"/>
          <w:szCs w:val="28"/>
        </w:rPr>
      </w:pPr>
      <w:r w:rsidRPr="00B3269F">
        <w:rPr>
          <w:sz w:val="28"/>
          <w:szCs w:val="28"/>
        </w:rPr>
        <w:t>1) доверительное управление активами;</w:t>
      </w:r>
    </w:p>
    <w:p w:rsidR="00B3269F" w:rsidRPr="00B3269F" w:rsidRDefault="00B3269F" w:rsidP="00B3269F">
      <w:pPr>
        <w:ind w:firstLine="709"/>
        <w:jc w:val="both"/>
        <w:rPr>
          <w:sz w:val="28"/>
          <w:szCs w:val="28"/>
        </w:rPr>
      </w:pPr>
      <w:r w:rsidRPr="00B3269F">
        <w:rPr>
          <w:sz w:val="28"/>
          <w:szCs w:val="28"/>
        </w:rPr>
        <w:lastRenderedPageBreak/>
        <w:t>2) новые продукты и деловые практики, включающие механизмы передачи информации, новые и развивающиеся технологии, как для новых, так и для уже существующих продуктов, определяемые в правилах внутреннего контроля эмитента.</w:t>
      </w:r>
    </w:p>
    <w:p w:rsidR="00B3269F" w:rsidRPr="00B3269F" w:rsidRDefault="00B3269F" w:rsidP="00B3269F">
      <w:pPr>
        <w:ind w:firstLine="709"/>
        <w:jc w:val="both"/>
        <w:rPr>
          <w:sz w:val="28"/>
          <w:szCs w:val="28"/>
        </w:rPr>
      </w:pPr>
      <w:r w:rsidRPr="00B3269F">
        <w:rPr>
          <w:sz w:val="28"/>
          <w:szCs w:val="28"/>
        </w:rPr>
        <w:t>16. При оценке степени подверженности услуг эмитента рискам ОД/ФТ/ФРОМУ в соответствии с факторами рисков, указанными в пунктах 12, 13, 14 и 15 Требований, эмитентом учитываются дополнительные сведения, влияющие на итоговую степень риска, включая, но не ограничиваясь:</w:t>
      </w:r>
    </w:p>
    <w:p w:rsidR="00B3269F" w:rsidRPr="00B3269F" w:rsidRDefault="00B3269F" w:rsidP="00B3269F">
      <w:pPr>
        <w:ind w:firstLine="709"/>
        <w:jc w:val="both"/>
        <w:rPr>
          <w:sz w:val="28"/>
          <w:szCs w:val="28"/>
        </w:rPr>
      </w:pPr>
      <w:r w:rsidRPr="00B3269F">
        <w:rPr>
          <w:sz w:val="28"/>
          <w:szCs w:val="28"/>
        </w:rPr>
        <w:t>1) количество направленных эмитентом в уполномоченный орган сообщений о подозрительных операциях клиентов;</w:t>
      </w:r>
    </w:p>
    <w:p w:rsidR="00B3269F" w:rsidRPr="00B3269F" w:rsidRDefault="00B3269F" w:rsidP="00B3269F">
      <w:pPr>
        <w:ind w:firstLine="709"/>
        <w:jc w:val="both"/>
        <w:rPr>
          <w:sz w:val="28"/>
          <w:szCs w:val="28"/>
        </w:rPr>
      </w:pPr>
      <w:r w:rsidRPr="00B3269F">
        <w:rPr>
          <w:sz w:val="28"/>
          <w:szCs w:val="28"/>
        </w:rPr>
        <w:t>2) количество направленных эмитентом в уполномоченный орган сообщений о пороговых операциях клиентов.</w:t>
      </w:r>
    </w:p>
    <w:p w:rsidR="00B3269F" w:rsidRPr="00B3269F" w:rsidRDefault="00B3269F" w:rsidP="00B3269F">
      <w:pPr>
        <w:ind w:firstLine="709"/>
        <w:jc w:val="both"/>
        <w:rPr>
          <w:sz w:val="28"/>
          <w:szCs w:val="28"/>
        </w:rPr>
      </w:pPr>
      <w:r w:rsidRPr="00B3269F">
        <w:rPr>
          <w:sz w:val="28"/>
          <w:szCs w:val="28"/>
        </w:rPr>
        <w:t>17. В рамках реализации программы управления рисками ОД/ФТ/ФРОМУ эмитентом принимаются меры по классификации клиентов с учетом категорий и факторов риска, указанных в пунктах 12, 13, 14 и 15 Требований.</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p>
    <w:p w:rsidR="00B3269F" w:rsidRPr="00B3269F" w:rsidRDefault="00B3269F" w:rsidP="00B3269F">
      <w:pPr>
        <w:jc w:val="center"/>
        <w:rPr>
          <w:b/>
          <w:sz w:val="28"/>
          <w:szCs w:val="28"/>
        </w:rPr>
      </w:pPr>
      <w:r w:rsidRPr="00B3269F">
        <w:rPr>
          <w:b/>
          <w:sz w:val="28"/>
          <w:szCs w:val="28"/>
        </w:rPr>
        <w:t>Глава 4. Программа идентификации клиентов</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r w:rsidRPr="00B3269F">
        <w:rPr>
          <w:sz w:val="28"/>
          <w:szCs w:val="28"/>
        </w:rPr>
        <w:t>18. В целях реализации требований Закона о ПОД/ФТ/ФРОМУ по надлежащей проверке клиента (его представителя) и бенефициарного собственника эмитенты разрабатывают программу идентификации клиентов (их представителей) и бенефициарных собственников.</w:t>
      </w:r>
    </w:p>
    <w:p w:rsidR="00B3269F" w:rsidRPr="00B3269F" w:rsidRDefault="00B3269F" w:rsidP="00B3269F">
      <w:pPr>
        <w:ind w:firstLine="709"/>
        <w:jc w:val="both"/>
        <w:rPr>
          <w:sz w:val="28"/>
          <w:szCs w:val="28"/>
        </w:rPr>
      </w:pPr>
      <w:r w:rsidRPr="00B3269F">
        <w:rPr>
          <w:sz w:val="28"/>
          <w:szCs w:val="28"/>
        </w:rPr>
        <w:t>Идентификация клиента (его представителя) и бенефициарного собственника заключается в проведении эмитентами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w:t>
      </w:r>
    </w:p>
    <w:p w:rsidR="00B3269F" w:rsidRPr="00B3269F" w:rsidRDefault="00B3269F" w:rsidP="00B3269F">
      <w:pPr>
        <w:ind w:firstLine="709"/>
        <w:jc w:val="both"/>
        <w:rPr>
          <w:sz w:val="28"/>
          <w:szCs w:val="28"/>
        </w:rPr>
      </w:pPr>
      <w:r w:rsidRPr="00B3269F">
        <w:rPr>
          <w:sz w:val="28"/>
          <w:szCs w:val="28"/>
        </w:rPr>
        <w:t>19. Сведения, полученные в рамках идентификации клиентов, вносятся эмитентами в досье клиента, которое хранится эмитентами на протяжении всего периода деловых отношений с клиентом и не менее 5 (пяти) лет со дня их прекращения.</w:t>
      </w:r>
    </w:p>
    <w:p w:rsidR="00B3269F" w:rsidRPr="00B3269F" w:rsidRDefault="00B3269F" w:rsidP="00B3269F">
      <w:pPr>
        <w:ind w:firstLine="709"/>
        <w:jc w:val="both"/>
        <w:rPr>
          <w:sz w:val="28"/>
          <w:szCs w:val="28"/>
        </w:rPr>
      </w:pPr>
      <w:r w:rsidRPr="00B3269F">
        <w:rPr>
          <w:sz w:val="28"/>
          <w:szCs w:val="28"/>
        </w:rPr>
        <w:t>20. Программа идентификации клиента, его представителя и бенефициарного собственника включает, но не ограничивается:</w:t>
      </w:r>
    </w:p>
    <w:p w:rsidR="00B3269F" w:rsidRPr="00B3269F" w:rsidRDefault="00B3269F" w:rsidP="00B3269F">
      <w:pPr>
        <w:ind w:firstLine="709"/>
        <w:jc w:val="both"/>
        <w:rPr>
          <w:sz w:val="28"/>
          <w:szCs w:val="28"/>
        </w:rPr>
      </w:pPr>
      <w:r w:rsidRPr="00B3269F">
        <w:rPr>
          <w:sz w:val="28"/>
          <w:szCs w:val="28"/>
        </w:rPr>
        <w:t>1) порядок принятия клиентов на обслуживание, включая процедуру, основания и сроки принятия эмитентами решения об отказе в установлении деловых отношений и (или) в проведении операции, а также прекращении деловых отношений;</w:t>
      </w:r>
    </w:p>
    <w:p w:rsidR="00B3269F" w:rsidRPr="00B3269F" w:rsidRDefault="00B3269F" w:rsidP="00B3269F">
      <w:pPr>
        <w:ind w:firstLine="709"/>
        <w:jc w:val="both"/>
        <w:rPr>
          <w:sz w:val="28"/>
          <w:szCs w:val="28"/>
        </w:rPr>
      </w:pPr>
      <w:r w:rsidRPr="00B3269F">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B3269F" w:rsidRPr="00B3269F" w:rsidRDefault="00B3269F" w:rsidP="00B3269F">
      <w:pPr>
        <w:ind w:firstLine="709"/>
        <w:jc w:val="both"/>
        <w:rPr>
          <w:sz w:val="28"/>
          <w:szCs w:val="28"/>
        </w:rPr>
      </w:pPr>
      <w:r w:rsidRPr="00B3269F">
        <w:rPr>
          <w:sz w:val="28"/>
          <w:szCs w:val="28"/>
        </w:rPr>
        <w:lastRenderedPageBreak/>
        <w:t>3) описание мер, направленных на выявление эмитентами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B3269F" w:rsidRPr="00B3269F" w:rsidRDefault="00B3269F" w:rsidP="00B3269F">
      <w:pPr>
        <w:ind w:firstLine="709"/>
        <w:jc w:val="both"/>
        <w:rPr>
          <w:sz w:val="28"/>
          <w:szCs w:val="28"/>
        </w:rPr>
      </w:pPr>
      <w:r w:rsidRPr="00B3269F">
        <w:rPr>
          <w:sz w:val="28"/>
          <w:szCs w:val="28"/>
        </w:rPr>
        <w:t>4) порядок проверки клиента (его представителя) и бенефициарного собственника на наличие в Перечне и Перечне ФРОМУ.</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p>
    <w:p w:rsidR="00B3269F" w:rsidRPr="00B3269F" w:rsidRDefault="00B3269F" w:rsidP="00B3269F">
      <w:pPr>
        <w:jc w:val="center"/>
        <w:rPr>
          <w:b/>
          <w:sz w:val="28"/>
          <w:szCs w:val="28"/>
        </w:rPr>
      </w:pPr>
      <w:r w:rsidRPr="00B3269F">
        <w:rPr>
          <w:b/>
          <w:sz w:val="28"/>
          <w:szCs w:val="28"/>
        </w:rPr>
        <w:t>Глава 5. Программа мониторинга и изучения операций клиентов</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r w:rsidRPr="00B3269F">
        <w:rPr>
          <w:sz w:val="28"/>
          <w:szCs w:val="28"/>
        </w:rPr>
        <w:t>21.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эмитент разрабатывает программу мониторинга и изучения операций клиентов.</w:t>
      </w:r>
    </w:p>
    <w:p w:rsidR="00B3269F" w:rsidRPr="00B3269F" w:rsidRDefault="00B3269F" w:rsidP="00B3269F">
      <w:pPr>
        <w:ind w:firstLine="709"/>
        <w:jc w:val="both"/>
        <w:rPr>
          <w:sz w:val="28"/>
          <w:szCs w:val="28"/>
        </w:rPr>
      </w:pPr>
      <w:r w:rsidRPr="00B3269F">
        <w:rPr>
          <w:sz w:val="28"/>
          <w:szCs w:val="28"/>
        </w:rPr>
        <w:t>22. В рамках программы мониторинга и изучения операций клиентов эмитентом проводятся мероприятия по обновлению и (или) получению дополнительных сведений о клиентах (их представителях) и бенефициарных собственниках, включая сведения об источнике финансирования совершаемых клиентами операций, а также по изучению операций клиентов и выявлению пороговых, необычных и подозрительных операций.</w:t>
      </w:r>
    </w:p>
    <w:p w:rsidR="00B3269F" w:rsidRPr="00B3269F" w:rsidRDefault="00B3269F" w:rsidP="00B3269F">
      <w:pPr>
        <w:ind w:firstLine="709"/>
        <w:jc w:val="both"/>
        <w:rPr>
          <w:sz w:val="28"/>
          <w:szCs w:val="28"/>
        </w:rPr>
      </w:pPr>
      <w:r w:rsidRPr="00B3269F">
        <w:rPr>
          <w:sz w:val="28"/>
          <w:szCs w:val="28"/>
        </w:rPr>
        <w:t>23. Программа мониторинга и изучения операций клиентов включает, но не ограничивается:</w:t>
      </w:r>
    </w:p>
    <w:p w:rsidR="00B3269F" w:rsidRPr="00B3269F" w:rsidRDefault="00B3269F" w:rsidP="00B3269F">
      <w:pPr>
        <w:ind w:firstLine="709"/>
        <w:jc w:val="both"/>
        <w:rPr>
          <w:sz w:val="28"/>
          <w:szCs w:val="28"/>
        </w:rPr>
      </w:pPr>
      <w:r w:rsidRPr="00B3269F">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пунктом 2 статьи 10 Закона о ПОД/ФТ/ФРОМУ, а также разработанных эмитентами самостоятельно;</w:t>
      </w:r>
    </w:p>
    <w:p w:rsidR="00B3269F" w:rsidRPr="00B3269F" w:rsidRDefault="00B3269F" w:rsidP="00B3269F">
      <w:pPr>
        <w:ind w:firstLine="709"/>
        <w:jc w:val="both"/>
        <w:rPr>
          <w:sz w:val="28"/>
          <w:szCs w:val="28"/>
        </w:rPr>
      </w:pPr>
      <w:r w:rsidRPr="00B3269F">
        <w:rPr>
          <w:sz w:val="28"/>
          <w:szCs w:val="28"/>
        </w:rPr>
        <w:t>2) порядок, основания и срок принятия ответственным работником решения о квалификации операции клиента;</w:t>
      </w:r>
    </w:p>
    <w:p w:rsidR="00B3269F" w:rsidRPr="00B3269F" w:rsidRDefault="00B3269F" w:rsidP="00B3269F">
      <w:pPr>
        <w:ind w:firstLine="709"/>
        <w:jc w:val="both"/>
        <w:rPr>
          <w:sz w:val="28"/>
          <w:szCs w:val="28"/>
        </w:rPr>
      </w:pPr>
      <w:r w:rsidRPr="00B3269F">
        <w:rPr>
          <w:sz w:val="28"/>
          <w:szCs w:val="28"/>
        </w:rPr>
        <w:t>3) порядок представления в уполномоченный орган сообщений о пороговых и подозрительных операциях.</w:t>
      </w:r>
    </w:p>
    <w:p w:rsidR="00B3269F" w:rsidRPr="00B3269F" w:rsidRDefault="00B3269F" w:rsidP="00B3269F">
      <w:pPr>
        <w:ind w:firstLine="709"/>
        <w:jc w:val="both"/>
        <w:rPr>
          <w:sz w:val="28"/>
          <w:szCs w:val="28"/>
        </w:rPr>
      </w:pPr>
      <w:r w:rsidRPr="00B3269F">
        <w:rPr>
          <w:sz w:val="28"/>
          <w:szCs w:val="28"/>
        </w:rPr>
        <w:t>24.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эмитента, выявивший указанную операцию, направляет сообщение о такой операции ответственному работнику.</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p>
    <w:p w:rsidR="00B3269F" w:rsidRPr="00B3269F" w:rsidRDefault="00B3269F" w:rsidP="00B3269F">
      <w:pPr>
        <w:jc w:val="center"/>
        <w:rPr>
          <w:b/>
          <w:sz w:val="28"/>
          <w:szCs w:val="28"/>
        </w:rPr>
      </w:pPr>
      <w:r w:rsidRPr="00B3269F">
        <w:rPr>
          <w:b/>
          <w:sz w:val="28"/>
          <w:szCs w:val="28"/>
        </w:rPr>
        <w:t>Глава 6. Программа подготовки и обучения работников эмитента по вопросам ПОД/ФТ/ФРОМУ</w:t>
      </w:r>
    </w:p>
    <w:p w:rsidR="00B3269F" w:rsidRPr="00B3269F" w:rsidRDefault="00B3269F" w:rsidP="00B3269F">
      <w:pPr>
        <w:ind w:firstLine="709"/>
        <w:jc w:val="both"/>
        <w:rPr>
          <w:sz w:val="28"/>
          <w:szCs w:val="28"/>
        </w:rPr>
      </w:pPr>
    </w:p>
    <w:p w:rsidR="00B3269F" w:rsidRPr="00B3269F" w:rsidRDefault="00B3269F" w:rsidP="00B3269F">
      <w:pPr>
        <w:ind w:firstLine="709"/>
        <w:jc w:val="both"/>
        <w:rPr>
          <w:sz w:val="28"/>
          <w:szCs w:val="28"/>
        </w:rPr>
      </w:pPr>
      <w:r w:rsidRPr="00B3269F">
        <w:rPr>
          <w:sz w:val="28"/>
          <w:szCs w:val="28"/>
        </w:rPr>
        <w:t xml:space="preserve">25. Целью Программы подготовки и обучения работников эмитента по вопросам ПОД/ФТ/ФРОМУ (далее – Программа обучения) является получение работниками эмитента знаний и формирование навыков, необходимых для исполнения ими требований законодательства Республики Казахстан, а также </w:t>
      </w:r>
      <w:r w:rsidRPr="00B3269F">
        <w:rPr>
          <w:sz w:val="28"/>
          <w:szCs w:val="28"/>
        </w:rPr>
        <w:lastRenderedPageBreak/>
        <w:t>правил внутреннего контроля и иных внутренних документов эмитента в сфере ПОД/ФТ/ФРОМУ.</w:t>
      </w:r>
    </w:p>
    <w:p w:rsidR="00B3269F" w:rsidRPr="00DF3DE9" w:rsidRDefault="00B3269F" w:rsidP="00B3269F">
      <w:pPr>
        <w:ind w:firstLine="709"/>
        <w:jc w:val="both"/>
        <w:rPr>
          <w:sz w:val="28"/>
          <w:szCs w:val="28"/>
        </w:rPr>
      </w:pPr>
      <w:r w:rsidRPr="00B3269F">
        <w:rPr>
          <w:sz w:val="28"/>
          <w:szCs w:val="28"/>
        </w:rPr>
        <w:t>26.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sectPr w:rsidR="00B3269F" w:rsidRPr="00DF3DE9" w:rsidSect="004E6E71">
      <w:headerReference w:type="even" r:id="rId13"/>
      <w:headerReference w:type="default" r:id="rId14"/>
      <w:head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231" w:rsidRDefault="00BF1231">
      <w:r>
        <w:separator/>
      </w:r>
    </w:p>
  </w:endnote>
  <w:endnote w:type="continuationSeparator" w:id="0">
    <w:p w:rsidR="00BF1231" w:rsidRDefault="00BF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231" w:rsidRDefault="00BF1231">
      <w:r>
        <w:separator/>
      </w:r>
    </w:p>
  </w:footnote>
  <w:footnote w:type="continuationSeparator" w:id="0">
    <w:p w:rsidR="00BF1231" w:rsidRDefault="00BF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13" w:rsidRDefault="001455F4">
    <w:pPr>
      <w:pStyle w:val="a9"/>
      <w:framePr w:wrap="around" w:vAnchor="text" w:hAnchor="margin" w:xAlign="center" w:y="1"/>
      <w:rPr>
        <w:rStyle w:val="ae"/>
      </w:rPr>
    </w:pPr>
    <w:r>
      <w:rPr>
        <w:rStyle w:val="ae"/>
      </w:rPr>
      <w:fldChar w:fldCharType="begin"/>
    </w:r>
    <w:r>
      <w:rPr>
        <w:rStyle w:val="ae"/>
      </w:rPr>
      <w:instrText xml:space="preserve">PAGE </w:instrText>
    </w:r>
    <w:r>
      <w:fldChar w:fldCharType="end"/>
    </w:r>
  </w:p>
  <w:p w:rsidR="00917A13" w:rsidRDefault="00917A13">
    <w:pPr>
      <w:pStyle w:val="a9"/>
    </w:pPr>
  </w:p>
  <w:p w:rsidR="003D52A9" w:rsidRDefault="00BF12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13" w:rsidRPr="003A7D7E" w:rsidRDefault="001455F4">
    <w:pPr>
      <w:pStyle w:val="a9"/>
      <w:framePr w:wrap="around" w:vAnchor="text" w:hAnchor="margin" w:xAlign="center" w:y="1"/>
      <w:rPr>
        <w:rStyle w:val="ae"/>
      </w:rPr>
    </w:pPr>
    <w:r w:rsidRPr="003A7D7E">
      <w:rPr>
        <w:rStyle w:val="ae"/>
      </w:rPr>
      <w:fldChar w:fldCharType="begin"/>
    </w:r>
    <w:r w:rsidRPr="003A7D7E">
      <w:rPr>
        <w:rStyle w:val="ae"/>
      </w:rPr>
      <w:instrText xml:space="preserve">PAGE  </w:instrText>
    </w:r>
    <w:r w:rsidRPr="003A7D7E">
      <w:rPr>
        <w:rStyle w:val="ae"/>
      </w:rPr>
      <w:fldChar w:fldCharType="separate"/>
    </w:r>
    <w:r w:rsidRPr="003A7D7E">
      <w:rPr>
        <w:rStyle w:val="ae"/>
        <w:noProof/>
      </w:rPr>
      <w:t>2</w:t>
    </w:r>
    <w:r w:rsidRPr="003A7D7E">
      <w:rPr>
        <w:rStyle w:val="ae"/>
      </w:rPr>
      <w:fldChar w:fldCharType="end"/>
    </w:r>
  </w:p>
  <w:p w:rsidR="00917A13" w:rsidRDefault="00917A13">
    <w:pPr>
      <w:pStyle w:val="a9"/>
    </w:pPr>
  </w:p>
  <w:p w:rsidR="003D52A9" w:rsidRDefault="00BF123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13" w:rsidRDefault="00917A13">
    <w:pPr>
      <w:tabs>
        <w:tab w:val="left" w:pos="1985"/>
      </w:tabs>
      <w:rPr>
        <w:color w:val="3A7234"/>
        <w:sz w:val="14"/>
        <w:szCs w:val="14"/>
        <w:lang w:val="kk-KZ"/>
      </w:rPr>
    </w:pPr>
  </w:p>
  <w:p w:rsidR="003D52A9" w:rsidRDefault="00BF12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537"/>
    <w:multiLevelType w:val="hybridMultilevel"/>
    <w:tmpl w:val="40BA81C8"/>
    <w:lvl w:ilvl="0" w:tplc="4C523DB6">
      <w:start w:val="1"/>
      <w:numFmt w:val="decimal"/>
      <w:lvlText w:val="%1."/>
      <w:lvlJc w:val="left"/>
      <w:pPr>
        <w:ind w:left="1065" w:hanging="360"/>
      </w:pPr>
      <w:rPr>
        <w:rFonts w:hint="default"/>
      </w:rPr>
    </w:lvl>
    <w:lvl w:ilvl="1" w:tplc="F9BA1ABE">
      <w:start w:val="1"/>
      <w:numFmt w:val="lowerLetter"/>
      <w:lvlText w:val="%2."/>
      <w:lvlJc w:val="left"/>
      <w:pPr>
        <w:ind w:left="1785" w:hanging="360"/>
      </w:pPr>
    </w:lvl>
    <w:lvl w:ilvl="2" w:tplc="6698429C">
      <w:start w:val="1"/>
      <w:numFmt w:val="lowerRoman"/>
      <w:lvlText w:val="%3."/>
      <w:lvlJc w:val="right"/>
      <w:pPr>
        <w:ind w:left="2505" w:hanging="180"/>
      </w:pPr>
    </w:lvl>
    <w:lvl w:ilvl="3" w:tplc="E2C09E02">
      <w:start w:val="1"/>
      <w:numFmt w:val="decimal"/>
      <w:lvlText w:val="%4."/>
      <w:lvlJc w:val="left"/>
      <w:pPr>
        <w:ind w:left="3225" w:hanging="360"/>
      </w:pPr>
    </w:lvl>
    <w:lvl w:ilvl="4" w:tplc="1D14DE54">
      <w:start w:val="1"/>
      <w:numFmt w:val="lowerLetter"/>
      <w:lvlText w:val="%5."/>
      <w:lvlJc w:val="left"/>
      <w:pPr>
        <w:ind w:left="3945" w:hanging="360"/>
      </w:pPr>
    </w:lvl>
    <w:lvl w:ilvl="5" w:tplc="BA8295B2">
      <w:start w:val="1"/>
      <w:numFmt w:val="lowerRoman"/>
      <w:lvlText w:val="%6."/>
      <w:lvlJc w:val="right"/>
      <w:pPr>
        <w:ind w:left="4665" w:hanging="180"/>
      </w:pPr>
    </w:lvl>
    <w:lvl w:ilvl="6" w:tplc="6F44F552">
      <w:start w:val="1"/>
      <w:numFmt w:val="decimal"/>
      <w:lvlText w:val="%7."/>
      <w:lvlJc w:val="left"/>
      <w:pPr>
        <w:ind w:left="5385" w:hanging="360"/>
      </w:pPr>
    </w:lvl>
    <w:lvl w:ilvl="7" w:tplc="16C0023E">
      <w:start w:val="1"/>
      <w:numFmt w:val="lowerLetter"/>
      <w:lvlText w:val="%8."/>
      <w:lvlJc w:val="left"/>
      <w:pPr>
        <w:ind w:left="6105" w:hanging="360"/>
      </w:pPr>
    </w:lvl>
    <w:lvl w:ilvl="8" w:tplc="618E08CA">
      <w:start w:val="1"/>
      <w:numFmt w:val="lowerRoman"/>
      <w:lvlText w:val="%9."/>
      <w:lvlJc w:val="right"/>
      <w:pPr>
        <w:ind w:left="6825" w:hanging="180"/>
      </w:pPr>
    </w:lvl>
  </w:abstractNum>
  <w:abstractNum w:abstractNumId="1" w15:restartNumberingAfterBreak="0">
    <w:nsid w:val="03894419"/>
    <w:multiLevelType w:val="multilevel"/>
    <w:tmpl w:val="46C68E6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08721BD9"/>
    <w:multiLevelType w:val="hybridMultilevel"/>
    <w:tmpl w:val="0284F746"/>
    <w:lvl w:ilvl="0" w:tplc="E058500A">
      <w:start w:val="1"/>
      <w:numFmt w:val="decimal"/>
      <w:lvlText w:val="%1."/>
      <w:lvlJc w:val="left"/>
      <w:pPr>
        <w:ind w:left="891" w:hanging="465"/>
      </w:pPr>
      <w:rPr>
        <w:rFonts w:hint="default"/>
      </w:rPr>
    </w:lvl>
    <w:lvl w:ilvl="1" w:tplc="E2D6F226">
      <w:start w:val="1"/>
      <w:numFmt w:val="lowerLetter"/>
      <w:lvlText w:val="%2."/>
      <w:lvlJc w:val="left"/>
      <w:pPr>
        <w:ind w:left="1789" w:hanging="360"/>
      </w:pPr>
    </w:lvl>
    <w:lvl w:ilvl="2" w:tplc="4796DA12">
      <w:start w:val="1"/>
      <w:numFmt w:val="lowerRoman"/>
      <w:lvlText w:val="%3."/>
      <w:lvlJc w:val="right"/>
      <w:pPr>
        <w:ind w:left="2509" w:hanging="180"/>
      </w:pPr>
    </w:lvl>
    <w:lvl w:ilvl="3" w:tplc="A648C21A">
      <w:start w:val="1"/>
      <w:numFmt w:val="decimal"/>
      <w:lvlText w:val="%4."/>
      <w:lvlJc w:val="left"/>
      <w:pPr>
        <w:ind w:left="3229" w:hanging="360"/>
      </w:pPr>
    </w:lvl>
    <w:lvl w:ilvl="4" w:tplc="175C8B2A">
      <w:start w:val="1"/>
      <w:numFmt w:val="lowerLetter"/>
      <w:lvlText w:val="%5."/>
      <w:lvlJc w:val="left"/>
      <w:pPr>
        <w:ind w:left="3949" w:hanging="360"/>
      </w:pPr>
    </w:lvl>
    <w:lvl w:ilvl="5" w:tplc="4D7E3D6E">
      <w:start w:val="1"/>
      <w:numFmt w:val="lowerRoman"/>
      <w:lvlText w:val="%6."/>
      <w:lvlJc w:val="right"/>
      <w:pPr>
        <w:ind w:left="4669" w:hanging="180"/>
      </w:pPr>
    </w:lvl>
    <w:lvl w:ilvl="6" w:tplc="39B661BA">
      <w:start w:val="1"/>
      <w:numFmt w:val="decimal"/>
      <w:lvlText w:val="%7."/>
      <w:lvlJc w:val="left"/>
      <w:pPr>
        <w:ind w:left="5389" w:hanging="360"/>
      </w:pPr>
    </w:lvl>
    <w:lvl w:ilvl="7" w:tplc="AFC0E07A">
      <w:start w:val="1"/>
      <w:numFmt w:val="lowerLetter"/>
      <w:lvlText w:val="%8."/>
      <w:lvlJc w:val="left"/>
      <w:pPr>
        <w:ind w:left="6109" w:hanging="360"/>
      </w:pPr>
    </w:lvl>
    <w:lvl w:ilvl="8" w:tplc="36245AF8">
      <w:start w:val="1"/>
      <w:numFmt w:val="lowerRoman"/>
      <w:lvlText w:val="%9."/>
      <w:lvlJc w:val="right"/>
      <w:pPr>
        <w:ind w:left="6829" w:hanging="180"/>
      </w:pPr>
    </w:lvl>
  </w:abstractNum>
  <w:abstractNum w:abstractNumId="3" w15:restartNumberingAfterBreak="0">
    <w:nsid w:val="0E7A23E7"/>
    <w:multiLevelType w:val="hybridMultilevel"/>
    <w:tmpl w:val="FE442CCE"/>
    <w:lvl w:ilvl="0" w:tplc="577C8838">
      <w:start w:val="40"/>
      <w:numFmt w:val="decimal"/>
      <w:lvlText w:val="%1)"/>
      <w:lvlJc w:val="left"/>
      <w:pPr>
        <w:tabs>
          <w:tab w:val="num" w:pos="1720"/>
        </w:tabs>
        <w:ind w:left="1720" w:hanging="1020"/>
      </w:pPr>
      <w:rPr>
        <w:rFonts w:hint="default"/>
      </w:rPr>
    </w:lvl>
    <w:lvl w:ilvl="1" w:tplc="577E1376">
      <w:start w:val="1"/>
      <w:numFmt w:val="lowerLetter"/>
      <w:lvlText w:val="%2."/>
      <w:lvlJc w:val="left"/>
      <w:pPr>
        <w:tabs>
          <w:tab w:val="num" w:pos="1780"/>
        </w:tabs>
        <w:ind w:left="1780" w:hanging="360"/>
      </w:pPr>
    </w:lvl>
    <w:lvl w:ilvl="2" w:tplc="191238F6">
      <w:start w:val="1"/>
      <w:numFmt w:val="lowerRoman"/>
      <w:lvlText w:val="%3."/>
      <w:lvlJc w:val="right"/>
      <w:pPr>
        <w:tabs>
          <w:tab w:val="num" w:pos="2500"/>
        </w:tabs>
        <w:ind w:left="2500" w:hanging="180"/>
      </w:pPr>
    </w:lvl>
    <w:lvl w:ilvl="3" w:tplc="B2DA09D8">
      <w:start w:val="1"/>
      <w:numFmt w:val="decimal"/>
      <w:lvlText w:val="%4."/>
      <w:lvlJc w:val="left"/>
      <w:pPr>
        <w:tabs>
          <w:tab w:val="num" w:pos="3220"/>
        </w:tabs>
        <w:ind w:left="3220" w:hanging="360"/>
      </w:pPr>
    </w:lvl>
    <w:lvl w:ilvl="4" w:tplc="075CC6CA">
      <w:start w:val="1"/>
      <w:numFmt w:val="lowerLetter"/>
      <w:lvlText w:val="%5."/>
      <w:lvlJc w:val="left"/>
      <w:pPr>
        <w:tabs>
          <w:tab w:val="num" w:pos="3940"/>
        </w:tabs>
        <w:ind w:left="3940" w:hanging="360"/>
      </w:pPr>
    </w:lvl>
    <w:lvl w:ilvl="5" w:tplc="C56E83A0">
      <w:start w:val="1"/>
      <w:numFmt w:val="lowerRoman"/>
      <w:lvlText w:val="%6."/>
      <w:lvlJc w:val="right"/>
      <w:pPr>
        <w:tabs>
          <w:tab w:val="num" w:pos="4660"/>
        </w:tabs>
        <w:ind w:left="4660" w:hanging="180"/>
      </w:pPr>
    </w:lvl>
    <w:lvl w:ilvl="6" w:tplc="FABEDD74">
      <w:start w:val="1"/>
      <w:numFmt w:val="decimal"/>
      <w:lvlText w:val="%7."/>
      <w:lvlJc w:val="left"/>
      <w:pPr>
        <w:tabs>
          <w:tab w:val="num" w:pos="5380"/>
        </w:tabs>
        <w:ind w:left="5380" w:hanging="360"/>
      </w:pPr>
    </w:lvl>
    <w:lvl w:ilvl="7" w:tplc="6D12BD7E">
      <w:start w:val="1"/>
      <w:numFmt w:val="lowerLetter"/>
      <w:lvlText w:val="%8."/>
      <w:lvlJc w:val="left"/>
      <w:pPr>
        <w:tabs>
          <w:tab w:val="num" w:pos="6100"/>
        </w:tabs>
        <w:ind w:left="6100" w:hanging="360"/>
      </w:pPr>
    </w:lvl>
    <w:lvl w:ilvl="8" w:tplc="2C786E50">
      <w:start w:val="1"/>
      <w:numFmt w:val="lowerRoman"/>
      <w:lvlText w:val="%9."/>
      <w:lvlJc w:val="right"/>
      <w:pPr>
        <w:tabs>
          <w:tab w:val="num" w:pos="6820"/>
        </w:tabs>
        <w:ind w:left="6820" w:hanging="180"/>
      </w:pPr>
    </w:lvl>
  </w:abstractNum>
  <w:abstractNum w:abstractNumId="4" w15:restartNumberingAfterBreak="0">
    <w:nsid w:val="0FDB65A9"/>
    <w:multiLevelType w:val="multilevel"/>
    <w:tmpl w:val="A5AEB5B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102C16E4"/>
    <w:multiLevelType w:val="multilevel"/>
    <w:tmpl w:val="9F88C19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19950E0E"/>
    <w:multiLevelType w:val="hybridMultilevel"/>
    <w:tmpl w:val="DF4E33EC"/>
    <w:lvl w:ilvl="0" w:tplc="BABC5B88">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1F617C"/>
    <w:multiLevelType w:val="hybridMultilevel"/>
    <w:tmpl w:val="A0C41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366950"/>
    <w:multiLevelType w:val="hybridMultilevel"/>
    <w:tmpl w:val="DCD43AC2"/>
    <w:lvl w:ilvl="0" w:tplc="86420B2E">
      <w:start w:val="1"/>
      <w:numFmt w:val="decimal"/>
      <w:lvlText w:val="%1."/>
      <w:lvlJc w:val="left"/>
      <w:pPr>
        <w:tabs>
          <w:tab w:val="num" w:pos="1669"/>
        </w:tabs>
        <w:ind w:left="1669" w:hanging="360"/>
      </w:pPr>
    </w:lvl>
    <w:lvl w:ilvl="1" w:tplc="31DE645C">
      <w:start w:val="1"/>
      <w:numFmt w:val="lowerLetter"/>
      <w:lvlText w:val="%2."/>
      <w:lvlJc w:val="left"/>
      <w:pPr>
        <w:tabs>
          <w:tab w:val="num" w:pos="2389"/>
        </w:tabs>
        <w:ind w:left="2389" w:hanging="360"/>
      </w:pPr>
    </w:lvl>
    <w:lvl w:ilvl="2" w:tplc="83D4BCCA">
      <w:start w:val="1"/>
      <w:numFmt w:val="lowerRoman"/>
      <w:lvlText w:val="%3."/>
      <w:lvlJc w:val="right"/>
      <w:pPr>
        <w:tabs>
          <w:tab w:val="num" w:pos="3109"/>
        </w:tabs>
        <w:ind w:left="3109" w:hanging="180"/>
      </w:pPr>
    </w:lvl>
    <w:lvl w:ilvl="3" w:tplc="40381E5E">
      <w:start w:val="1"/>
      <w:numFmt w:val="decimal"/>
      <w:lvlText w:val="%4."/>
      <w:lvlJc w:val="left"/>
      <w:pPr>
        <w:tabs>
          <w:tab w:val="num" w:pos="3829"/>
        </w:tabs>
        <w:ind w:left="3829" w:hanging="360"/>
      </w:pPr>
    </w:lvl>
    <w:lvl w:ilvl="4" w:tplc="830CEF24">
      <w:start w:val="1"/>
      <w:numFmt w:val="lowerLetter"/>
      <w:lvlText w:val="%5."/>
      <w:lvlJc w:val="left"/>
      <w:pPr>
        <w:tabs>
          <w:tab w:val="num" w:pos="4549"/>
        </w:tabs>
        <w:ind w:left="4549" w:hanging="360"/>
      </w:pPr>
    </w:lvl>
    <w:lvl w:ilvl="5" w:tplc="EFF65F80">
      <w:start w:val="1"/>
      <w:numFmt w:val="lowerRoman"/>
      <w:lvlText w:val="%6."/>
      <w:lvlJc w:val="right"/>
      <w:pPr>
        <w:tabs>
          <w:tab w:val="num" w:pos="5269"/>
        </w:tabs>
        <w:ind w:left="5269" w:hanging="180"/>
      </w:pPr>
    </w:lvl>
    <w:lvl w:ilvl="6" w:tplc="19F2D112">
      <w:start w:val="1"/>
      <w:numFmt w:val="decimal"/>
      <w:lvlText w:val="%7."/>
      <w:lvlJc w:val="left"/>
      <w:pPr>
        <w:tabs>
          <w:tab w:val="num" w:pos="5989"/>
        </w:tabs>
        <w:ind w:left="5989" w:hanging="360"/>
      </w:pPr>
    </w:lvl>
    <w:lvl w:ilvl="7" w:tplc="60BA3478">
      <w:start w:val="1"/>
      <w:numFmt w:val="lowerLetter"/>
      <w:lvlText w:val="%8."/>
      <w:lvlJc w:val="left"/>
      <w:pPr>
        <w:tabs>
          <w:tab w:val="num" w:pos="6709"/>
        </w:tabs>
        <w:ind w:left="6709" w:hanging="360"/>
      </w:pPr>
    </w:lvl>
    <w:lvl w:ilvl="8" w:tplc="66AC39D4">
      <w:start w:val="1"/>
      <w:numFmt w:val="lowerRoman"/>
      <w:lvlText w:val="%9."/>
      <w:lvlJc w:val="right"/>
      <w:pPr>
        <w:tabs>
          <w:tab w:val="num" w:pos="7429"/>
        </w:tabs>
        <w:ind w:left="7429" w:hanging="180"/>
      </w:pPr>
    </w:lvl>
  </w:abstractNum>
  <w:abstractNum w:abstractNumId="9" w15:restartNumberingAfterBreak="0">
    <w:nsid w:val="37550335"/>
    <w:multiLevelType w:val="hybridMultilevel"/>
    <w:tmpl w:val="62C8F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C41980"/>
    <w:multiLevelType w:val="multilevel"/>
    <w:tmpl w:val="E0EE90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4BA54461"/>
    <w:multiLevelType w:val="hybridMultilevel"/>
    <w:tmpl w:val="33F2487E"/>
    <w:lvl w:ilvl="0" w:tplc="8B70DFE0">
      <w:start w:val="1"/>
      <w:numFmt w:val="decimal"/>
      <w:lvlText w:val="%1."/>
      <w:lvlJc w:val="left"/>
      <w:pPr>
        <w:ind w:left="1308" w:hanging="6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D2D0009"/>
    <w:multiLevelType w:val="hybridMultilevel"/>
    <w:tmpl w:val="060E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33368B"/>
    <w:multiLevelType w:val="hybridMultilevel"/>
    <w:tmpl w:val="66728394"/>
    <w:lvl w:ilvl="0" w:tplc="3986483E">
      <w:start w:val="1"/>
      <w:numFmt w:val="decimal"/>
      <w:lvlText w:val="%1."/>
      <w:lvlJc w:val="left"/>
      <w:pPr>
        <w:ind w:left="891" w:hanging="465"/>
      </w:pPr>
      <w:rPr>
        <w:rFonts w:hint="default"/>
      </w:rPr>
    </w:lvl>
    <w:lvl w:ilvl="1" w:tplc="D898CFA0">
      <w:start w:val="1"/>
      <w:numFmt w:val="lowerLetter"/>
      <w:lvlText w:val="%2."/>
      <w:lvlJc w:val="left"/>
      <w:pPr>
        <w:ind w:left="1789" w:hanging="360"/>
      </w:pPr>
    </w:lvl>
    <w:lvl w:ilvl="2" w:tplc="A40E4CAA">
      <w:start w:val="1"/>
      <w:numFmt w:val="lowerRoman"/>
      <w:lvlText w:val="%3."/>
      <w:lvlJc w:val="right"/>
      <w:pPr>
        <w:ind w:left="2509" w:hanging="180"/>
      </w:pPr>
    </w:lvl>
    <w:lvl w:ilvl="3" w:tplc="6CEAE93E">
      <w:start w:val="1"/>
      <w:numFmt w:val="decimal"/>
      <w:lvlText w:val="%4."/>
      <w:lvlJc w:val="left"/>
      <w:pPr>
        <w:ind w:left="3229" w:hanging="360"/>
      </w:pPr>
    </w:lvl>
    <w:lvl w:ilvl="4" w:tplc="B5C60766">
      <w:start w:val="1"/>
      <w:numFmt w:val="lowerLetter"/>
      <w:lvlText w:val="%5."/>
      <w:lvlJc w:val="left"/>
      <w:pPr>
        <w:ind w:left="3949" w:hanging="360"/>
      </w:pPr>
    </w:lvl>
    <w:lvl w:ilvl="5" w:tplc="58145394">
      <w:start w:val="1"/>
      <w:numFmt w:val="lowerRoman"/>
      <w:lvlText w:val="%6."/>
      <w:lvlJc w:val="right"/>
      <w:pPr>
        <w:ind w:left="4669" w:hanging="180"/>
      </w:pPr>
    </w:lvl>
    <w:lvl w:ilvl="6" w:tplc="C84E0C12">
      <w:start w:val="1"/>
      <w:numFmt w:val="decimal"/>
      <w:lvlText w:val="%7."/>
      <w:lvlJc w:val="left"/>
      <w:pPr>
        <w:ind w:left="5389" w:hanging="360"/>
      </w:pPr>
    </w:lvl>
    <w:lvl w:ilvl="7" w:tplc="65F86810">
      <w:start w:val="1"/>
      <w:numFmt w:val="lowerLetter"/>
      <w:lvlText w:val="%8."/>
      <w:lvlJc w:val="left"/>
      <w:pPr>
        <w:ind w:left="6109" w:hanging="360"/>
      </w:pPr>
    </w:lvl>
    <w:lvl w:ilvl="8" w:tplc="BF06C9CA">
      <w:start w:val="1"/>
      <w:numFmt w:val="lowerRoman"/>
      <w:lvlText w:val="%9."/>
      <w:lvlJc w:val="right"/>
      <w:pPr>
        <w:ind w:left="6829" w:hanging="180"/>
      </w:pPr>
    </w:lvl>
  </w:abstractNum>
  <w:abstractNum w:abstractNumId="14" w15:restartNumberingAfterBreak="0">
    <w:nsid w:val="52E43122"/>
    <w:multiLevelType w:val="hybridMultilevel"/>
    <w:tmpl w:val="E60A90C6"/>
    <w:lvl w:ilvl="0" w:tplc="9C644C2E">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C0D1810"/>
    <w:multiLevelType w:val="hybridMultilevel"/>
    <w:tmpl w:val="A5FE892C"/>
    <w:lvl w:ilvl="0" w:tplc="EAD8F06A">
      <w:start w:val="2"/>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AD5C41"/>
    <w:multiLevelType w:val="hybridMultilevel"/>
    <w:tmpl w:val="5A04A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5574F9"/>
    <w:multiLevelType w:val="hybridMultilevel"/>
    <w:tmpl w:val="508090CA"/>
    <w:lvl w:ilvl="0" w:tplc="11648FCE">
      <w:start w:val="2"/>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B6135"/>
    <w:multiLevelType w:val="hybridMultilevel"/>
    <w:tmpl w:val="5490A150"/>
    <w:lvl w:ilvl="0" w:tplc="2688A36E">
      <w:start w:val="2"/>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3"/>
  </w:num>
  <w:num w:numId="5">
    <w:abstractNumId w:val="8"/>
  </w:num>
  <w:num w:numId="6">
    <w:abstractNumId w:val="0"/>
  </w:num>
  <w:num w:numId="7">
    <w:abstractNumId w:val="13"/>
  </w:num>
  <w:num w:numId="8">
    <w:abstractNumId w:val="1"/>
  </w:num>
  <w:num w:numId="9">
    <w:abstractNumId w:val="2"/>
  </w:num>
  <w:num w:numId="10">
    <w:abstractNumId w:val="11"/>
  </w:num>
  <w:num w:numId="11">
    <w:abstractNumId w:val="12"/>
  </w:num>
  <w:num w:numId="12">
    <w:abstractNumId w:val="6"/>
  </w:num>
  <w:num w:numId="13">
    <w:abstractNumId w:val="14"/>
  </w:num>
  <w:num w:numId="14">
    <w:abstractNumId w:val="18"/>
  </w:num>
  <w:num w:numId="15">
    <w:abstractNumId w:val="15"/>
  </w:num>
  <w:num w:numId="16">
    <w:abstractNumId w:val="17"/>
  </w:num>
  <w:num w:numId="17">
    <w:abstractNumId w:val="9"/>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A13"/>
    <w:rsid w:val="00014C22"/>
    <w:rsid w:val="000370CE"/>
    <w:rsid w:val="00046B70"/>
    <w:rsid w:val="000A5742"/>
    <w:rsid w:val="00100978"/>
    <w:rsid w:val="00101E16"/>
    <w:rsid w:val="001455F4"/>
    <w:rsid w:val="001A0A3B"/>
    <w:rsid w:val="001B018F"/>
    <w:rsid w:val="001C170F"/>
    <w:rsid w:val="001F43F9"/>
    <w:rsid w:val="00221161"/>
    <w:rsid w:val="0023328F"/>
    <w:rsid w:val="00247D63"/>
    <w:rsid w:val="002F505C"/>
    <w:rsid w:val="00307424"/>
    <w:rsid w:val="003A7D7E"/>
    <w:rsid w:val="003C5BB8"/>
    <w:rsid w:val="003D1BF9"/>
    <w:rsid w:val="004C4C38"/>
    <w:rsid w:val="004E05B5"/>
    <w:rsid w:val="004E65CC"/>
    <w:rsid w:val="00535C6A"/>
    <w:rsid w:val="005F410A"/>
    <w:rsid w:val="00626ED6"/>
    <w:rsid w:val="00627F03"/>
    <w:rsid w:val="0069038F"/>
    <w:rsid w:val="00787FE7"/>
    <w:rsid w:val="007A1B87"/>
    <w:rsid w:val="007D34AD"/>
    <w:rsid w:val="007E2220"/>
    <w:rsid w:val="00917A13"/>
    <w:rsid w:val="0092626E"/>
    <w:rsid w:val="00930858"/>
    <w:rsid w:val="0097260D"/>
    <w:rsid w:val="00972AAA"/>
    <w:rsid w:val="009B51DF"/>
    <w:rsid w:val="009C1968"/>
    <w:rsid w:val="009C4267"/>
    <w:rsid w:val="009F34B3"/>
    <w:rsid w:val="00A862A4"/>
    <w:rsid w:val="00AD088E"/>
    <w:rsid w:val="00B3269F"/>
    <w:rsid w:val="00B41419"/>
    <w:rsid w:val="00B85749"/>
    <w:rsid w:val="00BD6286"/>
    <w:rsid w:val="00BE3854"/>
    <w:rsid w:val="00BF1231"/>
    <w:rsid w:val="00C154D4"/>
    <w:rsid w:val="00C92B33"/>
    <w:rsid w:val="00CA344F"/>
    <w:rsid w:val="00CA3832"/>
    <w:rsid w:val="00D265B9"/>
    <w:rsid w:val="00D554C4"/>
    <w:rsid w:val="00E26629"/>
    <w:rsid w:val="00ED17BF"/>
    <w:rsid w:val="00FF234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2E820"/>
  <w15:docId w15:val="{A82A0A51-09EC-44AC-BE90-565B30A1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1B01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nhideWhenUsed/>
    <w:qFormat/>
    <w:rsid w:val="00BB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3">
    <w:name w:val="Balloon Text"/>
    <w:basedOn w:val="a"/>
    <w:link w:val="af4"/>
    <w:semiHidden/>
    <w:unhideWhenUsed/>
    <w:rsid w:val="00444CB7"/>
    <w:rPr>
      <w:rFonts w:ascii="Segoe UI" w:hAnsi="Segoe UI" w:cs="Segoe UI"/>
      <w:sz w:val="18"/>
      <w:szCs w:val="18"/>
    </w:rPr>
  </w:style>
  <w:style w:type="character" w:customStyle="1" w:styleId="af4">
    <w:name w:val="Текст выноски Знак"/>
    <w:basedOn w:val="a0"/>
    <w:link w:val="af3"/>
    <w:semiHidden/>
    <w:rsid w:val="00444CB7"/>
    <w:rPr>
      <w:rFonts w:ascii="Segoe UI" w:hAnsi="Segoe UI" w:cs="Segoe UI"/>
      <w:sz w:val="18"/>
      <w:szCs w:val="18"/>
    </w:rPr>
  </w:style>
  <w:style w:type="character" w:customStyle="1" w:styleId="30">
    <w:name w:val="Заголовок 3 Знак"/>
    <w:basedOn w:val="a0"/>
    <w:link w:val="3"/>
    <w:rsid w:val="00BB3CB8"/>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rsid w:val="001B018F"/>
    <w:rPr>
      <w:rFonts w:asciiTheme="majorHAnsi" w:eastAsiaTheme="majorEastAsia" w:hAnsiTheme="majorHAnsi" w:cstheme="majorBidi"/>
      <w:color w:val="365F91" w:themeColor="accent1" w:themeShade="BF"/>
      <w:sz w:val="32"/>
      <w:szCs w:val="32"/>
    </w:rPr>
  </w:style>
  <w:style w:type="paragraph" w:customStyle="1" w:styleId="disclaimer">
    <w:name w:val="disclaimer"/>
    <w:basedOn w:val="a"/>
    <w:rsid w:val="000370CE"/>
    <w:pPr>
      <w:overflowPunct/>
      <w:autoSpaceDE/>
      <w:autoSpaceDN/>
      <w:adjustRightInd/>
      <w:spacing w:after="200" w:line="276" w:lineRule="auto"/>
      <w:jc w:val="center"/>
    </w:pPr>
    <w:rPr>
      <w:sz w:val="18"/>
      <w:szCs w:val="18"/>
      <w:lang w:val="en-US" w:eastAsia="en-US"/>
    </w:rPr>
  </w:style>
  <w:style w:type="paragraph" w:styleId="af5">
    <w:name w:val="footnote text"/>
    <w:basedOn w:val="a"/>
    <w:link w:val="af6"/>
    <w:uiPriority w:val="99"/>
    <w:semiHidden/>
    <w:unhideWhenUsed/>
    <w:rsid w:val="000370CE"/>
    <w:pPr>
      <w:overflowPunct/>
      <w:autoSpaceDE/>
      <w:autoSpaceDN/>
      <w:adjustRightInd/>
    </w:pPr>
    <w:rPr>
      <w:lang w:val="en-US" w:eastAsia="en-US"/>
    </w:rPr>
  </w:style>
  <w:style w:type="character" w:customStyle="1" w:styleId="af6">
    <w:name w:val="Текст сноски Знак"/>
    <w:basedOn w:val="a0"/>
    <w:link w:val="af5"/>
    <w:uiPriority w:val="99"/>
    <w:semiHidden/>
    <w:rsid w:val="000370CE"/>
    <w:rPr>
      <w:lang w:val="en-US" w:eastAsia="en-US"/>
    </w:rPr>
  </w:style>
  <w:style w:type="character" w:styleId="af7">
    <w:name w:val="footnote reference"/>
    <w:basedOn w:val="a0"/>
    <w:uiPriority w:val="99"/>
    <w:semiHidden/>
    <w:unhideWhenUsed/>
    <w:rsid w:val="000370CE"/>
    <w:rPr>
      <w:vertAlign w:val="superscript"/>
    </w:rPr>
  </w:style>
  <w:style w:type="paragraph" w:customStyle="1" w:styleId="pr">
    <w:name w:val="pr"/>
    <w:basedOn w:val="a"/>
    <w:qFormat/>
    <w:rsid w:val="00B3269F"/>
    <w:pPr>
      <w:overflowPunct/>
      <w:autoSpaceDE/>
      <w:autoSpaceDN/>
      <w:adjustRightInd/>
      <w:jc w:val="righ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284971260">
      <w:marLeft w:val="0"/>
      <w:marRight w:val="0"/>
      <w:marTop w:val="0"/>
      <w:marBottom w:val="0"/>
      <w:divBdr>
        <w:top w:val="none" w:sz="0" w:space="0" w:color="auto"/>
        <w:left w:val="none" w:sz="0" w:space="0" w:color="auto"/>
        <w:bottom w:val="none" w:sz="0" w:space="0" w:color="auto"/>
        <w:right w:val="none" w:sz="0" w:space="0" w:color="auto"/>
      </w:divBdr>
    </w:div>
    <w:div w:id="503593508">
      <w:bodyDiv w:val="1"/>
      <w:marLeft w:val="0"/>
      <w:marRight w:val="0"/>
      <w:marTop w:val="0"/>
      <w:marBottom w:val="0"/>
      <w:divBdr>
        <w:top w:val="none" w:sz="0" w:space="0" w:color="auto"/>
        <w:left w:val="none" w:sz="0" w:space="0" w:color="auto"/>
        <w:bottom w:val="none" w:sz="0" w:space="0" w:color="auto"/>
        <w:right w:val="none" w:sz="0" w:space="0" w:color="auto"/>
      </w:divBdr>
    </w:div>
    <w:div w:id="539128626">
      <w:marLeft w:val="0"/>
      <w:marRight w:val="0"/>
      <w:marTop w:val="0"/>
      <w:marBottom w:val="0"/>
      <w:divBdr>
        <w:top w:val="none" w:sz="0" w:space="0" w:color="auto"/>
        <w:left w:val="none" w:sz="0" w:space="0" w:color="auto"/>
        <w:bottom w:val="none" w:sz="0" w:space="0" w:color="auto"/>
        <w:right w:val="none" w:sz="0" w:space="0" w:color="auto"/>
      </w:divBdr>
    </w:div>
    <w:div w:id="736243552">
      <w:bodyDiv w:val="1"/>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693874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2340</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2025-08-20T10:20:00Z</dcterms:created>
  <dc:creator>user</dc:creator>
  <lastModifiedBy>Насихат Ибраева</lastModifiedBy>
  <lastPrinted>2024-06-17T07:31:00Z</lastPrinted>
  <dcterms:modified xsi:type="dcterms:W3CDTF">2025-08-20T10:20:00Z</dcterms:modified>
  <revision>2</revision>
  <dc:title>ЌАЗАЌСТАН</dc:title>
</core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24</revision>
  <dc:title>ЌАЗАЌСТАН</dc:title>
</coreProperties>
</file>

<file path=customXml/item4.xml><?xml version="1.0" encoding="utf-8"?>
<Properties xmlns="http://schemas.openxmlformats.org/officeDocument/2006/extended-properties" xmlns:vt="http://schemas.openxmlformats.org/officeDocument/2006/docPropsVTypes">
  <Template>Normal.dotm</Template>
  <TotalTime>10</TotalTime>
  <Pages>2</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1903</CharactersWithSpaces>
  <SharedDoc>false</SharedDoc>
  <HyperlinksChanged>false</HyperlinksChanged>
  <AppVersion>16.0000</AppVersion>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7D1F-4803-4910-B1AB-69A46AFC4378}">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005FB12B-0C7C-4DC0-98E5-69768A944A85}">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09AACA61-3A5E-4510-B46B-6E1B234750D2}">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08D3B98F-126C-4734-BDD4-3C30227883C3}">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F2DCC89F-A6AE-4D52-89AE-F05764B8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3391</Words>
  <Characters>19333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Аскар Сейданов</cp:lastModifiedBy>
  <cp:revision>16</cp:revision>
  <cp:lastPrinted>2025-10-23T04:48:00Z</cp:lastPrinted>
  <dcterms:created xsi:type="dcterms:W3CDTF">2026-01-16T07:01:00Z</dcterms:created>
  <dcterms:modified xsi:type="dcterms:W3CDTF">2026-01-23T12:16:00Z</dcterms:modified>
</cp:coreProperties>
</file>