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EA1" w:rsidRPr="00A03789" w:rsidRDefault="000F7EA1" w:rsidP="000F7EA1">
      <w:pPr>
        <w:spacing w:after="0" w:line="240" w:lineRule="auto"/>
        <w:ind w:left="439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3789">
        <w:rPr>
          <w:rFonts w:ascii="Times New Roman" w:hAnsi="Times New Roman" w:cs="Times New Roman"/>
          <w:i/>
          <w:sz w:val="24"/>
          <w:szCs w:val="24"/>
        </w:rPr>
        <w:t xml:space="preserve">Приложение к письму </w:t>
      </w:r>
    </w:p>
    <w:p w:rsidR="000F7EA1" w:rsidRPr="00A03789" w:rsidRDefault="000F7EA1" w:rsidP="000F7EA1">
      <w:pPr>
        <w:spacing w:after="0" w:line="240" w:lineRule="auto"/>
        <w:ind w:left="439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3789">
        <w:rPr>
          <w:rFonts w:ascii="Times New Roman" w:hAnsi="Times New Roman" w:cs="Times New Roman"/>
          <w:i/>
          <w:sz w:val="24"/>
          <w:szCs w:val="24"/>
        </w:rPr>
        <w:t xml:space="preserve">Министерства национальной экономики </w:t>
      </w:r>
    </w:p>
    <w:p w:rsidR="000F7EA1" w:rsidRPr="00A03789" w:rsidRDefault="000F7EA1" w:rsidP="000F7EA1">
      <w:pPr>
        <w:spacing w:after="0" w:line="240" w:lineRule="auto"/>
        <w:ind w:left="439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3789">
        <w:rPr>
          <w:rFonts w:ascii="Times New Roman" w:hAnsi="Times New Roman" w:cs="Times New Roman"/>
          <w:i/>
          <w:sz w:val="24"/>
          <w:szCs w:val="24"/>
        </w:rPr>
        <w:t xml:space="preserve">Республики Казахстан </w:t>
      </w:r>
    </w:p>
    <w:p w:rsidR="000F7EA1" w:rsidRPr="00A03789" w:rsidRDefault="000F7EA1" w:rsidP="000F7EA1">
      <w:pPr>
        <w:spacing w:after="0" w:line="240" w:lineRule="auto"/>
        <w:ind w:left="439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3789">
        <w:rPr>
          <w:rFonts w:ascii="Times New Roman" w:hAnsi="Times New Roman" w:cs="Times New Roman"/>
          <w:i/>
          <w:sz w:val="24"/>
          <w:szCs w:val="24"/>
        </w:rPr>
        <w:t>от «   » ___________ 2025 года</w:t>
      </w:r>
    </w:p>
    <w:p w:rsidR="000F7EA1" w:rsidRPr="00A03789" w:rsidRDefault="000F7EA1" w:rsidP="000F7EA1">
      <w:pPr>
        <w:spacing w:after="0" w:line="240" w:lineRule="auto"/>
        <w:ind w:left="439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3789">
        <w:rPr>
          <w:rFonts w:ascii="Times New Roman" w:hAnsi="Times New Roman" w:cs="Times New Roman"/>
          <w:i/>
          <w:sz w:val="24"/>
          <w:szCs w:val="24"/>
        </w:rPr>
        <w:t>№ _____________</w:t>
      </w:r>
    </w:p>
    <w:p w:rsidR="000F7EA1" w:rsidRPr="000F7EA1" w:rsidRDefault="000F7EA1" w:rsidP="000F7E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EA1" w:rsidRPr="000F7EA1" w:rsidRDefault="000F7EA1" w:rsidP="000F7E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0E9C" w:rsidRPr="000F7EA1" w:rsidRDefault="00482369" w:rsidP="000F7E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EA1">
        <w:rPr>
          <w:rFonts w:ascii="Times New Roman" w:hAnsi="Times New Roman" w:cs="Times New Roman"/>
          <w:b/>
          <w:sz w:val="28"/>
          <w:szCs w:val="28"/>
        </w:rPr>
        <w:t>Отчет по итогам анализа эффективности финансовых и имущественных государственных мер поддержки</w:t>
      </w: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66B" w:rsidRPr="000F7EA1" w:rsidRDefault="0060266B" w:rsidP="0060266B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EA1">
        <w:rPr>
          <w:rFonts w:ascii="Times New Roman" w:hAnsi="Times New Roman" w:cs="Times New Roman"/>
          <w:b/>
          <w:sz w:val="28"/>
          <w:szCs w:val="28"/>
        </w:rPr>
        <w:t xml:space="preserve">1. Общая информация об анализе системы финансовой </w:t>
      </w:r>
      <w:r w:rsidR="000F7EA1" w:rsidRPr="000F7EA1">
        <w:rPr>
          <w:rFonts w:ascii="Times New Roman" w:hAnsi="Times New Roman" w:cs="Times New Roman"/>
          <w:b/>
          <w:sz w:val="28"/>
          <w:szCs w:val="28"/>
        </w:rPr>
        <w:br/>
      </w:r>
      <w:r w:rsidRPr="000F7EA1">
        <w:rPr>
          <w:rFonts w:ascii="Times New Roman" w:hAnsi="Times New Roman" w:cs="Times New Roman"/>
          <w:b/>
          <w:sz w:val="28"/>
          <w:szCs w:val="28"/>
        </w:rPr>
        <w:t>и имущественной поддержки за отчетный период</w:t>
      </w:r>
    </w:p>
    <w:p w:rsidR="0060266B" w:rsidRPr="000F7EA1" w:rsidRDefault="0060266B" w:rsidP="0060266B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EA1">
        <w:rPr>
          <w:rFonts w:ascii="Times New Roman" w:hAnsi="Times New Roman" w:cs="Times New Roman"/>
          <w:sz w:val="28"/>
          <w:szCs w:val="28"/>
        </w:rPr>
        <w:t xml:space="preserve">В соответствии с данными Комитета государственных доходов Министерства финансов РК, за период с 2019 по 2023 год финансовые </w:t>
      </w:r>
      <w:r w:rsidR="000F7EA1" w:rsidRPr="000F7EA1">
        <w:rPr>
          <w:rFonts w:ascii="Times New Roman" w:hAnsi="Times New Roman" w:cs="Times New Roman"/>
          <w:sz w:val="28"/>
          <w:szCs w:val="28"/>
        </w:rPr>
        <w:br/>
      </w:r>
      <w:r w:rsidRPr="000F7EA1">
        <w:rPr>
          <w:rFonts w:ascii="Times New Roman" w:hAnsi="Times New Roman" w:cs="Times New Roman"/>
          <w:sz w:val="28"/>
          <w:szCs w:val="28"/>
        </w:rPr>
        <w:t xml:space="preserve">и имущественные меры поддержки были </w:t>
      </w:r>
      <w:r w:rsidRPr="000F7E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предоставлены 171687 субъектам </w:t>
      </w:r>
      <w:r w:rsidRPr="000F7EA1">
        <w:rPr>
          <w:rFonts w:ascii="Times New Roman" w:hAnsi="Times New Roman" w:cs="Times New Roman"/>
          <w:sz w:val="28"/>
          <w:szCs w:val="28"/>
        </w:rPr>
        <w:t xml:space="preserve">предпринимательства и населению с предпринимательской инициативой. Объем выделенных средств </w:t>
      </w:r>
      <w:r w:rsidR="000F7EA1" w:rsidRPr="000F7EA1">
        <w:rPr>
          <w:rFonts w:ascii="Times New Roman" w:hAnsi="Times New Roman" w:cs="Times New Roman"/>
          <w:sz w:val="28"/>
          <w:szCs w:val="28"/>
        </w:rPr>
        <w:t>по финансовым и имущественным мерам</w:t>
      </w:r>
      <w:r w:rsidRPr="000F7EA1">
        <w:rPr>
          <w:rFonts w:ascii="Times New Roman" w:hAnsi="Times New Roman" w:cs="Times New Roman"/>
          <w:sz w:val="28"/>
          <w:szCs w:val="28"/>
        </w:rPr>
        <w:t xml:space="preserve"> составил 3,443 трлн тенге.</w:t>
      </w: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EA1">
        <w:rPr>
          <w:rFonts w:ascii="Times New Roman" w:hAnsi="Times New Roman" w:cs="Times New Roman"/>
          <w:sz w:val="28"/>
          <w:szCs w:val="28"/>
        </w:rPr>
        <w:t xml:space="preserve">За 2019-2023 гг. совокупный объем выделенных средств увеличился </w:t>
      </w:r>
      <w:r w:rsidR="000F7EA1" w:rsidRPr="000F7EA1">
        <w:rPr>
          <w:rFonts w:ascii="Times New Roman" w:hAnsi="Times New Roman" w:cs="Times New Roman"/>
          <w:sz w:val="28"/>
          <w:szCs w:val="28"/>
        </w:rPr>
        <w:br/>
      </w:r>
      <w:r w:rsidRPr="000F7EA1">
        <w:rPr>
          <w:rFonts w:ascii="Times New Roman" w:hAnsi="Times New Roman" w:cs="Times New Roman"/>
          <w:sz w:val="28"/>
          <w:szCs w:val="28"/>
        </w:rPr>
        <w:t xml:space="preserve">с 468,4 млрд тенге до 720,9 млрд тенге (+54% к уровню 2019 года). </w:t>
      </w:r>
      <w:r w:rsidR="000F7EA1">
        <w:rPr>
          <w:rFonts w:ascii="Times New Roman" w:hAnsi="Times New Roman" w:cs="Times New Roman"/>
          <w:sz w:val="28"/>
          <w:szCs w:val="28"/>
        </w:rPr>
        <w:br/>
      </w:r>
      <w:r w:rsidRPr="000F7EA1">
        <w:rPr>
          <w:rFonts w:ascii="Times New Roman" w:hAnsi="Times New Roman" w:cs="Times New Roman"/>
          <w:sz w:val="28"/>
          <w:szCs w:val="28"/>
        </w:rPr>
        <w:t xml:space="preserve">Максимум пришелся на 2020 год (928,9 млрд тенге), после чего </w:t>
      </w:r>
      <w:r w:rsidR="000F7EA1">
        <w:rPr>
          <w:rFonts w:ascii="Times New Roman" w:hAnsi="Times New Roman" w:cs="Times New Roman"/>
          <w:sz w:val="28"/>
          <w:szCs w:val="28"/>
        </w:rPr>
        <w:br/>
      </w:r>
      <w:r w:rsidRPr="000F7EA1">
        <w:rPr>
          <w:rFonts w:ascii="Times New Roman" w:hAnsi="Times New Roman" w:cs="Times New Roman"/>
          <w:sz w:val="28"/>
          <w:szCs w:val="28"/>
        </w:rPr>
        <w:t xml:space="preserve">наблюдалась нормализация: 591,3 млрд тенге в 2021 г., частичное восстановление до 734,4 млрд тенге в 2022 г. и удержание близкого уровня </w:t>
      </w:r>
      <w:r w:rsidR="000F7EA1">
        <w:rPr>
          <w:rFonts w:ascii="Times New Roman" w:hAnsi="Times New Roman" w:cs="Times New Roman"/>
          <w:sz w:val="28"/>
          <w:szCs w:val="28"/>
        </w:rPr>
        <w:br/>
      </w:r>
      <w:r w:rsidRPr="000F7EA1">
        <w:rPr>
          <w:rFonts w:ascii="Times New Roman" w:hAnsi="Times New Roman" w:cs="Times New Roman"/>
          <w:sz w:val="28"/>
          <w:szCs w:val="28"/>
        </w:rPr>
        <w:t xml:space="preserve">в 2023 г. </w:t>
      </w:r>
      <w:r w:rsidR="000F7EA1">
        <w:rPr>
          <w:rFonts w:ascii="Times New Roman" w:hAnsi="Times New Roman" w:cs="Times New Roman"/>
          <w:sz w:val="28"/>
          <w:szCs w:val="28"/>
        </w:rPr>
        <w:t>–</w:t>
      </w:r>
      <w:r w:rsidRPr="000F7EA1">
        <w:rPr>
          <w:rFonts w:ascii="Times New Roman" w:hAnsi="Times New Roman" w:cs="Times New Roman"/>
          <w:sz w:val="28"/>
          <w:szCs w:val="28"/>
        </w:rPr>
        <w:t xml:space="preserve"> 720,9 млрд тенге. Таким образом, финансирование закрепилось </w:t>
      </w:r>
      <w:r w:rsidR="000F7EA1">
        <w:rPr>
          <w:rFonts w:ascii="Times New Roman" w:hAnsi="Times New Roman" w:cs="Times New Roman"/>
          <w:sz w:val="28"/>
          <w:szCs w:val="28"/>
        </w:rPr>
        <w:br/>
      </w:r>
      <w:r w:rsidRPr="000F7EA1">
        <w:rPr>
          <w:rFonts w:ascii="Times New Roman" w:hAnsi="Times New Roman" w:cs="Times New Roman"/>
          <w:sz w:val="28"/>
          <w:szCs w:val="28"/>
        </w:rPr>
        <w:t>на повышенной траектории 2022-2023 годов.</w:t>
      </w: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21693" wp14:editId="5308D13B">
            <wp:extent cx="5783922" cy="2639833"/>
            <wp:effectExtent l="0" t="0" r="7620" b="8255"/>
            <wp:docPr id="39" name="Рисунок 39" descr="b1a69ecf1aa9410a90621becfb4fb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1a69ecf1aa9410a90621becfb4fb5a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82" cy="265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eastAsia="Times New Roman" w:cs="Times New Roman"/>
          <w:color w:val="000000" w:themeColor="text1"/>
        </w:rPr>
      </w:pPr>
      <w:bookmarkStart w:id="0" w:name="_Toc206497603"/>
      <w:r w:rsidRPr="000F7EA1">
        <w:rPr>
          <w:rFonts w:cs="Times New Roman"/>
          <w:color w:val="000000" w:themeColor="text1"/>
        </w:rPr>
        <w:t xml:space="preserve">Рисунок </w:t>
      </w:r>
      <w:r w:rsidRPr="000F7EA1">
        <w:rPr>
          <w:rFonts w:cs="Times New Roman"/>
          <w:color w:val="000000" w:themeColor="text1"/>
        </w:rPr>
        <w:fldChar w:fldCharType="begin"/>
      </w:r>
      <w:r w:rsidRPr="000F7EA1">
        <w:rPr>
          <w:rFonts w:cs="Times New Roman"/>
          <w:color w:val="000000" w:themeColor="text1"/>
        </w:rPr>
        <w:instrText xml:space="preserve"> SEQ Рисунок \* ARABIC </w:instrText>
      </w:r>
      <w:r w:rsidRPr="000F7EA1">
        <w:rPr>
          <w:rFonts w:cs="Times New Roman"/>
          <w:color w:val="000000" w:themeColor="text1"/>
        </w:rPr>
        <w:fldChar w:fldCharType="separate"/>
      </w:r>
      <w:r w:rsidRPr="000F7EA1">
        <w:rPr>
          <w:rFonts w:cs="Times New Roman"/>
          <w:noProof/>
          <w:color w:val="000000" w:themeColor="text1"/>
        </w:rPr>
        <w:t>1</w:t>
      </w:r>
      <w:r w:rsidRPr="000F7EA1">
        <w:rPr>
          <w:rFonts w:cs="Times New Roman"/>
          <w:color w:val="000000" w:themeColor="text1"/>
        </w:rPr>
        <w:fldChar w:fldCharType="end"/>
      </w:r>
      <w:r w:rsidRPr="000F7EA1">
        <w:rPr>
          <w:rFonts w:cs="Times New Roman"/>
          <w:color w:val="000000" w:themeColor="text1"/>
        </w:rPr>
        <w:t>.</w:t>
      </w:r>
      <w:r w:rsidRPr="000F7EA1">
        <w:rPr>
          <w:rFonts w:cs="Times New Roman"/>
          <w:color w:val="000000" w:themeColor="text1"/>
          <w:sz w:val="32"/>
          <w:szCs w:val="24"/>
        </w:rPr>
        <w:t xml:space="preserve"> </w:t>
      </w:r>
      <w:r w:rsidRPr="000F7EA1">
        <w:rPr>
          <w:rFonts w:cs="Times New Roman"/>
          <w:color w:val="000000" w:themeColor="text1"/>
        </w:rPr>
        <w:t xml:space="preserve">Объем финансовых средств, выделенных по мерам государственной поддержки </w:t>
      </w:r>
      <w:r w:rsidRPr="000F7EA1">
        <w:rPr>
          <w:rFonts w:eastAsia="Times New Roman" w:cs="Times New Roman"/>
          <w:color w:val="000000" w:themeColor="text1"/>
        </w:rPr>
        <w:t>с 2019 по 2023 год, тг.</w:t>
      </w:r>
      <w:bookmarkEnd w:id="0"/>
    </w:p>
    <w:p w:rsidR="00482369" w:rsidRPr="000F7EA1" w:rsidRDefault="00482369" w:rsidP="00482369">
      <w:pPr>
        <w:contextualSpacing/>
        <w:rPr>
          <w:lang w:eastAsia="ru-RU"/>
        </w:rPr>
      </w:pPr>
    </w:p>
    <w:p w:rsidR="00482369" w:rsidRPr="000F7EA1" w:rsidRDefault="00482369" w:rsidP="00482369">
      <w:pPr>
        <w:contextualSpacing/>
        <w:jc w:val="center"/>
        <w:rPr>
          <w:lang w:eastAsia="ru-RU"/>
        </w:rPr>
      </w:pPr>
      <w:r w:rsidRPr="000F7EA1">
        <w:rPr>
          <w:noProof/>
          <w:lang w:eastAsia="ru-RU"/>
        </w:rPr>
        <w:lastRenderedPageBreak/>
        <w:drawing>
          <wp:inline distT="0" distB="0" distL="0" distR="0" wp14:anchorId="144F9762" wp14:editId="4C6F4100">
            <wp:extent cx="3687108" cy="3505200"/>
            <wp:effectExtent l="0" t="0" r="8890" b="0"/>
            <wp:docPr id="38" name="Рисунок 38" descr="f82759f0ff32457fa60f1b5e40aab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82759f0ff32457fa60f1b5e40aab7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3" cy="35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eastAsia="Times New Roman" w:cs="Times New Roman"/>
          <w:color w:val="000000" w:themeColor="text1"/>
        </w:rPr>
      </w:pPr>
      <w:bookmarkStart w:id="1" w:name="_Toc206497604"/>
      <w:r w:rsidRPr="000F7EA1">
        <w:rPr>
          <w:rFonts w:cs="Times New Roman"/>
          <w:color w:val="000000" w:themeColor="text1"/>
        </w:rPr>
        <w:t xml:space="preserve">Рисунок 2. Число получателей финансовых средств по мерам государственной поддержки </w:t>
      </w:r>
      <w:r w:rsidRPr="000F7EA1">
        <w:rPr>
          <w:rFonts w:eastAsia="Times New Roman" w:cs="Times New Roman"/>
          <w:color w:val="000000" w:themeColor="text1"/>
        </w:rPr>
        <w:t>с 2019 по 2023 год, число субъектов</w:t>
      </w:r>
      <w:bookmarkEnd w:id="1"/>
    </w:p>
    <w:p w:rsidR="00482369" w:rsidRPr="000F7EA1" w:rsidRDefault="00482369" w:rsidP="00482369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Число субъектов, получивших поддержку, отметилось стабильным ростом с 2019 по 2022 год: 56 134 (2019), 59 508 (2020), 83 701 (2021),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88 915 (2022) и 66 935 (2023). В сравнении с 2019 годом прирост составил 19%. Средний объем финансирования в расчете на одного получателя колебался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>от 7,06 млн тенге (минимум в 2021 г.) до 15,6 млн тенге (пик 2020 г.) и составил 10,77 млн тенге в 2023 г., что на 29% выше уровня 2019 г. Повышение показателя в 2023 г. обусловлено снижением числа получателей при сопоставимом общем объеме средств.</w:t>
      </w:r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Лидирующие позиции по объему финансирования занимают: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г. Алматы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436 млрд тенге, Костанайская область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349 млрд тенге, Акмолинская область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314 млрд тенге, Карагандинская область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286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млрд тенге, Северо-Казахстанская область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277 млрд тенге. В нижней части распределения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Атырауская, Жетису, Мангистауская области и Улытау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(14 млрд тенге). </w:t>
      </w:r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Разрыв между максимальным и минимальным региональными значениями выделенных сумм государственной поддержки составляет порядка 31, что указывает на значительную концентрацию средств в отдельных территориях (рисунок «Объем финансовых средств, выделенных по мерам государственной поддержки с 2019 по 2023 год в срезе регионов»).</w:t>
      </w:r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2369" w:rsidRPr="000F7EA1" w:rsidRDefault="00482369" w:rsidP="00482369">
      <w:pPr>
        <w:spacing w:after="0" w:line="240" w:lineRule="auto"/>
        <w:contextualSpacing/>
        <w:jc w:val="both"/>
        <w:rPr>
          <w:lang w:eastAsia="ru-RU"/>
        </w:rPr>
      </w:pPr>
      <w:r w:rsidRPr="000F7EA1">
        <w:rPr>
          <w:noProof/>
          <w:lang w:eastAsia="ru-RU"/>
        </w:rPr>
        <w:lastRenderedPageBreak/>
        <w:drawing>
          <wp:inline distT="0" distB="0" distL="0" distR="0" wp14:anchorId="631D71E4" wp14:editId="7BA7304F">
            <wp:extent cx="5842660" cy="2637463"/>
            <wp:effectExtent l="0" t="0" r="5715" b="0"/>
            <wp:docPr id="37" name="Рисунок 37" descr="e821eb8ce6fb454cacc5ead3a9663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821eb8ce6fb454cacc5ead3a966306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63" cy="26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cs="Times New Roman"/>
          <w:color w:val="000000" w:themeColor="text1"/>
        </w:rPr>
      </w:pP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eastAsia="Times New Roman" w:cs="Times New Roman"/>
          <w:color w:val="000000" w:themeColor="text1"/>
        </w:rPr>
      </w:pPr>
      <w:bookmarkStart w:id="2" w:name="_Toc206497605"/>
      <w:r w:rsidRPr="000F7EA1">
        <w:rPr>
          <w:rFonts w:cs="Times New Roman"/>
          <w:color w:val="000000" w:themeColor="text1"/>
        </w:rPr>
        <w:t>Рисунок 3.</w:t>
      </w:r>
      <w:r w:rsidRPr="000F7EA1">
        <w:rPr>
          <w:rFonts w:cs="Times New Roman"/>
          <w:color w:val="000000" w:themeColor="text1"/>
          <w:sz w:val="24"/>
          <w:szCs w:val="24"/>
        </w:rPr>
        <w:t xml:space="preserve"> </w:t>
      </w:r>
      <w:r w:rsidRPr="000F7EA1">
        <w:rPr>
          <w:rFonts w:cs="Times New Roman"/>
          <w:color w:val="000000" w:themeColor="text1"/>
        </w:rPr>
        <w:t xml:space="preserve">Объем финансовых средств, выделенных по мерам государственной поддержки </w:t>
      </w:r>
      <w:r w:rsidRPr="000F7EA1">
        <w:rPr>
          <w:rFonts w:eastAsia="Times New Roman" w:cs="Times New Roman"/>
          <w:color w:val="000000" w:themeColor="text1"/>
        </w:rPr>
        <w:t>с 2019 по 2023 год в срезе регионов, тг.</w:t>
      </w:r>
      <w:bookmarkEnd w:id="2"/>
    </w:p>
    <w:p w:rsidR="00482369" w:rsidRPr="000F7EA1" w:rsidRDefault="00482369" w:rsidP="00482369">
      <w:pPr>
        <w:spacing w:after="0" w:line="240" w:lineRule="auto"/>
        <w:ind w:firstLine="709"/>
        <w:contextualSpacing/>
        <w:rPr>
          <w:lang w:eastAsia="ru-RU"/>
        </w:rPr>
      </w:pPr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Годовые траектории в большинстве регионов повторяют общенациональный цикл: выраженный всплеск в 2020 г., снижение в 2021 г.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и частичное восстановление в 2022 г. При этом у ряда областей (г. Алматы, Карагандинская и Жамбылская область) наблюдаются локальные пики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2023 г., что отражает различия во временных профилях реализации мер </w:t>
      </w:r>
      <w:r w:rsidR="000F7EA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>(см. рисунок «Динамика выделения финансовых средств по мерам государственной поддержки с 2019 по 2023 год в срезе регионов»). При этом, по количеству субъектов, получивших поддержку, заметно лидирует Туркестанская область.</w:t>
      </w:r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549E6" wp14:editId="7820D87D">
            <wp:extent cx="5450774" cy="2831431"/>
            <wp:effectExtent l="0" t="0" r="0" b="7620"/>
            <wp:docPr id="36" name="Рисунок 36" descr="e5c2fdc014b64dbe91afa24ffc743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5c2fdc014b64dbe91afa24ffc7430d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21" cy="28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eastAsia="Times New Roman" w:cs="Times New Roman"/>
          <w:color w:val="000000" w:themeColor="text1"/>
        </w:rPr>
      </w:pPr>
      <w:bookmarkStart w:id="3" w:name="_Toc206497606"/>
      <w:r w:rsidRPr="000F7EA1">
        <w:rPr>
          <w:rFonts w:cs="Times New Roman"/>
          <w:color w:val="000000" w:themeColor="text1"/>
        </w:rPr>
        <w:t>Рисунок 4.</w:t>
      </w:r>
      <w:r w:rsidRPr="000F7EA1">
        <w:rPr>
          <w:rFonts w:cs="Times New Roman"/>
          <w:color w:val="000000" w:themeColor="text1"/>
          <w:sz w:val="32"/>
          <w:szCs w:val="24"/>
        </w:rPr>
        <w:t xml:space="preserve"> </w:t>
      </w:r>
      <w:r w:rsidRPr="000F7EA1">
        <w:rPr>
          <w:rFonts w:cs="Times New Roman"/>
          <w:color w:val="000000" w:themeColor="text1"/>
        </w:rPr>
        <w:t xml:space="preserve">Динамика выделения финансовых средств по мерам государственной поддержки </w:t>
      </w:r>
      <w:r w:rsidRPr="000F7EA1">
        <w:rPr>
          <w:rFonts w:eastAsia="Times New Roman" w:cs="Times New Roman"/>
          <w:color w:val="000000" w:themeColor="text1"/>
        </w:rPr>
        <w:t>с 2019 по 2023 год в срезе регионов, тг.</w:t>
      </w:r>
      <w:bookmarkEnd w:id="3"/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2369" w:rsidRPr="000F7EA1" w:rsidRDefault="00482369" w:rsidP="00482369">
      <w:pPr>
        <w:contextualSpacing/>
        <w:jc w:val="both"/>
        <w:rPr>
          <w:lang w:eastAsia="ru-RU"/>
        </w:rPr>
      </w:pPr>
      <w:r w:rsidRPr="000F7EA1">
        <w:rPr>
          <w:noProof/>
          <w:lang w:eastAsia="ru-RU"/>
        </w:rPr>
        <w:lastRenderedPageBreak/>
        <w:drawing>
          <wp:inline distT="0" distB="0" distL="0" distR="0" wp14:anchorId="1F1E2EBF" wp14:editId="63F4081C">
            <wp:extent cx="6103620" cy="3248025"/>
            <wp:effectExtent l="0" t="0" r="0" b="9525"/>
            <wp:docPr id="35" name="Рисунок 35" descr="1939f003b0464142951e7b47394d6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39f003b0464142951e7b47394d6b3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eastAsia="Times New Roman" w:cs="Times New Roman"/>
          <w:color w:val="000000" w:themeColor="text1"/>
        </w:rPr>
      </w:pPr>
      <w:bookmarkStart w:id="4" w:name="_Toc206497607"/>
      <w:r w:rsidRPr="000F7EA1">
        <w:rPr>
          <w:rFonts w:cs="Times New Roman"/>
          <w:color w:val="000000" w:themeColor="text1"/>
        </w:rPr>
        <w:t>Рисунок 5.</w:t>
      </w:r>
      <w:r w:rsidRPr="000F7EA1">
        <w:rPr>
          <w:rFonts w:cs="Times New Roman"/>
          <w:color w:val="000000" w:themeColor="text1"/>
          <w:sz w:val="24"/>
          <w:szCs w:val="24"/>
        </w:rPr>
        <w:t xml:space="preserve"> </w:t>
      </w:r>
      <w:r w:rsidRPr="000F7EA1">
        <w:rPr>
          <w:rFonts w:cs="Times New Roman"/>
          <w:color w:val="000000" w:themeColor="text1"/>
          <w:szCs w:val="24"/>
        </w:rPr>
        <w:t xml:space="preserve">Динамика </w:t>
      </w:r>
      <w:r w:rsidRPr="000F7EA1">
        <w:rPr>
          <w:rFonts w:cs="Times New Roman"/>
          <w:color w:val="000000" w:themeColor="text1"/>
        </w:rPr>
        <w:t xml:space="preserve">числа получателей финансовых средств по мерам государственной поддержки </w:t>
      </w:r>
      <w:r w:rsidRPr="000F7EA1">
        <w:rPr>
          <w:rFonts w:eastAsia="Times New Roman" w:cs="Times New Roman"/>
          <w:color w:val="000000" w:themeColor="text1"/>
        </w:rPr>
        <w:t>с 2019 по 2023 год в срезе регионов, ед.</w:t>
      </w:r>
      <w:bookmarkEnd w:id="4"/>
      <w:r w:rsidRPr="000F7EA1">
        <w:rPr>
          <w:rFonts w:eastAsia="Times New Roman" w:cs="Times New Roman"/>
          <w:color w:val="000000" w:themeColor="text1"/>
        </w:rPr>
        <w:t xml:space="preserve"> </w:t>
      </w:r>
    </w:p>
    <w:p w:rsidR="00482369" w:rsidRPr="000F7EA1" w:rsidRDefault="00482369" w:rsidP="00482369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eastAsia="ru-RU"/>
        </w:rPr>
      </w:pP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Основную долю составляют субъекты микропредпринимательства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(74% или 126 857 субъектов), доля субъектов малого предпринимательства составила 2,4% (3 277 субъектов), доля среднего предпринимательства составляет 2,4% (3 242 субъекта), доля крупного предпринимательства составила 0,4% от общего числа субъектов (582). По 37 540 субъектам или 21,9% отсутствуют </w:t>
      </w:r>
      <w:bookmarkStart w:id="5" w:name="_Toc80879852"/>
      <w:bookmarkStart w:id="6" w:name="_Toc83291861"/>
      <w:bookmarkStart w:id="7" w:name="_Toc151655348"/>
      <w:bookmarkStart w:id="8" w:name="_Toc183689672"/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сведения о размерности бизнеса.</w:t>
      </w:r>
    </w:p>
    <w:p w:rsidR="00482369" w:rsidRPr="000F7EA1" w:rsidRDefault="00482369" w:rsidP="00482369">
      <w:pPr>
        <w:contextualSpacing/>
        <w:rPr>
          <w:rFonts w:cs="Times New Roman"/>
          <w:color w:val="000000" w:themeColor="text1"/>
        </w:rPr>
      </w:pPr>
      <w:r w:rsidRPr="000F7EA1">
        <w:rPr>
          <w:rFonts w:eastAsia="Times New Roman" w:cs="Times New Roman"/>
          <w:noProof/>
          <w:color w:val="000000" w:themeColor="text1"/>
          <w:lang w:eastAsia="ru-RU"/>
        </w:rPr>
        <w:drawing>
          <wp:inline distT="0" distB="0" distL="0" distR="0" wp14:anchorId="23E81941" wp14:editId="1A1D887D">
            <wp:extent cx="6092042" cy="2398816"/>
            <wp:effectExtent l="0" t="0" r="4445" b="1905"/>
            <wp:docPr id="5009606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29" cy="240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eastAsia="Times New Roman" w:cs="Times New Roman"/>
          <w:color w:val="000000" w:themeColor="text1"/>
        </w:rPr>
      </w:pPr>
      <w:bookmarkStart w:id="9" w:name="_Toc206497608"/>
      <w:r w:rsidRPr="000F7EA1">
        <w:rPr>
          <w:rFonts w:cs="Times New Roman"/>
          <w:color w:val="000000" w:themeColor="text1"/>
        </w:rPr>
        <w:t>Рисунок 6.</w:t>
      </w:r>
      <w:r w:rsidRPr="000F7EA1">
        <w:rPr>
          <w:rFonts w:cs="Times New Roman"/>
          <w:color w:val="000000" w:themeColor="text1"/>
          <w:sz w:val="32"/>
          <w:szCs w:val="24"/>
        </w:rPr>
        <w:t xml:space="preserve"> </w:t>
      </w:r>
      <w:r w:rsidRPr="000F7EA1">
        <w:rPr>
          <w:rFonts w:eastAsia="Times New Roman" w:cs="Times New Roman"/>
          <w:color w:val="000000" w:themeColor="text1"/>
        </w:rPr>
        <w:t xml:space="preserve">Структура размерности субъектов </w:t>
      </w:r>
      <w:bookmarkEnd w:id="5"/>
      <w:bookmarkEnd w:id="6"/>
      <w:bookmarkEnd w:id="7"/>
      <w:bookmarkEnd w:id="8"/>
      <w:r w:rsidRPr="000F7EA1">
        <w:rPr>
          <w:rFonts w:eastAsia="Times New Roman" w:cs="Times New Roman"/>
          <w:color w:val="000000" w:themeColor="text1"/>
        </w:rPr>
        <w:t xml:space="preserve">с 2019 по 2023 год </w:t>
      </w:r>
      <w:r w:rsidR="000F7EA1">
        <w:rPr>
          <w:rFonts w:eastAsia="Times New Roman" w:cs="Times New Roman"/>
          <w:color w:val="000000" w:themeColor="text1"/>
        </w:rPr>
        <w:br/>
      </w:r>
      <w:r w:rsidRPr="000F7EA1">
        <w:rPr>
          <w:rFonts w:eastAsia="Times New Roman" w:cs="Times New Roman"/>
          <w:color w:val="000000" w:themeColor="text1"/>
        </w:rPr>
        <w:t>по числу субъектов, %</w:t>
      </w:r>
      <w:bookmarkEnd w:id="9"/>
      <w:r w:rsidRPr="000F7EA1">
        <w:rPr>
          <w:rFonts w:eastAsia="Times New Roman" w:cs="Times New Roman"/>
          <w:color w:val="000000" w:themeColor="text1"/>
        </w:rPr>
        <w:t xml:space="preserve"> </w:t>
      </w:r>
    </w:p>
    <w:p w:rsidR="00482369" w:rsidRPr="000F7EA1" w:rsidRDefault="00482369" w:rsidP="00482369">
      <w:pPr>
        <w:widowControl w:val="0"/>
        <w:pBdr>
          <w:bottom w:val="single" w:sz="4" w:space="6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82369" w:rsidRPr="000F7EA1" w:rsidRDefault="00482369" w:rsidP="00482369">
      <w:pPr>
        <w:widowControl w:val="0"/>
        <w:pBdr>
          <w:bottom w:val="single" w:sz="4" w:space="6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Однако картина меняется при анализе в срезе полученного финансирования относительно размерности субъектов. Так, доля микропредпринимательства составила 27,7% или 953,9 млрд тенге, доля малого предпринимательства – 12,8% или 438,7 млрд тенге, доля среднего предпринимательства – 28,6% или 983,1 млрд тенге, крупное предпринимательство имеет долю 27,3% или 938,9 млрд тенге. По 3,6% или 123,7 млрд тенге отсутствуют сведения о размерности бизнеса.</w:t>
      </w:r>
      <w:r w:rsidRPr="000F7E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369" w:rsidRPr="000F7EA1" w:rsidRDefault="00482369" w:rsidP="00482369">
      <w:pPr>
        <w:contextualSpacing/>
        <w:rPr>
          <w:rFonts w:cs="Times New Roman"/>
          <w:color w:val="000000" w:themeColor="text1"/>
        </w:rPr>
      </w:pPr>
      <w:r w:rsidRPr="000F7EA1">
        <w:rPr>
          <w:rFonts w:eastAsia="Times New Roman" w:cs="Times New Roman"/>
          <w:noProof/>
          <w:color w:val="000000" w:themeColor="text1"/>
          <w:lang w:eastAsia="ru-RU"/>
        </w:rPr>
        <w:drawing>
          <wp:inline distT="0" distB="0" distL="0" distR="0" wp14:anchorId="7A09EDE3" wp14:editId="69F80C6E">
            <wp:extent cx="6032665" cy="2554047"/>
            <wp:effectExtent l="0" t="0" r="6350" b="0"/>
            <wp:docPr id="8967702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83" cy="255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eastAsia="Times New Roman" w:cs="Times New Roman"/>
          <w:color w:val="000000" w:themeColor="text1"/>
        </w:rPr>
      </w:pPr>
      <w:bookmarkStart w:id="10" w:name="_Toc206497609"/>
      <w:r w:rsidRPr="000F7EA1">
        <w:rPr>
          <w:rFonts w:cs="Times New Roman"/>
          <w:color w:val="000000" w:themeColor="text1"/>
        </w:rPr>
        <w:t>Рисунок 7. Структура размерности субъектов по суммам финансирования с 2019 по 2023 год, %</w:t>
      </w:r>
      <w:bookmarkEnd w:id="10"/>
    </w:p>
    <w:p w:rsidR="00482369" w:rsidRPr="000F7EA1" w:rsidRDefault="00482369" w:rsidP="00482369">
      <w:pPr>
        <w:widowControl w:val="0"/>
        <w:pBdr>
          <w:bottom w:val="single" w:sz="4" w:space="16" w:color="FFFFFF"/>
        </w:pBd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EA1" w:rsidRDefault="00482369" w:rsidP="00482369">
      <w:pPr>
        <w:widowControl w:val="0"/>
        <w:pBdr>
          <w:bottom w:val="single" w:sz="4" w:space="16" w:color="FFFFFF"/>
        </w:pBd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целях обеспечения достоверности и структурности сведений, меры государственной поддержки были распределены на 10 механизмов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соответствии с ст. 94 Предпринимательского кодекса. Исходя из группировки всех мер на 10 механизмов, проведен анализ доступных данных за период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 2019 по 2023 годы с фокусом на оценку эффективности в разрезе ключевых показателей (доходы, налоговые отчисления, производительность труда, фонд оплаты труда, количество работников). Данное исследование также предполагает работу с показателями в различных срезах (период, динамика роста, регион, направления экономической деятельности и другие).</w:t>
      </w:r>
    </w:p>
    <w:p w:rsidR="000F7EA1" w:rsidRDefault="00482369" w:rsidP="00482369">
      <w:pPr>
        <w:widowControl w:val="0"/>
        <w:pBdr>
          <w:bottom w:val="single" w:sz="4" w:space="16" w:color="FFFFFF"/>
        </w:pBd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Так, в разрезе механизмов суммарно за пятилетие (2019-2023 гг.)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на поддержку было направлено около 3,44 трлн тенге. </w:t>
      </w:r>
    </w:p>
    <w:p w:rsidR="00482369" w:rsidRPr="000F7EA1" w:rsidRDefault="00482369" w:rsidP="00482369">
      <w:pPr>
        <w:widowControl w:val="0"/>
        <w:pBdr>
          <w:bottom w:val="single" w:sz="4" w:space="16" w:color="FFFFFF"/>
        </w:pBd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Структура расходов выраженно концентрирована: более трети обеспечило возмещение и (или) субсидирование расходов – порядка </w:t>
      </w:r>
      <w:r w:rsid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1,036 трлн тенге. Существенные доли также пришлись на закуп гарантированного объема товаров, работ и услуг (ТРУ) </w:t>
      </w:r>
      <w:r w:rsid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636,9 млрд тенге, организацию кредитования </w:t>
      </w:r>
      <w:r w:rsid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586,6 млрд тенге, лизинг </w:t>
      </w:r>
      <w:r w:rsid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572,4 млрд тенге </w:t>
      </w:r>
      <w:r w:rsid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субсидирование ставки вознаграждения по кредитам 528,5 млрд тенге. </w:t>
      </w:r>
    </w:p>
    <w:p w:rsidR="00482369" w:rsidRPr="000F7EA1" w:rsidRDefault="00482369" w:rsidP="00482369">
      <w:pPr>
        <w:widowControl w:val="0"/>
        <w:pBdr>
          <w:bottom w:val="single" w:sz="4" w:space="16" w:color="FFFFFF"/>
        </w:pBd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Остальные инструменты – частичное гарантирование кредитов,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субсидирование ставки вознаграждения по микрокредитам, выдача государственных и инвестиционных грантов, а также иные меры финансирования – в совокупности сформировали небольшой «хвост» распределения. Иными словами, пять базовых механизмов аккумулировали практически весь объем средств, что отражает ориентацию политики на ограниченный набор наиболее применимых инструментов.</w:t>
      </w:r>
    </w:p>
    <w:p w:rsidR="00482369" w:rsidRPr="000F7EA1" w:rsidRDefault="00482369" w:rsidP="00482369">
      <w:pPr>
        <w:contextualSpacing/>
        <w:rPr>
          <w:rFonts w:cs="Times New Roman"/>
          <w:color w:val="000000" w:themeColor="text1"/>
        </w:rPr>
      </w:pPr>
      <w:r w:rsidRPr="000F7EA1">
        <w:rPr>
          <w:rFonts w:eastAsia="Times New Roman" w:cs="Times New Roman"/>
          <w:noProof/>
          <w:color w:val="000000" w:themeColor="text1"/>
          <w:lang w:eastAsia="ru-RU"/>
        </w:rPr>
        <w:drawing>
          <wp:inline distT="0" distB="0" distL="0" distR="0" wp14:anchorId="6C01D89C" wp14:editId="1DDFD428">
            <wp:extent cx="5733304" cy="2943225"/>
            <wp:effectExtent l="0" t="0" r="1270" b="0"/>
            <wp:docPr id="34" name="Рисунок 34" descr="13b8f7994bde4098a7e9c3c58800e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b8f7994bde4098a7e9c3c58800e5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84" cy="294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cs="Times New Roman"/>
          <w:color w:val="000000" w:themeColor="text1"/>
        </w:rPr>
      </w:pPr>
      <w:bookmarkStart w:id="11" w:name="_Toc206497610"/>
      <w:r w:rsidRPr="000F7EA1">
        <w:rPr>
          <w:rFonts w:cs="Times New Roman"/>
          <w:color w:val="000000" w:themeColor="text1"/>
        </w:rPr>
        <w:t>Рисунок 8. Объем выделенных финансовых средств с 2019 по 2023 год в срезе механизмов государственной поддержки, тг.</w:t>
      </w:r>
      <w:bookmarkEnd w:id="11"/>
    </w:p>
    <w:p w:rsidR="00482369" w:rsidRPr="000F7EA1" w:rsidRDefault="00482369" w:rsidP="00482369">
      <w:pPr>
        <w:pStyle w:val="1"/>
        <w:ind w:firstLine="851"/>
        <w:contextualSpacing/>
        <w:jc w:val="both"/>
        <w:rPr>
          <w:rFonts w:cs="Times New Roman"/>
          <w:color w:val="000000" w:themeColor="text1"/>
        </w:rPr>
      </w:pPr>
    </w:p>
    <w:p w:rsidR="00482369" w:rsidRPr="000F7EA1" w:rsidRDefault="00482369" w:rsidP="00482369">
      <w:p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2EDAC332" wp14:editId="197F25A4">
            <wp:extent cx="6103620" cy="2743200"/>
            <wp:effectExtent l="0" t="0" r="0" b="0"/>
            <wp:docPr id="33" name="Рисунок 33" descr="78f04aaa3e3544b6a16272344eb30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8f04aaa3e3544b6a16272344eb30b8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851"/>
        <w:contextualSpacing/>
        <w:jc w:val="both"/>
        <w:rPr>
          <w:rFonts w:cs="Times New Roman"/>
          <w:color w:val="000000" w:themeColor="text1"/>
        </w:rPr>
      </w:pPr>
      <w:bookmarkStart w:id="12" w:name="_Toc206497611"/>
      <w:r w:rsidRPr="000F7EA1">
        <w:rPr>
          <w:rFonts w:cs="Times New Roman"/>
          <w:color w:val="000000" w:themeColor="text1"/>
        </w:rPr>
        <w:t xml:space="preserve">Рисунок 9. Число получателей мер поддержки с 2019 по 2023 год </w:t>
      </w:r>
      <w:r w:rsidRPr="000F7EA1">
        <w:rPr>
          <w:rFonts w:cs="Times New Roman"/>
          <w:color w:val="000000" w:themeColor="text1"/>
        </w:rPr>
        <w:br/>
        <w:t>в срезе механизмов поддержки, ед.</w:t>
      </w:r>
      <w:bookmarkEnd w:id="12"/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Отраслевая картина по видам экономической деятельности (ОКЭД) также имеет ярко выраженный профиль. Лидером выступает сельское, лесное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рыбное хозяйство с объемом порядка 1,247 трлн тенге, за ним следует обрабатывающая промышленность 975,6 млрд тенге. Третью позицию занимает строительство 448,1 млрд тенге. Далее по убыванию располагаются образование и оптовая/розничная торговля (порядка 177,2 млрд и 117,7 млрд тенге соответственно). </w:t>
      </w:r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Совокупно эти направления сформировали подавляющую часть распределения, что логично: именно они концентрируют либо значимые капитальные вложения (сельское хозяйство и промышленность), либо крупные инфраструктурные циклы (строительство).</w:t>
      </w:r>
    </w:p>
    <w:p w:rsidR="00482369" w:rsidRPr="000F7EA1" w:rsidRDefault="00482369" w:rsidP="00482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2369" w:rsidRPr="000F7EA1" w:rsidRDefault="00482369" w:rsidP="004823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3BB34" wp14:editId="7EC17D53">
            <wp:extent cx="6107430" cy="4038600"/>
            <wp:effectExtent l="0" t="0" r="7620" b="0"/>
            <wp:docPr id="1334412094" name="Рисунок 1334412094" descr="C:\Users\A.Baitursyn\AppData\Local\Microsoft\Windows\INetCache\Content.Word\8dd88132e8e24bf7867a82a366a69e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.Baitursyn\AppData\Local\Microsoft\Windows\INetCache\Content.Word\8dd88132e8e24bf7867a82a366a69ed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cs="Times New Roman"/>
          <w:color w:val="000000" w:themeColor="text1"/>
        </w:rPr>
      </w:pPr>
      <w:bookmarkStart w:id="13" w:name="_Toc206497612"/>
      <w:r w:rsidRPr="000F7EA1">
        <w:rPr>
          <w:rFonts w:cs="Times New Roman"/>
          <w:color w:val="000000" w:themeColor="text1"/>
        </w:rPr>
        <w:t xml:space="preserve">Рисунок 10. Объем финансовых средств по мерам поддержки </w:t>
      </w:r>
      <w:r w:rsidRPr="000F7EA1">
        <w:rPr>
          <w:rFonts w:cs="Times New Roman"/>
          <w:color w:val="000000" w:themeColor="text1"/>
        </w:rPr>
        <w:br/>
        <w:t>с 2019 по 2023 год в срезе направлений экономической деятельности (ОКЭД), тг.</w:t>
      </w:r>
      <w:bookmarkEnd w:id="13"/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7EA1">
        <w:rPr>
          <w:rFonts w:ascii="Times New Roman" w:hAnsi="Times New Roman" w:cs="Times New Roman"/>
          <w:color w:val="000000" w:themeColor="text1"/>
          <w:sz w:val="28"/>
          <w:szCs w:val="28"/>
        </w:rPr>
        <w:t>Число получателей в среде ОКЭД демонстрирует иной, «социально шире» профиль. Наибольшее количество субъектов пришлось на сельское хозяйство - порядка 66 тыс. получателей за пятилетие. Далее следуют оптовая и розничная торговля - 27,9 тыс. субъектов, транспорт и складирование 7,9 тыс., прочие услуги 7,4 тыс. и обрабатывающая промышленность 7 тыс. субъектов.</w:t>
      </w: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7E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Сопоставление двух срезов показывает высокую неоднородность </w:t>
      </w:r>
      <w:r w:rsidRPr="000F7EA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«среднего чека»: ориентировочно в обрабатывающей промышленности он составляет порядка 140 млн тенге </w:t>
      </w:r>
      <w:r w:rsidR="000F7EA1" w:rsidRPr="000F7EA1">
        <w:rPr>
          <w:rFonts w:ascii="Times New Roman" w:hAnsi="Times New Roman" w:cs="Times New Roman"/>
          <w:color w:val="000000" w:themeColor="text1"/>
          <w:sz w:val="28"/>
          <w:szCs w:val="28"/>
        </w:rPr>
        <w:t>на субъект</w:t>
      </w:r>
      <w:r w:rsidRPr="000F7EA1">
        <w:rPr>
          <w:rFonts w:ascii="Times New Roman" w:hAnsi="Times New Roman" w:cs="Times New Roman"/>
          <w:color w:val="000000" w:themeColor="text1"/>
          <w:sz w:val="28"/>
          <w:szCs w:val="28"/>
        </w:rPr>
        <w:t>, в строительстве – около 115 млн тенге, тогда как в сельском хозяйстве - 19 млн тенге, а в торговле - 4,2 млн. тенге. Это отражает различия в капиталоемкости проектов, используемом наборе инструментов и масштабе типовых бенефициаров в каждой отрасли.</w:t>
      </w: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4" w:name="_GoBack"/>
      <w:r w:rsidRPr="000F7EA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F1C546" wp14:editId="5929EC77">
            <wp:extent cx="6180708" cy="4095750"/>
            <wp:effectExtent l="0" t="0" r="0" b="0"/>
            <wp:docPr id="32" name="Рисунок 32" descr="c7b2a6dfdaa141a69bc570396e668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7b2a6dfdaa141a69bc570396e6686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00" cy="41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eastAsia="Times New Roman" w:cs="Times New Roman"/>
          <w:color w:val="000000" w:themeColor="text1"/>
        </w:rPr>
      </w:pPr>
      <w:bookmarkStart w:id="15" w:name="_Toc206497613"/>
      <w:r w:rsidRPr="000F7EA1">
        <w:rPr>
          <w:rFonts w:eastAsia="Times New Roman" w:cs="Times New Roman"/>
          <w:color w:val="000000" w:themeColor="text1"/>
        </w:rPr>
        <w:t>Рисунок 11. Число получателей мер поддержки с 2019 по 2023 год по направлениям экономической деятельности (ОКЭД), ед.</w:t>
      </w:r>
      <w:bookmarkEnd w:id="15"/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Показатели результатов деятельности субъектов в разрезе механизмов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виде доходов и налогов – подтверждают концентрацию эффектов. Совокупные доходы получателей за 2019-2023 годы составили около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291,6 трлн. Наибольший вклад обеспечили субъекты, участвовавшие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механизме субсидирования ставки вознаграждения по кредитам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99,32 трлн тенге, далее следуют возмещение/субсидирование расходов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65,98 трлн тенге, организация кредитования 47,9 трлн тенге и частичное гарантирование кредитов 42,47 трлн тенге.</w:t>
      </w: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Обозначенные четыре инструмента суммарно формируют порядка 88% всей доходной базы наблюдаемых получателей.</w:t>
      </w:r>
    </w:p>
    <w:p w:rsidR="00482369" w:rsidRPr="000F7EA1" w:rsidRDefault="00482369" w:rsidP="00482369">
      <w:pPr>
        <w:contextualSpacing/>
        <w:rPr>
          <w:rFonts w:cs="Times New Roman"/>
          <w:color w:val="000000" w:themeColor="text1"/>
        </w:rPr>
      </w:pPr>
      <w:r w:rsidRPr="000F7EA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861697F" wp14:editId="0C1905EE">
            <wp:extent cx="6105525" cy="3886200"/>
            <wp:effectExtent l="0" t="0" r="9525" b="0"/>
            <wp:docPr id="1334412092" name="Рисунок 1334412092" descr="C:\Users\A.Baitursyn\AppData\Local\Microsoft\Windows\INetCache\Content.Word\624d1168c6004d16ae8a80de47ef7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.Baitursyn\AppData\Local\Microsoft\Windows\INetCache\Content.Word\624d1168c6004d16ae8a80de47ef7c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eastAsia="Times New Roman" w:cs="Times New Roman"/>
          <w:color w:val="000000" w:themeColor="text1"/>
        </w:rPr>
      </w:pPr>
      <w:bookmarkStart w:id="16" w:name="_Toc206497614"/>
      <w:r w:rsidRPr="000F7EA1">
        <w:rPr>
          <w:rFonts w:cs="Times New Roman"/>
          <w:color w:val="000000" w:themeColor="text1"/>
        </w:rPr>
        <w:t>Рисунок 12. Объем доходов субъектов с 2019 по 2023 год в срезе механизмов государственной поддержки, тг.</w:t>
      </w:r>
      <w:bookmarkEnd w:id="16"/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787E" w:rsidRPr="000F7EA1" w:rsidRDefault="008F787E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 Информация, содержащая анализ влияния мер поддержки </w:t>
      </w:r>
      <w:r w:rsidR="000F7E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Pr="000F7E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государство</w:t>
      </w:r>
    </w:p>
    <w:p w:rsidR="008F787E" w:rsidRPr="000F7EA1" w:rsidRDefault="008F787E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6D21" w:rsidRPr="000F7EA1" w:rsidRDefault="00DA399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Эффективность финансовых и имущественных мер государственной поддержки оценивается по объёму возвратных поступлений в бюджет. </w:t>
      </w:r>
      <w:r w:rsid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результатам проведённого анализа сформирована картина по уплаченным налогам получателями мер поддержки</w:t>
      </w:r>
      <w:r w:rsidR="00326D21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Картина по уплаченным налогам (рисунок ниже) согласуется с доходной структурой. За пятилетие субъекты перечислили около 16,48 трлн тенге налогов, из которых основная часть приходится на те же четыре механизма: субсидирование ставки вознаграждения 5,246 трлн тенге, возмещение/субсидирование расходов 3,887 трлн тенге, организация кредитования 3,644 трлн тенге и частичные гарантии 1,980 трлн тенге.</w:t>
      </w: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Отношение «налоги / 1 тенге поддержки» закономерно ниже доходного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 варьирует сильнее: у грантов и иных мер – выше среднего (эффект малой базы), у лизинга – заметно ниже, у массовых кредитно-субсидийных механизмов – на устойчивом срединном уровне. Такой профиль указывает, 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фискальные эффекты наиболее стабильны там, где применяются тиражируемые кредитно-субсидийные инструменты.</w:t>
      </w:r>
    </w:p>
    <w:p w:rsidR="00482369" w:rsidRPr="000F7EA1" w:rsidRDefault="00482369" w:rsidP="00482369">
      <w:pPr>
        <w:widowControl w:val="0"/>
        <w:pBdr>
          <w:bottom w:val="single" w:sz="4" w:space="1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705384E" wp14:editId="5E4DCEB1">
            <wp:extent cx="6115685" cy="3067050"/>
            <wp:effectExtent l="0" t="0" r="0" b="0"/>
            <wp:docPr id="1334412095" name="Рисунок 1334412095" descr="d1428f52a6fe476d811fb97011e11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1428f52a6fe476d811fb97011e116d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482369" w:rsidP="00482369">
      <w:pPr>
        <w:pStyle w:val="1"/>
        <w:ind w:firstLine="709"/>
        <w:contextualSpacing/>
        <w:jc w:val="both"/>
        <w:rPr>
          <w:rFonts w:cs="Times New Roman"/>
          <w:color w:val="000000" w:themeColor="text1"/>
        </w:rPr>
      </w:pPr>
      <w:bookmarkStart w:id="17" w:name="_Toc206497615"/>
      <w:r w:rsidRPr="000F7EA1">
        <w:rPr>
          <w:rFonts w:cs="Times New Roman"/>
          <w:color w:val="000000" w:themeColor="text1"/>
        </w:rPr>
        <w:t xml:space="preserve">Рисунок 13. Объем налогов, уплаченных субъектами </w:t>
      </w:r>
      <w:r w:rsidRPr="000F7EA1">
        <w:rPr>
          <w:rFonts w:cs="Times New Roman"/>
          <w:color w:val="000000" w:themeColor="text1"/>
        </w:rPr>
        <w:br/>
        <w:t>с 2019 по 2023 год в срезе механизмов государственной поддержки, тг.</w:t>
      </w:r>
      <w:bookmarkEnd w:id="17"/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региональном разрезе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уплаченных налогов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(рисунок ниже) наблюдается ожидаемая концентрация в крупных агломерациях. Город Алматы аккумулирует около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2,4 трлн тенге (порядка 14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,5% совокупного объема), город Астана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1,4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трлн тенге (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8,5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%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Далее следуют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Алматинская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963,9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млрд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тенге,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 Шымкент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828,1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млрд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тенге и 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Карагандинская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0422D3"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780,6 млрд</w:t>
      </w:r>
      <w:r w:rsidRPr="000F7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тенге). </w:t>
      </w:r>
    </w:p>
    <w:p w:rsidR="00482369" w:rsidRPr="000F7EA1" w:rsidRDefault="00482369" w:rsidP="00482369">
      <w:pPr>
        <w:contextualSpacing/>
        <w:jc w:val="center"/>
        <w:rPr>
          <w:rFonts w:cs="Times New Roman"/>
          <w:color w:val="000000" w:themeColor="text1"/>
        </w:rPr>
      </w:pPr>
      <w:r w:rsidRPr="000F7EA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FB59C3" wp14:editId="4CAF5480">
            <wp:extent cx="5619115" cy="3019425"/>
            <wp:effectExtent l="0" t="0" r="635" b="9525"/>
            <wp:docPr id="1334412093" name="Рисунок 1334412093" descr="C:\Users\A.Baitursyn\AppData\Local\Microsoft\Windows\INetCache\Content.Word\c1f863294b0b40cb801d239335281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.Baitursyn\AppData\Local\Microsoft\Windows\INetCache\Content.Word\c1f863294b0b40cb801d2393352818d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51" cy="30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9" w:rsidRPr="000F7EA1" w:rsidRDefault="000422D3" w:rsidP="00482369">
      <w:pPr>
        <w:pStyle w:val="1"/>
        <w:ind w:firstLine="709"/>
        <w:contextualSpacing/>
        <w:jc w:val="both"/>
        <w:rPr>
          <w:rFonts w:cs="Times New Roman"/>
          <w:color w:val="000000" w:themeColor="text1"/>
        </w:rPr>
      </w:pPr>
      <w:bookmarkStart w:id="18" w:name="_Toc206497617"/>
      <w:r w:rsidRPr="000F7EA1">
        <w:rPr>
          <w:rFonts w:cs="Times New Roman"/>
          <w:color w:val="000000" w:themeColor="text1"/>
        </w:rPr>
        <w:lastRenderedPageBreak/>
        <w:t>Рисунок 14</w:t>
      </w:r>
      <w:r w:rsidR="00482369" w:rsidRPr="000F7EA1">
        <w:rPr>
          <w:rFonts w:cs="Times New Roman"/>
          <w:color w:val="000000" w:themeColor="text1"/>
        </w:rPr>
        <w:t xml:space="preserve">. Объем уплаченных налогов субъектов мер поддержки </w:t>
      </w:r>
      <w:r w:rsidR="00482369" w:rsidRPr="000F7EA1">
        <w:rPr>
          <w:rFonts w:cs="Times New Roman"/>
          <w:color w:val="000000" w:themeColor="text1"/>
        </w:rPr>
        <w:br/>
        <w:t xml:space="preserve">с 2019 по 2023 год в </w:t>
      </w:r>
      <w:r w:rsidRPr="000F7EA1">
        <w:rPr>
          <w:rFonts w:cs="Times New Roman"/>
          <w:color w:val="000000" w:themeColor="text1"/>
        </w:rPr>
        <w:t>раз</w:t>
      </w:r>
      <w:r w:rsidR="00482369" w:rsidRPr="000F7EA1">
        <w:rPr>
          <w:rFonts w:cs="Times New Roman"/>
          <w:color w:val="000000" w:themeColor="text1"/>
        </w:rPr>
        <w:t>резе регионов, тг.</w:t>
      </w:r>
      <w:bookmarkEnd w:id="18"/>
    </w:p>
    <w:p w:rsidR="00482369" w:rsidRPr="000F7EA1" w:rsidRDefault="00482369" w:rsidP="00482369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0266B" w:rsidRPr="000F7EA1" w:rsidRDefault="00DA3999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60266B" w:rsidRPr="000F7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Информация, содержащая анализ влияния мер поддержки </w:t>
      </w:r>
      <w:r w:rsidR="000F7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60266B" w:rsidRPr="000F7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бизнес</w:t>
      </w:r>
    </w:p>
    <w:p w:rsidR="0060266B" w:rsidRPr="000F7EA1" w:rsidRDefault="0060266B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оценки эффективности предоставления финансовых </w:t>
      </w:r>
      <w:r w:rsid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и имущественных мер поддержки, предусматривающих встречные обязательства, применяются следующие ключевые показатели, рассчитанные по субъектам частного предпринимательства, получивших поддержку:</w:t>
      </w: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1) рост налоговых поступлений от данных субъектов в отчетном периоде по сравнению с выбранным базовым периодом: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N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о.п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в.п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 xml:space="preserve">) 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в.п</m:t>
                </m:r>
              </m:sub>
            </m:sSub>
          </m:den>
        </m:f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*100%, где:</w:t>
      </w:r>
    </w:p>
    <w:p w:rsidR="004808F2" w:rsidRPr="000F7EA1" w:rsidRDefault="004808F2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N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рост налоговых поступлений, в %;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N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о.п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налоговые поступления за отчетный период;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N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в.п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налоговые поступления за выбранный период.</w:t>
      </w: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повышение производительности труда у предпринимателей, воспользовавшихся мерами поддержки, в отчетном периоде по сравнению 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базовым периодом: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P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(P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о.п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 xml:space="preserve"> - 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в.п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в.п</m:t>
                </m:r>
              </m:sub>
            </m:sSub>
          </m:den>
        </m:f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*100%, где:</w:t>
      </w:r>
    </w:p>
    <w:p w:rsidR="004808F2" w:rsidRPr="000F7EA1" w:rsidRDefault="004808F2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р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рост производительности труда, в %;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о.п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производительность труда за отчетный период;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в.п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производительность труда за выбранный период.</w:t>
      </w: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3) рост доходов субъектов частного предпринимательства, получивших поддержку, за отчетный период по сравнению с выбранным периодом: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D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о.п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в.п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в.п</m:t>
                </m:r>
              </m:sub>
            </m:sSub>
          </m:den>
        </m:f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*100%, где:</w:t>
      </w:r>
    </w:p>
    <w:p w:rsidR="004808F2" w:rsidRPr="000F7EA1" w:rsidRDefault="004808F2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D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рост доходов, в %;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о.п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доход за отчетный период;</w:t>
      </w:r>
    </w:p>
    <w:p w:rsidR="004808F2" w:rsidRPr="000F7EA1" w:rsidRDefault="001A37F8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в.п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доход за выбранный период.</w:t>
      </w: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4) увеличение фонда оплаты труда у предпринимателей, получивших меры поддержки, в отчетном периоде по сравнению с базовым периодом: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F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о.п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в.п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в.п</m:t>
                </m:r>
              </m:sub>
            </m:sSub>
          </m:den>
        </m:f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*100%, где:</w:t>
      </w:r>
    </w:p>
    <w:p w:rsidR="004808F2" w:rsidRPr="000F7EA1" w:rsidRDefault="004808F2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F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рост фонда оплаты труда, в %;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о.п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фонд оплаты труда за отчетный период;</w:t>
      </w:r>
    </w:p>
    <w:p w:rsidR="004808F2" w:rsidRPr="000F7EA1" w:rsidRDefault="001A37F8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в.п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фонд оплаты труда за выбранный период</w:t>
      </w: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5) рост численности работников в субъектах частного предпринимательства, получивших финансовую поддержку, за отчетный период по сравнению с выбранным периодом: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C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о.п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в.п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в.п</m:t>
                </m:r>
              </m:sub>
            </m:sSub>
          </m:den>
        </m:f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*100%, где:</w:t>
      </w:r>
    </w:p>
    <w:p w:rsidR="004808F2" w:rsidRPr="000F7EA1" w:rsidRDefault="004808F2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C</w:t>
      </w: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рост количества работников, в %;</w:t>
      </w:r>
    </w:p>
    <w:p w:rsidR="004808F2" w:rsidRPr="000F7EA1" w:rsidRDefault="001A37F8" w:rsidP="004808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C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о.п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количество работников за отчетный период;</w:t>
      </w:r>
    </w:p>
    <w:p w:rsidR="004808F2" w:rsidRPr="000F7EA1" w:rsidRDefault="001A37F8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C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в.п</m:t>
            </m:r>
          </m:sub>
        </m:sSub>
      </m:oMath>
      <w:r w:rsidR="004808F2"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количество работников за выбранный период.</w:t>
      </w: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EA1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комплексного анализа финансовых и имущественных мер поддержки результаты представлены в разрезе механизмов.</w:t>
      </w: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EA1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Pr="000F7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0F7EA1">
        <w:rPr>
          <w:rFonts w:ascii="Times New Roman" w:hAnsi="Times New Roman" w:cs="Times New Roman"/>
          <w:b/>
          <w:sz w:val="28"/>
          <w:szCs w:val="28"/>
        </w:rPr>
        <w:t xml:space="preserve">. Динамика изменения ключевых показателей в разрезе механизмов, рассчитанные по субъектам частного предпринимательства, получивших поддержку (2023 к 2022 году) 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418"/>
        <w:gridCol w:w="1134"/>
        <w:gridCol w:w="1559"/>
        <w:gridCol w:w="1417"/>
        <w:gridCol w:w="1133"/>
      </w:tblGrid>
      <w:tr w:rsidR="004808F2" w:rsidRPr="000F7EA1" w:rsidTr="001E541F">
        <w:trPr>
          <w:trHeight w:val="20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Наименование механизма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рост налоговых поступлений, в 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рост доходов, в 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рост количества работников, в 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рост производительности труда*%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рост фонда оплаты труда, в 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Закуп гарантированного объема ТРУ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29%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22%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-47%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Организация кредитования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-1%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-0,2%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-15%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Выдача государственных и инвестиционных грантов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-19%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95%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23,9%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22%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Субсидирование ставки вознаграждения по кредитам и лизингу БВУ и БРК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31%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0,6%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-1%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Субсидирование ставки вознаграждения по выдаваемым микрокредитам микрофинансовыми организациями субъектам частного предпринимательства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42%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-9,8%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-3%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51%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Возмещение и (или) субсидирование расходов и (или) затрат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EE0000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-0,4%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-15%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Частичное гарантирование кредитов субъектов частного предпринимательства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33%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-0,9%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-5%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32%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Лизинг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37%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-0,5%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-9%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Предоставление иных мер финансовой и имущественной поддержки частного предпринимательства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24,3%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-26%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51%</w:t>
            </w:r>
          </w:p>
        </w:tc>
      </w:tr>
    </w:tbl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808F2" w:rsidRPr="000F7EA1" w:rsidRDefault="004808F2" w:rsidP="004808F2">
      <w:pPr>
        <w:widowControl w:val="0"/>
        <w:pBdr>
          <w:bottom w:val="single" w:sz="4" w:space="20" w:color="FFFFFF"/>
        </w:pBd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EA1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Pr="000F7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0F7EA1">
        <w:rPr>
          <w:rFonts w:ascii="Times New Roman" w:hAnsi="Times New Roman" w:cs="Times New Roman"/>
          <w:b/>
          <w:sz w:val="28"/>
          <w:szCs w:val="28"/>
        </w:rPr>
        <w:t xml:space="preserve">. Динамика изменения ключевых показателей в разрезе механизмов, рассчитанные по субъектам частного предпринимательства, получивших поддержку (2023 к 2019 году) 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1418"/>
        <w:gridCol w:w="992"/>
        <w:gridCol w:w="1559"/>
        <w:gridCol w:w="1418"/>
        <w:gridCol w:w="1416"/>
      </w:tblGrid>
      <w:tr w:rsidR="004808F2" w:rsidRPr="000F7EA1" w:rsidTr="001E541F">
        <w:trPr>
          <w:trHeight w:val="20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Наименование механизма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рост налоговых поступлений, в 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рост доходов, в 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рост количества работников, в 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рост производительности труда*%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рост фонда оплаты труда, в 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Закуп гарантированного объема ТРУ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107%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71%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>-1%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65%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98%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Организация кредитования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138%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87%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126%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139%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Выдача государственных и инвестиционных грантов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400%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38%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157%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231%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Субсидирование ставки вознаграждения по кредитам и лизингу БВУ и БРК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154%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95%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101%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153%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Субсидирование ставки вознаграждения по выдаваемым микрокредитам микрофинансовыми организациями субъектам частного предпринимательства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199%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230%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348%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379%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Возмещение и (или) субсидирование расходов и (или) затрат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129%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101%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144%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119%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Частичное гарантирование кредитов субъектов частного </w:t>
            </w: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предпринимательства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170%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110%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92%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203%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Лизинг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257%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213%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270%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144%</w:t>
            </w:r>
          </w:p>
        </w:tc>
      </w:tr>
      <w:tr w:rsidR="004808F2" w:rsidRPr="000F7EA1" w:rsidTr="000F7EA1">
        <w:trPr>
          <w:trHeight w:val="20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1E5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Предоставление иных мер финансовой и имущественной поддержки частного предпринимательства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344%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485%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139%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13%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4808F2" w:rsidRPr="000F7EA1" w:rsidRDefault="004808F2" w:rsidP="00313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EA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391%</w:t>
            </w:r>
          </w:p>
        </w:tc>
      </w:tr>
    </w:tbl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Анализ динамики эффективности механизмов государственной поддержки частного предпринимательства за два периода (2023 к 2022 </w:t>
      </w:r>
      <w:r w:rsidR="001E541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 2023 к 2019 году) отразил следующие результаты:</w:t>
      </w:r>
    </w:p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F7EA1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Краткосрочный эффект (2023 к 2022):</w:t>
      </w:r>
    </w:p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Наиболее яркий рост налоговых поступлений наблюдается </w:t>
      </w:r>
      <w:r w:rsidR="001E541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по механизмам </w:t>
      </w:r>
      <w:r w:rsidRPr="000F7EA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предоставления иных мер финансовой и имущественной поддержки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(+50%) и </w:t>
      </w:r>
      <w:r w:rsidRPr="000F7EA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субсидирования микрокредитов МФО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(+42%), что говорит о быстрой фискальной отдаче. Однако по ряду мер (например, </w:t>
      </w:r>
      <w:r w:rsidRPr="000F7EA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закуп гарантированного объема ТРУ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и </w:t>
      </w:r>
      <w:r w:rsidRPr="000F7EA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микрокредиты МФО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) зафиксировано значительное сокращение численности работников (до –47% и –9,8% соответственно), что может свидетельствовать о завершении проектов или структурных изменениях. Механизмы </w:t>
      </w:r>
      <w:r w:rsidRPr="000F7EA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грантов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и </w:t>
      </w:r>
      <w:r w:rsidRPr="000F7EA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иных мер поддержки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обеспечили наибольший прирост занятости (+23,9% и +24,3%) и фонда оплаты труда (+51%).</w:t>
      </w:r>
    </w:p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0F7EA1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Долгосрочный эффект (2023 к 2019):</w:t>
      </w:r>
    </w:p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Во временном горизонте в 5 лет лидерами по всем ключевым метрикам являются </w:t>
      </w:r>
      <w:r w:rsidRPr="000F7EA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иные меры финансовой поддержки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, </w:t>
      </w:r>
      <w:r w:rsidRPr="000F7EA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субсидирование микрокредитов МФО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, </w:t>
      </w:r>
      <w:r w:rsidRPr="000F7EA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гранты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и </w:t>
      </w:r>
      <w:r w:rsidRPr="000F7EA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лизинг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. Все они демонстрируют высокие темпы роста </w:t>
      </w:r>
      <w:r w:rsidR="001E541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по налогам (от +199% до +344%), доходам (от +213% до +485%), занятости </w:t>
      </w:r>
      <w:r w:rsidR="001E541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(от +19% до +139%) и фонду оплаты труда (до +391%). Особенно примечателен рост производительности труда по микрокредитам МФО (+348%) и лизингу (+270%), что свидетельствует о качественном улучшении бизнес-процессов.</w:t>
      </w:r>
    </w:p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F7EA1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Вывод</w:t>
      </w:r>
    </w:p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 краткосрочной перспективе эффективность ряда механизмов ограничена, особенно в части занятости, но в долгосрочной динамике почти все меры демонстрируют значительное социально-экономическое воздействие.</w:t>
      </w:r>
    </w:p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Особенно устойчивыми и эффективными мерами являются субсидирование микрокредитов МФО, грантовая поддержка и лизинг </w:t>
      </w:r>
      <w:r w:rsidR="001E541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–</w:t>
      </w:r>
      <w:r w:rsidRPr="000F7E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они обеспечивают рост занятости, производительности и налоговой отдачи. </w:t>
      </w:r>
    </w:p>
    <w:p w:rsidR="004808F2" w:rsidRPr="000F7EA1" w:rsidRDefault="004808F2" w:rsidP="0048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7E7829" w:rsidRPr="000F7EA1" w:rsidRDefault="007E7829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 Информация, содержащая анализ влияния мер поддержки </w:t>
      </w:r>
      <w:r w:rsidR="001E541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b/>
          <w:sz w:val="28"/>
          <w:szCs w:val="28"/>
          <w:lang w:eastAsia="ru-RU"/>
        </w:rPr>
        <w:t>на работников</w:t>
      </w:r>
    </w:p>
    <w:p w:rsidR="007E7829" w:rsidRPr="000F7EA1" w:rsidRDefault="007E7829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Для проведения анализа влияния финансовых и имущественных государственных мер поддержки на благосостояние работников были использован показатель изменения фонда оплаты труда: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Изменение фонда оплаты труда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ФОТ=ФОТ</w:t>
      </w:r>
      <w:r w:rsidRPr="000F7EA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отчетный период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– ФОТ</w:t>
      </w:r>
      <w:r w:rsidRPr="000F7EA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базовый период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где: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ФОТ</w:t>
      </w:r>
      <w:r w:rsidRPr="000F7EA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отчетный период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– фонд оплаты труда в период после получения поддержки;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ФОТ</w:t>
      </w:r>
      <w:r w:rsidRPr="000F7EA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базовый период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– фонд оплаты труда до получения поддержки.</w:t>
      </w:r>
    </w:p>
    <w:p w:rsidR="004808F2" w:rsidRPr="000F7EA1" w:rsidRDefault="004808F2" w:rsidP="004808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По степени детализации показатель анализировался в различных статистических срезах: общестрановом, региональном, по видам направлений экономической деятельности, механизмам финансовой и имущественной поддержки. Также были проанализирована динамика роста фонда оплаты труда к базовому 2019 году.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За период 2019-2023 годы в стране фонд оплаты труда вырос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 1,656 трлн тенге до 3,864 трлн тенге, то есть увеличился более чем вдвое (индекс 2,33; прирост +133% к 2019-му). Траектория роста монотонно восходящая (рисунок 75): в 2020 году добавлен еще примерно +15%,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2021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около +25%, наибольшее ускорение пришлось на 2022 год (+39%),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после чего в 2023-м динамика сохраняется положительной (+17%) при уже достигнутом высоком уровне. В пересчете на среднегодовой темп (CAGR) рост составляет 23–24%.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08F2" w:rsidRPr="000F7EA1" w:rsidRDefault="004808F2" w:rsidP="004808F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AEEDA" wp14:editId="5E39D365">
            <wp:extent cx="5628640" cy="2529205"/>
            <wp:effectExtent l="0" t="0" r="0" b="4445"/>
            <wp:docPr id="46" name="Рисунок 46" descr="8fdb9200870f40a9870c9c6d8633d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fdb9200870f40a9870c9c6d8633ddc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F2" w:rsidRPr="000F7EA1" w:rsidRDefault="004808F2" w:rsidP="004808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08F2" w:rsidRPr="000F7EA1" w:rsidRDefault="004808F2" w:rsidP="004808F2">
      <w:pPr>
        <w:pStyle w:val="1"/>
        <w:ind w:firstLine="709"/>
        <w:contextualSpacing/>
        <w:jc w:val="both"/>
        <w:rPr>
          <w:rFonts w:cs="Times New Roman"/>
        </w:rPr>
      </w:pPr>
      <w:bookmarkStart w:id="19" w:name="_Toc206497677"/>
      <w:r w:rsidRPr="000F7EA1">
        <w:rPr>
          <w:rFonts w:cs="Times New Roman"/>
        </w:rPr>
        <w:t xml:space="preserve">Рисунок </w:t>
      </w:r>
      <w:r w:rsidR="009D7F06" w:rsidRPr="000F7EA1">
        <w:rPr>
          <w:rFonts w:cs="Times New Roman"/>
        </w:rPr>
        <w:t>15</w:t>
      </w:r>
      <w:r w:rsidRPr="000F7EA1">
        <w:rPr>
          <w:rFonts w:cs="Times New Roman"/>
        </w:rPr>
        <w:t>. Объем динамики роста фонда оплаты труда за период 2019-2023гг., тг.</w:t>
      </w:r>
      <w:bookmarkEnd w:id="19"/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Согласно данным рисунка 16 и таблицы 3, в рамках региональных показателей, наблюдается общий положительный прирост ФОТ 2023г. относительно 2019 г.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В абсолютном выражении лидируют крупнейшие агломерации: г. Алматы в 2023 году формирует наибольший объем ФОТ (около 952 млрд тенге), далее следуют г. Астана и Карагандинская область. Если смотреть на относительную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динамику (индекс к 2019-му), г.Алматы увеличил ФОТ примерно в 2,66 раза (+166%), г.Астана - примерно в 2,11 раза (+111%), Карагандинская область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2,16 раза (+116%). 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Диапазон показателей в страновом разрезе от +86% в Атырауской области до порядка +173% в Западно-Казахстанской области. Иными словами, где-то рост был прежде всего экстенсивным (массовое наращивание занятости и/или горизонта выплат), где-то - интенсивным (ускорение зарплат при умеренном расширении охвата), что в целом демонстрирует общий положительный тренд по стране.</w:t>
      </w:r>
    </w:p>
    <w:p w:rsidR="004808F2" w:rsidRPr="000F7EA1" w:rsidRDefault="004808F2" w:rsidP="004808F2">
      <w:pPr>
        <w:contextualSpacing/>
        <w:rPr>
          <w:lang w:eastAsia="ru-RU"/>
        </w:rPr>
      </w:pPr>
    </w:p>
    <w:p w:rsidR="004808F2" w:rsidRPr="000F7EA1" w:rsidRDefault="004808F2" w:rsidP="004808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FBE5A" wp14:editId="38E67BC8">
            <wp:extent cx="6103620" cy="2743200"/>
            <wp:effectExtent l="0" t="0" r="0" b="0"/>
            <wp:docPr id="45" name="Рисунок 45" descr="001e1ba50e124ac19588580d44d5e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1e1ba50e124ac19588580d44d5ee6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F2" w:rsidRPr="000F7EA1" w:rsidRDefault="004808F2" w:rsidP="004808F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08F2" w:rsidRPr="000F7EA1" w:rsidRDefault="009D7F06" w:rsidP="004808F2">
      <w:pPr>
        <w:pStyle w:val="1"/>
        <w:ind w:firstLine="709"/>
        <w:contextualSpacing/>
        <w:jc w:val="both"/>
        <w:rPr>
          <w:rFonts w:cs="Times New Roman"/>
        </w:rPr>
      </w:pPr>
      <w:bookmarkStart w:id="20" w:name="_Toc206497678"/>
      <w:r w:rsidRPr="000F7EA1">
        <w:rPr>
          <w:rFonts w:cs="Times New Roman"/>
        </w:rPr>
        <w:t>Рисунок 16</w:t>
      </w:r>
      <w:r w:rsidR="004808F2" w:rsidRPr="000F7EA1">
        <w:rPr>
          <w:rFonts w:cs="Times New Roman"/>
        </w:rPr>
        <w:t>. Объем динамики роста фонда оплаты труда за период 2019-2023гг. в региональном разрезе, тг.</w:t>
      </w:r>
      <w:bookmarkEnd w:id="20"/>
    </w:p>
    <w:p w:rsidR="004808F2" w:rsidRPr="000F7EA1" w:rsidRDefault="004808F2" w:rsidP="004808F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eastAsia="ru-RU"/>
        </w:rPr>
      </w:pP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/>
          <w:sz w:val="28"/>
          <w:szCs w:val="28"/>
          <w:lang w:eastAsia="ru-RU"/>
        </w:rPr>
        <w:t>Таблица 3. Динамика роста фонда оплаты труда к 2019 году в разрезе регионов, тг.</w:t>
      </w:r>
    </w:p>
    <w:p w:rsidR="004808F2" w:rsidRDefault="004808F2" w:rsidP="004808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276F82" wp14:editId="6CEDD5D8">
            <wp:extent cx="6118225" cy="29813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3581" cy="29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Сводная таблица по регионам подтверждает вышеупомянутые закономерности. На горизонте 2019-2023 гг. ни один регион не продемонстрировал отрицательной динамики по сравнению с базовым годом. Разброс индексов свидетельствует о неравномерном выравнивании темпов экономического роста между регионами.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Крупные экономические центры генерируют наибольшие абсолютные объемы фонда оплаты труда (ФОТ), что, в свою очередь, обуславливает их высокую чувствительность к изменениям экономической политики. Напротив, ряд регионов демонстрирует лидерство по относительным темпам роста, что указывает на наличие эффекта догоняющего роста, при условии эффективной настройки инструментов государственного регулирования.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Анализ по видам экономической деятельности показывает, что основным драйвером увеличения ФОТ стали отрасли реального сектора. Сельское, лесное и рыбное хозяйство демонстрируют устойчивый восходящий тренд на протяжении всего периода. 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Существенный рост также наблюдается в обрабатывающей промышленности и строительстве. В то же время сектора торговли, транспорта и складирования демонстрируют стабильный, но менее значимый прирост.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Эти различия обусловлены капиталоемкостью и структурой занятости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соответствующих отраслях: в обрабатывающей промышленности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строительстве средний объем ВВП на душу работника и требования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к квалификации рабочей силы выше. В аграрном секторе, напротив, более широкий круг бенефициаров и значительный совокупный вклад обусловлены масштабами производства.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08F2" w:rsidRPr="000F7EA1" w:rsidRDefault="004808F2" w:rsidP="004808F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B31B6D4" wp14:editId="3D3FCA7E">
            <wp:extent cx="6103620" cy="2743200"/>
            <wp:effectExtent l="0" t="0" r="0" b="0"/>
            <wp:docPr id="44" name="Рисунок 44" descr="ce01464f5fae40caa47744b73ab17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e01464f5fae40caa47744b73ab1770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F2" w:rsidRPr="000F7EA1" w:rsidRDefault="004808F2" w:rsidP="004808F2">
      <w:pPr>
        <w:pStyle w:val="1"/>
        <w:ind w:firstLine="709"/>
        <w:contextualSpacing/>
        <w:jc w:val="both"/>
        <w:rPr>
          <w:rFonts w:cs="Times New Roman"/>
        </w:rPr>
      </w:pPr>
      <w:bookmarkStart w:id="21" w:name="_Toc206497679"/>
    </w:p>
    <w:p w:rsidR="004808F2" w:rsidRPr="000F7EA1" w:rsidRDefault="004808F2" w:rsidP="004808F2">
      <w:pPr>
        <w:pStyle w:val="1"/>
        <w:ind w:firstLine="709"/>
        <w:contextualSpacing/>
        <w:jc w:val="both"/>
        <w:rPr>
          <w:rFonts w:cs="Times New Roman"/>
        </w:rPr>
      </w:pPr>
      <w:r w:rsidRPr="000F7EA1">
        <w:rPr>
          <w:rFonts w:cs="Times New Roman"/>
        </w:rPr>
        <w:t>Рисунок 1</w:t>
      </w:r>
      <w:r w:rsidR="009D7F06" w:rsidRPr="000F7EA1">
        <w:rPr>
          <w:rFonts w:cs="Times New Roman"/>
        </w:rPr>
        <w:t>7</w:t>
      </w:r>
      <w:r w:rsidRPr="000F7EA1">
        <w:rPr>
          <w:rFonts w:cs="Times New Roman"/>
        </w:rPr>
        <w:t>. Объем динамики роста фонда оплаты труда за период 2019-2023гг. в разрезе направлений экономической деятельности субъектов, тг.</w:t>
      </w:r>
      <w:bookmarkEnd w:id="21"/>
    </w:p>
    <w:p w:rsidR="004808F2" w:rsidRPr="000F7EA1" w:rsidRDefault="004808F2" w:rsidP="004808F2">
      <w:pPr>
        <w:spacing w:after="0" w:line="240" w:lineRule="auto"/>
        <w:ind w:firstLine="709"/>
        <w:contextualSpacing/>
        <w:rPr>
          <w:lang w:eastAsia="ru-RU"/>
        </w:rPr>
      </w:pPr>
    </w:p>
    <w:p w:rsidR="004808F2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/>
          <w:sz w:val="28"/>
          <w:szCs w:val="28"/>
          <w:lang w:eastAsia="ru-RU"/>
        </w:rPr>
        <w:t>Таблица 4. Динамика роста фонда оплаты труда к 2019 году в разрезе направлений экономической деятельности субъектов, тг.</w:t>
      </w:r>
    </w:p>
    <w:p w:rsidR="001E541F" w:rsidRPr="000F7EA1" w:rsidRDefault="001E541F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08F2" w:rsidRPr="000F7EA1" w:rsidRDefault="004808F2" w:rsidP="004808F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4817C4" wp14:editId="0FC4ABCC">
            <wp:extent cx="6119495" cy="34861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F2" w:rsidRPr="000F7EA1" w:rsidRDefault="004808F2" w:rsidP="004808F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eastAsia="ru-RU"/>
        </w:rPr>
      </w:pP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В результате проведенного анализа по механизмам государственной поддержки, выделены следующие ключевые виды поддержки, оказывающие влияние на рост фонда оплаты труда (ФОТ).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контексте рассматриваемых механизмов государственной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поддержки основной движущей силой увеличения ФОТ стали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кредитно-субсидийные инструменты. Наиболее выраженную траекторию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роста за анализируемый период продемонстрировало субсидирование процентных ставок по кредитам. Значительный вклад в этот процесс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также вносят мероприятия по возмещению и/или субсидированию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>расходов, организации кредитования и частичному гарантированию кредитов.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Лизинг, хотя и демонстрирует положительную динамику,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увеличивается более умеренными темпами, в то время как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нишевые инструменты составляют лишь незначительную долю в общем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объеме ФОТ. Данная структура поддержки является ожидаемой: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>тиражируемые кредитно-субсидийные меры обладают высокой масштабируемостью и воздействуют одновременно на две ключевые составляющие ФОТ – занятость и уровень заработной платы – обеспечивая доступ к финансированию как оборотных, так и инвестиционных нужд.</w:t>
      </w:r>
    </w:p>
    <w:p w:rsidR="004808F2" w:rsidRPr="000F7EA1" w:rsidRDefault="004808F2" w:rsidP="004808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F72AD" wp14:editId="10DF07DB">
            <wp:extent cx="6103620" cy="2743200"/>
            <wp:effectExtent l="0" t="0" r="0" b="0"/>
            <wp:docPr id="43" name="Рисунок 43" descr="be69de57645342ca9db366da381d5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e69de57645342ca9db366da381d5b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F2" w:rsidRPr="000F7EA1" w:rsidRDefault="004808F2" w:rsidP="004808F2">
      <w:pPr>
        <w:pStyle w:val="1"/>
        <w:ind w:firstLine="709"/>
        <w:contextualSpacing/>
        <w:jc w:val="both"/>
        <w:rPr>
          <w:rFonts w:cs="Times New Roman"/>
        </w:rPr>
      </w:pPr>
    </w:p>
    <w:p w:rsidR="004808F2" w:rsidRPr="000F7EA1" w:rsidRDefault="004808F2" w:rsidP="004808F2">
      <w:pPr>
        <w:pStyle w:val="1"/>
        <w:ind w:firstLine="709"/>
        <w:contextualSpacing/>
        <w:jc w:val="both"/>
        <w:rPr>
          <w:rFonts w:cs="Times New Roman"/>
        </w:rPr>
      </w:pPr>
      <w:bookmarkStart w:id="22" w:name="_Toc206497680"/>
      <w:r w:rsidRPr="000F7EA1">
        <w:rPr>
          <w:rFonts w:cs="Times New Roman"/>
        </w:rPr>
        <w:t>Рисунок 1</w:t>
      </w:r>
      <w:r w:rsidR="009D7F06" w:rsidRPr="000F7EA1">
        <w:rPr>
          <w:rFonts w:cs="Times New Roman"/>
        </w:rPr>
        <w:t>8</w:t>
      </w:r>
      <w:r w:rsidRPr="000F7EA1">
        <w:rPr>
          <w:rFonts w:cs="Times New Roman"/>
        </w:rPr>
        <w:t>. Объем динамики роста фонда оплаты труда за период 2019-2023гг. в разрезе видов механизмов финансовой поддержки субъектов, тг.</w:t>
      </w:r>
      <w:bookmarkEnd w:id="22"/>
    </w:p>
    <w:p w:rsidR="004808F2" w:rsidRPr="000F7EA1" w:rsidRDefault="004808F2" w:rsidP="004808F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eastAsia="ru-RU"/>
        </w:rPr>
      </w:pP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/>
          <w:sz w:val="28"/>
          <w:szCs w:val="28"/>
          <w:lang w:eastAsia="ru-RU"/>
        </w:rPr>
        <w:t>Таблица 5. Динамика роста фонда оплаты труда к 2019 году в разрезе видов механизмов финансовой поддержки субъектов, тг.</w:t>
      </w:r>
    </w:p>
    <w:p w:rsidR="004808F2" w:rsidRPr="000F7EA1" w:rsidRDefault="004808F2" w:rsidP="004808F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3D0817" wp14:editId="5B6C48A6">
            <wp:extent cx="6103917" cy="2220685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7614" cy="22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F2" w:rsidRPr="000F7EA1" w:rsidRDefault="004808F2" w:rsidP="004808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При определении результатов анализа, важно учитывать, что прирост фонда оплаты труда (ФОТ) представляет собой совокупность эффектов, возникающих в результате двух основных факторов: увеличения численности занятых и повышения средней заработной платы.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С целью повышения эффективности управленческих выводов рекомендуется в рамках текущего мониторинга ФОТ внедрить параллельное отслеживание обоих факторов по каждому механизму и в разрезе отраслей.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В это отслеживание должно входить анализ долей постоянных и временных рабочих мест, медианных значений заработных плат и коэффициента текучести кадров.</w:t>
      </w:r>
    </w:p>
    <w:p w:rsidR="004808F2" w:rsidRPr="000F7EA1" w:rsidRDefault="004808F2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Такой подход позволит более точно разделять вклад в прирост ФОТ, обусловленный расширением численности штата, и ростом, связанный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с увеличением уровня оплаты труда. Кроме того, это обеспечит корректное сопоставление данных по различным регионам, нормируя показатели на размер рынка труда, учитывая количество малых и средних предприятий (МСП), численность занятого населения с условием постоянного или временного рабочего места.</w:t>
      </w:r>
    </w:p>
    <w:p w:rsidR="007E7829" w:rsidRPr="000F7EA1" w:rsidRDefault="007E7829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7829" w:rsidRPr="000F7EA1" w:rsidRDefault="007E7829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5. Ключевые выводы в части уровня эффективности финансовых </w:t>
      </w:r>
      <w:r w:rsidR="001E541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b/>
          <w:sz w:val="28"/>
          <w:szCs w:val="28"/>
          <w:lang w:eastAsia="ru-RU"/>
        </w:rPr>
        <w:t>и имущественных мер поддержки</w:t>
      </w:r>
    </w:p>
    <w:p w:rsidR="00C61F5F" w:rsidRPr="000F7EA1" w:rsidRDefault="00C61F5F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Ключевые выводы в части уровня эффективности мер поддержки </w:t>
      </w:r>
      <w:r w:rsidR="001E541F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bCs/>
          <w:sz w:val="28"/>
          <w:szCs w:val="28"/>
          <w:lang w:eastAsia="ru-RU"/>
        </w:rPr>
        <w:t>и расходования бюджетных средств: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- Наиболее эффективными по всем показателям являются меры микрокредитования через МФО, частичное гарантирование кредитов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>и лизинг – они демонстрируют устойчивый рост налогов, доходов, оплаты труда и занятости в среднесрочной перспективе.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- Программы, ориентированные на закуп ТРУ и организацию кредитования, показали ограниченное влияние на занятость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и производительность, несмотря на прирост по другим показателям.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Некоторые меры (например, отдельные виды субсидирования) демонстрируют высокую бюджетную нагрузку при умеренном экономическом эффекте, что требует более точечной настройки и оценки возвратности вложений.</w:t>
      </w:r>
    </w:p>
    <w:p w:rsidR="00C61F5F" w:rsidRPr="000F7EA1" w:rsidRDefault="00C61F5F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7829" w:rsidRPr="000F7EA1" w:rsidRDefault="007E7829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/>
          <w:sz w:val="28"/>
          <w:szCs w:val="28"/>
          <w:lang w:eastAsia="ru-RU"/>
        </w:rPr>
        <w:t>6. Рекомендации по дальнейшему совершенствованию системы государственной поддержки</w:t>
      </w:r>
    </w:p>
    <w:p w:rsidR="007E7829" w:rsidRPr="000F7EA1" w:rsidRDefault="007E7829" w:rsidP="004808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bCs/>
          <w:sz w:val="28"/>
          <w:szCs w:val="28"/>
          <w:lang w:eastAsia="ru-RU"/>
        </w:rPr>
        <w:t>Рекомендации по дальнейшему совершенствованию системы поддержки: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Рекомендуется: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- Сконцентрировать ресурсы на наиболее эффективных инструментах (микрокредитование, гарантирование, лизинг);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- Повысить адресность мер с учетом региональных, отраслевых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и размерных различий в бизнесе;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- Интегрировать финансовую поддержку с нефинансовыми услугами (обучение, менторство, сопровождение проектов);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- Внедрить системную модель мониторинга, которая учитывает не только прямые финансовые эффекты, но и социально-экономические показатели, включая занятость и устойчивость бизнеса;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- Проводить регулярную оценку результативности мер на основе данных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о налоговой отдаче, росте доходов и создании рабочих мест для более эффективного перераспределения бюджетных средств.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Вместе с тем проведенный комплексный анализ показал, что финансовые и имущественные меры государственной поддержки субъектов частного предпринимательства в 2019-2023 годах оказали заметное положительное воздействие на ключевые социально-экономические показатели.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В долгосрочной перспективе большинство инструментов демонстрируют устойчивый рост налоговых поступлений, доходов, фонда оплаты труда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и производительности труда, тогда как краткосрочные эффекты в ряде случаев проявляются более сдержанно. При этом наиболее стабильная динамика наблюдается по налоговой отдаче и доходам, тогда как показатели занятости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>и производительности труда подвержены колебаниям в коротком периоде.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Анализ показал, что наибольшую эффективность демонстрируют такие механизмы, как микрокредитование через МФО, частичное гарантирование кредитов, лизинг и грантовая поддержка. В совокупности они обеспечивают устойчивый рост по всем ключевым показателям в средне- и долгосрочный период. В то же время ряд инструментов, </w:t>
      </w:r>
      <w:r w:rsidR="001E541F" w:rsidRPr="000F7EA1">
        <w:rPr>
          <w:rFonts w:ascii="Times New Roman" w:hAnsi="Times New Roman" w:cs="Times New Roman"/>
          <w:sz w:val="28"/>
          <w:szCs w:val="28"/>
          <w:lang w:eastAsia="ru-RU"/>
        </w:rPr>
        <w:t>например,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 закуп гарантированного объема товаров, работ и услуг или отдельные виды субсидирования, оказались менее результативными в части стимулирования занятости. Это во многом связано с завершением проектов, автоматизацией производственных процессов или оптимизацией численности персонала.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возникает необходимость дифференцированного подхода к выбору и развитию мер поддержки. Высокая нагрузка на бюджет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 ограниченном экономическом эффекте отдельных программ указывает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>на потребность в оптимизации и перераспределении ресурсов в пользу более результативных инструментов.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>В качестве приоритетных направлений можно выделить расширение применения наиболее эффективных механизмов (микрокредитование, лизинг, частичное гарантирование кредитов), усиление адресности с учетом отраслевых и региональных особенностей бизнеса, а также повышение устойчивости занятости через установление обязательств по сохранению рабочих мест. Важным шагом является интеграция финансовых мер с программами обучения, переквалификации и сопровождения предпринимательских проектов.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Углубленный анализ также указывает на необходимость постоянного совершенствования системы поддержки и ее адаптации к изменяющимся условиям внешней и внутренней среды. Глобальные вызовы, включая рост конкуренции, цифровизацию экономики, изменения структуры занятости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внешнеэкономическую нестабильность, требуют повышения гибкости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устойчивости государственных механизмов. В этих условиях поддержка должна не только компенсировать временные трудности бизнеса,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>но и создавать условия для его долгосрочного развития.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Особое внимание следует уделить стимулированию производительности труда и инновационной активности. В краткосрочном периоде возможны снижения производительности при общем росте доходов и налоговых поступлений. Это свидетельствует о том, что часть ресурсов используется предприятиями для покрытия текущих расходов, а не для инвестиций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модернизацию или цифровизацию. Для повышения эффективности предлагается предусмотреть дополнительные условия предоставления поддержки, связанные с внедрением инноваций, развитием технологий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и экспортного потенциала.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Еще одним направлением должно стать усиление региональной адресности. Поскольку результативность мер значительно различается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зависимости от отрасли и региона, целесообразно формировать региональные программы поддержки с учетом специфики местной экономики. Для сельских территорий это, прежде всего, лизинг сельхозтехники и микрофинансирование, тогда как для крупных городов – поддержка стартапов, сервисных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и IT-компаний. Такой подход позволит не только укрепить экономический эффект, но и усилить социальную значимость поддержки.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Большой потенциал заложен в интеграции финансовых мер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 нефинансовыми инструментами. Международная практика показывает,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что наиболее успешные предприниматели получают не только финансирование, но и доступ к обучению, консультациям по управлению проектами, маркетингу и цифровым технологиям. Внедрение подобных комплексных программ сопровождения повысит эффективность использования бюджетных средств и устойчивость бизнес-проектов.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Ключевым элементом развития должна стать цифровизация инфраструктуры поддержки. Создание единого цифрового портала, объединенного с базами данных налоговых органов, фондов развития и банков, позволит существенно снизить административную нагрузку и обеспечить прозрачность процедур. Такой портал должен предоставлять возможность онлайн-заявок, мониторинга выполнения условий поддержки и анализа эффективности мер в реальном времени.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Не менее важным является внедрение инвестиционного подхода к оценке господдержки. Каждая мера должна рассматриваться как вложение, имеющее ожидаемый социально-экономический эффект. В этом случае эффективность будет оцениваться по окупаемости, мультипликативному воздействию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>на экономику и влиянию на занятость. Такой подход позволит более рационально использовать ресурсы и повысить доверие общества к системе господдержки.</w:t>
      </w:r>
    </w:p>
    <w:p w:rsidR="00C61F5F" w:rsidRPr="000F7EA1" w:rsidRDefault="00C61F5F" w:rsidP="00C61F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В целом результаты анализа показывают: концентрация ресурсов </w:t>
      </w:r>
      <w:r w:rsidR="001E54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t xml:space="preserve">на наиболее эффективных инструментах, усиление адресности и интеграция финансовых и нефинансовых мер, развитие цифровой инфраструктуры </w:t>
      </w:r>
      <w:r w:rsidRPr="000F7EA1">
        <w:rPr>
          <w:rFonts w:ascii="Times New Roman" w:hAnsi="Times New Roman" w:cs="Times New Roman"/>
          <w:sz w:val="28"/>
          <w:szCs w:val="28"/>
          <w:lang w:eastAsia="ru-RU"/>
        </w:rPr>
        <w:br/>
        <w:t>и переход к инвестиционному подходу способны вывести систему государственной поддержки на новый уровень. Это создаст условия для долгосрочного роста предпринимательской активности, устойчивого развития бизнеса и повышения благосостояния населения.</w:t>
      </w:r>
    </w:p>
    <w:sectPr w:rsidR="00C61F5F" w:rsidRPr="000F7EA1" w:rsidSect="00A03789">
      <w:headerReference w:type="default" r:id="rId28"/>
      <w:pgSz w:w="11906" w:h="16838"/>
      <w:pgMar w:top="1418" w:right="851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7F8" w:rsidRDefault="001A37F8" w:rsidP="00A03789">
      <w:pPr>
        <w:spacing w:after="0" w:line="240" w:lineRule="auto"/>
      </w:pPr>
      <w:r>
        <w:separator/>
      </w:r>
    </w:p>
  </w:endnote>
  <w:endnote w:type="continuationSeparator" w:id="0">
    <w:p w:rsidR="001A37F8" w:rsidRDefault="001A37F8" w:rsidP="00A03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7F8" w:rsidRDefault="001A37F8" w:rsidP="00A03789">
      <w:pPr>
        <w:spacing w:after="0" w:line="240" w:lineRule="auto"/>
      </w:pPr>
      <w:r>
        <w:separator/>
      </w:r>
    </w:p>
  </w:footnote>
  <w:footnote w:type="continuationSeparator" w:id="0">
    <w:p w:rsidR="001A37F8" w:rsidRDefault="001A37F8" w:rsidP="00A03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86332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A03789" w:rsidRPr="00A03789" w:rsidRDefault="00A03789" w:rsidP="00A03789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0378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0378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0378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F3456">
          <w:rPr>
            <w:rFonts w:ascii="Times New Roman" w:hAnsi="Times New Roman" w:cs="Times New Roman"/>
            <w:noProof/>
            <w:sz w:val="28"/>
            <w:szCs w:val="28"/>
          </w:rPr>
          <w:t>8</w:t>
        </w:r>
        <w:r w:rsidRPr="00A0378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B0CE7"/>
    <w:multiLevelType w:val="hybridMultilevel"/>
    <w:tmpl w:val="4BBCF0C0"/>
    <w:lvl w:ilvl="0" w:tplc="C4326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51A"/>
    <w:rsid w:val="000422D3"/>
    <w:rsid w:val="000F7EA1"/>
    <w:rsid w:val="001A37F8"/>
    <w:rsid w:val="001E541F"/>
    <w:rsid w:val="00226EA2"/>
    <w:rsid w:val="002F5084"/>
    <w:rsid w:val="00326D21"/>
    <w:rsid w:val="00347AA4"/>
    <w:rsid w:val="004808F2"/>
    <w:rsid w:val="00482369"/>
    <w:rsid w:val="0060266B"/>
    <w:rsid w:val="007E7829"/>
    <w:rsid w:val="008F3456"/>
    <w:rsid w:val="008F787E"/>
    <w:rsid w:val="009D7F06"/>
    <w:rsid w:val="00A03789"/>
    <w:rsid w:val="00BA638B"/>
    <w:rsid w:val="00C61F5F"/>
    <w:rsid w:val="00DA3999"/>
    <w:rsid w:val="00FB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243E30-4B68-4748-BA31-C1CD9904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482369"/>
    <w:pPr>
      <w:keepNext/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46"/>
      <w:jc w:val="center"/>
      <w:outlineLvl w:val="0"/>
    </w:pPr>
    <w:rPr>
      <w:rFonts w:ascii="Times New Roman" w:eastAsia="Arial Unicode MS" w:hAnsi="Times New Roman" w:cs="Arial Unicode MS"/>
      <w:b/>
      <w:bCs/>
      <w:color w:val="000000"/>
      <w:sz w:val="28"/>
      <w:szCs w:val="28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369"/>
    <w:rPr>
      <w:rFonts w:ascii="Times New Roman" w:eastAsia="Arial Unicode MS" w:hAnsi="Times New Roman" w:cs="Arial Unicode MS"/>
      <w:b/>
      <w:bCs/>
      <w:color w:val="000000"/>
      <w:sz w:val="28"/>
      <w:szCs w:val="28"/>
      <w:u w:color="000000"/>
      <w:bdr w:val="ni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3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266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03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3789"/>
  </w:style>
  <w:style w:type="paragraph" w:styleId="a8">
    <w:name w:val="footer"/>
    <w:basedOn w:val="a"/>
    <w:link w:val="a9"/>
    <w:uiPriority w:val="99"/>
    <w:unhideWhenUsed/>
    <w:rsid w:val="00A03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03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4489</Words>
  <Characters>25590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Батырбек Нұрбай [ERI]</dc:creator>
  <cp:keywords/>
  <dc:description/>
  <cp:lastModifiedBy>Адильхан Каримбаев</cp:lastModifiedBy>
  <cp:revision>14</cp:revision>
  <dcterms:created xsi:type="dcterms:W3CDTF">2025-12-25T03:18:00Z</dcterms:created>
  <dcterms:modified xsi:type="dcterms:W3CDTF">2025-12-29T05:39:00Z</dcterms:modified>
</cp:coreProperties>
</file>