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 w15">
  <w:body>
    <!-- Modified by docx4j 6.1.2 (Apache licensed) using ORACLE_JRE JAXB in Sun Microsystems Inc. Java 1.6.0_37 on Linux -->
    <w:tbl>
      <w:tblPr>
        <w:tblStyle w:val="NormalTable"/>
        <w:tblW w:type="dxa" w:w="8000"/>
        <w:tblLook w:noVBand="1" w:noHBand="1" w:lastColumn="0" w:firstColumn="0" w:lastRow="0" w:firstRow="0"/>
      </w:tblPr>
      <w:tblGrid/>
      <w:tr>
        <w:trPr/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Министерство промышленности и строительства РК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город Астана пр. Кабанбай батыра 32/1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от 23 сентября 2025 года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385</w:t>
            </w:r>
          </w:p>
          <w:p>
            <w:pPr>
              <w:spacing w:after="0"/>
            </w:pPr>
          </w:p>
        </w:tc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Министерство энергетики Республики Казахстан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город Астана, район Есиль, проспект Кабанбай батыр, 19, блок "А"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от 11 сентября 2025 года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346-н/қ</w:t>
            </w:r>
          </w:p>
          <w:p>
            <w:pPr>
              <w:spacing w:after="0"/>
            </w:pPr>
          </w:p>
        </w:tc>
      </w:tr>
    </w:tbl>
    <w:p>
      <w:pPr>
        <w:spacing w:after="0"/>
      </w:pPr>
    </w:p>
    <w:p>
      <w:pPr>
        <w:spacing w:after="0"/>
      </w:pPr>
    </w:p>
    <w:p>
      <w:pPr>
        <w:overflowPunct/>
        <w:autoSpaceDE/>
        <w:autoSpaceDN/>
        <w:adjustRightInd/>
        <w:rPr>
          <w:color w:val="3399FF"/>
          <w:lang w:val="kk-KZ"/>
        </w:rPr>
      </w:pPr>
      <w:bookmarkStart w:name="_GoBack" w:id="0"/>
      <w:bookmarkEnd w:id="0"/>
    </w:p>
    <w:p>
      <w:pPr>
        <w:pStyle w:val="Normal(Web)"/>
        <w:shd w:fill="FFFFFF" w:color="auto" w:val="clear"/>
        <w:spacing w:afterAutospacing="false" w:after="0" w:beforeAutospacing="false" w:before="0"/>
        <w:textAlignment w:val="baseline"/>
        <w:rPr>
          <w:rFonts w:eastAsiaTheme="minorHAnsi" w:eastAsia="宋体"/>
          <w:b/>
          <w:sz w:val="28"/>
          <w:szCs w:val="28"/>
          <w:lang w:eastAsia="en-US"/>
        </w:rPr>
      </w:pPr>
      <w:r w:rsidRPr="00862C0B">
        <w:rPr>
          <w:rFonts w:eastAsiaTheme="minorHAnsi" w:eastAsia="宋体"/>
          <w:b/>
          <w:sz w:val="28"/>
          <w:szCs w:val="28"/>
          <w:lang w:eastAsia="en-US"/>
        </w:rPr>
        <w:t xml:space="preserve"> </w:t>
      </w:r>
    </w:p>
    <w:p>
      <w:pPr>
        <w:pStyle w:val="Normal(Web)"/>
        <w:shd w:fill="FFFFFF" w:color="auto" w:val="clear"/>
        <w:spacing w:afterAutospacing="false" w:after="0" w:beforeAutospacing="false" w:before="0"/>
        <w:jc w:val="center"/>
        <w:textAlignment w:val="baseline"/>
        <w:rPr>
          <w:rFonts w:eastAsiaTheme="minorHAnsi" w:eastAsia="宋体"/>
          <w:b/>
          <w:sz w:val="28"/>
          <w:szCs w:val="28"/>
          <w:lang w:eastAsia="en-US"/>
        </w:rPr>
      </w:pPr>
      <w:r>
        <w:rPr>
          <w:rFonts w:eastAsiaTheme="minorHAnsi" w:eastAsia="宋体"/>
          <w:b/>
          <w:sz w:val="28"/>
          <w:szCs w:val="28"/>
          <w:lang w:eastAsia="en-US"/>
        </w:rPr>
        <w:t xml:space="preserve">СОВМЕСТНЫЙ ПРИКАЗ</w:t>
      </w:r>
    </w:p>
    <w:p>
      <w:pPr>
        <w:pStyle w:val="Normal(Web)"/>
        <w:shd w:fill="FFFFFF" w:color="auto" w:val="clear"/>
        <w:spacing w:afterAutospacing="false" w:after="0" w:beforeAutospacing="false" w:before="0"/>
        <w:jc w:val="center"/>
        <w:textAlignment w:val="baseline"/>
        <w:rPr>
          <w:rFonts w:eastAsiaTheme="minorHAnsi" w:eastAsia="宋体"/>
          <w:b/>
          <w:sz w:val="28"/>
          <w:szCs w:val="28"/>
          <w:lang w:eastAsia="en-US"/>
        </w:rPr>
      </w:pPr>
    </w:p>
    <w:p>
      <w:pPr>
        <w:pStyle w:val="Normal(Web)"/>
        <w:shd w:fill="FFFFFF" w:color="auto" w:val="clear"/>
        <w:spacing w:afterAutospacing="false" w:after="0" w:beforeAutospacing="false" w:before="0"/>
        <w:jc w:val="center"/>
        <w:textAlignment w:val="baseline"/>
        <w:rPr>
          <w:rFonts w:eastAsiaTheme="minorHAnsi" w:eastAsia="宋体"/>
          <w:b/>
          <w:sz w:val="28"/>
          <w:szCs w:val="28"/>
          <w:lang w:eastAsia="en-US"/>
        </w:rPr>
      </w:pPr>
    </w:p>
    <w:p>
      <w:pPr>
        <w:pStyle w:val="Normal(Web)"/>
        <w:shd w:fill="FFFFFF" w:color="auto" w:val="clear"/>
        <w:spacing w:afterAutospacing="false" w:after="0" w:beforeAutospacing="false" w:before="0"/>
        <w:jc w:val="center"/>
        <w:textAlignment w:val="baseline"/>
        <w:rPr>
          <w:rFonts w:eastAsiaTheme="minorHAnsi" w:eastAsia="宋体"/>
          <w:b/>
          <w:sz w:val="28"/>
          <w:szCs w:val="28"/>
          <w:lang w:eastAsia="en-US"/>
        </w:rPr>
      </w:pPr>
      <w:r w:rsidRPr="0059076D">
        <w:rPr>
          <w:rFonts w:eastAsiaTheme="minorHAnsi" w:eastAsia="宋体"/>
          <w:b/>
          <w:sz w:val="28"/>
          <w:szCs w:val="28"/>
          <w:lang w:eastAsia="en-US"/>
        </w:rPr>
        <w:t xml:space="preserve">О внесении изменения и дополнений в совместный приказ</w:t>
      </w:r>
    </w:p>
    <w:p>
      <w:pPr>
        <w:pStyle w:val="Normal(Web)"/>
        <w:shd w:fill="FFFFFF" w:color="auto" w:val="clear"/>
        <w:spacing w:afterAutospacing="false" w:after="0" w:beforeAutospacing="false" w:before="0"/>
        <w:jc w:val="center"/>
        <w:textAlignment w:val="baseline"/>
        <w:rPr>
          <w:rFonts w:eastAsiaTheme="minorHAnsi" w:eastAsia="宋体"/>
          <w:b/>
          <w:sz w:val="28"/>
          <w:szCs w:val="28"/>
          <w:lang w:eastAsia="en-US"/>
        </w:rPr>
      </w:pPr>
      <w:r w:rsidRPr="0059076D">
        <w:rPr>
          <w:rFonts w:eastAsiaTheme="minorHAnsi" w:eastAsia="宋体"/>
          <w:b/>
          <w:sz w:val="28"/>
          <w:szCs w:val="28"/>
          <w:lang w:eastAsia="en-US"/>
        </w:rPr>
        <w:t xml:space="preserve">Министра энергетики Республики Казахстан от 26 марта 2025 года </w:t>
      </w:r>
    </w:p>
    <w:p>
      <w:pPr>
        <w:pStyle w:val="Normal(Web)"/>
        <w:shd w:fill="FFFFFF" w:color="auto" w:val="clear"/>
        <w:spacing w:afterAutospacing="false" w:after="0" w:beforeAutospacing="false" w:before="0"/>
        <w:jc w:val="center"/>
        <w:textAlignment w:val="baseline"/>
        <w:rPr>
          <w:rFonts w:eastAsiaTheme="minorHAnsi" w:eastAsia="宋体"/>
          <w:b/>
          <w:sz w:val="28"/>
          <w:szCs w:val="28"/>
          <w:lang w:eastAsia="en-US"/>
        </w:rPr>
      </w:pPr>
      <w:r w:rsidRPr="0059076D">
        <w:rPr>
          <w:rFonts w:eastAsiaTheme="minorHAnsi" w:eastAsia="宋体"/>
          <w:b/>
          <w:sz w:val="28"/>
          <w:szCs w:val="28"/>
          <w:lang w:eastAsia="en-US"/>
        </w:rPr>
        <w:t xml:space="preserve">№ 135-н/қ и Министра промышленности и строительства Республики Казахстан от 3 апреля 2025 года № 112 «Об утверждении Правил учета тепловой энергии и теплоносителя» </w:t>
      </w:r>
    </w:p>
    <w:p>
      <w:pPr>
        <w:pStyle w:val="Normal(Web)"/>
        <w:shd w:fill="FFFFFF" w:color="auto" w:val="clear"/>
        <w:spacing w:afterAutospacing="false" w:after="0" w:beforeAutospacing="false" w:before="0"/>
        <w:jc w:val="center"/>
        <w:textAlignment w:val="baseline"/>
        <w:rPr>
          <w:rFonts w:eastAsiaTheme="minorHAnsi" w:eastAsia="宋体"/>
          <w:b/>
          <w:sz w:val="28"/>
          <w:szCs w:val="28"/>
          <w:lang w:eastAsia="en-US"/>
        </w:rPr>
      </w:pPr>
    </w:p>
    <w:p>
      <w:pPr>
        <w:pStyle w:val="Normal(Web)"/>
        <w:shd w:fill="FFFFFF" w:color="auto" w:val="clear"/>
        <w:spacing w:afterAutospacing="false" w:after="0" w:beforeAutospacing="false" w:before="0"/>
        <w:jc w:val="center"/>
        <w:textAlignment w:val="baseline"/>
        <w:rPr>
          <w:rFonts w:eastAsiaTheme="minorHAnsi" w:eastAsia="宋体"/>
          <w:b/>
          <w:sz w:val="28"/>
          <w:szCs w:val="28"/>
          <w:lang w:eastAsia="en-US"/>
        </w:rPr>
      </w:pP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textAlignment w:val="baseline"/>
        <w:rPr>
          <w:rFonts w:eastAsiaTheme="minorHAnsi" w:eastAsia="宋体"/>
          <w:b/>
          <w:sz w:val="28"/>
          <w:szCs w:val="28"/>
          <w:lang w:eastAsia="en-US"/>
        </w:rPr>
      </w:pPr>
      <w:r w:rsidRPr="00862C0B">
        <w:rPr>
          <w:rFonts w:eastAsiaTheme="minorHAnsi" w:eastAsia="宋体"/>
          <w:b/>
          <w:sz w:val="28"/>
          <w:szCs w:val="28"/>
          <w:lang w:eastAsia="en-US"/>
        </w:rPr>
        <w:t xml:space="preserve">ПРИКАЗЫВАЕМ:</w:t>
      </w:r>
    </w:p>
    <w:p>
      <w:pPr>
        <w:pStyle w:val="Normal(Web)"/>
        <w:shd w:fill="FFFFFF" w:color="auto" w:val="clear"/>
        <w:tabs>
          <w:tab w:pos="1134" w:val="left"/>
        </w:tabs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862C0B">
        <w:rPr>
          <w:rFonts w:eastAsiaTheme="minorHAnsi" w:eastAsia="宋体"/>
          <w:sz w:val="28"/>
          <w:szCs w:val="28"/>
          <w:lang w:eastAsia="en-US"/>
        </w:rPr>
        <w:t xml:space="preserve">1.</w:t>
      </w:r>
      <w:r w:rsidRPr="00862C0B">
        <w:rPr>
          <w:rFonts w:eastAsiaTheme="minorHAnsi" w:eastAsia="宋体"/>
          <w:sz w:val="28"/>
          <w:szCs w:val="28"/>
          <w:lang w:eastAsia="en-US"/>
        </w:rPr>
        <w:tab/>
      </w:r>
      <w:r w:rsidRPr="00862C0B">
        <w:rPr>
          <w:rFonts w:eastAsiaTheme="minorHAnsi" w:eastAsia="宋体"/>
          <w:sz w:val="28"/>
          <w:szCs w:val="28"/>
          <w:lang w:eastAsia="en-US"/>
        </w:rPr>
        <w:t xml:space="preserve">Внести в совместный приказ Министра энергетики Республики Казахстан от 26 марта 2025 года № 135-н/қ и Министра промышленности и строительства Республики Казахстан от 3 апреля 2025 года № 112 «Об утверждении Правил учета тепловой энергии и теплоносителя» (зарегистрирован в Реестре государственной регистрации норматив</w:t>
      </w:r>
      <w:r w:rsidR="00527CFE">
        <w:rPr>
          <w:rFonts w:eastAsiaTheme="minorHAnsi" w:eastAsia="宋体"/>
          <w:sz w:val="28"/>
          <w:szCs w:val="28"/>
          <w:lang w:eastAsia="en-US"/>
        </w:rPr>
        <w:t xml:space="preserve">ных правовых актов под № 35944) следующие </w:t>
      </w:r>
      <w:r w:rsidR="00527CFE">
        <w:rPr>
          <w:rFonts w:eastAsiaTheme="minorHAnsi" w:eastAsia="宋体"/>
          <w:sz w:val="28"/>
          <w:szCs w:val="28"/>
          <w:lang w:eastAsia="en-US"/>
        </w:rPr>
        <w:t xml:space="preserve">изменени</w:t>
      </w:r>
      <w:r w:rsidR="00527CFE">
        <w:rPr>
          <w:rFonts w:eastAsiaTheme="minorHAnsi" w:eastAsia="宋体"/>
          <w:sz w:val="28"/>
          <w:szCs w:val="28"/>
          <w:lang w:eastAsia="en-US" w:val="kk-KZ"/>
        </w:rPr>
        <w:t xml:space="preserve">е</w:t>
      </w:r>
      <w:r w:rsidRPr="00862C0B">
        <w:rPr>
          <w:rFonts w:eastAsiaTheme="minorHAnsi" w:eastAsia="宋体"/>
          <w:sz w:val="28"/>
          <w:szCs w:val="28"/>
          <w:lang w:eastAsia="en-US"/>
        </w:rPr>
        <w:t xml:space="preserve"> и дополнения: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527CFE">
        <w:rPr>
          <w:rFonts w:eastAsiaTheme="minorHAnsi" w:eastAsia="宋体"/>
          <w:sz w:val="28"/>
          <w:szCs w:val="28"/>
          <w:lang w:eastAsia="en-US"/>
        </w:rPr>
        <w:t xml:space="preserve">в Правилах учета тепловой энергии и теплоносителя, утвержденных указанным приказом: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 w:val="kk-KZ"/>
        </w:rPr>
      </w:pPr>
      <w:r w:rsidRPr="00527CFE">
        <w:rPr>
          <w:rFonts w:eastAsiaTheme="minorHAnsi" w:eastAsia="宋体"/>
          <w:sz w:val="28"/>
          <w:szCs w:val="28"/>
          <w:lang w:eastAsia="en-US" w:val="kk-KZ"/>
        </w:rPr>
        <w:t xml:space="preserve">в </w:t>
      </w:r>
      <w:r w:rsidRPr="00527CFE">
        <w:rPr>
          <w:rFonts w:eastAsiaTheme="minorHAnsi" w:eastAsia="宋体"/>
          <w:sz w:val="28"/>
          <w:szCs w:val="28"/>
          <w:lang w:eastAsia="en-US"/>
        </w:rPr>
        <w:t xml:space="preserve">пункт</w:t>
      </w:r>
      <w:r w:rsidRPr="00527CFE">
        <w:rPr>
          <w:rFonts w:eastAsiaTheme="minorHAnsi" w:eastAsia="宋体"/>
          <w:sz w:val="28"/>
          <w:szCs w:val="28"/>
          <w:lang w:eastAsia="en-US" w:val="kk-KZ"/>
        </w:rPr>
        <w:t xml:space="preserve">е</w:t>
      </w:r>
      <w:r w:rsidRPr="00527CFE">
        <w:rPr>
          <w:rFonts w:eastAsiaTheme="minorHAnsi" w:eastAsia="宋体"/>
          <w:sz w:val="28"/>
          <w:szCs w:val="28"/>
          <w:lang w:eastAsia="en-US"/>
        </w:rPr>
        <w:t xml:space="preserve"> 2</w:t>
      </w:r>
      <w:r w:rsidRPr="00527CFE">
        <w:rPr>
          <w:rFonts w:eastAsiaTheme="minorHAnsi" w:eastAsia="宋体"/>
          <w:sz w:val="28"/>
          <w:szCs w:val="28"/>
          <w:lang w:eastAsia="en-US" w:val="kk-KZ"/>
        </w:rPr>
        <w:t xml:space="preserve">: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527CFE">
        <w:rPr>
          <w:rFonts w:eastAsiaTheme="minorHAnsi" w:eastAsia="宋体"/>
          <w:sz w:val="28"/>
          <w:szCs w:val="28"/>
          <w:lang w:eastAsia="en-US"/>
        </w:rPr>
        <w:t xml:space="preserve">дополнить </w:t>
      </w:r>
      <w:r w:rsidR="00671C2C" w:rsidRPr="00527CFE">
        <w:rPr>
          <w:rFonts w:eastAsiaTheme="minorHAnsi" w:eastAsia="宋体"/>
          <w:sz w:val="28"/>
          <w:szCs w:val="28"/>
          <w:lang w:eastAsia="en-US"/>
        </w:rPr>
        <w:t xml:space="preserve">подпунктом 13-1) следующего содержания:  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527CFE">
        <w:rPr>
          <w:rFonts w:eastAsiaTheme="minorHAnsi" w:eastAsia="宋体"/>
          <w:sz w:val="28"/>
          <w:szCs w:val="28"/>
          <w:lang w:eastAsia="en-US"/>
        </w:rPr>
        <w:t xml:space="preserve">«13-1) уполномоченный орган в области теплоэнергетики (далее – уполномоченный орган) – центральный исполнительный орган, осуществляющий руководство и межотраслевую координацию в области теплоэнергетики;»;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дополнить </w:t>
      </w:r>
      <w:r w:rsidR="007B0709" w:rsidRPr="00DB3281">
        <w:rPr>
          <w:rFonts w:eastAsiaTheme="minorHAnsi" w:eastAsia="宋体"/>
          <w:sz w:val="28"/>
          <w:szCs w:val="28"/>
          <w:lang w:eastAsia="en-US"/>
        </w:rPr>
        <w:t xml:space="preserve">подпунктом 23-1</w:t>
      </w:r>
      <w:r w:rsidR="003227D0" w:rsidRPr="00DB3281">
        <w:rPr>
          <w:rFonts w:eastAsiaTheme="minorHAnsi" w:eastAsia="宋体"/>
          <w:sz w:val="28"/>
          <w:szCs w:val="28"/>
          <w:lang w:eastAsia="en-US"/>
        </w:rPr>
        <w:t xml:space="preserve">) следующего содержания:  </w:t>
      </w:r>
    </w:p>
    <w:p>
      <w:pPr>
        <w:pStyle w:val="Normal(Web)"/>
        <w:shd w:fill="FFFFFF" w:color="auto" w:val="clear"/>
        <w:tabs>
          <w:tab w:pos="1276" w:val="left"/>
        </w:tabs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«23-1) единая государственная система управления топливно-энергетическим комплексом (далее – информационная система уполномоченного органа) – информационная система уполномоченного органа, предназначенная для сбора, обработки, мониторинга и анализа данных топливно-энергетического комплекса в сфере теплоэнергетики посредством информационного взаимодействия субъектов теплоснабжения с уполномоченным органом и иными государственными </w:t>
      </w:r>
      <w:r w:rsidR="00671C2C" w:rsidRPr="00DB3281">
        <w:rPr>
          <w:rFonts w:eastAsiaTheme="minorHAnsi" w:eastAsia="宋体"/>
          <w:sz w:val="28"/>
          <w:szCs w:val="28"/>
          <w:lang w:eastAsia="en-US"/>
        </w:rPr>
        <w:t xml:space="preserve">органами;</w:t>
      </w:r>
      <w:r w:rsidR="003227D0" w:rsidRPr="00DB3281">
        <w:rPr>
          <w:rFonts w:eastAsiaTheme="minorHAnsi" w:eastAsia="宋体"/>
          <w:sz w:val="28"/>
          <w:szCs w:val="28"/>
          <w:lang w:eastAsia="en-US"/>
        </w:rPr>
        <w:t xml:space="preserve">»;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пункт 6 изложить в новой редакции: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«6. Приборы учета тепловой энергии проектируются и мон</w:t>
      </w:r>
      <w:r w:rsidR="00671C2C" w:rsidRPr="00DB3281">
        <w:rPr>
          <w:rFonts w:eastAsiaTheme="minorHAnsi" w:eastAsia="宋体"/>
          <w:sz w:val="28"/>
          <w:szCs w:val="28"/>
          <w:lang w:eastAsia="en-US"/>
        </w:rPr>
        <w:t xml:space="preserve">тируются с устройствами передачей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 показаний в автоматическом режиме на сервер субъекта теплоснабжения с дальнейшей передачей данных в информационную систему уполномоченного органа.»;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дополнить главой 5 следующего содержания: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527CFE">
        <w:rPr>
          <w:rFonts w:eastAsiaTheme="minorHAnsi" w:eastAsia="宋体"/>
          <w:sz w:val="28"/>
          <w:szCs w:val="28"/>
          <w:lang w:eastAsia="en-US"/>
        </w:rPr>
        <w:t xml:space="preserve">«Глава 5. Порядок оснащения приборами учета</w:t>
      </w:r>
      <w:r w:rsidR="009C1569" w:rsidRPr="00527CFE">
        <w:rPr>
          <w:rFonts w:eastAsiaTheme="minorHAnsi" w:eastAsia="宋体"/>
          <w:sz w:val="28"/>
          <w:szCs w:val="28"/>
          <w:lang w:eastAsia="en-US"/>
        </w:rPr>
        <w:t xml:space="preserve"> и обеспечения их функционирования</w:t>
      </w:r>
      <w:r w:rsidR="00527CFE" w:rsidRPr="00527CFE">
        <w:rPr>
          <w:rFonts w:eastAsiaTheme="minorHAnsi" w:eastAsia="宋体"/>
          <w:sz w:val="28"/>
          <w:szCs w:val="28"/>
          <w:lang w:eastAsia="en-US"/>
        </w:rPr>
        <w:t xml:space="preserve">»;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>
        <w:rPr>
          <w:rFonts w:eastAsiaTheme="minorHAnsi" w:eastAsia="宋体"/>
          <w:sz w:val="28"/>
          <w:szCs w:val="28"/>
          <w:lang w:eastAsia="en-US"/>
        </w:rPr>
        <w:t xml:space="preserve">дополнить подпунктами 51, 52, 53, 54 и 55 следующего содержания: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51. Приборы учета устанавливаются в соответствии с технологической схемой объектов теплоэнергетики участвующих в процессе производства, транспортировки и реализации тепловой энергии.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52. Поверка приборов учета проводится в соответствии со статьей 19 Закона Республики Казахстан «Об обеспечении единства измерений», после утверждения типа или метрологической аттестации, регистрации в реестре государственной системы обеспечения единства измерений перед выпуском в обращение, после ремонта, в период эксплуатации с последующей периодичностью.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53. К применению допускаются приборы учета, зарегистрированные в реестре государственной системы обеспечения единства измерений и соответствующие законодательству Республики Казахстан в области обеспечения единства измерений.</w:t>
      </w:r>
    </w:p>
    <w:p>
      <w:pPr>
        <w:pStyle w:val="Normal(Web)"/>
        <w:shd w:fill="FFFFFF" w:color="auto" w:val="clear"/>
        <w:tabs>
          <w:tab w:pos="1134" w:val="left"/>
        </w:tabs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54. Субъекты топливно-энергетического комплекса в сфере теплоэнергетики предоставляют доступ и интегрируют свои аппаратно-программные комплексы автоматизированной системы коммерческого учета тепловой энергии с информационной системой уполномоченного органа.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55. Требования к объектам информатизации </w:t>
      </w:r>
      <w:r w:rsidR="00CA0BBD" w:rsidRPr="00DB3281">
        <w:rPr>
          <w:rFonts w:eastAsiaTheme="minorHAnsi" w:eastAsia="宋体"/>
          <w:sz w:val="28"/>
          <w:szCs w:val="28"/>
          <w:lang w:eastAsia="en-US"/>
        </w:rPr>
        <w:t xml:space="preserve">субъектов,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 участвующих в процес</w:t>
      </w:r>
      <w:r w:rsidR="004C57DB">
        <w:rPr>
          <w:rFonts w:eastAsiaTheme="minorHAnsi" w:eastAsia="宋体"/>
          <w:sz w:val="28"/>
          <w:szCs w:val="28"/>
          <w:lang w:eastAsia="en-US"/>
        </w:rPr>
        <w:t xml:space="preserve">се производства, транспортировки и реализации</w:t>
      </w:r>
      <w:r w:rsidR="00F43204">
        <w:rPr>
          <w:rFonts w:eastAsiaTheme="minorHAnsi" w:eastAsia="宋体"/>
          <w:sz w:val="28"/>
          <w:szCs w:val="28"/>
          <w:lang w:eastAsia="en-US"/>
        </w:rPr>
        <w:t xml:space="preserve"> тепловой энергии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 определяются Правилами формирован</w:t>
      </w:r>
      <w:r w:rsidR="00F43204">
        <w:rPr>
          <w:rFonts w:eastAsiaTheme="minorHAnsi" w:eastAsia="宋体"/>
          <w:sz w:val="28"/>
          <w:szCs w:val="28"/>
          <w:lang w:eastAsia="en-US"/>
        </w:rPr>
        <w:t xml:space="preserve">ия, ведения и функционирования Е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диной государственной информационной системы управления топл</w:t>
      </w:r>
      <w:r w:rsidR="006F37B8">
        <w:rPr>
          <w:rFonts w:eastAsiaTheme="minorHAnsi" w:eastAsia="宋体"/>
          <w:sz w:val="28"/>
          <w:szCs w:val="28"/>
          <w:lang w:eastAsia="en-US"/>
        </w:rPr>
        <w:t xml:space="preserve">ивно-энергетическом </w:t>
      </w:r>
      <w:r w:rsidR="006F37B8" w:rsidRPr="00527CFE">
        <w:rPr>
          <w:rFonts w:eastAsiaTheme="minorHAnsi" w:eastAsia="宋体"/>
          <w:sz w:val="28"/>
          <w:szCs w:val="28"/>
          <w:lang w:eastAsia="en-US"/>
        </w:rPr>
        <w:t xml:space="preserve">комплексом, </w:t>
      </w:r>
      <w:r w:rsidR="00657DEE" w:rsidRPr="00527CFE">
        <w:rPr>
          <w:rFonts w:eastAsiaTheme="minorHAnsi" w:eastAsia="宋体"/>
          <w:sz w:val="28"/>
          <w:szCs w:val="28"/>
          <w:lang w:eastAsia="en-US"/>
        </w:rPr>
        <w:t xml:space="preserve">утверждаемыми в соответствии с пунктом </w:t>
      </w:r>
      <w:r w:rsidR="007C428F" w:rsidRPr="00527CFE">
        <w:rPr>
          <w:rFonts w:eastAsiaTheme="minorHAnsi" w:eastAsia="宋体"/>
          <w:sz w:val="28"/>
          <w:szCs w:val="28"/>
          <w:lang w:eastAsia="en-US"/>
        </w:rPr>
        <w:t xml:space="preserve">2</w:t>
      </w:r>
      <w:r w:rsidR="00657DEE" w:rsidRPr="00527CFE">
        <w:rPr>
          <w:rFonts w:eastAsiaTheme="minorHAnsi" w:eastAsia="宋体"/>
          <w:sz w:val="28"/>
          <w:szCs w:val="28"/>
          <w:lang w:eastAsia="en-US"/>
        </w:rPr>
        <w:t xml:space="preserve"> статьи 21-1 Закона.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2. Департаменту 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цифровизации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 Министерства энергетики Республики Казахстан в установленном законодательством Республики Казахстан порядке обеспечить: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1) государственную регистрацию настоящего</w:t>
      </w:r>
      <w:r w:rsidR="00527CFE">
        <w:rPr>
          <w:rFonts w:eastAsiaTheme="minorHAnsi" w:eastAsia="宋体"/>
          <w:sz w:val="28"/>
          <w:szCs w:val="28"/>
          <w:lang w:eastAsia="en-US"/>
        </w:rPr>
        <w:t xml:space="preserve"> совместного 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приказа в Министерстве юстиции Республики Казахстан;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2) размещение настоящего</w:t>
      </w:r>
      <w:r w:rsidR="00527CFE">
        <w:rPr>
          <w:rFonts w:eastAsiaTheme="minorHAnsi" w:eastAsia="宋体"/>
          <w:sz w:val="28"/>
          <w:szCs w:val="28"/>
          <w:lang w:eastAsia="en-US"/>
        </w:rPr>
        <w:t xml:space="preserve"> совместного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 приказа на 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интернет-ресурсе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 Министерства энергетики Республики Казахстан;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3) в течение десяти рабочих дней после государственной регистрации настоящего </w:t>
      </w:r>
      <w:r w:rsidR="00527CFE">
        <w:rPr>
          <w:rFonts w:eastAsiaTheme="minorHAnsi" w:eastAsia="宋体"/>
          <w:sz w:val="28"/>
          <w:szCs w:val="28"/>
          <w:lang w:eastAsia="en-US"/>
        </w:rPr>
        <w:t xml:space="preserve">совместного</w:t>
      </w:r>
      <w:r w:rsidR="00527CFE" w:rsidRPr="00DB3281">
        <w:rPr>
          <w:rFonts w:eastAsiaTheme="minorHAnsi" w:eastAsia="宋体"/>
          <w:sz w:val="28"/>
          <w:szCs w:val="28"/>
          <w:lang w:eastAsia="en-US"/>
        </w:rPr>
        <w:t xml:space="preserve"> 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rFonts w:eastAsiaTheme="minorHAnsi" w:eastAsia="宋体"/>
          <w:sz w:val="28"/>
          <w:szCs w:val="28"/>
          <w:lang w:eastAsia="en-US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3. Контроль за исполнением настоящего </w:t>
      </w:r>
      <w:r w:rsidR="00527CFE">
        <w:rPr>
          <w:rFonts w:eastAsiaTheme="minorHAnsi" w:eastAsia="宋体"/>
          <w:sz w:val="28"/>
          <w:szCs w:val="28"/>
          <w:lang w:eastAsia="en-US"/>
        </w:rPr>
        <w:t xml:space="preserve">совместного</w:t>
      </w:r>
      <w:r w:rsidR="00527CFE" w:rsidRPr="00DB3281">
        <w:rPr>
          <w:rFonts w:eastAsiaTheme="minorHAnsi" w:eastAsia="宋体"/>
          <w:sz w:val="28"/>
          <w:szCs w:val="28"/>
          <w:lang w:eastAsia="en-US"/>
        </w:rPr>
        <w:t xml:space="preserve"> 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приказа возложить на курирующего вице-министра энергетики Республики Казахстан.</w:t>
      </w:r>
    </w:p>
    <w:p>
      <w:pPr>
        <w:pStyle w:val="Normal(Web)"/>
        <w:shd w:fill="FFFFFF" w:color="auto" w:val="clear"/>
        <w:spacing w:afterAutospacing="false" w:after="0" w:beforeAutospacing="false" w:before="0"/>
        <w:ind w:firstLine="709"/>
        <w:jc w:val="both"/>
        <w:textAlignment w:val="baseline"/>
        <w:rPr>
          <w:b/>
          <w:sz w:val="28"/>
          <w:szCs w:val="28"/>
        </w:rPr>
      </w:pPr>
      <w:r w:rsidRPr="00DB3281">
        <w:rPr>
          <w:rFonts w:eastAsiaTheme="minorHAnsi" w:eastAsia="宋体"/>
          <w:sz w:val="28"/>
          <w:szCs w:val="28"/>
          <w:lang w:eastAsia="en-US"/>
        </w:rPr>
        <w:t xml:space="preserve">4. Настоящий </w:t>
      </w:r>
      <w:r w:rsidR="00527CFE">
        <w:rPr>
          <w:rFonts w:eastAsiaTheme="minorHAnsi" w:eastAsia="宋体"/>
          <w:sz w:val="28"/>
          <w:szCs w:val="28"/>
          <w:lang w:eastAsia="en-US"/>
        </w:rPr>
        <w:t xml:space="preserve">совместный </w:t>
      </w:r>
      <w:r w:rsidRPr="00DB3281">
        <w:rPr>
          <w:rFonts w:eastAsiaTheme="minorHAnsi" w:eastAsia="宋体"/>
          <w:sz w:val="28"/>
          <w:szCs w:val="28"/>
          <w:lang w:eastAsia="en-US"/>
        </w:rPr>
        <w:t xml:space="preserve">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Style w:val="TableGrid"/>
        <w:tblW w:type="auto" w:w="0"/>
        <w:tblInd w:type="dxa" w:w="25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5276"/>
        <w:gridCol w:w="4111"/>
      </w:tblGrid>
      <w:tr w:rsidTr="00D15065">
        <w:trPr/>
        <w:tc>
          <w:tcPr>
            <w:tcW w:type="dxa" w:w="5276"/>
          </w:tcPr>
          <w:p>
            <w:pPr>
              <w:pStyle w:val="j12"/>
              <w:tabs>
                <w:tab w:pos="1134" w:val="left"/>
              </w:tabs>
              <w:spacing w:afterAutospacing="false" w:after="0" w:beforeAutospacing="false" w:before="0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>
            <w:pPr>
              <w:pStyle w:val="j12"/>
              <w:tabs>
                <w:tab w:pos="1134" w:val="left"/>
              </w:tabs>
              <w:spacing w:afterAutospacing="false" w:after="0" w:beforeAutospacing="false" w:before="0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>
            <w:pPr>
              <w:pStyle w:val="j12"/>
              <w:tabs>
                <w:tab w:pos="1134" w:val="left"/>
              </w:tabs>
              <w:spacing w:afterAutospacing="false" w:after="0" w:beforeAutospacing="false" w:before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Должность </w:t>
            </w:r>
          </w:p>
          <w:p>
            <w:pPr>
              <w:pStyle w:val="j12"/>
              <w:tabs>
                <w:tab w:pos="1134" w:val="left"/>
              </w:tabs>
              <w:spacing w:afterAutospacing="false" w:after="0" w:beforeAutospacing="false" w:before="0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>
            <w:pPr>
              <w:pStyle w:val="j12"/>
              <w:tabs>
                <w:tab w:pos="1134" w:val="left"/>
              </w:tabs>
              <w:spacing w:afterAutospacing="false" w:after="0" w:beforeAutospacing="false" w:before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ФИО</w:t>
            </w:r>
          </w:p>
        </w:tc>
        <w:tc>
          <w:tcPr>
            <w:tcW w:type="dxa" w:w="4111"/>
          </w:tcPr>
          <w:p>
            <w:pPr>
              <w:pStyle w:val="j12"/>
              <w:tabs>
                <w:tab w:pos="1134" w:val="left"/>
              </w:tabs>
              <w:spacing w:afterAutospacing="false" w:after="0" w:beforeAutospacing="false" w:before="0"/>
              <w:jc w:val="both"/>
              <w:textAlignment w:val="baseline"/>
              <w:rPr>
                <w:b/>
                <w:sz w:val="28"/>
                <w:szCs w:val="28"/>
                <w:lang w:val="kk-KZ"/>
              </w:rPr>
            </w:pPr>
          </w:p>
          <w:p>
            <w:pPr>
              <w:pStyle w:val="j12"/>
              <w:tabs>
                <w:tab w:pos="1134" w:val="left"/>
              </w:tabs>
              <w:spacing w:afterAutospacing="false" w:after="0" w:beforeAutospacing="false" w:before="0"/>
              <w:jc w:val="both"/>
              <w:textAlignment w:val="baseline"/>
              <w:rPr>
                <w:b/>
                <w:sz w:val="28"/>
                <w:szCs w:val="28"/>
                <w:lang w:val="kk-KZ"/>
              </w:rPr>
            </w:pPr>
          </w:p>
          <w:p>
            <w:pPr>
              <w:pStyle w:val="j12"/>
              <w:tabs>
                <w:tab w:pos="1134" w:val="left"/>
              </w:tabs>
              <w:spacing w:afterAutospacing="false" w:after="0" w:beforeAutospacing="false" w:before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Должность </w:t>
            </w:r>
          </w:p>
          <w:p>
            <w:pPr>
              <w:pStyle w:val="j12"/>
              <w:tabs>
                <w:tab w:pos="1134" w:val="left"/>
              </w:tabs>
              <w:spacing w:afterAutospacing="false" w:after="0" w:beforeAutospacing="false" w:before="0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>
            <w:pPr>
              <w:pStyle w:val="j12"/>
              <w:tabs>
                <w:tab w:pos="1134" w:val="left"/>
              </w:tabs>
              <w:spacing w:afterAutospacing="false" w:after="0" w:beforeAutospacing="false" w:before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ФИО</w:t>
            </w:r>
          </w:p>
        </w:tc>
      </w:tr>
    </w:tbl>
    <w:p>
      <w:pPr>
        <w:pStyle w:val="Normal(Web)"/>
        <w:shd w:fill="FFFFFF" w:color="auto" w:val="clear"/>
        <w:spacing w:afterAutospacing="false" w:after="0" w:beforeAutospacing="false" w:before="0"/>
        <w:textAlignment w:val="baseline"/>
        <w:rPr/>
      </w:pPr>
    </w:p>
    <w:p>
      <w:pPr>
        <w:spacing w:after="0"/>
      </w:pPr>
    </w:p>
    <w:p>
      <w:pPr>
        <w:spacing w:after="0"/>
      </w:pPr>
    </w:p>
    <w:tbl>
      <w:tblPr>
        <w:tblStyle w:val="NormalTable"/>
        <w:tblW w:type="dxa" w:w="8000"/>
        <w:tblLook w:noVBand="1" w:noHBand="1" w:lastColumn="0" w:firstColumn="0" w:lastRow="0" w:firstRow="0"/>
      </w:tblPr>
      <w:tblGrid/>
      <w:tr>
        <w:trPr/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Министр промышленности и строительства Республики Казахстан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__________Е. Нагаспаев</w:t>
            </w:r>
          </w:p>
          <w:p>
            <w:pPr>
              <w:spacing w:after="0"/>
            </w:pPr>
          </w:p>
        </w:tc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Исполняющий обязанности министра энергетики Республики Казахстан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__________Қ. Арымбек</w:t>
            </w:r>
          </w:p>
          <w:p>
            <w:pPr>
              <w:spacing w:after="0"/>
            </w:pPr>
          </w:p>
        </w:tc>
      </w:tr>
    </w:tbl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23.09.2025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36916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энергетики Республики Казахстан - Заместитель директора Алмат Мирамович Туртбаев, 09.09.2025 15:28:04,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промышленности и строительства РК - директор Данира Кайратовна Сураужанова, 10.09.2025 17:02:41,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11.09.2025 15:27:21,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промышленности и строительства РК - Министр промышленности и строительства Республики Казахстан Е. Нагаспаев, 19.09.2025 13:13:52,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энергетики Республики Казахстан - Исполняющий обязанности министра энергетики Республики Казахстан Қ. Арымбек, 11.09.2025 17:13:33, положительный результат проверки ЭЦП</w:t>
      </w:r>
    </w:p>
    <w:sectPr w:rsidSect="008C0AB1"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footerReference w:type="first" r:id="rId17"/>
      <w:footerReference w:type="default" r:id="rId18"/>
      <w:pgSz w:orient="portrait" w:h="16838" w:w="11906"/>
      <w:pgMar w:gutter="0" w:footer="709" w:header="851" w:left="1418" w:bottom="284" w:right="849" w:top="0"/>
      <w:cols w:num="1" w:space="708">
        <w:col w:space="708" w:w="9639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36916 болып енгізілді</w:t>
    </w:r>
  </w:p>
  <w:p>
    <w:pPr>
      <w:spacing w:after="0" w:before="0"/>
      <w:jc w:val="center"/>
    </w:pPr>
    <w:r>
      <w:t>ИС «ИПГО». Копия электронного документа. Дата  26.09.2025.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26.09.2025.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Auto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Auto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Auto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rPr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rPr/>
    </w:pP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rPr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1962" type="#_x0000_t136" style="height:79.19pt;margin-left:0;margin-top:0;mso-position-horizontal:center;mso-position-horizontal-relative:margin;mso-position-vertical:center;mso-position-vertical-relative:margin;position:absolute;rotation:315;width:535.44pt;z-index:-2147483648" o:allowincell="f" fillcolor="#808080" stroked="f">
          <v:fill opacity="0.5"/>
          <v:textpath style="font-family:&quot;Times New Roman&quot;;font-size:70pt" string="БАБ 743511401"/>
          <w10:wrap anchorx="margin" anchory="margin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fldChar w:fldCharType="separate"/>
    </w:r>
    <w:r>
      <w:fldChar w:fldCharType="end"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6" o:spid="PowerPlusWaterMarkObject1964" type="#_x0000_t136" style="height:79.19pt;margin-left:0;margin-top:0;mso-position-horizontal:center;mso-position-horizontal-relative:margin;mso-position-vertical:center;mso-position-vertical-relative:margin;position:absolute;rotation:315;width:535.44pt;z-index:-2147483648" o:allowincell="f" fillcolor="#808080" stroked="f">
          <v:fill opacity="0.5"/>
          <v:textpath style="font-family:&quot;Times New Roman&quot;;font-size:70pt" string="БАБ 743511401"/>
          <w10:wrap anchorx="margin" anchory="margin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0AB1">
      <w:rPr>
        <w:rStyle w:val="PageNumber"/>
        <w:noProof/>
      </w:rPr>
      <w:t xml:space="preserve">2</w:t>
    </w:r>
    <w:r>
      <w:rPr>
        <w:rStyle w:val="PageNumber"/>
      </w:rPr>
      <w:fldChar w:fldCharType="end"/>
    </w:r>
  </w:p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jc w:val="center"/>
      <w:rPr/>
    </w:pPr>
    <w:r>
      <w:pict>
        <v:shape id="PowerPlusWaterMarkObject1027" o:spid="PowerPlusWaterMarkObject1966" type="#_x0000_t136" style="height:79.19pt;margin-left:0;margin-top:0;mso-position-horizontal:center;mso-position-horizontal-relative:margin;mso-position-vertical:center;mso-position-vertical-relative:margin;position:absolute;rotation:315;width:535.44pt;z-index:-2147483648" o:allowincell="f" fillcolor="#808080" stroked="f">
          <v:fill opacity="0.5"/>
          <v:textpath style="font-family:&quot;Times New Roman&quot;;font-size:70pt" string="БАБ 743511401"/>
          <w10:wrap anchorx="margin" anchory="margin"/>
        </v:shape>
      </w:pict>
    </w:r>
    <w:r>
      <w:rPr>
        <w:noProof/>
        <w:lang w:eastAsia="ru-RU"/>
      </w:rPr>
      <w:drawing>
        <wp:inline distT="0" distB="0" distL="0" distR="0">
          <wp:extent cx="1229360" cy="1104900"/>
          <wp:effectExtent l="0" t="0" r="8890" b="0"/>
          <wp:docPr id="129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"/>
      <w:lvlJc w:val="left"/>
      <w:pPr>
        <w:ind w:left="432" w:hanging="432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suff w:val="tab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suff w:val="tab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suff w:val="tab"/>
      <w:lvlText w:val="%1.%2.%3.%4"/>
      <w:lvlJc w:val="left"/>
      <w:pPr>
        <w:ind w:left="864" w:hanging="864"/>
      </w:pPr>
      <w:rPr/>
    </w:lvl>
    <w:lvl w:ilvl="4">
      <w:start w:val="1"/>
      <w:numFmt w:val="decimal"/>
      <w:suff w:val="tab"/>
      <w:lvlText w:val="%1.%2.%3.%4.%5"/>
      <w:lvlJc w:val="left"/>
      <w:pPr>
        <w:ind w:left="1008" w:hanging="1008"/>
      </w:pPr>
      <w:rPr/>
    </w:lvl>
    <w:lvl w:ilvl="5">
      <w:start w:val="1"/>
      <w:numFmt w:val="decimal"/>
      <w:suff w:val="tab"/>
      <w:lvlText w:val="%1.%2.%3.%4.%5.%6"/>
      <w:lvlJc w:val="left"/>
      <w:pPr>
        <w:ind w:left="1152" w:hanging="1152"/>
      </w:pPr>
      <w:rPr/>
    </w:lvl>
    <w:lvl w:ilvl="6">
      <w:start w:val="1"/>
      <w:numFmt w:val="decimal"/>
      <w:suff w:val="tab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suff w:val="tab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left="1584" w:hanging="1584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128" w:hanging="420"/>
      </w:pPr>
      <w:rPr/>
    </w:lvl>
    <w:lvl w:ilvl="1">
      <w:start w:val="1"/>
      <w:numFmt w:val="lowerLetter"/>
      <w:suff w:val="tab"/>
      <w:lvlText w:val="%2."/>
      <w:lvlJc w:val="left"/>
      <w:pPr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8" w:hanging="180"/>
      </w:pPr>
      <w:rPr/>
    </w:lvl>
    <w:lvl w:ilvl="3">
      <w:start w:val="1"/>
      <w:numFmt w:val="decimal"/>
      <w:suff w:val="tab"/>
      <w:lvlText w:val="%4."/>
      <w:lvlJc w:val="left"/>
      <w:pPr>
        <w:ind w:left="3228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8" w:hanging="180"/>
      </w:pPr>
      <w:rPr/>
    </w:lvl>
    <w:lvl w:ilvl="6">
      <w:start w:val="1"/>
      <w:numFmt w:val="decimal"/>
      <w:suff w:val="tab"/>
      <w:lvlText w:val="%7."/>
      <w:lvlJc w:val="left"/>
      <w:pPr>
        <w:ind w:left="5388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8" w:hanging="180"/>
      </w:pPr>
      <w:rPr/>
    </w:lvl>
  </w:abstractNum>
  <w:abstractNum w:abstractNumId="4">
    <w:multiLevelType w:val="hybridMultilevel"/>
    <w:lvl w:ilvl="0">
      <w:start w:val="1"/>
      <w:numFmt w:val="bullet"/>
      <w:pStyle w:val="Маркированныйсписокстандарт"/>
      <w:suff w:val="tab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2367"/>
        </w:tabs>
        <w:ind w:left="2367" w:hanging="360"/>
      </w:pPr>
      <w:rPr/>
    </w:lvl>
    <w:lvl w:ilvl="2">
      <w:start w:val="1"/>
      <w:numFmt w:val="bullet"/>
      <w:suff w:val="tab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/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abstractNum w:abstractNumId="10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"/>
    <w:lvlOverride w:ilvl="0">
      <w:startOverride w:val="0"/>
    </w:lvlOverride>
    <w:lvlOverride w:ilvl="1">
      <w:startOverride w:val="1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proofState w:grammar="clean" w:spelling="clean"/>
  <w:stylePaneFormatFilter w:val="3F01"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5" w:uri="http://schemas.microsoft.com/office/word" w:name="compatibilityMode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1">
    <w:name w:val="Heading 1"/>
    <w:basedOn w:val="Normal"/>
    <w:next w:val="Normal"/>
    <w:link w:val="Заголовок1Знак"/>
    <w:qFormat/>
    <w:rsid w:val="000D41D9"/>
    <w:pPr>
      <w:keepNext/>
      <w:keepLines/>
      <w:spacing w:before="24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B608D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uiPriority w:val="39"/>
    <w:rsid w:val="00A47D62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aliases w:val="Bullet 1,Bullet Number,Bullets before,Colorful List - Accent 11,Colorful List - Accent 11CxSpLast,H1-1,Heading1,List Paragraph3,List Paragraph_0,N_List Paragraph,Use Case List Paragraph,corp de texte,Заголовок3,Список 1,без абзаца"/>
    <w:basedOn w:val="Normal"/>
    <w:link w:val="АбзацспискаЗнак"/>
    <w:uiPriority w:val="99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qFormat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Заголовок1Знак">
    <w:name w:val="Заголовок 1 Знак"/>
    <w:basedOn w:val="DefaultParagraphFont"/>
    <w:link w:val="Heading1"/>
    <w:rsid w:val="000D41D9"/>
    <w:rPr>
      <w:rFonts w:ascii="Cambria" w:eastAsia="宋体" w:hAnsi="Cambria" w:asciiTheme="majorHAnsi" w:eastAsiaTheme="majorEastAsia" w:hAnsiTheme="majorHAnsi" w:cs="Times New Roman" w:cstheme="majorBidi"/>
      <w:color w:val="3B608D" w:themeColor="accent1" w:themeShade="BF"/>
      <w:sz w:val="32"/>
      <w:szCs w:val="32"/>
    </w:rPr>
  </w:style>
  <w:style w:type="character" w:customStyle="1" w:styleId="АбзацспискаЗнак">
    <w:name w:val="Абзац списка Знак"/>
    <w:aliases w:val="Bullet 1 Знак,Bullet Number Знак,Bullets before Знак,Colorful List - Accent 11 Знак,Colorful List - Accent 11CxSpLast Знак,H1-1 Знак,Heading1 Знак,List Paragraph3 Знак,List Paragraph_0 Знак,N_List Paragraph Знак,corp de texte Знак"/>
    <w:link w:val="ListParagraph"/>
    <w:uiPriority w:val="99"/>
    <w:locked/>
    <w:rsid w:val="000D41D9"/>
    <w:rPr>
      <w:rFonts w:ascii="Calibri" w:eastAsia="Calibri" w:hAnsi="Calibri"/>
      <w:sz w:val="22"/>
      <w:szCs w:val="22"/>
      <w:lang w:eastAsia="en-US"/>
    </w:rPr>
  </w:style>
  <w:style w:type="character" w:customStyle="1" w:styleId="МаркированныйсписокстандартЗнакЗнак1">
    <w:name w:val="Маркированный список стандарт Знак Знак1"/>
    <w:link w:val="Маркированныйсписокстандарт"/>
    <w:locked/>
    <w:rsid w:val="000D41D9"/>
    <w:rPr>
      <w:sz w:val="28"/>
      <w:szCs w:val="24"/>
      <w:lang w:bidi="he-IL"/>
    </w:rPr>
  </w:style>
  <w:style w:type="paragraph" w:customStyle="1" w:styleId="Маркированныйсписокстандарт">
    <w:name w:val="Маркированный список стандарт"/>
    <w:basedOn w:val="Normal"/>
    <w:link w:val="МаркированныйсписокстандартЗнакЗнак1"/>
    <w:rsid w:val="000D41D9"/>
    <w:pPr>
      <w:numPr>
        <w:numId w:val="12"/>
      </w:numPr>
      <w:overflowPunct/>
      <w:autoSpaceDE/>
      <w:autoSpaceDN/>
      <w:adjustRightInd/>
      <w:jc w:val="both"/>
    </w:pPr>
    <w:rPr>
      <w:sz w:val="28"/>
      <w:szCs w:val="24"/>
      <w:lang w:bidi="he-IL"/>
    </w:rPr>
  </w:style>
  <w:style w:type="paragraph" w:styleId="BalloonText">
    <w:name w:val="Balloon Text"/>
    <w:basedOn w:val="Normal"/>
    <w:link w:val="ТекствыноскиЗнак"/>
    <w:semiHidden/>
    <w:unhideWhenUsed/>
    <w:rsid w:val="00783FBF"/>
    <w:rPr>
      <w:rFonts w:ascii="Tahoma" w:hAnsi="Tahoma" w:cs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semiHidden/>
    <w:rsid w:val="00783FBF"/>
    <w:rPr>
      <w:rFonts w:ascii="Tahoma" w:hAnsi="Tahoma" w:cs="Tahoma"/>
      <w:sz w:val="16"/>
      <w:szCs w:val="16"/>
    </w:rPr>
  </w:style>
  <w:style w:type="paragraph" w:customStyle="1" w:styleId="j12">
    <w:name w:val="j12"/>
    <w:basedOn w:val="Normal"/>
    <w:uiPriority w:val="99"/>
    <w:semiHidden/>
    <w:qFormat/>
    <w:rsid w:val="007D2266"/>
    <w:pPr>
      <w:overflowPunct/>
      <w:autoSpaceDE/>
      <w:autoSpaceDN/>
      <w:adjustRightInd/>
      <w:spacing w:before="100" w:beforeAutospacing="1" w:after="100" w:afterAutospacing="1"/>
    </w:pPr>
    <w:rPr>
      <w:rFonts w:eastAsia="宋体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37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footer" Target="footer3.xml"/>
    <Relationship Id="rId11" Type="http://schemas.openxmlformats.org/officeDocument/2006/relationships/theme" Target="theme/theme1.xml"/>
    <Relationship Id="rId12" Type="http://schemas.openxmlformats.org/officeDocument/2006/relationships/styles" Target="styles.xml"/>
    <Relationship Id="rId13" Type="http://schemas.openxmlformats.org/officeDocument/2006/relationships/webSettings" Target="webSettings.xml"/>
    <Relationship Id="rId14" Type="http://schemas.openxmlformats.org/officeDocument/2006/relationships/numbering" Target="numbering.xml"/>
    <Relationship Id="rId15" Type="http://schemas.openxmlformats.org/officeDocument/2006/relationships/fontTable" Target="fontTable.xml"/>
    <Relationship Id="rId16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customXml" Target="../customXml/item3.xml"/>
    <Relationship Id="rId4" Type="http://schemas.openxmlformats.org/officeDocument/2006/relationships/customXml" Target="../customXml/item4.xml"/>
    <Relationship Id="rId5" Type="http://schemas.openxmlformats.org/officeDocument/2006/relationships/header" Target="header1.xml"/>
    <Relationship Id="rId6" Type="http://schemas.openxmlformats.org/officeDocument/2006/relationships/header" Target="header2.xml"/>
    <Relationship Id="rId7" Type="http://schemas.openxmlformats.org/officeDocument/2006/relationships/header" Target="header3.xml"/>
    <Relationship Id="rId8" Type="http://schemas.openxmlformats.org/officeDocument/2006/relationships/footer" Target="footer1.xml"/>
    <Relationship Id="rId9" Type="http://schemas.openxmlformats.org/officeDocument/2006/relationships/footer" Target="footer2.xml"/>
    <Relationship Id="rId17" Type="http://schemas.openxmlformats.org/officeDocument/2006/relationships/footer" Target="cover-footer.xml"/>
    <Relationship Id="rId18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3.xml"/>
</Relationships>

</file>

<file path=customXml/_rels/item4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4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2019-11-20T03:55:00Z</dcterms:created>
  <dc:creator>user</dc:creator>
  <lastModifiedBy>Айгерим Бакытова</lastModifiedBy>
  <lastPrinted>2025-09-05T14:58:00Z</lastPrinted>
  <dcterms:modified xsi:type="dcterms:W3CDTF">2025-09-09T04:33:00Z</dcterms:modified>
  <revision>63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649</Words>
  <Characters>3700</Characters>
  <Application>Microsoft Office Word</Application>
  <DocSecurity>0</DocSecurity>
  <Lines>30</Lines>
  <Paragraphs>8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4341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2019-11-20T03:55:00Z</dcterms:created>
  <dc:creator>user</dc:creator>
  <lastModifiedBy>Айгерим Бакытова</lastModifiedBy>
  <dcterms:modified xsi:type="dcterms:W3CDTF">2025-07-10T12:27:00Z</dcterms:modified>
  <revision>5</revision>
  <dc:title>ЌАЗАЌСТАН</dc:title>
</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3500</Characters>
  <Application>Microsoft Office Word</Application>
  <DocSecurity>0</DocSecurity>
  <Lines>29</Lines>
  <Paragraphs>8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4106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7EE50D9E-1372-43DF-9C89-7D819BD9E4A7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CF0922-9048-443F-AA08-95347802924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187</TotalTime>
  <Pages>3</Pages>
  <Words>649</Words>
  <Characters>3700</Characters>
  <Application>Microsoft Office Word</Application>
  <DocSecurity>0</DocSecurity>
  <Lines>30</Lines>
  <Paragraphs>8</Paragraphs>
  <Company>АО НИТ</Company>
  <CharactersWithSpaces>4341</CharactersWithSpaces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2019-11-20T03:55:00Z</dcterms:created>
  <dc:creator>user</dc:creator>
  <lastModifiedBy>Айгерим Бакытова</lastModifiedBy>
  <lastPrinted>2025-09-05T14:58:00Z</lastPrinted>
  <dcterms:modified xsi:type="dcterms:W3CDTF">2025-09-09T04:33:00Z</dcterms:modified>
  <revision>63</revision>
  <dc:title>ЌАЗАЌСТАН</dc:title>
</coreProperties>
</file>