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153 от 17.07.2025</w:t>
      </w:r>
    </w:p>
    <w:p>
      <w:pPr>
        <w:jc w:val="both"/>
        <w:rPr>
          <w:sz w:val="28"/>
          <w:lang w:val="en-US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0175" cy="1883667"/>
                <wp:effectExtent l="19050" t="0" r="0" b="0"/>
                <wp:docPr id="1" name="Рисунок 3" descr="C:\Users\y.nurumov\Documents\БЛАНК БНС\Шапка приказа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.nurumov\Documents\БЛАНК БНС\Шапка приказа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0174" cy="1883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0.2pt;height:148.3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</w:r>
      <w:r/>
    </w:p>
    <w:p>
      <w:pPr>
        <w:jc w:val="center"/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</w:r>
      <w:r/>
    </w:p>
    <w:p>
      <w:pPr>
        <w:jc w:val="center"/>
        <w:rPr>
          <w:sz w:val="28"/>
          <w:szCs w:val="20"/>
        </w:rPr>
      </w:pPr>
      <w:r>
        <w:rPr>
          <w:b/>
          <w:sz w:val="28"/>
          <w:szCs w:val="20"/>
        </w:rPr>
        <w:t xml:space="preserve">О внесении изменений в приказ Председателя Комитета по статистике Министерства национальной экономики Республики Казахстан от 22 февраля 2018 года № 36 «</w:t>
      </w:r>
      <w:r>
        <w:rPr>
          <w:b/>
          <w:bCs/>
          <w:sz w:val="28"/>
          <w:szCs w:val="20"/>
        </w:rPr>
        <w:t xml:space="preserve">Об утверждении Методики по формированию выборочной совокупности для проведения выборочного обследования в сельском хозяйстве</w:t>
      </w:r>
      <w:r>
        <w:rPr>
          <w:b/>
          <w:sz w:val="28"/>
          <w:szCs w:val="20"/>
        </w:rPr>
        <w:t xml:space="preserve">»</w:t>
      </w:r>
      <w:r/>
    </w:p>
    <w:p>
      <w:pPr>
        <w:rPr>
          <w:b/>
          <w:sz w:val="28"/>
          <w:szCs w:val="20"/>
        </w:rPr>
      </w:pPr>
      <w:r>
        <w:rPr>
          <w:b/>
          <w:sz w:val="28"/>
          <w:szCs w:val="20"/>
        </w:rPr>
      </w:r>
      <w:r/>
    </w:p>
    <w:p>
      <w:pPr>
        <w:rPr>
          <w:b/>
          <w:sz w:val="28"/>
          <w:szCs w:val="20"/>
        </w:rPr>
      </w:pPr>
      <w:r>
        <w:rPr>
          <w:b/>
          <w:sz w:val="28"/>
          <w:szCs w:val="20"/>
        </w:rPr>
      </w:r>
      <w:r/>
    </w:p>
    <w:p>
      <w:pPr>
        <w:ind w:firstLine="708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ПРИКАЗЫВАЮ: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Внести в приказ Председат</w:t>
      </w:r>
      <w:r>
        <w:rPr>
          <w:sz w:val="28"/>
          <w:szCs w:val="28"/>
        </w:rPr>
        <w:t xml:space="preserve">еля Комитета по статистике Министерства национальной экономики Республики Казахстан от 22 февраля 2018 года № 36 «Об утверждении Методики по формированию выборочной совокупности для проведения выборочного обследования в сельском хозяйстве» (зарегистрирован</w:t>
      </w:r>
      <w:r>
        <w:rPr>
          <w:sz w:val="28"/>
          <w:szCs w:val="28"/>
        </w:rPr>
        <w:t xml:space="preserve">ный</w:t>
      </w:r>
      <w:r>
        <w:rPr>
          <w:sz w:val="28"/>
          <w:szCs w:val="28"/>
        </w:rPr>
        <w:t xml:space="preserve"> в Министерстве юстиции Республики Казахстан 13 марта 2018 года № 16573) следующие изменения: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/>
      <w:hyperlink r:id="rId12" w:tooltip="http://adilet.zan.kz/rus/docs/V1800018136#z4" w:anchor="z4" w:history="1">
        <w:r>
          <w:rPr>
            <w:sz w:val="28"/>
            <w:szCs w:val="28"/>
          </w:rPr>
          <w:t xml:space="preserve">преамбулу</w:t>
        </w:r>
      </w:hyperlink>
      <w:r>
        <w:rPr>
          <w:sz w:val="28"/>
          <w:szCs w:val="28"/>
        </w:rPr>
        <w:t xml:space="preserve"> изложить в следующей редакции:</w:t>
      </w:r>
      <w:bookmarkStart w:id="0" w:name="z7"/>
      <w:r/>
      <w:bookmarkEnd w:id="0"/>
      <w:r/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</w:t>
      </w:r>
      <w:r>
        <w:rPr>
          <w:sz w:val="28"/>
          <w:szCs w:val="28"/>
        </w:rPr>
        <w:t xml:space="preserve"> с подпунктом 5) статьи 12 Закона Республики Казахстан «О государственной статистике», подпунктом 33)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5 октября 2020 года № 427, подпунктом 19) пункта 15 П</w:t>
      </w:r>
      <w:r>
        <w:rPr>
          <w:sz w:val="28"/>
          <w:szCs w:val="28"/>
        </w:rPr>
        <w:t xml:space="preserve">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</w:t>
      </w:r>
      <w:r>
        <w:rPr>
          <w:b/>
          <w:sz w:val="28"/>
          <w:szCs w:val="20"/>
        </w:rPr>
        <w:t xml:space="preserve"> ПРИКАЗЫВАЮ:</w:t>
      </w:r>
      <w:r>
        <w:rPr>
          <w:sz w:val="28"/>
          <w:szCs w:val="28"/>
        </w:rPr>
        <w:t xml:space="preserve">»;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 xml:space="preserve">в Методике по формированию выборочной совокупности для проведения выборочного обследования в сельском хозяйстве, утвержденной указанным приказом</w:t>
      </w:r>
      <w:r>
        <w:rPr>
          <w:sz w:val="28"/>
          <w:szCs w:val="28"/>
        </w:rPr>
        <w:t xml:space="preserve">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изложить в следующей редакции: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Методика по формированию выборочной совокупности для проведения выборочного обследования в сельском хозяйстве (далее – Методика) относится к статистической методологии, формируемой и утвержденной в </w:t>
      </w:r>
      <w:r>
        <w:rPr>
          <w:sz w:val="28"/>
          <w:szCs w:val="28"/>
        </w:rPr>
        <w:t xml:space="preserve">соответствии с Законом Республики Казахстан «О государственной статистике» (далее – Закон).»;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3, 4 и 5 изложить в следующей редакции: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Методика предназначена для применения структурными подразделениями ведомства уполномоченного органа в области государственной статистики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ведомство уполномоченного органа)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формирования выборочной совокупности, при организации и проведении выборочного обследования в статистической деятельности сельского хозяйства.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настоящей Методике используются понятия </w:t>
      </w:r>
      <w:r>
        <w:rPr>
          <w:sz w:val="28"/>
          <w:szCs w:val="28"/>
        </w:rPr>
        <w:t xml:space="preserve">в значениях</w:t>
      </w:r>
      <w:r>
        <w:rPr>
          <w:sz w:val="28"/>
          <w:szCs w:val="28"/>
        </w:rPr>
        <w:t xml:space="preserve"> определенных в Законе, а также в Предпринимательском кодексе Республики Казахстан: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сельскохозяйственное предприятие – юридическое лицо 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генеральная совокупность – полная группа всех единиц анализа, чьи характеристики подлежат оценке;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выборочная совокупность (выборка) –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дизайн выборки – вероятностная схема формирования списка выборочной совокупности;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стандартная ошибка выборки – стандартное отклонение значения параметра выборки от выборочного среднего значения этого параметра.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Выборочная сов</w:t>
      </w:r>
      <w:r>
        <w:rPr>
          <w:sz w:val="28"/>
          <w:szCs w:val="28"/>
        </w:rPr>
        <w:t xml:space="preserve">окупность формируется на основе заказа дизайна выборки, предоставляемая в произвольной форме структурными подразделениями ведомства уполномоченного органа в ответственное управление за формирование выборочных совокупностей ведомства уполномоченного органа.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заказе на дизайн выборки указывается: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структурного подразделения;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обследования;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цель обследования;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описание генеральной совокупности;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основной признак для расчета дескриптивной статистики;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требование к репрезентативности;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период обследования;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срок представления выборки заказчику.»;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</w:t>
      </w:r>
      <w:r>
        <w:rPr>
          <w:sz w:val="28"/>
          <w:szCs w:val="28"/>
          <w:lang w:val="kk-KZ"/>
        </w:rPr>
        <w:t xml:space="preserve">ы</w:t>
      </w:r>
      <w:r>
        <w:rPr>
          <w:sz w:val="28"/>
          <w:szCs w:val="28"/>
        </w:rPr>
        <w:t xml:space="preserve"> 7 </w:t>
      </w:r>
      <w:r>
        <w:rPr>
          <w:sz w:val="28"/>
          <w:szCs w:val="28"/>
          <w:lang w:val="kk-KZ"/>
        </w:rPr>
        <w:t xml:space="preserve">и 8 </w:t>
      </w:r>
      <w:r>
        <w:rPr>
          <w:sz w:val="28"/>
          <w:szCs w:val="28"/>
        </w:rPr>
        <w:t xml:space="preserve">изложить в следующей редакции: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В рамках статистики сельского хозяйства, основными объектами наблюдения выборочного обследования являются субъекты индивидуального предпринимательства и домашние хозяйства. Для определения генеральной </w:t>
      </w:r>
      <w:r>
        <w:rPr>
          <w:sz w:val="28"/>
          <w:szCs w:val="28"/>
        </w:rPr>
        <w:t xml:space="preserve">совокупности для соответствующей категории хозяйств, используется Сельскохозяйственный статистический регистр (далее – СХР) включающий в себя информацию по субъектам, производящим сельскохозяйственную продукцию в Республике Казахстан.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СХР обеспечена согласованность информации по субъектам, производящим сельскохозяйственную продукцию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 выделена генеральная совокупность обследования.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СХР является неотъемлемой составной частью официальной статистической информации Республики Казахстан.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СХР содержит организованный и систематизированный перечень субъектов, таких как: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сельскохозяйственные предприятия;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субъекты индивидуальног</w:t>
      </w:r>
      <w:r>
        <w:rPr>
          <w:sz w:val="28"/>
          <w:szCs w:val="28"/>
        </w:rPr>
        <w:t xml:space="preserve">о предпринимательства, включая крестьянские или фермерские хозяйства, занимающиеся производством, хранением и переработкой сельскохозяйственной продукции, оказанием услуг в области сельского хозяйства (далее – субъекты индивидуального предпринимательства);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домашние хозяйства;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садоводческие и дачные кооперативы, осуществляющие производство продукции сельского хозяйства.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Согласно </w:t>
      </w:r>
      <w:hyperlink r:id="rId13" w:tooltip="http://adilet.zan.kz/rus/docs/V1600014581#z18" w:anchor="z18" w:history="1">
        <w:r>
          <w:rPr>
            <w:sz w:val="28"/>
            <w:szCs w:val="28"/>
          </w:rPr>
          <w:t xml:space="preserve">Методике</w:t>
        </w:r>
      </w:hyperlink>
      <w:r>
        <w:rPr>
          <w:sz w:val="28"/>
          <w:szCs w:val="28"/>
        </w:rPr>
        <w:t xml:space="preserve"> по ведению и актуализации Сельскохозяйственного статистического регистра, утвержденной приказом председателя Комитета по статистике Министерства национальной экономики Республики Казахстан от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2 декабря 2016 года № 295 (зарегистрированный в Реестре государственной регистрации нормативных правовых актов за № 14581), СХР состоит из четырех баз данных, содержащих информацию по типам учетных единиц и производителей сельскохозяйственной продукции: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сельскохозяйственные предприятия;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субъекты индивидуального предпринимательства;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домашние хозяйства;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садоводческие и дачные кооперативы.»;</w:t>
      </w:r>
      <w:r/>
    </w:p>
    <w:p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пункт 11 изложить в следующей редакции: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«</w:t>
      </w:r>
      <w:r>
        <w:rPr>
          <w:sz w:val="28"/>
          <w:szCs w:val="28"/>
        </w:rPr>
        <w:t xml:space="preserve">11. Метод ОВВПР при формировании выборки в сельском хозяйстве</w:t>
      </w:r>
      <w:r>
        <w:rPr>
          <w:sz w:val="28"/>
          <w:szCs w:val="28"/>
        </w:rPr>
        <w:t xml:space="preserve"> используется для обследования урожайности пшеницы и риса на основе информации представленной территориальными подразделениями ведомства уполномоченного органа, согласно Плана статистических работ на соответствующий год. Метод ОВВПР состоит из двух этапов: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первом этапе – в качестве первичных выборочных единиц (далее – ПВЕ) пропорционально их размеру отбираются хозяйства;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 втором этапе – в качестве вторичных выборочных единиц (далее – ВВЕ) отбираются посевные площади из каждого выбранного хозяйства в первом этапе ПВЕ.».</w:t>
      </w:r>
      <w:r/>
    </w:p>
    <w:p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/>
      <w:bookmarkStart w:id="1" w:name="z3"/>
      <w:r>
        <w:rPr>
          <w:rFonts w:eastAsia="Calibri"/>
          <w:sz w:val="28"/>
          <w:szCs w:val="28"/>
          <w:lang w:val="kk-KZ" w:eastAsia="en-US"/>
        </w:rPr>
        <w:t xml:space="preserve">2. Департаменту статистических регистров и классификаций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 xml:space="preserve">1) направление настоящего приказа на казахском и русском языках в Республиканское государственное предприятие на праве </w:t>
      </w:r>
      <w:r>
        <w:rPr>
          <w:rFonts w:eastAsia="Calibri"/>
          <w:sz w:val="28"/>
          <w:szCs w:val="28"/>
          <w:lang w:val="kk-KZ" w:eastAsia="en-US"/>
        </w:rPr>
        <w:t xml:space="preserve">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bookmarkEnd w:id="1"/>
      <w:r/>
    </w:p>
    <w:p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  <w:lang w:val="kk-KZ" w:eastAsia="en-US"/>
        </w:rPr>
        <w:t xml:space="preserve">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  <w:r/>
    </w:p>
    <w:p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Департаменту статистических регистров и классификаций Бюро национальной статистики Агентства по стратегическому плани</w:t>
      </w:r>
      <w:r>
        <w:rPr>
          <w:sz w:val="28"/>
          <w:szCs w:val="28"/>
          <w:lang w:val="kk-KZ"/>
        </w:rPr>
        <w:t xml:space="preserve">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  <w:r/>
    </w:p>
    <w:p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5. Настоящий приказ вводится в действие по истечении десяти календарных дней после дня его первого официального опубликования.</w:t>
      </w:r>
      <w:r/>
    </w:p>
    <w:p>
      <w:pPr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ind w:firstLine="708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Руководитель</w:t>
      </w:r>
      <w:r/>
    </w:p>
    <w:p>
      <w:pPr>
        <w:ind w:firstLine="708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Бюро национальной статистики </w:t>
      </w:r>
      <w:r/>
    </w:p>
    <w:p>
      <w:pPr>
        <w:ind w:firstLine="708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Агентства по стратегическому </w:t>
      </w:r>
      <w:r/>
    </w:p>
    <w:p>
      <w:pPr>
        <w:ind w:firstLine="708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планированию и реформам </w:t>
      </w:r>
      <w:r/>
    </w:p>
    <w:p>
      <w:pPr>
        <w:ind w:firstLine="708"/>
        <w:rPr>
          <w:color w:val="3399FF"/>
          <w:sz w:val="32"/>
          <w:szCs w:val="20"/>
          <w:lang w:val="kk-KZ"/>
        </w:rPr>
      </w:pPr>
      <w:r>
        <w:rPr>
          <w:b/>
          <w:bCs/>
          <w:sz w:val="28"/>
          <w:szCs w:val="20"/>
        </w:rPr>
        <w:t xml:space="preserve">Республики Казахстан</w:t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color w:val="000000"/>
          <w:sz w:val="28"/>
          <w:szCs w:val="26"/>
        </w:rPr>
        <w:t xml:space="preserve">М. </w:t>
      </w:r>
      <w:r>
        <w:rPr>
          <w:b/>
          <w:color w:val="000000"/>
          <w:sz w:val="28"/>
          <w:szCs w:val="26"/>
        </w:rPr>
        <w:t xml:space="preserve">Турлубаев</w:t>
      </w:r>
      <w:bookmarkStart w:id="2" w:name="_GoBack"/>
      <w:r/>
      <w:bookmarkEnd w:id="2"/>
      <w:r/>
      <w:r/>
    </w:p>
    <w:sectPr>
      <w:headerReference w:type="default" r:id="rId9"/>
      <w:footnotePr/>
      <w:endnotePr/>
      <w:type w:val="nextPage"/>
      <w:pgSz w:w="11906" w:h="16838" w:orient="portrait"/>
      <w:pgMar w:top="1418" w:right="851" w:bottom="1418" w:left="1418" w:header="720" w:footer="720" w:gutter="0"/>
      <w:cols w:num="1" w:sep="0" w:space="708" w:equalWidth="1"/>
      <w:docGrid w:linePitch="360"/>
      <w:titlePg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11:26 Марат Ақерке Абубакірқызы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11:31 Беделова Улжан Сайдивалиевна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12:29 Бекбердиев Елнур Адилович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13:06 Сарсембеков Санат Кайратович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16:01 Амиржанов Нурболат Жасланович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16:44 Тлеубаев Арманбек Кенесович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17:27 Джартыбаева Асель Кайрулловна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17:30 Калиев Фархат Манарбекұлы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17:37 Турлубаев Максат Кайратович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Гельветика">
    <w:panose1 w:val="020B06030308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04.08.2025 16:03.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04.08.2025 16:03.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15505873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17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стратегическому планированию и реформам Республики Казахстан - Балмаганбетов А. Т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50" w:hanging="1650"/>
        <w:tabs>
          <w:tab w:val="num" w:pos="1650" w:leader="none"/>
        </w:tabs>
      </w:pPr>
      <w:rPr>
        <w:rFonts w:ascii="Times New Roman" w:hAnsi="Times New Roman" w:cs="Times New Roman" w:eastAsia="Times New Roman"/>
      </w:rPr>
    </w:lvl>
    <w:lvl w:ilvl="1">
      <w:start w:val="2"/>
      <w:numFmt w:val="decimal"/>
      <w:isLgl w:val="false"/>
      <w:suff w:val="tab"/>
      <w:lvlText w:val="%2."/>
      <w:lvlJc w:val="left"/>
      <w:pPr>
        <w:ind w:left="2550" w:hanging="1650"/>
        <w:tabs>
          <w:tab w:val="num" w:pos="2550" w:leader="none"/>
        </w:tabs>
      </w:pPr>
      <w:rPr>
        <w:rFonts w:ascii="Times New Roman" w:hAnsi="Times New Roman" w:cs="Times New Roman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90" w:hanging="1650"/>
        <w:tabs>
          <w:tab w:val="num" w:pos="309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10" w:hanging="1650"/>
        <w:tabs>
          <w:tab w:val="num" w:pos="38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30" w:hanging="1650"/>
        <w:tabs>
          <w:tab w:val="num" w:pos="453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50" w:hanging="1650"/>
        <w:tabs>
          <w:tab w:val="num" w:pos="525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795" w:hanging="360"/>
        <w:tabs>
          <w:tab w:val="num" w:pos="7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  <w:tabs>
          <w:tab w:val="num" w:pos="15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  <w:tabs>
          <w:tab w:val="num" w:pos="22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  <w:tabs>
          <w:tab w:val="num" w:pos="29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  <w:tabs>
          <w:tab w:val="num" w:pos="36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  <w:tabs>
          <w:tab w:val="num" w:pos="43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  <w:tabs>
          <w:tab w:val="num" w:pos="51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  <w:tabs>
          <w:tab w:val="num" w:pos="58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  <w:tabs>
          <w:tab w:val="num" w:pos="6555" w:leader="none"/>
        </w:tabs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5" w:hanging="360"/>
        <w:tabs>
          <w:tab w:val="num" w:pos="79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  <w:tabs>
          <w:tab w:val="num" w:pos="15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  <w:tabs>
          <w:tab w:val="num" w:pos="22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  <w:tabs>
          <w:tab w:val="num" w:pos="29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  <w:tabs>
          <w:tab w:val="num" w:pos="36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  <w:tabs>
          <w:tab w:val="num" w:pos="43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  <w:tabs>
          <w:tab w:val="num" w:pos="51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  <w:tabs>
          <w:tab w:val="num" w:pos="58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  <w:tabs>
          <w:tab w:val="num" w:pos="6555" w:leader="none"/>
        </w:tabs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 "/>
      <w:legacy w:legacy="1" w:legacyIndent="283" w:legacySpace="0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 "/>
      <w:legacy w:legacy="1" w:legacyIndent="283" w:legacySpace="0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20" w:hanging="360"/>
        <w:tabs>
          <w:tab w:val="num" w:pos="4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30" w:hanging="1230"/>
        <w:tabs>
          <w:tab w:val="num" w:pos="213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360" w:legacySpace="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9"/>
    <w:link w:val="69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99"/>
    <w:link w:val="69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99"/>
    <w:link w:val="69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99"/>
    <w:link w:val="69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99"/>
    <w:link w:val="697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99"/>
    <w:link w:val="698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2"/>
    <w:uiPriority w:val="34"/>
    <w:qFormat/>
    <w:pPr>
      <w:contextualSpacing/>
      <w:ind w:left="720"/>
    </w:pPr>
  </w:style>
  <w:style w:type="paragraph" w:styleId="32">
    <w:name w:val="Title"/>
    <w:basedOn w:val="692"/>
    <w:next w:val="69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99"/>
    <w:link w:val="32"/>
    <w:uiPriority w:val="10"/>
    <w:rPr>
      <w:sz w:val="48"/>
      <w:szCs w:val="48"/>
    </w:rPr>
  </w:style>
  <w:style w:type="character" w:styleId="35">
    <w:name w:val="Subtitle Char"/>
    <w:basedOn w:val="699"/>
    <w:link w:val="707"/>
    <w:uiPriority w:val="11"/>
    <w:rPr>
      <w:sz w:val="24"/>
      <w:szCs w:val="24"/>
    </w:rPr>
  </w:style>
  <w:style w:type="paragraph" w:styleId="36">
    <w:name w:val="Quote"/>
    <w:basedOn w:val="692"/>
    <w:next w:val="69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2"/>
    <w:next w:val="69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9"/>
    <w:link w:val="717"/>
    <w:uiPriority w:val="99"/>
  </w:style>
  <w:style w:type="character" w:styleId="43">
    <w:name w:val="Footer Char"/>
    <w:basedOn w:val="699"/>
    <w:link w:val="716"/>
    <w:uiPriority w:val="99"/>
  </w:style>
  <w:style w:type="paragraph" w:styleId="44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16"/>
    <w:uiPriority w:val="99"/>
  </w:style>
  <w:style w:type="table" w:styleId="46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731"/>
    <w:uiPriority w:val="99"/>
    <w:rPr>
      <w:sz w:val="18"/>
    </w:rPr>
  </w:style>
  <w:style w:type="paragraph" w:styleId="176">
    <w:name w:val="endnote text"/>
    <w:basedOn w:val="69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9"/>
    <w:uiPriority w:val="99"/>
    <w:semiHidden/>
    <w:unhideWhenUsed/>
    <w:rPr>
      <w:vertAlign w:val="superscript"/>
    </w:rPr>
  </w:style>
  <w:style w:type="paragraph" w:styleId="179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rPr>
      <w:sz w:val="24"/>
      <w:szCs w:val="24"/>
    </w:rPr>
  </w:style>
  <w:style w:type="paragraph" w:styleId="693">
    <w:name w:val="Heading 1"/>
    <w:basedOn w:val="692"/>
    <w:next w:val="692"/>
    <w:qFormat/>
    <w:pPr>
      <w:jc w:val="center"/>
      <w:keepNext/>
      <w:outlineLvl w:val="0"/>
    </w:pPr>
    <w:rPr>
      <w:b/>
      <w:sz w:val="26"/>
      <w:szCs w:val="20"/>
    </w:rPr>
  </w:style>
  <w:style w:type="paragraph" w:styleId="694">
    <w:name w:val="Heading 2"/>
    <w:basedOn w:val="692"/>
    <w:next w:val="692"/>
    <w:qFormat/>
    <w:pPr>
      <w:jc w:val="both"/>
      <w:keepNext/>
      <w:outlineLvl w:val="1"/>
    </w:pPr>
    <w:rPr>
      <w:b/>
      <w:bCs/>
    </w:rPr>
  </w:style>
  <w:style w:type="paragraph" w:styleId="695">
    <w:name w:val="Heading 3"/>
    <w:basedOn w:val="692"/>
    <w:next w:val="692"/>
    <w:qFormat/>
    <w:pPr>
      <w:jc w:val="both"/>
      <w:keepNext/>
      <w:outlineLvl w:val="2"/>
    </w:pPr>
    <w:rPr>
      <w:b/>
      <w:sz w:val="28"/>
    </w:rPr>
  </w:style>
  <w:style w:type="paragraph" w:styleId="696">
    <w:name w:val="Heading 4"/>
    <w:basedOn w:val="692"/>
    <w:next w:val="692"/>
    <w:qFormat/>
    <w:pPr>
      <w:jc w:val="center"/>
      <w:keepNext/>
      <w:outlineLvl w:val="3"/>
    </w:pPr>
    <w:rPr>
      <w:b/>
      <w:sz w:val="28"/>
    </w:rPr>
  </w:style>
  <w:style w:type="paragraph" w:styleId="697">
    <w:name w:val="Heading 5"/>
    <w:basedOn w:val="692"/>
    <w:next w:val="692"/>
    <w:qFormat/>
    <w:pPr>
      <w:ind w:firstLine="708"/>
      <w:jc w:val="both"/>
      <w:keepNext/>
      <w:outlineLvl w:val="4"/>
    </w:pPr>
    <w:rPr>
      <w:b/>
      <w:sz w:val="28"/>
      <w:szCs w:val="28"/>
    </w:rPr>
  </w:style>
  <w:style w:type="paragraph" w:styleId="698">
    <w:name w:val="Heading 8"/>
    <w:basedOn w:val="692"/>
    <w:next w:val="692"/>
    <w:qFormat/>
    <w:pPr>
      <w:jc w:val="right"/>
      <w:keepNext/>
      <w:outlineLvl w:val="7"/>
    </w:pPr>
    <w:rPr>
      <w:sz w:val="26"/>
      <w:szCs w:val="20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Body Text Indent 2"/>
    <w:basedOn w:val="692"/>
    <w:pPr>
      <w:ind w:left="705"/>
      <w:jc w:val="center"/>
    </w:pPr>
    <w:rPr>
      <w:sz w:val="28"/>
    </w:rPr>
  </w:style>
  <w:style w:type="paragraph" w:styleId="703" w:customStyle="1">
    <w:name w:val="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04" w:customStyle="1">
    <w:name w:val="Заголовок1"/>
    <w:basedOn w:val="692"/>
    <w:qFormat/>
    <w:pPr>
      <w:ind w:left="5387"/>
      <w:jc w:val="center"/>
    </w:pPr>
    <w:rPr>
      <w:sz w:val="28"/>
      <w:szCs w:val="20"/>
    </w:rPr>
  </w:style>
  <w:style w:type="paragraph" w:styleId="705">
    <w:name w:val="Body Text"/>
    <w:basedOn w:val="692"/>
    <w:pPr>
      <w:spacing w:after="120"/>
    </w:pPr>
  </w:style>
  <w:style w:type="paragraph" w:styleId="706">
    <w:name w:val="Body Text Indent 3"/>
    <w:basedOn w:val="692"/>
    <w:pPr>
      <w:ind w:left="283"/>
      <w:spacing w:after="120"/>
    </w:pPr>
    <w:rPr>
      <w:sz w:val="16"/>
      <w:szCs w:val="16"/>
    </w:rPr>
  </w:style>
  <w:style w:type="paragraph" w:styleId="707">
    <w:name w:val="Subtitle"/>
    <w:basedOn w:val="692"/>
    <w:qFormat/>
    <w:pPr>
      <w:jc w:val="center"/>
      <w:tabs>
        <w:tab w:val="left" w:pos="0" w:leader="none"/>
      </w:tabs>
    </w:pPr>
    <w:rPr>
      <w:b/>
      <w:sz w:val="28"/>
    </w:rPr>
  </w:style>
  <w:style w:type="paragraph" w:styleId="708">
    <w:name w:val="Body Text 2"/>
    <w:basedOn w:val="692"/>
    <w:pPr>
      <w:ind w:firstLine="720"/>
      <w:jc w:val="both"/>
      <w:widowControl w:val="off"/>
    </w:pPr>
    <w:rPr>
      <w:sz w:val="28"/>
      <w:szCs w:val="20"/>
    </w:rPr>
  </w:style>
  <w:style w:type="paragraph" w:styleId="709" w:customStyle="1">
    <w:name w:val="Основной-2"/>
    <w:pPr>
      <w:ind w:firstLine="170"/>
      <w:jc w:val="both"/>
    </w:pPr>
    <w:rPr>
      <w:rFonts w:ascii="Гельветика" w:hAnsi="Гельветика"/>
      <w:sz w:val="17"/>
    </w:rPr>
  </w:style>
  <w:style w:type="paragraph" w:styleId="710" w:customStyle="1">
    <w:name w:val="Iau?iue"/>
    <w:pPr>
      <w:widowControl w:val="off"/>
    </w:pPr>
  </w:style>
  <w:style w:type="paragraph" w:styleId="711">
    <w:name w:val="Body Text Indent"/>
    <w:basedOn w:val="692"/>
    <w:pPr>
      <w:ind w:firstLine="567"/>
      <w:jc w:val="both"/>
    </w:pPr>
    <w:rPr>
      <w:i/>
      <w:sz w:val="28"/>
      <w:szCs w:val="20"/>
    </w:rPr>
  </w:style>
  <w:style w:type="paragraph" w:styleId="712">
    <w:name w:val="Body Text 3"/>
    <w:basedOn w:val="692"/>
    <w:pPr>
      <w:spacing w:after="120"/>
    </w:pPr>
    <w:rPr>
      <w:sz w:val="16"/>
      <w:szCs w:val="16"/>
    </w:rPr>
  </w:style>
  <w:style w:type="paragraph" w:styleId="713" w:customStyle="1">
    <w:name w:val="Обычный1"/>
    <w:pPr>
      <w:widowControl w:val="off"/>
    </w:pPr>
    <w:rPr>
      <w:rFonts w:ascii="Arial" w:hAnsi="Arial"/>
    </w:rPr>
  </w:style>
  <w:style w:type="paragraph" w:styleId="714" w:customStyle="1">
    <w:name w:val="Основной текст с отступом 21"/>
    <w:basedOn w:val="692"/>
    <w:pPr>
      <w:ind w:firstLine="360"/>
      <w:widowControl w:val="off"/>
    </w:pPr>
    <w:rPr>
      <w:sz w:val="28"/>
      <w:szCs w:val="20"/>
    </w:rPr>
  </w:style>
  <w:style w:type="character" w:styleId="715">
    <w:name w:val="page number"/>
    <w:basedOn w:val="699"/>
  </w:style>
  <w:style w:type="paragraph" w:styleId="716">
    <w:name w:val="Footer"/>
    <w:basedOn w:val="692"/>
    <w:pPr>
      <w:tabs>
        <w:tab w:val="center" w:pos="4677" w:leader="none"/>
        <w:tab w:val="right" w:pos="9355" w:leader="none"/>
      </w:tabs>
    </w:pPr>
  </w:style>
  <w:style w:type="paragraph" w:styleId="717">
    <w:name w:val="Header"/>
    <w:basedOn w:val="692"/>
    <w:link w:val="730"/>
    <w:uiPriority w:val="99"/>
    <w:pPr>
      <w:tabs>
        <w:tab w:val="center" w:pos="4677" w:leader="none"/>
        <w:tab w:val="right" w:pos="9355" w:leader="none"/>
      </w:tabs>
    </w:pPr>
  </w:style>
  <w:style w:type="paragraph" w:styleId="718" w:customStyle="1">
    <w:name w:val="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19">
    <w:name w:val="HTML Preformatted"/>
    <w:basedOn w:val="69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="Courier New"/>
      <w:color w:val="000000"/>
      <w:sz w:val="22"/>
      <w:szCs w:val="22"/>
    </w:rPr>
  </w:style>
  <w:style w:type="character" w:styleId="720" w:customStyle="1">
    <w:name w:val="Знак Знак"/>
    <w:rPr>
      <w:rFonts w:ascii="Courier New" w:hAnsi="Courier New" w:cs="Courier New" w:eastAsia="Courier New"/>
      <w:color w:val="000000"/>
      <w:sz w:val="22"/>
      <w:szCs w:val="22"/>
      <w:lang w:val="ru-RU" w:bidi="ar-SA" w:eastAsia="ru-RU"/>
    </w:rPr>
  </w:style>
  <w:style w:type="paragraph" w:styleId="721" w:customStyle="1">
    <w:name w:val="Char Char"/>
    <w:basedOn w:val="692"/>
    <w:next w:val="694"/>
    <w:pPr>
      <w:spacing w:after="160" w:line="240" w:lineRule="exact"/>
    </w:pPr>
    <w:rPr>
      <w:szCs w:val="20"/>
      <w:lang w:val="en-US" w:eastAsia="en-US"/>
    </w:rPr>
  </w:style>
  <w:style w:type="paragraph" w:styleId="722" w:customStyle="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23" w:customStyle="1">
    <w:name w:val="Обычный (Интернет)"/>
    <w:basedOn w:val="692"/>
    <w:uiPriority w:val="99"/>
    <w:unhideWhenUsed/>
    <w:pPr>
      <w:spacing w:before="100" w:beforeAutospacing="1" w:after="100" w:afterAutospacing="1"/>
    </w:pPr>
  </w:style>
  <w:style w:type="paragraph" w:styleId="724" w:customStyle="1">
    <w:name w:val="Знак Знак Знак Знак Знак 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25" w:customStyle="1">
    <w:name w:val="Char Char"/>
    <w:basedOn w:val="692"/>
    <w:next w:val="694"/>
    <w:pPr>
      <w:spacing w:after="160" w:line="240" w:lineRule="exact"/>
    </w:pPr>
    <w:rPr>
      <w:szCs w:val="20"/>
      <w:lang w:val="en-US" w:eastAsia="en-US"/>
    </w:rPr>
  </w:style>
  <w:style w:type="paragraph" w:styleId="726" w:customStyle="1">
    <w:name w:val="1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paragraph" w:styleId="727">
    <w:name w:val="Balloon Text"/>
    <w:basedOn w:val="692"/>
    <w:semiHidden/>
    <w:rPr>
      <w:rFonts w:ascii="Tahoma" w:hAnsi="Tahoma" w:cs="Tahoma"/>
      <w:sz w:val="16"/>
      <w:szCs w:val="16"/>
    </w:rPr>
  </w:style>
  <w:style w:type="paragraph" w:styleId="728">
    <w:name w:val="No Spacing"/>
    <w:uiPriority w:val="1"/>
    <w:qFormat/>
    <w:rPr>
      <w:sz w:val="24"/>
      <w:szCs w:val="24"/>
    </w:rPr>
  </w:style>
  <w:style w:type="paragraph" w:styleId="729" w:customStyle="1">
    <w:name w:val="Знак"/>
    <w:basedOn w:val="692"/>
    <w:pPr>
      <w:spacing w:after="160" w:line="240" w:lineRule="exact"/>
    </w:pPr>
    <w:rPr>
      <w:sz w:val="28"/>
      <w:szCs w:val="20"/>
      <w:lang w:val="en-US" w:eastAsia="en-US"/>
    </w:rPr>
  </w:style>
  <w:style w:type="character" w:styleId="730" w:customStyle="1">
    <w:name w:val="Верхний колонтитул Знак"/>
    <w:link w:val="717"/>
    <w:uiPriority w:val="99"/>
    <w:rPr>
      <w:sz w:val="24"/>
      <w:szCs w:val="24"/>
    </w:rPr>
  </w:style>
  <w:style w:type="paragraph" w:styleId="731">
    <w:name w:val="footnote text"/>
    <w:basedOn w:val="692"/>
    <w:link w:val="732"/>
    <w:rPr>
      <w:sz w:val="20"/>
      <w:szCs w:val="20"/>
    </w:rPr>
  </w:style>
  <w:style w:type="character" w:styleId="732" w:customStyle="1">
    <w:name w:val="Текст сноски Знак"/>
    <w:basedOn w:val="699"/>
    <w:link w:val="731"/>
  </w:style>
  <w:style w:type="character" w:styleId="733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customXml" Target="../customXml/item1.xml"/><Relationship Id="rId11" Type="http://schemas.openxmlformats.org/officeDocument/2006/relationships/image" Target="media/image1.png"/><Relationship Id="rId12" Type="http://schemas.openxmlformats.org/officeDocument/2006/relationships/hyperlink" Target="http://adilet.zan.kz/rus/docs/V1800018136" TargetMode="External"/><Relationship Id="rId13" Type="http://schemas.openxmlformats.org/officeDocument/2006/relationships/hyperlink" Target="http://adilet.zan.kz/rus/docs/V1600014581" TargetMode="External"/><Relationship Id="rId930" Type="http://schemas.openxmlformats.org/officeDocument/2006/relationships/image" Target="media/image930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7408E37-2E48-40A2-956D-A1F94B23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AREM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y.nurumov</dc:creator>
  <cp:lastModifiedBy>Балмаганбетов Аманкелды Тукенович</cp:lastModifiedBy>
  <cp:revision>6</cp:revision>
  <dcterms:created xsi:type="dcterms:W3CDTF">2025-07-02T07:25:00Z</dcterms:created>
  <dcterms:modified xsi:type="dcterms:W3CDTF">2025-07-16T10:07:56Z</dcterms:modified>
</cp:coreProperties>
</file>