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spacing w:after="0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Аналитическая справка</w:t>
      </w:r>
    </w:p>
    <w:p w14:paraId="04000000">
      <w:pPr>
        <w:widowControl w:val="0"/>
        <w:spacing w:after="0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результатам внутреннего анализа коррупционных рисков</w:t>
      </w:r>
    </w:p>
    <w:p w14:paraId="05000000">
      <w:pPr>
        <w:widowControl w:val="0"/>
        <w:spacing w:after="0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деятельности Департамента финансов и корпоративного управления</w:t>
      </w:r>
    </w:p>
    <w:p w14:paraId="06000000">
      <w:pPr>
        <w:widowControl w:val="0"/>
        <w:spacing w:after="0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Министерства промышленности и строительства</w:t>
      </w:r>
    </w:p>
    <w:p w14:paraId="07000000">
      <w:pPr>
        <w:widowControl w:val="0"/>
        <w:spacing w:after="0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Республики Казахстан</w:t>
      </w:r>
    </w:p>
    <w:p w14:paraId="08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i w:val="1"/>
          <w:sz w:val="28"/>
        </w:rPr>
      </w:pPr>
    </w:p>
    <w:p w14:paraId="09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0A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город Астана                    </w:t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i w:val="1"/>
          <w:sz w:val="28"/>
        </w:rPr>
        <w:t xml:space="preserve">                                  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   </w:t>
      </w:r>
      <w:r>
        <w:rPr>
          <w:rFonts w:ascii="Times New Roman" w:hAnsi="Times New Roman"/>
          <w:i w:val="1"/>
          <w:sz w:val="28"/>
        </w:rPr>
        <w:t xml:space="preserve">4 </w:t>
      </w:r>
      <w:r>
        <w:rPr>
          <w:rFonts w:ascii="Times New Roman" w:hAnsi="Times New Roman"/>
          <w:i w:val="1"/>
          <w:sz w:val="28"/>
        </w:rPr>
        <w:t>июля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2025 года</w:t>
      </w:r>
    </w:p>
    <w:p w14:paraId="0B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0C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Полное наименование объекта внутреннего анализа:</w:t>
      </w:r>
    </w:p>
    <w:p w14:paraId="0D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Департамент финансов и корпоративного управления Министерства промышленности и строительства Республики Казахстан</w:t>
      </w:r>
      <w:r>
        <w:rPr>
          <w:rFonts w:ascii="Times New Roman" w:hAnsi="Times New Roman"/>
          <w:i w:val="1"/>
          <w:sz w:val="28"/>
        </w:rPr>
        <w:t xml:space="preserve"> (далее – Департамент). </w:t>
      </w:r>
    </w:p>
    <w:p w14:paraId="0E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i w:val="1"/>
          <w:sz w:val="28"/>
        </w:rPr>
      </w:pPr>
    </w:p>
    <w:p w14:paraId="0F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Основания проведения внутреннего анализа:</w:t>
      </w:r>
    </w:p>
    <w:p w14:paraId="10000000">
      <w:pPr>
        <w:pStyle w:val="Style_2"/>
        <w:widowControl w:val="0"/>
        <w:spacing w:line="276" w:lineRule="auto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Приказ Министра промышленности и строительства Республики Казахстан от 10 апреля 2025 года № 48 «Об утверждении графика проведения</w:t>
      </w:r>
      <w:r>
        <w:rPr>
          <w:sz w:val="28"/>
        </w:rPr>
        <w:t xml:space="preserve"> </w:t>
      </w:r>
      <w:r>
        <w:rPr>
          <w:sz w:val="28"/>
        </w:rPr>
        <w:t xml:space="preserve">внутреннего анализа коррупционных рисков на 2025 год», приказы руководителя аппарата Министерства индустрии и инфраструктурного развития Республики Казахстан </w:t>
      </w:r>
      <w:r>
        <w:rPr>
          <w:i w:val="1"/>
          <w:sz w:val="28"/>
        </w:rPr>
        <w:t xml:space="preserve">(далее - Министерство) </w:t>
      </w:r>
      <w:r>
        <w:rPr>
          <w:sz w:val="28"/>
        </w:rPr>
        <w:t>от 28 февраля 2025 года № 71 «Об утверждении Плана мероприятий Министерства промышленности и строительства Республики Казахстан по противодействию коррупции на 2025 год» и от 21 мая 2025 года № 173.</w:t>
      </w:r>
    </w:p>
    <w:p w14:paraId="11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12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Анализируемый период деятельности объекта внутреннего анализа:</w:t>
      </w:r>
    </w:p>
    <w:p w14:paraId="13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Январь 2024 года – май 2025 года.</w:t>
      </w:r>
    </w:p>
    <w:p w14:paraId="14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spacing w:after="0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Внутренний анализ коррупционных рисков проводился по 2 направлениям:</w:t>
      </w:r>
    </w:p>
    <w:p w14:paraId="16000000">
      <w:pPr>
        <w:tabs>
          <w:tab w:leader="none" w:pos="993" w:val="left"/>
        </w:tabs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выявление коррупционных рисков в нормативных правовых актах, затрагивающих деятельность Департамента;</w:t>
      </w:r>
    </w:p>
    <w:p w14:paraId="17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выявление коррупционных рисков в организационно-управленческой деятельности Департамента.</w:t>
      </w:r>
    </w:p>
    <w:p w14:paraId="18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19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Правовые акты, регламентирующие деятельность Департамента:</w:t>
      </w:r>
    </w:p>
    <w:p w14:paraId="1A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Положению </w:t>
      </w:r>
      <w:r>
        <w:rPr>
          <w:rFonts w:ascii="Times New Roman" w:hAnsi="Times New Roman"/>
          <w:i w:val="1"/>
          <w:sz w:val="28"/>
        </w:rPr>
        <w:t>(утверждено приказом руководителя аппарата Министерства от 27 октября 2023 года № 45)</w:t>
      </w:r>
      <w:r>
        <w:rPr>
          <w:rFonts w:ascii="Times New Roman" w:hAnsi="Times New Roman"/>
          <w:sz w:val="28"/>
        </w:rPr>
        <w:t>, Департамент осуществляет свою деятельность в соответствии с Конституцией, законами Республики Казахстан, актами Президента, Правительства Республики Казахстан и иными нормативными правовыми актами Республики Казахстан.</w:t>
      </w:r>
    </w:p>
    <w:p w14:paraId="1B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C000000">
      <w:pPr>
        <w:numPr>
          <w:ilvl w:val="0"/>
          <w:numId w:val="1"/>
        </w:numPr>
        <w:tabs>
          <w:tab w:leader="none" w:pos="993" w:val="left"/>
        </w:tabs>
        <w:spacing w:after="0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Выявление коррупционных рисков в нормативных правовых и правовых актах</w:t>
      </w:r>
    </w:p>
    <w:p w14:paraId="1D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E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данном направлении изучены следующие внутренние нормативно-правовые акты, затрагивающие деятельность подразделения: </w:t>
      </w:r>
    </w:p>
    <w:p w14:paraId="1F000000">
      <w:pPr>
        <w:numPr>
          <w:ilvl w:val="0"/>
          <w:numId w:val="2"/>
        </w:num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Министра промышленности и строительства от 15 апреля 2025 года № 124 «О некоторых вопросах ведомственной бюджетной комиссии Министерства промышленности и строительства Республики Казахстан». Настоящим приказом образована бюджетной </w:t>
      </w:r>
      <w:r>
        <w:rPr>
          <w:rFonts w:ascii="Times New Roman" w:hAnsi="Times New Roman"/>
          <w:sz w:val="28"/>
        </w:rPr>
        <w:t>комисси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Министерства (далее - Комиссия) и утверждено положение данной Комиссии.</w:t>
      </w:r>
    </w:p>
    <w:p w14:paraId="20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Правовую основу деятельности Комиссии составляют Конституция Республики Казахстан, Бюджетный кодекс Республики Казахстан, законодательные и иные нормативные правовые акты Республики Казахстан, а также Положение о Комиссии.</w:t>
      </w:r>
    </w:p>
    <w:p w14:paraId="21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целями деятельности Комиссии являются обеспечение своевременной и качественной разработки проекта бюджета Министерства и выработка предложений по уточнению, корректировке и исполнению бюджета Министерства.</w:t>
      </w:r>
    </w:p>
    <w:p w14:paraId="22000000">
      <w:pPr>
        <w:pStyle w:val="Style_3"/>
        <w:widowControl w:val="0"/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анализа акта коррупционные риски не обнаружены.</w:t>
      </w:r>
    </w:p>
    <w:p w14:paraId="23000000">
      <w:pPr>
        <w:pStyle w:val="Style_3"/>
        <w:widowControl w:val="0"/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widowControl w:val="0"/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Постановление Правительства РК от 29 августа 2001 года № 1127 «Об утверждении порядка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а также выплаты бонусов административным государственным служащим». </w:t>
      </w:r>
    </w:p>
    <w:p w14:paraId="25000000">
      <w:pPr>
        <w:pStyle w:val="Style_3"/>
        <w:widowControl w:val="0"/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Правила</w:t>
      </w:r>
      <w:r>
        <w:rPr>
          <w:rFonts w:ascii="Times New Roman" w:hAnsi="Times New Roman"/>
          <w:sz w:val="28"/>
        </w:rPr>
        <w:t xml:space="preserve"> регламентируют порядок поощрения государственных служащих за счет средств государственного бюджета.</w:t>
      </w:r>
    </w:p>
    <w:p w14:paraId="26000000">
      <w:pPr>
        <w:pStyle w:val="Style_3"/>
        <w:widowControl w:val="0"/>
        <w:numPr>
          <w:ilvl w:val="0"/>
          <w:numId w:val="3"/>
        </w:numPr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оснований для премии (п.3 Правил) содержит ряд </w:t>
      </w:r>
      <w:r>
        <w:rPr>
          <w:rFonts w:ascii="Times New Roman" w:hAnsi="Times New Roman"/>
          <w:b w:val="1"/>
          <w:sz w:val="28"/>
        </w:rPr>
        <w:t>оценочных и неточных формулировок, тем самым устанавливает размытость формулировок критериев премирования.</w:t>
      </w:r>
      <w:r>
        <w:rPr>
          <w:rFonts w:ascii="Times New Roman" w:hAnsi="Times New Roman"/>
          <w:sz w:val="28"/>
        </w:rPr>
        <w:t xml:space="preserve">  Критерии включают </w:t>
      </w:r>
      <w:r>
        <w:rPr>
          <w:rFonts w:ascii="Times New Roman" w:hAnsi="Times New Roman"/>
          <w:i w:val="1"/>
          <w:sz w:val="28"/>
        </w:rPr>
        <w:t>«образцовое выполнение должностных обязанностей, безупречная служба, выполнение заданий особой важности и сложности и другие достижения в работе»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i w:val="1"/>
          <w:sz w:val="28"/>
        </w:rPr>
        <w:t>«надлежащее исполнение функций и задач, возложенных на орган»</w:t>
      </w:r>
      <w:r>
        <w:rPr>
          <w:rFonts w:ascii="Times New Roman" w:hAnsi="Times New Roman"/>
          <w:sz w:val="28"/>
        </w:rPr>
        <w:t xml:space="preserve"> и др. Такие формулировки, как </w:t>
      </w:r>
      <w:r>
        <w:rPr>
          <w:rFonts w:ascii="Times New Roman" w:hAnsi="Times New Roman"/>
          <w:i w:val="1"/>
          <w:sz w:val="28"/>
        </w:rPr>
        <w:t>«другие достижения»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i w:val="1"/>
          <w:sz w:val="28"/>
        </w:rPr>
        <w:t>«образцовое выполнение»</w:t>
      </w:r>
      <w:r>
        <w:rPr>
          <w:rFonts w:ascii="Times New Roman" w:hAnsi="Times New Roman"/>
          <w:sz w:val="28"/>
        </w:rPr>
        <w:t xml:space="preserve">, не имеют четких измеряемых показателей. Они позволяют по-разному трактовать заслуги работника и фактически дают возможность премировать практически любого при желании обосновать </w:t>
      </w:r>
      <w:r>
        <w:rPr>
          <w:rFonts w:ascii="Times New Roman" w:hAnsi="Times New Roman"/>
          <w:i w:val="1"/>
          <w:sz w:val="28"/>
        </w:rPr>
        <w:t>«достижения»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i w:val="1"/>
          <w:sz w:val="28"/>
        </w:rPr>
        <w:t>«надлежащее исполнение обязанностей»</w:t>
      </w:r>
      <w:r>
        <w:rPr>
          <w:rFonts w:ascii="Times New Roman" w:hAnsi="Times New Roman"/>
          <w:sz w:val="28"/>
        </w:rPr>
        <w:t xml:space="preserve">. Более того, данные показатели входят в зону ответственности </w:t>
      </w:r>
      <w:r>
        <w:rPr>
          <w:rFonts w:ascii="Times New Roman" w:hAnsi="Times New Roman"/>
          <w:sz w:val="28"/>
        </w:rPr>
        <w:t>согласно Этическому Кодексу и законодательству о государственной службе. Коррупционный риском тут является субъективность критериев, которая может быть предпосылкой для необоснованного поощрения некоторых лиц и дискриминации других сотрудников. В отсутствие четких показателей эффективность и результаты работы могут оцениваться предвзято, что снижает объективность распределения премий.</w:t>
      </w:r>
    </w:p>
    <w:p w14:paraId="27000000">
      <w:pPr>
        <w:pStyle w:val="Style_3"/>
        <w:widowControl w:val="0"/>
        <w:numPr>
          <w:ilvl w:val="0"/>
          <w:numId w:val="3"/>
        </w:numPr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 установления надбавок (п.5) также сформулированы широко и дают широкие основания для надбавок к окладу. Помимо объективного основания – выполнения обязанностей временно отсутствующего сотрудника (пп.1 п.5), – другие пункты допускают размытое трактование:</w:t>
      </w:r>
    </w:p>
    <w:p w14:paraId="28000000">
      <w:pPr>
        <w:pStyle w:val="Style_3"/>
        <w:widowControl w:val="0"/>
        <w:numPr>
          <w:ilvl w:val="0"/>
          <w:numId w:val="4"/>
        </w:numPr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«возложение расширенного круга обязанностей, достаточный опыт и навыки, сочетающиеся с высоким профессиональным уровнем, а также другие показатели»</w:t>
      </w:r>
      <w:r>
        <w:rPr>
          <w:rFonts w:ascii="Times New Roman" w:hAnsi="Times New Roman"/>
          <w:sz w:val="28"/>
        </w:rPr>
        <w:t xml:space="preserve"> (пп.2 п.5);</w:t>
      </w:r>
    </w:p>
    <w:p w14:paraId="29000000">
      <w:pPr>
        <w:pStyle w:val="Style_3"/>
        <w:widowControl w:val="0"/>
        <w:numPr>
          <w:ilvl w:val="0"/>
          <w:numId w:val="4"/>
        </w:numPr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«применение государственного языка при непосредственном выполнении функциональных обязанностей»</w:t>
      </w:r>
      <w:r>
        <w:rPr>
          <w:rFonts w:ascii="Times New Roman" w:hAnsi="Times New Roman"/>
          <w:sz w:val="28"/>
        </w:rPr>
        <w:t xml:space="preserve"> (пп.3 п.5).</w:t>
      </w:r>
    </w:p>
    <w:p w14:paraId="2A000000">
      <w:pPr>
        <w:pStyle w:val="Style_3"/>
        <w:widowControl w:val="0"/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Формулировка подпункта 2 фактически позволяет руководству назначить надбавку любому сотруднику, которого сочтут достаточно опытным или на которого формально возложены дополнительные обязанности, </w:t>
      </w:r>
      <w:r>
        <w:rPr>
          <w:rFonts w:ascii="Times New Roman" w:hAnsi="Times New Roman"/>
          <w:b w:val="1"/>
          <w:sz w:val="28"/>
        </w:rPr>
        <w:t>без четких критериев объема этой дополнительной нагрузки</w:t>
      </w:r>
      <w:r>
        <w:rPr>
          <w:rFonts w:ascii="Times New Roman" w:hAnsi="Times New Roman"/>
          <w:sz w:val="28"/>
        </w:rPr>
        <w:t xml:space="preserve">. Фраза </w:t>
      </w:r>
      <w:r>
        <w:rPr>
          <w:rFonts w:ascii="Times New Roman" w:hAnsi="Times New Roman"/>
          <w:i w:val="1"/>
          <w:sz w:val="28"/>
        </w:rPr>
        <w:t>«а также другие показатели»</w:t>
      </w:r>
      <w:r>
        <w:rPr>
          <w:rFonts w:ascii="Times New Roman" w:hAnsi="Times New Roman"/>
          <w:sz w:val="28"/>
        </w:rPr>
        <w:t xml:space="preserve"> не конкретизирована вовсе. Подпункт 3 поощряет использование государственного языка в работе – важная цель, однако </w:t>
      </w:r>
      <w:r>
        <w:rPr>
          <w:rFonts w:ascii="Times New Roman" w:hAnsi="Times New Roman"/>
          <w:b w:val="1"/>
          <w:sz w:val="28"/>
        </w:rPr>
        <w:t>это требование является обязательным для всех государственных служащих</w:t>
      </w:r>
      <w:r>
        <w:rPr>
          <w:rFonts w:ascii="Times New Roman" w:hAnsi="Times New Roman"/>
          <w:sz w:val="28"/>
        </w:rPr>
        <w:t xml:space="preserve">, соответственно, почти все государственные служащие отвечают данному требованию. </w:t>
      </w:r>
      <w:r>
        <w:rPr>
          <w:rFonts w:ascii="Times New Roman" w:hAnsi="Times New Roman"/>
          <w:b w:val="1"/>
          <w:sz w:val="28"/>
        </w:rPr>
        <w:t>Коррупционный фактором тут является</w:t>
      </w:r>
      <w:r>
        <w:rPr>
          <w:rFonts w:ascii="Times New Roman" w:hAnsi="Times New Roman"/>
          <w:sz w:val="28"/>
        </w:rPr>
        <w:t xml:space="preserve"> отсутствие ясных параметров для надбавок создает риск необоснованного установления доплат отдельным лицам под предлогом </w:t>
      </w:r>
      <w:r>
        <w:rPr>
          <w:rFonts w:ascii="Times New Roman" w:hAnsi="Times New Roman"/>
          <w:i w:val="1"/>
          <w:sz w:val="28"/>
        </w:rPr>
        <w:t>«расширения обязанностей»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i w:val="1"/>
          <w:sz w:val="28"/>
        </w:rPr>
        <w:t>«применения государственного языка»</w:t>
      </w:r>
      <w:r>
        <w:rPr>
          <w:rFonts w:ascii="Times New Roman" w:hAnsi="Times New Roman"/>
          <w:sz w:val="28"/>
        </w:rPr>
        <w:t xml:space="preserve">, даже если это не требует значительных усилий. </w:t>
      </w:r>
    </w:p>
    <w:p w14:paraId="2B000000">
      <w:pPr>
        <w:pStyle w:val="Style_3"/>
        <w:widowControl w:val="0"/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в) Нет механизма обжалования.</w:t>
      </w:r>
      <w:r>
        <w:rPr>
          <w:rFonts w:ascii="Times New Roman" w:hAnsi="Times New Roman"/>
          <w:sz w:val="28"/>
        </w:rPr>
        <w:t xml:space="preserve"> Правила никак не описывают возможность обжалования решений о премии/надбавке или отказе в таковых. Сотрудник, не получивший премию (или получивший меньший размер, чем коллега), не имеет формальной процедуры, чтобы оспорить или пересмотреть это решение. Это означает, что все споры остаются на усмотрение самого же руководства органа. </w:t>
      </w:r>
      <w:r>
        <w:rPr>
          <w:rFonts w:ascii="Times New Roman" w:hAnsi="Times New Roman"/>
          <w:b w:val="1"/>
          <w:sz w:val="28"/>
        </w:rPr>
        <w:t>Риском является</w:t>
      </w:r>
      <w:r>
        <w:rPr>
          <w:rFonts w:ascii="Times New Roman" w:hAnsi="Times New Roman"/>
          <w:sz w:val="28"/>
        </w:rPr>
        <w:t xml:space="preserve"> отсутствие обратной связи. Работники могут быть вынуждены искать неформальные пути (через связи, личные просьбы, либо недопустимые предложения вознаграждения) для получения заслуженной премии, что стимулирует коррупционное поведение.</w:t>
      </w:r>
    </w:p>
    <w:p w14:paraId="2C000000">
      <w:pPr>
        <w:pStyle w:val="Style_3"/>
        <w:widowControl w:val="0"/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этой связи, учитывая данные риски, которые находятся вне компетенции Министерства, рекомендуется написать письмо </w:t>
      </w:r>
      <w:r>
        <w:rPr>
          <w:rFonts w:ascii="Times New Roman" w:hAnsi="Times New Roman"/>
          <w:sz w:val="28"/>
        </w:rPr>
        <w:t>уполномоченному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органу</w:t>
      </w:r>
      <w:r>
        <w:rPr>
          <w:rFonts w:ascii="Times New Roman" w:hAnsi="Times New Roman"/>
          <w:sz w:val="28"/>
        </w:rPr>
        <w:t xml:space="preserve"> с предложением о необходимости внесения изменений </w:t>
      </w:r>
      <w:r>
        <w:rPr>
          <w:rFonts w:ascii="Times New Roman" w:hAnsi="Times New Roman"/>
          <w:sz w:val="28"/>
        </w:rPr>
        <w:t>и уточнений.</w:t>
      </w:r>
    </w:p>
    <w:p w14:paraId="2D000000">
      <w:pPr>
        <w:pStyle w:val="Style_3"/>
        <w:widowControl w:val="0"/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E000000">
      <w:pPr>
        <w:pStyle w:val="Style_3"/>
        <w:widowControl w:val="0"/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Постановление Правительства Республики Казахстан от 11 мая                        2018 года № 256 «Об утверждении Правил возмещения расходов на служебные командировки за счет бюджетных средств, в том числе в иностранные государства»</w:t>
      </w:r>
      <w:r>
        <w:rPr>
          <w:rFonts w:ascii="Times New Roman" w:hAnsi="Times New Roman"/>
          <w:sz w:val="28"/>
        </w:rPr>
        <w:t>.</w:t>
      </w:r>
    </w:p>
    <w:p w14:paraId="2F000000">
      <w:pPr>
        <w:pStyle w:val="Style_3"/>
        <w:widowControl w:val="0"/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>Данное постановление определяет порядок возмещения расходов за счет бюджетных средств на служебные командировки в пределах Республики Казахстан и иностранные государства.</w:t>
      </w:r>
    </w:p>
    <w:p w14:paraId="30000000">
      <w:pPr>
        <w:pStyle w:val="Style_3"/>
        <w:widowControl w:val="0"/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Правила дифференцируют предельные нормы возмещения стоимости жилья в сутки в зависимости от категории населённого пункта и должности сотрудника. Для руководителей высшего звена установлен лимит до 10-кратного МРП в столице и крупных городах (меньшие коэффициенты для городов областного значения и районных центров), для остальных сотрудников – до 7-кратного МРП в крупных городах (и ниже для малых городов и сёл). </w:t>
      </w:r>
    </w:p>
    <w:p w14:paraId="31000000">
      <w:pPr>
        <w:pStyle w:val="Style_3"/>
        <w:widowControl w:val="0"/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анализе была обнаружена </w:t>
      </w:r>
      <w:r>
        <w:rPr>
          <w:rFonts w:ascii="Times New Roman" w:hAnsi="Times New Roman"/>
          <w:b w:val="1"/>
          <w:sz w:val="28"/>
        </w:rPr>
        <w:t>коллизия/противоречию с налоговым законодательством</w:t>
      </w:r>
      <w:r>
        <w:rPr>
          <w:rFonts w:ascii="Times New Roman" w:hAnsi="Times New Roman"/>
          <w:sz w:val="28"/>
        </w:rPr>
        <w:t xml:space="preserve">. Согласно статье 244 Налогового кодекса РК, расходы работодателя на жильё в командировке относятся на вычеты (т.е. уменьшают налогооблагаемую базу) только при наличии документов, подтверждающих оплату найма жилья. В свою очередь, государственный орган, выплатившее сотруднику компенсацию без сбора чеков, юридически лишено документальных оснований показать эти расходы для целей налогового учёта. Возникает риск претензий со стороны органов </w:t>
      </w:r>
      <w:r>
        <w:rPr>
          <w:rFonts w:ascii="Times New Roman" w:hAnsi="Times New Roman"/>
          <w:sz w:val="28"/>
        </w:rPr>
        <w:t>госдоходов</w:t>
      </w:r>
      <w:r>
        <w:rPr>
          <w:rFonts w:ascii="Times New Roman" w:hAnsi="Times New Roman"/>
          <w:sz w:val="28"/>
        </w:rPr>
        <w:t xml:space="preserve">. Возникает необходимость </w:t>
      </w:r>
      <w:r>
        <w:rPr>
          <w:rFonts w:ascii="Times New Roman" w:hAnsi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внесение изменений в данные Правила, либо </w:t>
      </w:r>
      <w:r>
        <w:rPr>
          <w:rFonts w:ascii="Times New Roman" w:hAnsi="Times New Roman"/>
          <w:sz w:val="28"/>
        </w:rPr>
        <w:t>предусмотрение</w:t>
      </w:r>
      <w:r>
        <w:rPr>
          <w:rFonts w:ascii="Times New Roman" w:hAnsi="Times New Roman"/>
          <w:sz w:val="28"/>
        </w:rPr>
        <w:t xml:space="preserve"> оговорки и нормативного приведение в соответствие Налогового кодекса. </w:t>
      </w:r>
    </w:p>
    <w:p w14:paraId="32000000">
      <w:pPr>
        <w:pStyle w:val="Style_3"/>
        <w:widowControl w:val="0"/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</w:t>
      </w:r>
      <w:r>
        <w:rPr>
          <w:rFonts w:ascii="Times New Roman" w:hAnsi="Times New Roman"/>
          <w:b w:val="1"/>
          <w:sz w:val="28"/>
        </w:rPr>
        <w:t>пробел</w:t>
      </w:r>
      <w:r>
        <w:rPr>
          <w:rFonts w:ascii="Times New Roman" w:hAnsi="Times New Roman"/>
          <w:sz w:val="28"/>
        </w:rPr>
        <w:t xml:space="preserve"> в межведомственной согласованности НПА может создать почву для злоупотреблений или затруднить контроль законности выплат.</w:t>
      </w:r>
    </w:p>
    <w:p w14:paraId="33000000">
      <w:pPr>
        <w:pStyle w:val="Style_3"/>
        <w:widowControl w:val="0"/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Командировки с возможностью ежедневного возврата (пункт 4). Правила отдельно регулируют ситуацию, когда место командировки находится достаточно близко к месту постоянной работы, и сотрудник теоретически может ездить туда и обратно каждый день. Решение в каждом случае принимает руководство госоргана, и от этого решения зависит объем выплат. Если работник </w:t>
      </w:r>
      <w:r>
        <w:rPr>
          <w:rFonts w:ascii="Times New Roman" w:hAnsi="Times New Roman"/>
          <w:b w:val="1"/>
          <w:sz w:val="28"/>
        </w:rPr>
        <w:t>остаётся ночевать добровольно</w:t>
      </w:r>
      <w:r>
        <w:rPr>
          <w:rFonts w:ascii="Times New Roman" w:hAnsi="Times New Roman"/>
          <w:sz w:val="28"/>
        </w:rPr>
        <w:t xml:space="preserve"> в месте командировки, то с ним обращаются как с обычным командированным – платят суточные и жильё за все дни. Если же он </w:t>
      </w:r>
      <w:r>
        <w:rPr>
          <w:rFonts w:ascii="Times New Roman" w:hAnsi="Times New Roman"/>
          <w:b w:val="1"/>
          <w:sz w:val="28"/>
        </w:rPr>
        <w:t>ежедневно возвращается домой</w:t>
      </w:r>
      <w:r>
        <w:rPr>
          <w:rFonts w:ascii="Times New Roman" w:hAnsi="Times New Roman"/>
          <w:sz w:val="28"/>
        </w:rPr>
        <w:t xml:space="preserve">, то ему оплачивается только проезд (например, стоимость бензина или автобуса), а суточные не выплачиваются. Такой порядок кажется разумным, чтобы не платить лишнего, когда нет необходимости в суточных. </w:t>
      </w:r>
      <w:r>
        <w:rPr>
          <w:rFonts w:ascii="Times New Roman" w:hAnsi="Times New Roman"/>
          <w:b w:val="1"/>
          <w:sz w:val="28"/>
        </w:rPr>
        <w:t>Риск</w:t>
      </w:r>
      <w:r>
        <w:rPr>
          <w:rFonts w:ascii="Times New Roman" w:hAnsi="Times New Roman"/>
          <w:sz w:val="28"/>
        </w:rPr>
        <w:t xml:space="preserve"> здесь связан с </w:t>
      </w:r>
      <w:r>
        <w:rPr>
          <w:rFonts w:ascii="Times New Roman" w:hAnsi="Times New Roman"/>
          <w:i w:val="1"/>
          <w:sz w:val="28"/>
        </w:rPr>
        <w:t>субъективизмом при принятии решения</w:t>
      </w:r>
      <w:r>
        <w:rPr>
          <w:rFonts w:ascii="Times New Roman" w:hAnsi="Times New Roman"/>
          <w:sz w:val="28"/>
        </w:rPr>
        <w:t xml:space="preserve">: Правила не дают чётких критериев, что считается приемлемым расстоянием или </w:t>
      </w:r>
      <w:r>
        <w:rPr>
          <w:rFonts w:ascii="Times New Roman" w:hAnsi="Times New Roman"/>
          <w:sz w:val="28"/>
        </w:rPr>
        <w:t xml:space="preserve">условиями для ежедневного возвращения. Всё отдано на усмотрение руководителя. Это чревато тем, что для кого-то из сотрудников руководитель всегда найдёт возможность разрешить остаться с выплатой суточных (даже если ехать недалеко), а кого-то заставит ездить ежедневно без суточных – т.е. потенциальная </w:t>
      </w:r>
      <w:r>
        <w:rPr>
          <w:rFonts w:ascii="Times New Roman" w:hAnsi="Times New Roman"/>
          <w:b w:val="1"/>
          <w:sz w:val="28"/>
        </w:rPr>
        <w:t>неравномерность и даже кумовство</w:t>
      </w:r>
      <w:r>
        <w:rPr>
          <w:rFonts w:ascii="Times New Roman" w:hAnsi="Times New Roman"/>
          <w:sz w:val="28"/>
        </w:rPr>
        <w:t xml:space="preserve">. В худшем случае руководитель может идти навстречу сотрудникам, желающим получить командировочные выплаты, и разрешать всем подряд «ночевать на месте», хотя объективно они могли бы вернуться. Это увеличит бюджетные расходы и создаст </w:t>
      </w:r>
      <w:r>
        <w:rPr>
          <w:rFonts w:ascii="Times New Roman" w:hAnsi="Times New Roman"/>
          <w:sz w:val="28"/>
        </w:rPr>
        <w:t>коррупционно</w:t>
      </w:r>
      <w:r>
        <w:rPr>
          <w:rFonts w:ascii="Times New Roman" w:hAnsi="Times New Roman"/>
          <w:sz w:val="28"/>
        </w:rPr>
        <w:t xml:space="preserve"> рискованные прецеденты. Решение – установить внутренние инструкции: например, если расстояние превышает определённый километраж или дорога занимает больше определённого времени, тогда оправдано проживание. Сейчас же </w:t>
      </w:r>
      <w:r>
        <w:rPr>
          <w:rFonts w:ascii="Times New Roman" w:hAnsi="Times New Roman"/>
          <w:b w:val="1"/>
          <w:sz w:val="28"/>
        </w:rPr>
        <w:t>данный вопрос не регламентирован чётко</w:t>
      </w:r>
      <w:r>
        <w:rPr>
          <w:rFonts w:ascii="Times New Roman" w:hAnsi="Times New Roman"/>
          <w:sz w:val="28"/>
        </w:rPr>
        <w:t>, что представляет собой пробел и потенциальный источник злоупотреблений. В этой связи считаем необходимым внести соответствующие уточняющие изменения в пункт 4 данных Правил (регламентация точного расстояния).</w:t>
      </w:r>
    </w:p>
    <w:p w14:paraId="34000000">
      <w:pPr>
        <w:pStyle w:val="Style_3"/>
        <w:widowControl w:val="0"/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этой связи, учитывая данные риски, которые находятся вне компетенции Министерства, рекомендуется написать письмо </w:t>
      </w:r>
      <w:r>
        <w:rPr>
          <w:rFonts w:ascii="Times New Roman" w:hAnsi="Times New Roman"/>
          <w:sz w:val="28"/>
        </w:rPr>
        <w:t>уполномоченному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органу</w:t>
      </w:r>
      <w:r>
        <w:rPr>
          <w:rFonts w:ascii="Times New Roman" w:hAnsi="Times New Roman"/>
          <w:sz w:val="28"/>
        </w:rPr>
        <w:t xml:space="preserve"> с предложением о необходимости внесения изменений и уточнений.</w:t>
      </w:r>
    </w:p>
    <w:p w14:paraId="35000000">
      <w:pPr>
        <w:pStyle w:val="Style_3"/>
        <w:widowControl w:val="0"/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6000000">
      <w:pPr>
        <w:pStyle w:val="Style_3"/>
        <w:widowControl w:val="0"/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) Приказ Министра национальной экономики Республики Казахстан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5 октября 2018 года № 21 «Об утверждении Типового кодекса корпоративного управления в контролируемых государством акционерных обществах, за исключением Фонда национального благосостояния».</w:t>
      </w:r>
    </w:p>
    <w:p w14:paraId="37000000">
      <w:pPr>
        <w:pStyle w:val="Style_3"/>
        <w:widowControl w:val="0"/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Кодекс устанавливает стандарты корпоративного управления, направленные на повышение прозрачности, подотчетности и эффективности деятельности таких компаний. В числе прочих целей Кодекс декларирует </w:t>
      </w:r>
      <w:r>
        <w:rPr>
          <w:rFonts w:ascii="Times New Roman" w:hAnsi="Times New Roman"/>
          <w:b w:val="1"/>
          <w:sz w:val="28"/>
        </w:rPr>
        <w:t>нетерпимость к коррупции</w:t>
      </w:r>
      <w:r>
        <w:rPr>
          <w:rFonts w:ascii="Times New Roman" w:hAnsi="Times New Roman"/>
          <w:sz w:val="28"/>
        </w:rPr>
        <w:t xml:space="preserve"> и внедрение механизмов, препятствующих коррупционным правонарушения</w:t>
      </w:r>
      <w:r>
        <w:rPr>
          <w:rFonts w:ascii="Times New Roman" w:hAnsi="Times New Roman"/>
          <w:sz w:val="28"/>
        </w:rPr>
        <w:t>м.</w:t>
      </w:r>
    </w:p>
    <w:p w14:paraId="38000000">
      <w:pPr>
        <w:pStyle w:val="Style_3"/>
        <w:widowControl w:val="0"/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анализа акта коррупционные риски не обнаружены.</w:t>
      </w:r>
    </w:p>
    <w:p w14:paraId="39000000">
      <w:pPr>
        <w:pStyle w:val="Style_3"/>
        <w:widowControl w:val="0"/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A000000">
      <w:pPr>
        <w:pStyle w:val="Style_3"/>
        <w:widowControl w:val="0"/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Приказ Заместителя Премьер-Министра - Министра национальной экономики Республики Казахстан от 30 апреля 2025 года № 23 «Об утверждении Правил разработки, утверждения планов развития национальных управляющих холдингов, национальных холдингов и национальных компаний и планов мероприятий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реализации».</w:t>
      </w:r>
    </w:p>
    <w:p w14:paraId="3B000000">
      <w:pPr>
        <w:pStyle w:val="Style_3"/>
        <w:widowControl w:val="0"/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Данные Правила устанавливают порядок стратегического планирования для организаций </w:t>
      </w:r>
      <w:r>
        <w:rPr>
          <w:rFonts w:ascii="Times New Roman" w:hAnsi="Times New Roman"/>
          <w:sz w:val="28"/>
        </w:rPr>
        <w:t>квазигосударственного</w:t>
      </w:r>
      <w:r>
        <w:rPr>
          <w:rFonts w:ascii="Times New Roman" w:hAnsi="Times New Roman"/>
          <w:sz w:val="28"/>
        </w:rPr>
        <w:t xml:space="preserve"> сектора (десятилетние планы развития и </w:t>
      </w:r>
      <w:r>
        <w:rPr>
          <w:rFonts w:ascii="Times New Roman" w:hAnsi="Times New Roman"/>
          <w:sz w:val="28"/>
        </w:rPr>
        <w:t xml:space="preserve">пятилетние планы мероприятий), механизмы их согласования с государственными органами, </w:t>
      </w:r>
      <w:r>
        <w:rPr>
          <w:rFonts w:ascii="Times New Roman" w:hAnsi="Times New Roman"/>
          <w:b w:val="1"/>
          <w:sz w:val="28"/>
        </w:rPr>
        <w:t>мониторинга исполнения</w:t>
      </w:r>
      <w:r>
        <w:rPr>
          <w:rFonts w:ascii="Times New Roman" w:hAnsi="Times New Roman"/>
          <w:sz w:val="28"/>
        </w:rPr>
        <w:t xml:space="preserve"> и внесения изменений</w:t>
      </w:r>
    </w:p>
    <w:p w14:paraId="3C000000">
      <w:pPr>
        <w:pStyle w:val="Style_3"/>
        <w:widowControl w:val="0"/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анализа акта коррупционные риски не обнаружены.</w:t>
      </w:r>
    </w:p>
    <w:p w14:paraId="3D000000">
      <w:pPr>
        <w:pStyle w:val="Style_3"/>
        <w:widowControl w:val="0"/>
        <w:tabs>
          <w:tab w:leader="none" w:pos="993" w:val="left"/>
          <w:tab w:leader="none" w:pos="1134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E000000">
      <w:pPr>
        <w:pStyle w:val="Style_3"/>
        <w:widowControl w:val="0"/>
        <w:tabs>
          <w:tab w:leader="none" w:pos="993" w:val="left"/>
          <w:tab w:leader="none" w:pos="1134" w:val="left"/>
        </w:tabs>
        <w:spacing w:after="0" w:line="276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 Положение Департамента, утвержденное приказом руководителя аппарата Министерства от 01 декабря 2023 года № 103</w:t>
      </w:r>
      <w:r>
        <w:rPr>
          <w:rFonts w:ascii="Times New Roman" w:hAnsi="Times New Roman"/>
          <w:i w:val="1"/>
          <w:sz w:val="28"/>
        </w:rPr>
        <w:t xml:space="preserve">. </w:t>
      </w:r>
      <w:r>
        <w:rPr>
          <w:rFonts w:ascii="Times New Roman" w:hAnsi="Times New Roman"/>
          <w:sz w:val="28"/>
        </w:rPr>
        <w:t>Риски по должностным инструкциям приведены ниже.</w:t>
      </w:r>
    </w:p>
    <w:p w14:paraId="3F000000">
      <w:pPr>
        <w:pStyle w:val="Style_3"/>
        <w:widowControl w:val="0"/>
        <w:tabs>
          <w:tab w:leader="none" w:pos="993" w:val="left"/>
          <w:tab w:leader="none" w:pos="1134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0000000">
      <w:pPr>
        <w:pStyle w:val="Style_3"/>
        <w:widowControl w:val="0"/>
        <w:tabs>
          <w:tab w:leader="none" w:pos="993" w:val="left"/>
          <w:tab w:leader="none" w:pos="1134" w:val="left"/>
        </w:tabs>
        <w:spacing w:after="0" w:line="276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 Должностные инструкции сотрудников Департамента, утвержденные приказом руководителя аппарата Министерства от 27 октября 2023 года № 47. Риски по должностным инструкциям приведены ниже.</w:t>
      </w:r>
    </w:p>
    <w:p w14:paraId="41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42000000">
      <w:pPr>
        <w:widowControl w:val="0"/>
        <w:spacing w:after="0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II. Выявление коррупционных рисков в организационно-управленческой деятельности.</w:t>
      </w:r>
    </w:p>
    <w:p w14:paraId="43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b w:val="1"/>
          <w:i w:val="1"/>
          <w:sz w:val="28"/>
        </w:rPr>
      </w:pPr>
    </w:p>
    <w:p w14:paraId="44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По итогам анализа выявлены следующие коррупционные риски.</w:t>
      </w:r>
    </w:p>
    <w:p w14:paraId="45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b w:val="1"/>
          <w:i w:val="1"/>
          <w:sz w:val="28"/>
        </w:rPr>
      </w:pPr>
    </w:p>
    <w:p w14:paraId="46000000">
      <w:pPr>
        <w:spacing w:after="0"/>
        <w:ind w:firstLine="709" w:left="0"/>
        <w:contextualSpacing w:val="1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Установление права вместо обязанности </w:t>
      </w:r>
      <w:r>
        <w:rPr>
          <w:rFonts w:ascii="Times New Roman" w:hAnsi="Times New Roman"/>
          <w:b w:val="1"/>
          <w:sz w:val="28"/>
          <w:u w:val="single"/>
        </w:rPr>
        <w:t>должностных</w:t>
      </w:r>
      <w:r>
        <w:rPr>
          <w:rFonts w:ascii="Times New Roman" w:hAnsi="Times New Roman"/>
          <w:b w:val="1"/>
          <w:sz w:val="28"/>
          <w:u w:val="single"/>
        </w:rPr>
        <w:t xml:space="preserve"> лиц</w:t>
      </w:r>
    </w:p>
    <w:p w14:paraId="47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анализа должностных инструкций и положения Департамента были выявлены формулировки, в которых должностным лицам предоставлены права вместо четко сформулированных обязанностей. Такие формулировки создают риск коррупционных проявлений, поскольку предоставляют свободу действий без надлежащей регламентаций. Ниже приведены конкретные примеры, ссылки на документы и анализ возможных последствий.</w:t>
      </w:r>
    </w:p>
    <w:tbl>
      <w:tblPr>
        <w:tblStyle w:val="Style_4"/>
        <w:tblLayout w:type="fixed"/>
      </w:tblPr>
      <w:tblGrid>
        <w:gridCol w:w="559"/>
        <w:gridCol w:w="2552"/>
        <w:gridCol w:w="1984"/>
        <w:gridCol w:w="2410"/>
        <w:gridCol w:w="2410"/>
      </w:tblGrid>
      <w:t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/>
              <w:ind w:firstLine="26" w:left="0"/>
              <w:contextualSpacing w:val="1"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Цитата из документа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Источник 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Пояснение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Риск и возможные последствия</w:t>
            </w:r>
          </w:p>
        </w:tc>
      </w:tr>
      <w:t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/>
              <w:ind w:firstLine="26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Может запрашивать необходимую информацию у иных структурных подразделений.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Должностная инструкция подавляющего большинства сотрудников Департамента (например, п.п.2.2.)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Обязан запрашивать и использовать всю необходимую информацию для исполнения своих функций.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отсутствии обязанности информация может не быть запрошена, создавая условия для манипуляций и неполноты анализа.</w:t>
            </w:r>
          </w:p>
        </w:tc>
      </w:tr>
      <w:t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/>
              <w:ind w:firstLine="26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Имеет право представлять Министерство в ГО и иных ЮЛ при рассмотрении вопросов, входящих в </w:t>
            </w:r>
            <w:r>
              <w:rPr>
                <w:rFonts w:ascii="Times New Roman" w:hAnsi="Times New Roman"/>
                <w:sz w:val="24"/>
              </w:rPr>
              <w:t>компетенцию, участвовать в совещаниях, заседаниях, семинарах, конференциях, проводимых государственными органами, международными и иными организациями</w:t>
            </w:r>
            <w:r>
              <w:rPr>
                <w:rFonts w:ascii="Times New Roman" w:hAnsi="Times New Roman"/>
                <w:spacing w:val="-9"/>
                <w:sz w:val="24"/>
              </w:rPr>
              <w:t>.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Должностные инструкции подавляющего большинства сотрудников Департамента </w:t>
            </w:r>
            <w:r>
              <w:rPr>
                <w:rFonts w:ascii="Times New Roman" w:hAnsi="Times New Roman"/>
                <w:sz w:val="24"/>
              </w:rPr>
              <w:t>(например, п.п.2.1.)</w:t>
            </w:r>
          </w:p>
          <w:p w14:paraId="55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Только по поручению руководства, с обязательной отчётностью и в рамках </w:t>
            </w:r>
            <w:r>
              <w:rPr>
                <w:rFonts w:ascii="Times New Roman" w:hAnsi="Times New Roman"/>
                <w:sz w:val="24"/>
              </w:rPr>
              <w:t>закреплённых полномочий.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Возможность несанкционированного представления интересов, личного влияния и </w:t>
            </w:r>
            <w:r>
              <w:rPr>
                <w:rFonts w:ascii="Times New Roman" w:hAnsi="Times New Roman"/>
                <w:sz w:val="24"/>
              </w:rPr>
              <w:t>конфликтов интересов.</w:t>
            </w:r>
          </w:p>
          <w:p w14:paraId="58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/>
              <w:ind w:firstLine="26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 право по мере необходимости взаимодействовать с другими отделами.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Должностные инструкции подавляющего большинства сотрудников Департамента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Обязанность устанавливать межведомственное взаимодействие по каждому направлению функционала.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Формулировка «по мере необходимости» позволяет избегать взаимодействия, затрудняет контроль и координацию.</w:t>
            </w:r>
          </w:p>
        </w:tc>
      </w:tr>
      <w:t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/>
              <w:ind w:firstLine="26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 право вносить предложения о принятии мер дисциплинарного характера в отношении главных экспертов Управления за неисполнение или ненадлежащее исполнение возложенных на него обязанностей, нарушение служебной дисциплины и служебной этики.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Должностная инструкция руководителей управлений (п.2.4.)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Формулировка должна быть однозначной, ограниченной критериями, исключающей субъективизм. Только на основании результатов официальной служебной проверки, по утверждённой процедуре.</w:t>
            </w:r>
          </w:p>
          <w:p w14:paraId="62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Создает возможность риска субъективного применения в зависимости от конкретного виновного лица, возможность давления, нарушения служебной этики и дискриминации.</w:t>
            </w:r>
          </w:p>
          <w:p w14:paraId="64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  <w:p w14:paraId="65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/>
              <w:ind w:firstLine="26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Имеет право давать распоряжения, с установлением сроков их исполнения, а также контролировать их исполнение. 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Должностные инструкции руководителей управлений (п.2.14., 2.16)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Следует конкретизировать условия, при которых распоряжения обязательны для исполнения и контролируются в установленном порядке.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системного контроля может привести к несвоевременному исполнению, перекладыванию ответственности.</w:t>
            </w:r>
          </w:p>
        </w:tc>
      </w:tr>
      <w:t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/>
              <w:ind w:firstLine="26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Участвовать в пределах своей компетенции в рассмотрении вопросов, касающихся работы Управления и принятия по ним решений, их исполнения соответствующими подчиненными.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Должностные инструкции руководителей управлений (п.2.12.)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Обязанность принимать решения с оформлением письменных обоснований.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Формулировка позволяет избегать исполнения установленных обязательств, взаимодействия, затрудняет контроль и координацию.</w:t>
            </w:r>
          </w:p>
        </w:tc>
      </w:tr>
      <w:t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/>
              <w:ind w:firstLine="26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 подписывать документы Управления исполнения планов финансирования, визировать письма, подготовленные сотрудниками Управления.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Должностная инструкция руководителя управления (п.2.17.)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Обязан подписывать и согласовывать письма подготовленные сотрудниками Управления в исполнения своих функций. Необходима регламентация перечня документов, подлежащих подписанию руководителем, и внедрение двойной подписи для финансовых документов.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отсутствии обязанности есть риск не рассмотрения и обхода документов, создавая условия для неисполнения служебных обязательств. Отсутствие чёткого перечня документов может привести к избыточной концентрации полномочий, что повышает риски согласования несанкционированных решений.</w:t>
            </w:r>
          </w:p>
          <w:p w14:paraId="75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/>
              <w:ind w:firstLine="26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 надлежащего и в полном объеме выполнения приказов, распоряжений, замечаний, указаний руководства Министерства и Департамента сотрудниками Управления. 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Должностная инструкция руководителя управления (п.2.18.)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Так как является функциональными обязанностями, следует прописать обязанность данного пункта, кроме того, следует чётко разграничить обязательность исполнения </w:t>
            </w:r>
            <w:r>
              <w:rPr>
                <w:rFonts w:ascii="Times New Roman" w:hAnsi="Times New Roman"/>
                <w:i w:val="1"/>
                <w:sz w:val="24"/>
              </w:rPr>
              <w:t>письменных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i w:val="1"/>
                <w:sz w:val="24"/>
              </w:rPr>
              <w:t xml:space="preserve">должным образом </w:t>
            </w:r>
            <w:r>
              <w:rPr>
                <w:rFonts w:ascii="Times New Roman" w:hAnsi="Times New Roman"/>
                <w:i w:val="1"/>
                <w:sz w:val="24"/>
              </w:rPr>
              <w:t>оформленных</w:t>
            </w:r>
            <w:r>
              <w:rPr>
                <w:rFonts w:ascii="Times New Roman" w:hAnsi="Times New Roman"/>
                <w:sz w:val="24"/>
              </w:rPr>
              <w:t xml:space="preserve"> распоряжений, а также предусмотреть механизм обжалования незаконных или нарушающих права указаний.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/>
              <w:ind w:firstLine="709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Формулировка может привести к злоупотреблениям, когда под видом указаний устно или без достаточных оснований могут передаваться незаконные или лоббистские требования. Возникает риск давления на </w:t>
            </w:r>
            <w:r>
              <w:rPr>
                <w:rFonts w:ascii="Times New Roman" w:hAnsi="Times New Roman"/>
                <w:sz w:val="24"/>
              </w:rPr>
              <w:t>сотрудников, исполнения устных указаний в обход процедур, а также подрыва принципа законности</w:t>
            </w:r>
          </w:p>
        </w:tc>
      </w:tr>
    </w:tbl>
    <w:p w14:paraId="7B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7C000000">
      <w:pPr>
        <w:pStyle w:val="Style_3"/>
        <w:numPr>
          <w:ilvl w:val="0"/>
          <w:numId w:val="5"/>
        </w:numPr>
        <w:spacing w:after="0" w:line="276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Необходимо отметить, что у некоторых руководителей управлений есть право </w:t>
      </w:r>
      <w:r>
        <w:rPr>
          <w:rFonts w:ascii="Times New Roman" w:hAnsi="Times New Roman"/>
          <w:sz w:val="28"/>
        </w:rPr>
        <w:t>вносить предложения по поощрению работников Управления, тогда как у других она отсутствует. В этой связи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считаем необходимым предусмотреть данное право для всех руководителей управлений.</w:t>
      </w:r>
    </w:p>
    <w:p w14:paraId="7D000000">
      <w:pPr>
        <w:spacing w:after="0"/>
        <w:ind w:firstLine="851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этом связи, рекомендуется внести соответствующие изменения в должностные инструкции для устранения вышеуказанных замечаний.</w:t>
      </w:r>
    </w:p>
    <w:p w14:paraId="7E000000">
      <w:pPr>
        <w:pStyle w:val="Style_3"/>
        <w:numPr>
          <w:ilvl w:val="0"/>
          <w:numId w:val="5"/>
        </w:numPr>
        <w:spacing w:after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ходе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анализа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обнаружены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тексты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формулировки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русском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казахском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языках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Например</w:t>
      </w:r>
      <w:r>
        <w:rPr>
          <w:rFonts w:ascii="Times New Roman" w:hAnsi="Times New Roman"/>
          <w:sz w:val="28"/>
        </w:rPr>
        <w:t xml:space="preserve">, пункт 2.1 </w:t>
      </w:r>
      <w:r>
        <w:rPr>
          <w:rFonts w:ascii="Times New Roman" w:hAnsi="Times New Roman"/>
          <w:sz w:val="28"/>
        </w:rPr>
        <w:t>инструкций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Директора</w:t>
      </w:r>
      <w:r>
        <w:rPr>
          <w:rFonts w:ascii="Times New Roman" w:hAnsi="Times New Roman"/>
          <w:sz w:val="28"/>
        </w:rPr>
        <w:t xml:space="preserve">, пункт 2 </w:t>
      </w:r>
      <w:r>
        <w:rPr>
          <w:rFonts w:ascii="Times New Roman" w:hAnsi="Times New Roman"/>
          <w:sz w:val="28"/>
        </w:rPr>
        <w:t>инструкций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заместителя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директора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должная</w:t>
      </w:r>
      <w:r>
        <w:rPr>
          <w:rFonts w:ascii="Times New Roman" w:hAnsi="Times New Roman"/>
          <w:sz w:val="28"/>
        </w:rPr>
        <w:t xml:space="preserve"> инструкция </w:t>
      </w:r>
      <w:r>
        <w:rPr>
          <w:rFonts w:ascii="Times New Roman" w:hAnsi="Times New Roman"/>
          <w:sz w:val="28"/>
        </w:rPr>
        <w:t>руководителя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закупок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совсем</w:t>
      </w:r>
      <w:r>
        <w:rPr>
          <w:rFonts w:ascii="Times New Roman" w:hAnsi="Times New Roman"/>
          <w:sz w:val="28"/>
        </w:rPr>
        <w:t xml:space="preserve"> не </w:t>
      </w:r>
      <w:r>
        <w:rPr>
          <w:rFonts w:ascii="Times New Roman" w:hAnsi="Times New Roman"/>
          <w:sz w:val="28"/>
        </w:rPr>
        <w:t>идентичны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русскому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варианту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Данные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коллизии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ненадлежащее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оформление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казахских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инструкций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несут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различные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формы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коррупционных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рисков</w:t>
      </w:r>
      <w:r>
        <w:rPr>
          <w:rFonts w:ascii="Times New Roman" w:hAnsi="Times New Roman"/>
          <w:sz w:val="28"/>
        </w:rPr>
        <w:t>.</w:t>
      </w:r>
    </w:p>
    <w:p w14:paraId="7F000000">
      <w:pPr>
        <w:pStyle w:val="Style_3"/>
        <w:spacing w:after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Мажилисе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Парламента</w:t>
      </w:r>
      <w:r>
        <w:rPr>
          <w:rFonts w:ascii="Times New Roman" w:hAnsi="Times New Roman"/>
          <w:sz w:val="28"/>
        </w:rPr>
        <w:t xml:space="preserve"> РК </w:t>
      </w:r>
      <w:r>
        <w:rPr>
          <w:rFonts w:ascii="Times New Roman" w:hAnsi="Times New Roman"/>
          <w:sz w:val="28"/>
        </w:rPr>
        <w:t>сейчас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находится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законопроект</w:t>
      </w:r>
      <w:r>
        <w:rPr>
          <w:rFonts w:ascii="Times New Roman" w:hAnsi="Times New Roman"/>
          <w:sz w:val="28"/>
        </w:rPr>
        <w:t xml:space="preserve"> о </w:t>
      </w:r>
      <w:r>
        <w:rPr>
          <w:rFonts w:ascii="Times New Roman" w:hAnsi="Times New Roman"/>
          <w:sz w:val="28"/>
        </w:rPr>
        <w:t>приоритетности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казахского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русским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считаем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целесообразным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установить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документах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аутентичность</w:t>
      </w:r>
      <w:r>
        <w:rPr>
          <w:rFonts w:ascii="Times New Roman" w:hAnsi="Times New Roman"/>
          <w:sz w:val="28"/>
        </w:rPr>
        <w:t>.</w:t>
      </w:r>
    </w:p>
    <w:p w14:paraId="80000000">
      <w:pPr>
        <w:pStyle w:val="Style_3"/>
        <w:spacing w:after="0"/>
        <w:ind w:firstLine="0" w:left="1495"/>
        <w:jc w:val="both"/>
        <w:rPr>
          <w:rFonts w:ascii="Times New Roman" w:hAnsi="Times New Roman"/>
          <w:sz w:val="28"/>
        </w:rPr>
      </w:pPr>
    </w:p>
    <w:p w14:paraId="81000000">
      <w:pPr>
        <w:widowControl w:val="0"/>
        <w:spacing w:after="0"/>
        <w:ind w:firstLine="773" w:left="0"/>
        <w:contextualSpacing w:val="1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Конфликты интересов</w:t>
      </w:r>
    </w:p>
    <w:p w14:paraId="82000000">
      <w:pPr>
        <w:pStyle w:val="Style_3"/>
        <w:numPr>
          <w:ilvl w:val="0"/>
          <w:numId w:val="5"/>
        </w:numPr>
        <w:spacing w:after="0" w:line="276" w:lineRule="auto"/>
        <w:ind w:firstLine="773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и тот же должностной уровень (пункты 3.10 и 3.21 руководителя Управления государственных закупок и обеспечения) отвечает как за организацию закупок, так и за подписание актов выполненных работ, что исключает эффективное разделение функций заказчика и контролера.</w:t>
      </w:r>
    </w:p>
    <w:p w14:paraId="83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подпунктам 2), 4), 8) ст. 6 Закона РК от 18 ноября 2015 года «О противодействии коррупции» и подпунктам 5) и 6) абзаца По направлению урегулирования конфликта интересов пункта 24 Методических рекомендаций по проведению внутреннего анализа коррупционных рисков, утвержденных приказом Председателя Агентства Республики Казахстан по противодействию коррупции от 30 декабря 2022 года  № 488 (далее - Методика), предусмотрено недопущение совмещения функций планирования, исполнения и контроля у одного и того же должностного лица.</w:t>
      </w:r>
    </w:p>
    <w:p w14:paraId="84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Проблема заключается в конфликте интересов и нарушении принципа внутреннего контроля. Один и тот же должностной уровень</w:t>
      </w:r>
      <w:r>
        <w:rPr>
          <w:rFonts w:ascii="Times New Roman" w:hAnsi="Times New Roman"/>
          <w:sz w:val="28"/>
        </w:rPr>
        <w:t xml:space="preserve">, структурное </w:t>
      </w:r>
      <w:r>
        <w:rPr>
          <w:rFonts w:ascii="Times New Roman" w:hAnsi="Times New Roman"/>
          <w:sz w:val="28"/>
        </w:rPr>
        <w:t>подразделение</w:t>
      </w:r>
      <w:r>
        <w:rPr>
          <w:rFonts w:ascii="Times New Roman" w:hAnsi="Times New Roman"/>
          <w:sz w:val="28"/>
        </w:rPr>
        <w:t xml:space="preserve"> выполняет две критически важные и потенциально конфликтующие функции</w:t>
      </w:r>
      <w:r>
        <w:rPr>
          <w:rFonts w:ascii="Times New Roman" w:hAnsi="Times New Roman"/>
          <w:sz w:val="28"/>
        </w:rPr>
        <w:t>, что создает возможность злоупотреблений и снижает прозрачность</w:t>
      </w:r>
      <w:r>
        <w:rPr>
          <w:rFonts w:ascii="Times New Roman" w:hAnsi="Times New Roman"/>
          <w:sz w:val="28"/>
        </w:rPr>
        <w:t>:</w:t>
      </w:r>
    </w:p>
    <w:p w14:paraId="85000000">
      <w:pPr>
        <w:numPr>
          <w:ilvl w:val="0"/>
          <w:numId w:val="6"/>
        </w:num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государственных закупок — включает в себя планирование, подготовку конкурсной документации, проведение процедур закупок и выбор поставщика.</w:t>
      </w:r>
    </w:p>
    <w:p w14:paraId="86000000">
      <w:pPr>
        <w:numPr>
          <w:ilvl w:val="0"/>
          <w:numId w:val="6"/>
        </w:num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Подписание актов выполненных работ — означает фактическое подтверждение выполнения обязательств поставщиком, включая объёмы, сроки и качество.</w:t>
      </w:r>
    </w:p>
    <w:p w14:paraId="87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Конфликт интересов и нарушение принципа внутреннего контроля проявляются в том, что одно и то же </w:t>
      </w:r>
      <w:r>
        <w:rPr>
          <w:rFonts w:ascii="Times New Roman" w:hAnsi="Times New Roman"/>
          <w:sz w:val="28"/>
        </w:rPr>
        <w:t>структурное подразделение</w:t>
      </w:r>
      <w:r>
        <w:rPr>
          <w:rFonts w:ascii="Times New Roman" w:hAnsi="Times New Roman"/>
          <w:sz w:val="28"/>
        </w:rPr>
        <w:t xml:space="preserve"> одновременно отвечает за</w:t>
      </w:r>
      <w:r>
        <w:rPr>
          <w:rFonts w:ascii="Times New Roman" w:hAnsi="Times New Roman"/>
          <w:sz w:val="28"/>
        </w:rPr>
        <w:t xml:space="preserve"> формирование потребности,</w:t>
      </w:r>
      <w:r>
        <w:rPr>
          <w:rFonts w:ascii="Times New Roman" w:hAnsi="Times New Roman"/>
          <w:sz w:val="28"/>
        </w:rPr>
        <w:t xml:space="preserve"> организацию государственных закупок и за подписание актов приёмки выполненных работ или оказанных услуг. Такая практика лишает систему закупок </w:t>
      </w:r>
      <w:r>
        <w:rPr>
          <w:rFonts w:ascii="Times New Roman" w:hAnsi="Times New Roman"/>
          <w:sz w:val="28"/>
        </w:rPr>
        <w:t xml:space="preserve">прозрачности процедур, </w:t>
      </w:r>
      <w:r>
        <w:rPr>
          <w:rFonts w:ascii="Times New Roman" w:hAnsi="Times New Roman"/>
          <w:sz w:val="28"/>
        </w:rPr>
        <w:t>надлежащего разделения ролей заказчика и контролёра, что создаёт условия для злоупотреблений.</w:t>
      </w:r>
    </w:p>
    <w:p w14:paraId="88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этих условиях возникает повышенный риск коррупционных проявлений: может быть допущен заранее «лояльный» поставщик; возможна фиксация объёмов или качества работ, которые фактически не выполнены или выполнены некачественно; выявление нарушений усложняется из-за отсутствия независимой проверки.</w:t>
      </w:r>
    </w:p>
    <w:p w14:paraId="89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избежание таких рисков функции должны быть чётко разграничены. Организацию и проведение процедур закупок должно обеспечивать одно </w:t>
      </w:r>
      <w:r>
        <w:rPr>
          <w:rFonts w:ascii="Times New Roman" w:hAnsi="Times New Roman"/>
          <w:sz w:val="28"/>
        </w:rPr>
        <w:t>управление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конкретн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е должностн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е лиц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. Контроль за качеством и объёмом выполненных работ или оказанных услуг, а также подписание актов приёмки должны осуществляться другим </w:t>
      </w:r>
      <w:r>
        <w:rPr>
          <w:rFonts w:ascii="Times New Roman" w:hAnsi="Times New Roman"/>
          <w:sz w:val="28"/>
        </w:rPr>
        <w:t>управлением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отдельным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уполномоченным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>.</w:t>
      </w:r>
    </w:p>
    <w:p w14:paraId="8A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Такой порядок соответствует принципам внутреннего контроля и требованиям обеспечения прозрачности и подотчётности.</w:t>
      </w:r>
    </w:p>
    <w:p w14:paraId="8B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этим рекомендуется пересмотреть </w:t>
      </w:r>
      <w:r>
        <w:rPr>
          <w:rFonts w:ascii="Times New Roman" w:hAnsi="Times New Roman"/>
          <w:sz w:val="28"/>
        </w:rPr>
        <w:t>организационную структуру Департамента</w:t>
      </w:r>
      <w:r>
        <w:rPr>
          <w:rFonts w:ascii="Times New Roman" w:hAnsi="Times New Roman"/>
          <w:sz w:val="28"/>
        </w:rPr>
        <w:t xml:space="preserve"> и систему распределения обязанностей. Необходимо установить запрет на совмещение функций планирования и организации закупок с функцией приёмки и контроля их исполнения одним и тем же должностным лицом. Следует внести соответствующие изменения в регламенты и внутренние контрольные процедуры для надлежащего разграничения полномочий и предотвращения конфликта интересов.</w:t>
      </w:r>
    </w:p>
    <w:p w14:paraId="8C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8D000000">
      <w:pPr>
        <w:pStyle w:val="Style_3"/>
        <w:widowControl w:val="0"/>
        <w:numPr>
          <w:ilvl w:val="0"/>
          <w:numId w:val="5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контролю качества бухгалтерского учета, сотрудник имеющий обязательства готовить отчетность, также отвечают за контроль корректности </w:t>
      </w:r>
      <w:r>
        <w:rPr>
          <w:rFonts w:ascii="Times New Roman" w:hAnsi="Times New Roman"/>
          <w:sz w:val="28"/>
        </w:rPr>
        <w:t xml:space="preserve">отражения данных в балансе, что препятствует объективности. Проблема заключается в </w:t>
      </w:r>
      <w:r>
        <w:rPr>
          <w:rFonts w:ascii="Times New Roman" w:hAnsi="Times New Roman"/>
          <w:b w:val="1"/>
          <w:sz w:val="28"/>
        </w:rPr>
        <w:t>отсутствии функционального разделения обязанностей</w:t>
      </w:r>
      <w:r>
        <w:rPr>
          <w:rFonts w:ascii="Times New Roman" w:hAnsi="Times New Roman"/>
          <w:sz w:val="28"/>
        </w:rPr>
        <w:t xml:space="preserve"> между составлением бухгалтерской отчетности и контролем её достоверности, что нарушает принципы </w:t>
      </w:r>
      <w:r>
        <w:rPr>
          <w:rFonts w:ascii="Times New Roman" w:hAnsi="Times New Roman"/>
          <w:b w:val="1"/>
          <w:sz w:val="28"/>
        </w:rPr>
        <w:t>внутреннего контроля</w:t>
      </w:r>
      <w:r>
        <w:rPr>
          <w:rFonts w:ascii="Times New Roman" w:hAnsi="Times New Roman"/>
          <w:sz w:val="28"/>
        </w:rPr>
        <w:t>.</w:t>
      </w:r>
    </w:p>
    <w:p w14:paraId="8E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положениями должностной инструкции главного эксперта </w:t>
      </w:r>
      <w:r>
        <w:rPr>
          <w:rFonts w:ascii="Times New Roman" w:hAnsi="Times New Roman"/>
          <w:sz w:val="28"/>
        </w:rPr>
        <w:t>Управления бухгалтерского учета и отчетности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Мергенбаевой</w:t>
      </w:r>
      <w:r>
        <w:rPr>
          <w:rFonts w:ascii="Times New Roman" w:hAnsi="Times New Roman"/>
          <w:i w:val="1"/>
          <w:sz w:val="28"/>
        </w:rPr>
        <w:t xml:space="preserve"> А.)</w:t>
      </w:r>
      <w:r>
        <w:rPr>
          <w:rFonts w:ascii="Times New Roman" w:hAnsi="Times New Roman"/>
          <w:sz w:val="28"/>
        </w:rPr>
        <w:t>, согласно пунктам 3.1, 3.6, 3.8, 3.11, 3.12 выполняет функции по формированию бухгалтерской и налоговой отчетности,  а также согласно пункту 3.9 проверяет корректность отражения хозяйственных операций в учете, участвует в мероприятиях внутреннего контроля и проведения ежеквартальной инвентаризации расчетов по платежам в бюджет, по обязательным социальным отчислениям, по обязательным пенсионным взносам, по отчислениям и взносам на обязательное социальное медицинское страхование в Государственную корпорацию «Правительство для граждан»,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 депонентами.</w:t>
      </w:r>
    </w:p>
    <w:p w14:paraId="8F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Такое совмещение функций приводит к конфликту интересов: сотрудник фактически проверяет собственную работу, что снижает эффективность контроля и создает условия для возможного сокрытия ошибок или искажения данных. В результате объективность внутреннего контроля утрачивается, а его роль сводится к формальной проверке без реальной гарантии достоверности отчетности. </w:t>
      </w:r>
    </w:p>
    <w:p w14:paraId="90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требованиям функции ведения учета и функции контроля должны быть четко разделены в целях обеспечения прозрачности и достоверности финансовой отчетности. Практическая реализация данного принципа предусматривает, что подготовку первичных учетных данных, бухгалтерских проводок и формирование отчетности осуществляет один исполнитель, проверку достоверности данных и контроль корректности их отражения в учете выполняет руководитель или иное лицо, не связанное с подготовкой этих данных.</w:t>
      </w:r>
    </w:p>
    <w:p w14:paraId="91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этой связи, необходимо внесение изменений в должностные инструкции для разделения функций.</w:t>
      </w:r>
    </w:p>
    <w:p w14:paraId="92000000">
      <w:pPr>
        <w:pStyle w:val="Style_3"/>
        <w:numPr>
          <w:ilvl w:val="0"/>
          <w:numId w:val="5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пункту 3.3. должностных инструкций </w:t>
      </w:r>
      <w:r>
        <w:rPr>
          <w:rFonts w:ascii="Times New Roman" w:hAnsi="Times New Roman"/>
          <w:sz w:val="28"/>
        </w:rPr>
        <w:t xml:space="preserve">руководителя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</w:t>
      </w:r>
      <w:r>
        <w:rPr>
          <w:rFonts w:ascii="Times New Roman" w:hAnsi="Times New Roman"/>
          <w:sz w:val="28"/>
        </w:rPr>
        <w:t xml:space="preserve"> корпоративного развития</w:t>
      </w:r>
      <w:r>
        <w:rPr>
          <w:rFonts w:ascii="Times New Roman" w:hAnsi="Times New Roman"/>
          <w:sz w:val="28"/>
        </w:rPr>
        <w:t xml:space="preserve"> в обязанности руководителя входит обеспечение рассмотрения плана развития и плана мероприятий подведомственных организаций центрального аппарата Министерства, согласно пункту 3.12 обеспечение осуществления мониторинга реализации планов развития и планов мероприятий подведомственных организаций центрального аппарата Министерства. Такие же дублированные пункты имеются в должностных инструкциях главного эксперта данного управления в пунктах 3.1 и 3.7.</w:t>
      </w:r>
    </w:p>
    <w:p w14:paraId="93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Слово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рассматривать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имеет неоднозначное понятие, которое может также подразумевать согласование, корректировку и внесение изменений, необходимо уточнить и конкретизировать рассмотрение на предмет чего. Юридико-лингвистическая неопределенность, а также широта дискреционных полномочий относятся коррупционным рискам согласно пункту 21 Методики.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Недопущение дублирования функций, так как может привести к таким проблемам, как неясность, коррупционные риски и снижение эффективности. Когда несколько сотрудников выполняют одни и те же функции, это может вызвать неясность в ответственности и процессе принятия решений, а также к перерасходу ресурсов и снижению производительности труда. Пересечение функций может привести к возникновению условий для коррупции, когда неясно, кто несет ответственность за те или иные действия. </w:t>
      </w:r>
    </w:p>
    <w:p w14:paraId="94000000">
      <w:pPr>
        <w:spacing w:after="0"/>
        <w:ind w:firstLine="709" w:left="0"/>
        <w:contextualSpacing w:val="1"/>
        <w:jc w:val="both"/>
        <w:rPr>
          <w:rFonts w:ascii="Times New Roman" w:hAnsi="Times New Roman"/>
          <w:shadow w:val="1"/>
          <w:color w:val="1E1E1E"/>
          <w:sz w:val="28"/>
        </w:rPr>
      </w:pPr>
    </w:p>
    <w:p w14:paraId="95000000">
      <w:pPr>
        <w:pStyle w:val="Style_3"/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Управление персоналом, включая сменяемость кадров</w:t>
      </w:r>
    </w:p>
    <w:p w14:paraId="96000000">
      <w:p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неурегулированность</w:t>
      </w:r>
      <w:r>
        <w:rPr>
          <w:rFonts w:ascii="Times New Roman" w:hAnsi="Times New Roman"/>
          <w:sz w:val="28"/>
        </w:rPr>
        <w:t xml:space="preserve"> вопросов порядка отбора и назначения на должность – </w:t>
      </w:r>
      <w:r>
        <w:rPr>
          <w:rFonts w:ascii="Times New Roman" w:hAnsi="Times New Roman"/>
          <w:b w:val="1"/>
          <w:sz w:val="28"/>
        </w:rPr>
        <w:t>нет;</w:t>
      </w:r>
    </w:p>
    <w:p w14:paraId="9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назначение на должность без проведения конкурсного отбора - </w:t>
      </w:r>
      <w:r>
        <w:rPr>
          <w:rFonts w:ascii="Times New Roman" w:hAnsi="Times New Roman"/>
          <w:b w:val="1"/>
          <w:sz w:val="28"/>
        </w:rPr>
        <w:t xml:space="preserve">2024 года 5 декабря в порядке перевода по согласованию Министра </w:t>
      </w:r>
      <w:r>
        <w:rPr>
          <w:rFonts w:ascii="Times New Roman" w:hAnsi="Times New Roman"/>
          <w:b w:val="1"/>
          <w:sz w:val="28"/>
        </w:rPr>
        <w:t>Акбердиева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Жазира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Нурмахыметовна</w:t>
      </w:r>
      <w:r>
        <w:rPr>
          <w:rFonts w:ascii="Times New Roman" w:hAnsi="Times New Roman"/>
          <w:b w:val="1"/>
          <w:sz w:val="28"/>
        </w:rPr>
        <w:t xml:space="preserve"> назначена директором Департамента</w:t>
      </w:r>
      <w:r>
        <w:rPr>
          <w:rFonts w:ascii="Times New Roman" w:hAnsi="Times New Roman"/>
          <w:sz w:val="28"/>
        </w:rPr>
        <w:t xml:space="preserve">; </w:t>
      </w:r>
    </w:p>
    <w:p w14:paraId="98000000">
      <w:p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3) формальное проведение конкурсного отбора, принятие на работу лиц, не соответствующих квалификационным требованиям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b w:val="1"/>
          <w:sz w:val="28"/>
        </w:rPr>
        <w:t>нет;</w:t>
      </w:r>
    </w:p>
    <w:p w14:paraId="99000000">
      <w:p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4) не размещение, несвоевременное и/или неполное размещение информации о наличии вакансии, квалификационных требований, перечне необходимых документов, лицах, допущенных к различным этапам отбора – </w:t>
      </w:r>
      <w:r>
        <w:rPr>
          <w:rFonts w:ascii="Times New Roman" w:hAnsi="Times New Roman"/>
          <w:b w:val="1"/>
          <w:sz w:val="28"/>
        </w:rPr>
        <w:t>нет;</w:t>
      </w:r>
    </w:p>
    <w:p w14:paraId="9A000000">
      <w:p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5) отсутствие сроков проведения этапов отбора (размещение объявления о вакансии, прием документов, собеседования, тестирования и т.д.) – </w:t>
      </w:r>
      <w:r>
        <w:rPr>
          <w:rFonts w:ascii="Times New Roman" w:hAnsi="Times New Roman"/>
          <w:b w:val="1"/>
          <w:sz w:val="28"/>
        </w:rPr>
        <w:t>нет;</w:t>
      </w:r>
    </w:p>
    <w:p w14:paraId="9B000000">
      <w:p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6) отсутствие механизма формирования и защиты вопросов для проведения собеседования и тестирования – </w:t>
      </w:r>
      <w:r>
        <w:rPr>
          <w:rFonts w:ascii="Times New Roman" w:hAnsi="Times New Roman"/>
          <w:b w:val="1"/>
          <w:sz w:val="28"/>
        </w:rPr>
        <w:t>нет;</w:t>
      </w:r>
    </w:p>
    <w:p w14:paraId="9C000000">
      <w:p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7) создание неравных условий для кандидатов – </w:t>
      </w:r>
      <w:r>
        <w:rPr>
          <w:rFonts w:ascii="Times New Roman" w:hAnsi="Times New Roman"/>
          <w:b w:val="1"/>
          <w:sz w:val="28"/>
        </w:rPr>
        <w:t>нет;</w:t>
      </w:r>
    </w:p>
    <w:p w14:paraId="9D000000">
      <w:p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8) не обеспечение мер по урегулированию конфликта интересов у лиц, принимающих решение о приеме кандидатов на работу – </w:t>
      </w:r>
      <w:r>
        <w:rPr>
          <w:rFonts w:ascii="Times New Roman" w:hAnsi="Times New Roman"/>
          <w:b w:val="1"/>
          <w:sz w:val="28"/>
        </w:rPr>
        <w:t>нет;</w:t>
      </w:r>
    </w:p>
    <w:p w14:paraId="9E000000">
      <w:p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9) повышение работников в должности, перевод на иные должности без проведения конкурсного отбора – </w:t>
      </w:r>
      <w:r>
        <w:rPr>
          <w:rFonts w:ascii="Times New Roman" w:hAnsi="Times New Roman"/>
          <w:b w:val="1"/>
          <w:sz w:val="28"/>
        </w:rPr>
        <w:t>нет;</w:t>
      </w:r>
    </w:p>
    <w:p w14:paraId="9F000000">
      <w:p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10) закрытость информации о заработных платах, поощрениях работников объекта анализа – </w:t>
      </w:r>
      <w:r>
        <w:rPr>
          <w:rFonts w:ascii="Times New Roman" w:hAnsi="Times New Roman"/>
          <w:b w:val="1"/>
          <w:sz w:val="28"/>
        </w:rPr>
        <w:t>нет;</w:t>
      </w:r>
    </w:p>
    <w:p w14:paraId="A0000000">
      <w:p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11) поощрение работников при наличии не снятых дисциплинарных взысканий – </w:t>
      </w:r>
      <w:r>
        <w:rPr>
          <w:rFonts w:ascii="Times New Roman" w:hAnsi="Times New Roman"/>
          <w:b w:val="1"/>
          <w:sz w:val="28"/>
        </w:rPr>
        <w:t>нет;</w:t>
      </w:r>
    </w:p>
    <w:p w14:paraId="A1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большой удельный вес досрочно снятых дисциплинарных взысканий – </w:t>
      </w:r>
      <w:r>
        <w:rPr>
          <w:rFonts w:ascii="Times New Roman" w:hAnsi="Times New Roman"/>
          <w:b w:val="1"/>
          <w:sz w:val="28"/>
        </w:rPr>
        <w:t>за указанный период сотрудники Департамента не привлекались к дисциплинарной ответственности;</w:t>
      </w:r>
    </w:p>
    <w:p w14:paraId="A2000000">
      <w:p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13) поощрение работников на усмотрение должностных лиц объекта анализа вне зависимости от результатов работы – </w:t>
      </w:r>
      <w:r>
        <w:rPr>
          <w:rFonts w:ascii="Times New Roman" w:hAnsi="Times New Roman"/>
          <w:b w:val="1"/>
          <w:sz w:val="28"/>
        </w:rPr>
        <w:t>нет;</w:t>
      </w:r>
    </w:p>
    <w:p w14:paraId="A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снятие дисциплинарных взысканий в чрезмерно короткие сроки – </w:t>
      </w:r>
      <w:r>
        <w:rPr>
          <w:rFonts w:ascii="Times New Roman" w:hAnsi="Times New Roman"/>
          <w:b w:val="1"/>
          <w:sz w:val="28"/>
        </w:rPr>
        <w:t>нет;</w:t>
      </w:r>
    </w:p>
    <w:p w14:paraId="A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не применение мер дисциплинарного характера к лицам, совершившим или допустившим нарушения законодательства, нарушения или ограничения прав физических или юридических лиц и др. - </w:t>
      </w:r>
      <w:r>
        <w:rPr>
          <w:rFonts w:ascii="Times New Roman" w:hAnsi="Times New Roman"/>
          <w:b w:val="1"/>
          <w:sz w:val="28"/>
        </w:rPr>
        <w:t>за указанный период информация о нарушении сотрудниками Департамента сроков рассмотрения обращений физических или юридических не поступала.</w:t>
      </w:r>
    </w:p>
    <w:p w14:paraId="A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A6000000">
      <w:p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Штатная численность </w:t>
      </w:r>
      <w:r>
        <w:rPr>
          <w:rFonts w:ascii="Times New Roman" w:hAnsi="Times New Roman"/>
          <w:b w:val="1"/>
          <w:sz w:val="28"/>
        </w:rPr>
        <w:t>Департамента</w:t>
      </w:r>
      <w:r>
        <w:rPr>
          <w:rFonts w:ascii="Times New Roman" w:hAnsi="Times New Roman"/>
          <w:sz w:val="28"/>
        </w:rPr>
        <w:t xml:space="preserve"> на июнь месяц 2024 и 2025 года </w:t>
      </w:r>
      <w:r>
        <w:rPr>
          <w:rFonts w:ascii="Times New Roman" w:hAnsi="Times New Roman"/>
          <w:b w:val="1"/>
          <w:sz w:val="28"/>
        </w:rPr>
        <w:t>20 ед.</w:t>
      </w:r>
    </w:p>
    <w:p w14:paraId="A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Фактическая численность на июнь 2024 года</w:t>
      </w:r>
      <w:r>
        <w:rPr>
          <w:rFonts w:ascii="Times New Roman" w:hAnsi="Times New Roman"/>
          <w:b w:val="1"/>
          <w:sz w:val="28"/>
        </w:rPr>
        <w:t xml:space="preserve"> 20 ед., </w:t>
      </w:r>
      <w:r>
        <w:rPr>
          <w:rFonts w:ascii="Times New Roman" w:hAnsi="Times New Roman"/>
          <w:sz w:val="28"/>
        </w:rPr>
        <w:t>на июнь 2025 года</w:t>
      </w:r>
      <w:r>
        <w:rPr>
          <w:rFonts w:ascii="Times New Roman" w:hAnsi="Times New Roman"/>
          <w:b w:val="1"/>
          <w:sz w:val="28"/>
        </w:rPr>
        <w:t xml:space="preserve"> 18 ед.</w:t>
      </w:r>
    </w:p>
    <w:p w14:paraId="A8000000">
      <w:pPr>
        <w:pStyle w:val="Style_3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2024 года 12 сентября   по общему конкурсу был принят на работу главным экспертом Управления корпоративного развития - </w:t>
      </w:r>
      <w:r>
        <w:rPr>
          <w:rFonts w:ascii="Times New Roman" w:hAnsi="Times New Roman"/>
          <w:b w:val="1"/>
          <w:sz w:val="28"/>
        </w:rPr>
        <w:t>Сереке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Асылхан</w:t>
      </w:r>
      <w:r>
        <w:rPr>
          <w:rFonts w:ascii="Times New Roman" w:hAnsi="Times New Roman"/>
          <w:sz w:val="28"/>
        </w:rPr>
        <w:t>.</w:t>
      </w:r>
    </w:p>
    <w:p w14:paraId="A9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году 29 апреля был уволен по собственному желанию.</w:t>
      </w:r>
    </w:p>
    <w:p w14:paraId="AA000000">
      <w:pPr>
        <w:pStyle w:val="Style_3"/>
        <w:spacing w:after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2025 году 10 февраля по внутреннему конкурсу была принята на должность заместителя директора ДФКУ - </w:t>
      </w:r>
      <w:r>
        <w:rPr>
          <w:rFonts w:ascii="Times New Roman" w:hAnsi="Times New Roman"/>
          <w:b w:val="1"/>
          <w:sz w:val="28"/>
        </w:rPr>
        <w:t>Смагулова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Арайлым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Турсунгазыевна</w:t>
      </w:r>
      <w:r>
        <w:rPr>
          <w:rFonts w:ascii="Times New Roman" w:hAnsi="Times New Roman"/>
          <w:b w:val="1"/>
          <w:sz w:val="28"/>
        </w:rPr>
        <w:t>.</w:t>
      </w:r>
    </w:p>
    <w:p w14:paraId="AB000000">
      <w:pPr>
        <w:pStyle w:val="Style_3"/>
        <w:spacing w:after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2025 году 27 февраля была уволена в связи с назначением на другую государственную должность, в Комитет – </w:t>
      </w:r>
      <w:r>
        <w:rPr>
          <w:rFonts w:ascii="Times New Roman" w:hAnsi="Times New Roman"/>
          <w:b w:val="1"/>
          <w:sz w:val="28"/>
        </w:rPr>
        <w:t>Джумабекова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Багнур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Жарысхановна</w:t>
      </w:r>
      <w:r>
        <w:rPr>
          <w:rFonts w:ascii="Times New Roman" w:hAnsi="Times New Roman"/>
          <w:b w:val="1"/>
          <w:sz w:val="28"/>
        </w:rPr>
        <w:t>.</w:t>
      </w:r>
    </w:p>
    <w:p w14:paraId="AC000000">
      <w:pPr>
        <w:pStyle w:val="Style_3"/>
        <w:spacing w:after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С июня 2024 по июнь 2025 года были проведены</w:t>
      </w:r>
      <w:r>
        <w:rPr>
          <w:rFonts w:ascii="Times New Roman" w:hAnsi="Times New Roman"/>
          <w:b w:val="1"/>
          <w:sz w:val="28"/>
        </w:rPr>
        <w:t xml:space="preserve"> 3 общих конкурса и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2 внутренних конкурса.</w:t>
      </w:r>
    </w:p>
    <w:p w14:paraId="AD000000">
      <w:pPr>
        <w:pStyle w:val="Style_3"/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AE000000">
      <w:pPr>
        <w:pStyle w:val="Style_3"/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Оказание государственных услуг</w:t>
      </w:r>
    </w:p>
    <w:p w14:paraId="AF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Департаментом государственные услуги </w:t>
      </w:r>
      <w:r>
        <w:rPr>
          <w:rFonts w:ascii="Times New Roman" w:hAnsi="Times New Roman"/>
          <w:b w:val="1"/>
          <w:sz w:val="28"/>
        </w:rPr>
        <w:t>не оказываются</w:t>
      </w:r>
      <w:r>
        <w:rPr>
          <w:rFonts w:ascii="Times New Roman" w:hAnsi="Times New Roman"/>
          <w:sz w:val="28"/>
        </w:rPr>
        <w:t>.</w:t>
      </w:r>
    </w:p>
    <w:p w14:paraId="B0000000">
      <w:pPr>
        <w:tabs>
          <w:tab w:leader="none" w:pos="993" w:val="left"/>
        </w:tabs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B1000000">
      <w:pPr>
        <w:pStyle w:val="Style_3"/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Реализация разрешительных функций</w:t>
      </w:r>
    </w:p>
    <w:p w14:paraId="B2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Департаментом разрешительные функции </w:t>
      </w:r>
      <w:r>
        <w:rPr>
          <w:rFonts w:ascii="Times New Roman" w:hAnsi="Times New Roman"/>
          <w:b w:val="1"/>
          <w:sz w:val="28"/>
        </w:rPr>
        <w:t>не осуществляются</w:t>
      </w:r>
      <w:r>
        <w:rPr>
          <w:rFonts w:ascii="Times New Roman" w:hAnsi="Times New Roman"/>
          <w:sz w:val="28"/>
        </w:rPr>
        <w:t>.</w:t>
      </w:r>
    </w:p>
    <w:p w14:paraId="B3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B4000000">
      <w:pPr>
        <w:spacing w:after="0"/>
        <w:ind w:firstLine="709" w:left="0"/>
        <w:contextualSpacing w:val="1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По противодействию коррупции</w:t>
      </w:r>
    </w:p>
    <w:p w14:paraId="B5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Министерстве функции по противодействию коррупции возложены на Департамент внутреннего аудита, вопросы превенции и разъяснения на Уполномоченного по этике и закреплены в должностных инструкциях, структурное подразделение по данному направлению функционирует. План мероприятий по профилактике коррупции утвержден, политика по противодействию коррупции разработана и действует. Обучающие и разъясняющие мероприятия для работников проводятся регулярно; с начала 2025 года было проведено более десяти семинаров, тренингов в том числе проведено мероприятие 29 апреля 2025 года с участием представителя Агентства по противодействию коррупции Республики Казахстан.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B6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работники, являющиеся лицами, уполномоченными на выполнение государственных функций, приняли антикоррупционные ограничения своевременно при поступлении на государственную службу.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рамках проведения внутреннего анализа, сотрудники Департамента проверены по системе «Информационный сервис» Комитета правовой статистики и специальным учетам Генеральной прокуратуры Республики Казахстан. Сведений о привлечении к административной и уголовной ответственности за совершение коррупционных правонарушений </w:t>
      </w:r>
      <w:r>
        <w:rPr>
          <w:rFonts w:ascii="Times New Roman" w:hAnsi="Times New Roman"/>
          <w:sz w:val="28"/>
        </w:rPr>
        <w:t>не выявлено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Фактов несоблюдения установленных антикоррупционных ограничений не установлено. </w:t>
      </w:r>
      <w:r>
        <w:rPr>
          <w:rFonts w:ascii="Times New Roman" w:hAnsi="Times New Roman"/>
          <w:sz w:val="28"/>
        </w:rPr>
        <w:t xml:space="preserve">Фактов жалоб физических и юридических лиц, в том числе в СМИ, в отношении сотрудников Департамента о неправомерных их действиях коррупционного характера </w:t>
      </w:r>
      <w:r>
        <w:rPr>
          <w:rFonts w:ascii="Times New Roman" w:hAnsi="Times New Roman"/>
          <w:sz w:val="28"/>
        </w:rPr>
        <w:t>нет.</w:t>
      </w:r>
    </w:p>
    <w:p w14:paraId="B7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Министерстве предусмотрены и функционируют официальные каналы сообщения о фактах коррупции, включая анонимные обращения. Жалоб физических и юридических лиц, в том числе в СМИ, о неправомерных действиях коррупционного характера в отношении работников Департамента не выявлено.</w:t>
      </w:r>
    </w:p>
    <w:p w14:paraId="B8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работы по противодействию коррупции в Министерстве обеспечивается в соответствии с требованиями законодательства и внутренними регламентами.</w:t>
      </w:r>
    </w:p>
    <w:p w14:paraId="B9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BA000000">
      <w:pPr>
        <w:spacing w:after="0"/>
        <w:ind w:firstLine="709" w:left="0" w:right="-2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анализируемый период проведены контрольные мероприятия:</w:t>
      </w:r>
    </w:p>
    <w:p w14:paraId="BB000000">
      <w:pPr>
        <w:pStyle w:val="Style_3"/>
        <w:numPr>
          <w:ilvl w:val="0"/>
          <w:numId w:val="7"/>
        </w:numPr>
        <w:tabs>
          <w:tab w:leader="none" w:pos="993" w:val="left"/>
        </w:tabs>
        <w:spacing w:after="0" w:line="276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Комитетом внутреннего государственного аудита Министерства финансов Республики Казахстан проведен аудит по консолидированной финансовой отчетности за 2024 год по состоянию на 1 января 2025 года;</w:t>
      </w:r>
    </w:p>
    <w:p w14:paraId="BC000000">
      <w:pPr>
        <w:pStyle w:val="Style_3"/>
        <w:numPr>
          <w:ilvl w:val="0"/>
          <w:numId w:val="7"/>
        </w:numPr>
        <w:tabs>
          <w:tab w:leader="none" w:pos="993" w:val="left"/>
        </w:tabs>
        <w:spacing w:after="0" w:line="276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Высшей аудиторской палатой Республики Казахстан, проведен г</w:t>
      </w:r>
      <w:r>
        <w:rPr>
          <w:rFonts w:ascii="Times New Roman" w:hAnsi="Times New Roman"/>
          <w:sz w:val="28"/>
        </w:rPr>
        <w:t>осударственный</w:t>
      </w:r>
      <w:r>
        <w:rPr>
          <w:rFonts w:ascii="Times New Roman" w:hAnsi="Times New Roman"/>
          <w:sz w:val="28"/>
        </w:rPr>
        <w:t xml:space="preserve"> аудит использования национальных ресурсов в сфере геологоразведки и недропользования за период с 4 октября 2023 года по 31 декабря 2024 года.</w:t>
      </w:r>
    </w:p>
    <w:p w14:paraId="BD000000">
      <w:pPr>
        <w:pStyle w:val="Style_3"/>
        <w:spacing w:after="0" w:line="276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актами контрольных мероприятий установлен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</w:rPr>
        <w:t>ряд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нарушен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Часть выявленных нарушений устранена в ходе контрольных мероприятий.</w:t>
      </w:r>
    </w:p>
    <w:p w14:paraId="BE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Акты контрольных органов Министерством рассмотрены, ряд нарушений устранены в ходе контроля, принимаются соответствующие меры по устранению выявленных нарушений.</w:t>
      </w:r>
    </w:p>
    <w:p w14:paraId="BF000000">
      <w:pPr>
        <w:spacing w:after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 не менее, анализ заключений контрольных мероприятий указывает, что</w:t>
      </w:r>
      <w:r>
        <w:rPr>
          <w:rFonts w:ascii="Times New Roman" w:hAnsi="Times New Roman"/>
          <w:sz w:val="28"/>
        </w:rPr>
        <w:t xml:space="preserve"> финансовыми службами Министерства </w:t>
      </w:r>
      <w:r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обеспечения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C0000000">
      <w:pPr>
        <w:pStyle w:val="Style_3"/>
        <w:numPr>
          <w:ilvl w:val="3"/>
          <w:numId w:val="8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корректного учёта и своевременного отражения хозяйственных операций;</w:t>
      </w:r>
    </w:p>
    <w:p w14:paraId="C1000000">
      <w:pPr>
        <w:pStyle w:val="Style_3"/>
        <w:numPr>
          <w:ilvl w:val="3"/>
          <w:numId w:val="8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мониторинг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и контрол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состояни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дебиторской и кредиторской задолженности</w:t>
      </w:r>
      <w:r>
        <w:rPr>
          <w:rFonts w:ascii="Times New Roman" w:hAnsi="Times New Roman"/>
          <w:sz w:val="28"/>
        </w:rPr>
        <w:t>.</w:t>
      </w:r>
    </w:p>
    <w:p w14:paraId="C2000000">
      <w:pPr>
        <w:pStyle w:val="Style_3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Выявленные недочеты ве</w:t>
      </w:r>
      <w:r>
        <w:rPr>
          <w:rFonts w:ascii="Times New Roman" w:hAnsi="Times New Roman"/>
          <w:sz w:val="28"/>
        </w:rPr>
        <w:t>дут к рискам искажения финансовой отчетности, потенциальным убыткам бюджета и систематическим нарушениям финансовой дисциплины</w:t>
      </w:r>
      <w:r>
        <w:rPr>
          <w:rFonts w:ascii="Times New Roman" w:hAnsi="Times New Roman"/>
          <w:sz w:val="28"/>
        </w:rPr>
        <w:t>, а также на</w:t>
      </w:r>
      <w:r>
        <w:rPr>
          <w:rFonts w:ascii="Times New Roman" w:hAnsi="Times New Roman"/>
          <w:sz w:val="28"/>
        </w:rPr>
        <w:t xml:space="preserve"> повышенный коррупционный риск при отражении активов, расходовании средств на командировки и применении процедур бухгалтерского учёта.</w:t>
      </w:r>
    </w:p>
    <w:p w14:paraId="C3000000">
      <w:pPr>
        <w:pStyle w:val="Style_3"/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рекомендации:</w:t>
      </w:r>
    </w:p>
    <w:p w14:paraId="C5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Департаменту в течение 10 рабочих дней со дня подписания настоящей справки, разработать и утвердить план мероприятий по устранению причин и условий, способствующих совершению коррупционных правонарушений, выявленных по результатам анализа (мероприятия должны носить конкретный характер и быть достаточными для устранения выявленных коррупционных рисков);</w:t>
      </w:r>
    </w:p>
    <w:p w14:paraId="C6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Департаменту ежеквартально, не позднее 5 числа, следующего за отчетным периодом, предоставлять в Департамент внутреннего аудита информацию о ходе исполнения рекомендации, с приложением </w:t>
      </w:r>
      <w:r>
        <w:rPr>
          <w:rFonts w:ascii="Times New Roman" w:hAnsi="Times New Roman"/>
          <w:sz w:val="28"/>
        </w:rPr>
        <w:t>подтверждающих документов.</w:t>
      </w:r>
    </w:p>
    <w:p w14:paraId="C7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C8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C9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Руководитель аппарата </w:t>
      </w:r>
    </w:p>
    <w:p w14:paraId="CA000000">
      <w:pPr>
        <w:widowControl w:val="0"/>
        <w:spacing w:after="0"/>
        <w:ind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Министерства промышленности и </w:t>
      </w:r>
      <w:r>
        <w:drawing>
          <wp:anchor allowOverlap="true" behindDoc="true" distL="114300" distR="114300" layoutInCell="true" locked="false" relativeHeight="251658240" simplePos="false">
            <wp:simplePos x="0" y="0"/>
            <wp:positionH relativeFrom="column">
              <wp:posOffset>3141345</wp:posOffset>
            </wp:positionH>
            <wp:positionV relativeFrom="page">
              <wp:posOffset>7061211</wp:posOffset>
            </wp:positionV>
            <wp:extent cx="1541840" cy="1536192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1541840" cy="1536192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CB000000">
      <w:pPr>
        <w:widowControl w:val="0"/>
        <w:spacing w:after="0"/>
        <w:ind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строительства Республики Казахстан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                     </w:t>
      </w:r>
      <w:r>
        <w:rPr>
          <w:rFonts w:ascii="Times New Roman" w:hAnsi="Times New Roman"/>
          <w:b w:val="1"/>
          <w:sz w:val="28"/>
        </w:rPr>
        <w:t xml:space="preserve">   А. </w:t>
      </w:r>
      <w:r>
        <w:rPr>
          <w:rFonts w:ascii="Times New Roman" w:hAnsi="Times New Roman"/>
          <w:b w:val="1"/>
          <w:sz w:val="28"/>
        </w:rPr>
        <w:t>Кенжебаева</w:t>
      </w:r>
    </w:p>
    <w:p w14:paraId="CC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CD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CE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CF000000">
      <w:pPr>
        <w:widowControl w:val="0"/>
        <w:spacing w:after="0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276" w:right="849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decimal"/>
      <w:lvlText w:val="%3."/>
      <w:lvlJc w:val="left"/>
      <w:pPr>
        <w:ind w:hanging="360" w:left="2160"/>
      </w:pPr>
    </w:lvl>
    <w:lvl w:ilvl="3">
      <w:start w:val="1"/>
      <w:numFmt w:val="upperRoman"/>
      <w:lvlText w:val="%4."/>
      <w:lvlJc w:val="righ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decimal"/>
      <w:lvlText w:val="%6."/>
      <w:lvlJc w:val="left"/>
      <w:pPr>
        <w:ind w:hanging="360" w:left="4320"/>
      </w:pPr>
    </w:lvl>
    <w:lvl w:ilvl="6">
      <w:start w:val="1"/>
      <w:numFmt w:val="upperRoman"/>
      <w:lvlText w:val="%7."/>
      <w:lvlJc w:val="righ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decimal"/>
      <w:lvlText w:val="%9."/>
      <w:lvlJc w:val="left"/>
      <w:pPr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decimal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lvlJc w:val="left"/>
      <w:pPr>
        <w:ind w:hanging="360" w:left="2880"/>
      </w:pPr>
    </w:lvl>
    <w:lvl w:ilvl="4">
      <w:start w:val="1"/>
      <w:numFmt w:val="decimal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lvlJc w:val="left"/>
      <w:pPr>
        <w:ind w:hanging="360" w:left="5040"/>
      </w:pPr>
    </w:lvl>
    <w:lvl w:ilvl="7">
      <w:start w:val="1"/>
      <w:numFmt w:val="decimal"/>
      <w:lvlText w:val="%8)"/>
      <w:lvlJc w:val="left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3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9"/>
      <w:numFmt w:val="decimal"/>
      <w:lvlText w:val="%1."/>
      <w:lvlJc w:val="left"/>
      <w:pPr>
        <w:ind w:hanging="360" w:left="1495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ind w:hanging="360" w:left="3490"/>
      </w:pPr>
    </w:lvl>
    <w:lvl w:ilvl="2">
      <w:start w:val="1"/>
      <w:numFmt w:val="lowerRoman"/>
      <w:lvlText w:val="%3."/>
      <w:lvlJc w:val="right"/>
      <w:pPr>
        <w:ind w:hanging="180" w:left="4210"/>
      </w:pPr>
    </w:lvl>
    <w:lvl w:ilvl="3">
      <w:start w:val="1"/>
      <w:numFmt w:val="decimal"/>
      <w:lvlText w:val="%4."/>
      <w:lvlJc w:val="left"/>
      <w:pPr>
        <w:ind w:hanging="360" w:left="4930"/>
      </w:pPr>
    </w:lvl>
    <w:lvl w:ilvl="4">
      <w:start w:val="1"/>
      <w:numFmt w:val="lowerLetter"/>
      <w:lvlText w:val="%5."/>
      <w:lvlJc w:val="left"/>
      <w:pPr>
        <w:ind w:hanging="360" w:left="5650"/>
      </w:pPr>
    </w:lvl>
    <w:lvl w:ilvl="5">
      <w:start w:val="1"/>
      <w:numFmt w:val="lowerRoman"/>
      <w:lvlText w:val="%6."/>
      <w:lvlJc w:val="right"/>
      <w:pPr>
        <w:ind w:hanging="180" w:left="6370"/>
      </w:pPr>
    </w:lvl>
    <w:lvl w:ilvl="6">
      <w:start w:val="1"/>
      <w:numFmt w:val="decimal"/>
      <w:lvlText w:val="%7."/>
      <w:lvlJc w:val="left"/>
      <w:pPr>
        <w:ind w:hanging="360" w:left="7090"/>
      </w:pPr>
    </w:lvl>
    <w:lvl w:ilvl="7">
      <w:start w:val="1"/>
      <w:numFmt w:val="lowerLetter"/>
      <w:lvlText w:val="%8."/>
      <w:lvlJc w:val="left"/>
      <w:pPr>
        <w:ind w:hanging="360" w:left="7810"/>
      </w:pPr>
    </w:lvl>
    <w:lvl w:ilvl="8">
      <w:start w:val="1"/>
      <w:numFmt w:val="lowerRoman"/>
      <w:lvlText w:val="%9."/>
      <w:lvlJc w:val="right"/>
      <w:pPr>
        <w:ind w:hanging="180" w:left="8530"/>
      </w:pPr>
    </w:lvl>
  </w:abstractNum>
  <w:abstractNum w:abstractNumId="5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0" w:left="790"/>
      </w:pPr>
    </w:lvl>
    <w:lvl w:ilvl="2">
      <w:start w:val="1"/>
      <w:numFmt w:val="decimal"/>
      <w:lvlText w:val="%1.%2.%3."/>
      <w:lvlJc w:val="left"/>
      <w:pPr>
        <w:ind w:hanging="505" w:left="1225"/>
      </w:pPr>
    </w:lvl>
    <w:lvl w:ilvl="3">
      <w:start w:val="1"/>
      <w:numFmt w:val="decimal"/>
      <w:lvlText w:val="%1.%2.%3.%4."/>
      <w:lvlJc w:val="left"/>
      <w:pPr>
        <w:ind w:hanging="650" w:left="1730"/>
      </w:pPr>
    </w:lvl>
    <w:lvl w:ilvl="4">
      <w:start w:val="1"/>
      <w:numFmt w:val="decimal"/>
      <w:lvlText w:val="%1.%2.%3.%4.%5."/>
      <w:lvlJc w:val="left"/>
      <w:pPr>
        <w:ind w:hanging="790" w:left="2230"/>
      </w:pPr>
    </w:lvl>
    <w:lvl w:ilvl="5">
      <w:start w:val="1"/>
      <w:numFmt w:val="decimal"/>
      <w:lvlText w:val="%1.%2.%3.%4.%5.%6."/>
      <w:lvlJc w:val="left"/>
      <w:pPr>
        <w:ind w:hanging="935" w:left="2735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5" w:left="3745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7">
    <w:lvl w:ilvl="0">
      <w:start w:val="1"/>
      <w:numFmt w:val="decimal"/>
      <w:lvlText w:val="%1)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660"/>
      </w:pPr>
    </w:lvl>
    <w:lvl w:ilvl="2">
      <w:start w:val="1"/>
      <w:numFmt w:val="lowerRoman"/>
      <w:lvlText w:val="%3."/>
      <w:lvlJc w:val="right"/>
      <w:pPr>
        <w:ind w:hanging="180" w:left="2380"/>
      </w:pPr>
    </w:lvl>
    <w:lvl w:ilvl="3">
      <w:start w:val="1"/>
      <w:numFmt w:val="decimal"/>
      <w:lvlText w:val="%4."/>
      <w:lvlJc w:val="left"/>
      <w:pPr>
        <w:ind w:hanging="360" w:left="3100"/>
      </w:pPr>
    </w:lvl>
    <w:lvl w:ilvl="4">
      <w:start w:val="1"/>
      <w:numFmt w:val="lowerLetter"/>
      <w:lvlText w:val="%5."/>
      <w:lvlJc w:val="left"/>
      <w:pPr>
        <w:ind w:hanging="360" w:left="3820"/>
      </w:pPr>
    </w:lvl>
    <w:lvl w:ilvl="5">
      <w:start w:val="1"/>
      <w:numFmt w:val="lowerRoman"/>
      <w:lvlText w:val="%6."/>
      <w:lvlJc w:val="right"/>
      <w:pPr>
        <w:ind w:hanging="180" w:left="4540"/>
      </w:pPr>
    </w:lvl>
    <w:lvl w:ilvl="6">
      <w:start w:val="1"/>
      <w:numFmt w:val="decimal"/>
      <w:lvlText w:val="%7."/>
      <w:lvlJc w:val="left"/>
      <w:pPr>
        <w:ind w:hanging="360" w:left="5260"/>
      </w:pPr>
    </w:lvl>
    <w:lvl w:ilvl="7">
      <w:start w:val="1"/>
      <w:numFmt w:val="lowerLetter"/>
      <w:lvlText w:val="%8."/>
      <w:lvlJc w:val="left"/>
      <w:pPr>
        <w:ind w:hanging="360" w:left="5980"/>
      </w:pPr>
    </w:lvl>
    <w:lvl w:ilvl="8">
      <w:start w:val="1"/>
      <w:numFmt w:val="lowerRoman"/>
      <w:lvlText w:val="%9."/>
      <w:lvlJc w:val="right"/>
      <w:pPr>
        <w:ind w:hanging="180" w:left="67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5_ch" w:type="character">
    <w:name w:val="Normal"/>
    <w:link w:val="Style_5"/>
    <w:rPr>
      <w:rFonts w:ascii="Calibri" w:hAnsi="Calibri"/>
    </w:rPr>
  </w:style>
  <w:style w:styleId="Style_6" w:type="paragraph">
    <w:name w:val="Обычный1"/>
    <w:link w:val="Style_6_ch"/>
    <w:rPr>
      <w:rFonts w:ascii="Calibri" w:hAnsi="Calibri"/>
    </w:rPr>
  </w:style>
  <w:style w:styleId="Style_6_ch" w:type="character">
    <w:name w:val="Обычный1"/>
    <w:link w:val="Style_6"/>
    <w:rPr>
      <w:rFonts w:ascii="Calibri" w:hAnsi="Calibri"/>
    </w:rPr>
  </w:style>
  <w:style w:styleId="Style_7" w:type="paragraph">
    <w:name w:val="Гиперссылка2"/>
    <w:link w:val="Style_7_ch"/>
    <w:rPr>
      <w:color w:val="0000FF"/>
      <w:u w:val="single"/>
    </w:rPr>
  </w:style>
  <w:style w:styleId="Style_7_ch" w:type="character">
    <w:name w:val="Гиперссылка2"/>
    <w:link w:val="Style_7"/>
    <w:rPr>
      <w:color w:val="0000FF"/>
      <w:u w:val="single"/>
    </w:rPr>
  </w:style>
  <w:style w:styleId="Style_8" w:type="paragraph">
    <w:name w:val="toc 2"/>
    <w:next w:val="Style_5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Обычный1"/>
    <w:link w:val="Style_12_ch"/>
    <w:rPr>
      <w:rFonts w:ascii="Calibri" w:hAnsi="Calibri"/>
    </w:rPr>
  </w:style>
  <w:style w:styleId="Style_12_ch" w:type="character">
    <w:name w:val="Обычный1"/>
    <w:link w:val="Style_12"/>
    <w:rPr>
      <w:rFonts w:ascii="Calibri" w:hAnsi="Calibri"/>
    </w:rPr>
  </w:style>
  <w:style w:styleId="Style_13" w:type="paragraph">
    <w:name w:val="heading 3"/>
    <w:basedOn w:val="Style_5"/>
    <w:link w:val="Style_13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3_ch" w:type="character">
    <w:name w:val="heading 3"/>
    <w:basedOn w:val="Style_5_ch"/>
    <w:link w:val="Style_13"/>
    <w:rPr>
      <w:rFonts w:ascii="Times New Roman" w:hAnsi="Times New Roman"/>
      <w:b w:val="1"/>
      <w:sz w:val="27"/>
    </w:rPr>
  </w:style>
  <w:style w:styleId="Style_14" w:type="paragraph">
    <w:name w:val="Обычный1"/>
    <w:link w:val="Style_14_ch"/>
    <w:rPr>
      <w:rFonts w:ascii="Calibri" w:hAnsi="Calibri"/>
    </w:rPr>
  </w:style>
  <w:style w:styleId="Style_14_ch" w:type="character">
    <w:name w:val="Обычный1"/>
    <w:link w:val="Style_14"/>
    <w:rPr>
      <w:rFonts w:ascii="Calibri" w:hAnsi="Calibri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Normal (Web)"/>
    <w:basedOn w:val="Style_5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5_ch"/>
    <w:link w:val="Style_17"/>
    <w:rPr>
      <w:rFonts w:ascii="Times New Roman" w:hAnsi="Times New Roman"/>
      <w:sz w:val="24"/>
    </w:rPr>
  </w:style>
  <w:style w:styleId="Style_18" w:type="paragraph">
    <w:name w:val="Гиперссылка3"/>
    <w:link w:val="Style_18_ch"/>
    <w:rPr>
      <w:color w:val="0000FF"/>
      <w:u w:val="single"/>
    </w:rPr>
  </w:style>
  <w:style w:styleId="Style_18_ch" w:type="character">
    <w:name w:val="Гиперссылка3"/>
    <w:link w:val="Style_18"/>
    <w:rPr>
      <w:color w:val="0000FF"/>
      <w:u w:val="single"/>
    </w:rPr>
  </w:style>
  <w:style w:styleId="Style_19" w:type="paragraph">
    <w:name w:val="Balloon Text"/>
    <w:basedOn w:val="Style_5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5_ch"/>
    <w:link w:val="Style_19"/>
    <w:rPr>
      <w:rFonts w:ascii="Segoe UI" w:hAnsi="Segoe UI"/>
      <w:sz w:val="18"/>
    </w:rPr>
  </w:style>
  <w:style w:styleId="Style_20" w:type="paragraph">
    <w:name w:val="Обычный1"/>
    <w:link w:val="Style_20_ch"/>
    <w:rPr>
      <w:rFonts w:ascii="Calibri" w:hAnsi="Calibri"/>
    </w:rPr>
  </w:style>
  <w:style w:styleId="Style_20_ch" w:type="character">
    <w:name w:val="Обычный1"/>
    <w:link w:val="Style_20"/>
    <w:rPr>
      <w:rFonts w:ascii="Calibri" w:hAnsi="Calibri"/>
    </w:rPr>
  </w:style>
  <w:style w:styleId="Style_21" w:type="paragraph">
    <w:name w:val="footer"/>
    <w:basedOn w:val="Style_5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footer"/>
    <w:basedOn w:val="Style_5_ch"/>
    <w:link w:val="Style_21"/>
  </w:style>
  <w:style w:styleId="Style_22" w:type="paragraph">
    <w:name w:val="toc 3"/>
    <w:next w:val="Style_5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  <w:pPr>
      <w:widowControl w:val="0"/>
      <w:spacing w:after="0" w:before="180" w:line="300" w:lineRule="auto"/>
      <w:ind w:hanging="720" w:left="720"/>
      <w:jc w:val="both"/>
    </w:pPr>
    <w:rPr>
      <w:rFonts w:ascii="Times New Roman" w:hAnsi="Times New Roman"/>
    </w:rPr>
  </w:style>
  <w:style w:styleId="Style_23_ch" w:type="character">
    <w:name w:val="Обычный1"/>
    <w:link w:val="Style_23"/>
    <w:rPr>
      <w:rFonts w:ascii="Times New Roman" w:hAnsi="Times New Roman"/>
    </w:rPr>
  </w:style>
  <w:style w:styleId="Style_24" w:type="paragraph">
    <w:name w:val="heading 5"/>
    <w:next w:val="Style_5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4_ch" w:type="character">
    <w:name w:val="heading 5"/>
    <w:link w:val="Style_24"/>
    <w:rPr>
      <w:rFonts w:ascii="XO Thames" w:hAnsi="XO Thames"/>
      <w:b w:val="1"/>
    </w:rPr>
  </w:style>
  <w:style w:styleId="Style_25" w:type="paragraph">
    <w:name w:val="heading 1"/>
    <w:basedOn w:val="Style_5"/>
    <w:next w:val="Style_5"/>
    <w:link w:val="Style_25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5_ch" w:type="character">
    <w:name w:val="heading 1"/>
    <w:basedOn w:val="Style_5_ch"/>
    <w:link w:val="Style_25"/>
    <w:rPr>
      <w:rFonts w:asciiTheme="majorAscii" w:hAnsiTheme="majorHAnsi"/>
      <w:color w:themeColor="accent1" w:themeShade="BF" w:val="2E75B5"/>
      <w:sz w:val="32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</w:rPr>
  </w:style>
  <w:style w:styleId="Style_27_ch" w:type="character">
    <w:name w:val="Footnote"/>
    <w:link w:val="Style_27"/>
    <w:rPr>
      <w:rFonts w:ascii="XO Thames" w:hAnsi="XO Thames"/>
    </w:rPr>
  </w:style>
  <w:style w:styleId="Style_28" w:type="paragraph">
    <w:name w:val="toc 1"/>
    <w:next w:val="Style_5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2" w:type="paragraph">
    <w:name w:val="Default"/>
    <w:link w:val="Style_2_ch"/>
    <w:pPr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Default"/>
    <w:link w:val="Style_2"/>
    <w:rPr>
      <w:rFonts w:ascii="Times New Roman" w:hAnsi="Times New Roman"/>
      <w:sz w:val="24"/>
    </w:rPr>
  </w:style>
  <w:style w:styleId="Style_30" w:type="paragraph">
    <w:name w:val="Гиперссылка2"/>
    <w:link w:val="Style_30_ch"/>
    <w:rPr>
      <w:color w:val="0000FF"/>
      <w:u w:val="single"/>
    </w:rPr>
  </w:style>
  <w:style w:styleId="Style_30_ch" w:type="character">
    <w:name w:val="Гиперссылка2"/>
    <w:link w:val="Style_30"/>
    <w:rPr>
      <w:color w:val="0000FF"/>
      <w:u w:val="single"/>
    </w:rPr>
  </w:style>
  <w:style w:styleId="Style_31" w:type="paragraph">
    <w:name w:val="toc 9"/>
    <w:next w:val="Style_5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Строгий1"/>
    <w:basedOn w:val="Style_15"/>
    <w:link w:val="Style_33_ch"/>
    <w:rPr>
      <w:b w:val="1"/>
    </w:rPr>
  </w:style>
  <w:style w:styleId="Style_33_ch" w:type="character">
    <w:name w:val="Строгий1"/>
    <w:basedOn w:val="Style_15_ch"/>
    <w:link w:val="Style_33"/>
    <w:rPr>
      <w:b w:val="1"/>
    </w:rPr>
  </w:style>
  <w:style w:styleId="Style_34" w:type="paragraph">
    <w:name w:val="toc 8"/>
    <w:next w:val="Style_5"/>
    <w:link w:val="Style_34_ch"/>
    <w:uiPriority w:val="39"/>
    <w:pPr>
      <w:ind w:firstLine="0" w:left="1400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Заголовок 3 Знак"/>
    <w:basedOn w:val="Style_6"/>
    <w:link w:val="Style_35_ch"/>
    <w:rPr>
      <w:rFonts w:ascii="Times New Roman" w:hAnsi="Times New Roman"/>
      <w:b w:val="1"/>
      <w:sz w:val="27"/>
    </w:rPr>
  </w:style>
  <w:style w:styleId="Style_35_ch" w:type="character">
    <w:name w:val="Заголовок 3 Знак"/>
    <w:basedOn w:val="Style_6_ch"/>
    <w:link w:val="Style_35"/>
    <w:rPr>
      <w:rFonts w:ascii="Times New Roman" w:hAnsi="Times New Roman"/>
      <w:b w:val="1"/>
      <w:sz w:val="27"/>
    </w:rPr>
  </w:style>
  <w:style w:styleId="Style_36" w:type="paragraph">
    <w:name w:val="Основной шрифт абзаца2"/>
    <w:link w:val="Style_36_ch"/>
  </w:style>
  <w:style w:styleId="Style_36_ch" w:type="character">
    <w:name w:val="Основной шрифт абзаца2"/>
    <w:link w:val="Style_36"/>
  </w:style>
  <w:style w:styleId="Style_37" w:type="paragraph">
    <w:name w:val="toc 5"/>
    <w:next w:val="Style_5"/>
    <w:link w:val="Style_37_ch"/>
    <w:uiPriority w:val="39"/>
    <w:pPr>
      <w:ind w:firstLine="0" w:left="800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Subtitle"/>
    <w:next w:val="Style_5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5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5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Основной шрифт абзаца1"/>
    <w:link w:val="Style_41_ch"/>
  </w:style>
  <w:style w:styleId="Style_41_ch" w:type="character">
    <w:name w:val="Основной шрифт абзаца1"/>
    <w:link w:val="Style_41"/>
  </w:style>
  <w:style w:styleId="Style_42" w:type="paragraph">
    <w:name w:val="heading 2"/>
    <w:next w:val="Style_5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3" w:type="paragraph">
    <w:name w:val="List Paragraph"/>
    <w:basedOn w:val="Style_5"/>
    <w:link w:val="Style_3_ch"/>
    <w:pPr>
      <w:spacing w:after="160" w:line="252" w:lineRule="auto"/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43" w:type="paragraph">
    <w:name w:val="Гиперссылка1"/>
    <w:basedOn w:val="Style_15"/>
    <w:link w:val="Style_43_ch"/>
    <w:rPr>
      <w:color w:val="0000FF"/>
      <w:u w:val="single"/>
    </w:rPr>
  </w:style>
  <w:style w:styleId="Style_43_ch" w:type="character">
    <w:name w:val="Гиперссылка1"/>
    <w:basedOn w:val="Style_15_ch"/>
    <w:link w:val="Style_43"/>
    <w:rPr>
      <w:color w:val="0000FF"/>
      <w:u w:val="single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2025-07-04T12:42:02Z</dcterms:modified>
</cp:coreProperties>
</file>