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14662" w14:textId="3F11214C" w:rsidR="00381562" w:rsidRDefault="004110EB" w:rsidP="008E5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14:paraId="39BCFCD7" w14:textId="393AC066" w:rsidR="008E571E" w:rsidRDefault="008E571E" w:rsidP="008E5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ПОКУПАТЕЛЕЙ АВТОМОБИЛЕЙ В СТРАНАХ ЕАЭС</w:t>
      </w:r>
    </w:p>
    <w:p w14:paraId="2D7A1DB7" w14:textId="77777777" w:rsidR="008E571E" w:rsidRDefault="008E571E" w:rsidP="008E5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775C5" w14:textId="77777777" w:rsidR="00DE4DD0" w:rsidRPr="00EB5CE9" w:rsidRDefault="00EB5CE9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5CE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EB5C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DE4DD0" w:rsidRPr="00EB5C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Касательно </w:t>
      </w:r>
      <w:r w:rsidR="00DE4D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особенностей ввоза автомобилей и оформления на них электронных паспортов</w:t>
      </w:r>
      <w:r w:rsidR="00DE4DD0" w:rsidRPr="00EB5C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C4DC727" w14:textId="77777777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DE1309" w14:textId="36638BB9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Сообщаем, что согласно пункту 8 приложения № 9 к Договору о ЕАЭС в</w:t>
      </w:r>
      <w:r w:rsidRPr="00E0378B">
        <w:rPr>
          <w:rFonts w:ascii="Times New Roman" w:hAnsi="Times New Roman" w:cs="Times New Roman"/>
          <w:sz w:val="28"/>
          <w:szCs w:val="28"/>
        </w:rPr>
        <w:t xml:space="preserve">воз продукции, подлежащей обязательной оценке соответствия на таможенной территории </w:t>
      </w:r>
      <w:r>
        <w:rPr>
          <w:rFonts w:ascii="Times New Roman" w:hAnsi="Times New Roman" w:cs="Times New Roman"/>
          <w:sz w:val="28"/>
          <w:szCs w:val="28"/>
        </w:rPr>
        <w:t>ЕАЭС</w:t>
      </w:r>
      <w:r w:rsidRPr="00E0378B">
        <w:rPr>
          <w:rFonts w:ascii="Times New Roman" w:hAnsi="Times New Roman" w:cs="Times New Roman"/>
          <w:sz w:val="28"/>
          <w:szCs w:val="28"/>
        </w:rPr>
        <w:t xml:space="preserve">, осуществляется в порядке, утверждаемом </w:t>
      </w:r>
      <w:r>
        <w:rPr>
          <w:rFonts w:ascii="Times New Roman" w:hAnsi="Times New Roman" w:cs="Times New Roman"/>
          <w:sz w:val="28"/>
          <w:szCs w:val="28"/>
        </w:rPr>
        <w:t>ЕЭК</w:t>
      </w:r>
      <w:r w:rsidRPr="00E0378B">
        <w:rPr>
          <w:rFonts w:ascii="Times New Roman" w:hAnsi="Times New Roman" w:cs="Times New Roman"/>
          <w:sz w:val="28"/>
          <w:szCs w:val="28"/>
        </w:rPr>
        <w:t>.</w:t>
      </w:r>
    </w:p>
    <w:p w14:paraId="088D2161" w14:textId="77777777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ЕЭК от </w:t>
      </w:r>
      <w:r w:rsidRPr="00E0378B">
        <w:rPr>
          <w:rFonts w:ascii="Times New Roman" w:hAnsi="Times New Roman" w:cs="Times New Roman"/>
          <w:sz w:val="28"/>
          <w:szCs w:val="28"/>
        </w:rPr>
        <w:t>12 ноября 2021 года № 130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Порядок ввоза </w:t>
      </w:r>
      <w:r w:rsidRPr="00E0378B">
        <w:rPr>
          <w:rFonts w:ascii="Times New Roman" w:hAnsi="Times New Roman" w:cs="Times New Roman"/>
          <w:sz w:val="28"/>
          <w:szCs w:val="28"/>
        </w:rPr>
        <w:t xml:space="preserve">на таможенную территорию </w:t>
      </w:r>
      <w:r>
        <w:rPr>
          <w:rFonts w:ascii="Times New Roman" w:hAnsi="Times New Roman" w:cs="Times New Roman"/>
          <w:sz w:val="28"/>
          <w:szCs w:val="28"/>
        </w:rPr>
        <w:t>ЕАЭС</w:t>
      </w:r>
      <w:r w:rsidRPr="00E0378B">
        <w:rPr>
          <w:rFonts w:ascii="Times New Roman" w:hAnsi="Times New Roman" w:cs="Times New Roman"/>
          <w:sz w:val="28"/>
          <w:szCs w:val="28"/>
        </w:rPr>
        <w:t xml:space="preserve"> продукции, подлежащей обязательной оценке соответствия на таможенной территории </w:t>
      </w:r>
      <w:r>
        <w:rPr>
          <w:rFonts w:ascii="Times New Roman" w:hAnsi="Times New Roman" w:cs="Times New Roman"/>
          <w:sz w:val="28"/>
          <w:szCs w:val="28"/>
        </w:rPr>
        <w:t>ЕАЭС (далее – Порядок ввоза).</w:t>
      </w:r>
    </w:p>
    <w:p w14:paraId="2946494D" w14:textId="77777777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ввоза распространяется на продукцию </w:t>
      </w:r>
      <w:r w:rsidRPr="00E0378B">
        <w:rPr>
          <w:rFonts w:ascii="Times New Roman" w:hAnsi="Times New Roman" w:cs="Times New Roman"/>
          <w:sz w:val="28"/>
          <w:szCs w:val="28"/>
        </w:rPr>
        <w:t>продукции, подлежащ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0378B">
        <w:rPr>
          <w:rFonts w:ascii="Times New Roman" w:hAnsi="Times New Roman" w:cs="Times New Roman"/>
          <w:sz w:val="28"/>
          <w:szCs w:val="28"/>
        </w:rPr>
        <w:t xml:space="preserve"> обязательной оценке соответствия на таможенной территории </w:t>
      </w:r>
      <w:r>
        <w:rPr>
          <w:rFonts w:ascii="Times New Roman" w:hAnsi="Times New Roman" w:cs="Times New Roman"/>
          <w:sz w:val="28"/>
          <w:szCs w:val="28"/>
        </w:rPr>
        <w:t>ЕАЭС</w:t>
      </w:r>
      <w:r w:rsidRPr="00E0378B">
        <w:rPr>
          <w:rFonts w:ascii="Times New Roman" w:hAnsi="Times New Roman" w:cs="Times New Roman"/>
          <w:sz w:val="28"/>
          <w:szCs w:val="28"/>
        </w:rPr>
        <w:t>, в отношении которой при помещении под таможенные процедуры подтверждается соблюдение мер технического регулирования (далее – ввозимая (ввезенная) продукция), а также случаи и порядок подтверждения соблюдения мер технического регулирования в отношении такой продукции.</w:t>
      </w:r>
    </w:p>
    <w:p w14:paraId="0876D842" w14:textId="77777777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подпункту «а» пункта 4 Порядка ввоза и </w:t>
      </w:r>
      <w:r w:rsidRPr="008E571E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571E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571E">
        <w:rPr>
          <w:rFonts w:ascii="Times New Roman" w:hAnsi="Times New Roman" w:cs="Times New Roman"/>
          <w:sz w:val="28"/>
          <w:szCs w:val="28"/>
        </w:rPr>
        <w:t>018/2011</w:t>
      </w:r>
      <w:r>
        <w:rPr>
          <w:rFonts w:ascii="Times New Roman" w:hAnsi="Times New Roman" w:cs="Times New Roman"/>
          <w:sz w:val="28"/>
          <w:szCs w:val="28"/>
        </w:rPr>
        <w:t xml:space="preserve">, свидетельство о безопасности конструкции транспортного средства (далее – СБКТС) является документом, </w:t>
      </w:r>
      <w:r w:rsidRPr="00E0378B">
        <w:rPr>
          <w:rFonts w:ascii="Times New Roman" w:hAnsi="Times New Roman" w:cs="Times New Roman"/>
          <w:sz w:val="28"/>
          <w:szCs w:val="28"/>
        </w:rPr>
        <w:t xml:space="preserve">подтверждающим </w:t>
      </w:r>
      <w:proofErr w:type="gramStart"/>
      <w:r w:rsidRPr="00E0378B"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 w:rsidRPr="00E0378B">
        <w:rPr>
          <w:rFonts w:ascii="Times New Roman" w:hAnsi="Times New Roman" w:cs="Times New Roman"/>
          <w:sz w:val="28"/>
          <w:szCs w:val="28"/>
        </w:rPr>
        <w:t xml:space="preserve"> мер технического регулирования, для ввозим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03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таможенную территорию ЕАЭС.</w:t>
      </w:r>
    </w:p>
    <w:p w14:paraId="525301D1" w14:textId="77777777" w:rsidR="00DE4DD0" w:rsidRPr="00E0378B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согласно подпункту «а» пункта 10 Порядка ввоза и</w:t>
      </w:r>
      <w:r w:rsidRPr="00EB5CE9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>
        <w:rPr>
          <w:rFonts w:ascii="Times New Roman" w:hAnsi="Times New Roman" w:cs="Times New Roman"/>
          <w:sz w:val="28"/>
          <w:szCs w:val="28"/>
        </w:rPr>
        <w:t>СБКТС</w:t>
      </w:r>
      <w:r w:rsidRPr="00EB5CE9">
        <w:rPr>
          <w:rFonts w:ascii="Times New Roman" w:hAnsi="Times New Roman" w:cs="Times New Roman"/>
          <w:sz w:val="28"/>
          <w:szCs w:val="28"/>
        </w:rPr>
        <w:t xml:space="preserve"> для подтверждения соблюдения мер технического регулирования в отношении ввозим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B5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автомобиля</w:t>
      </w:r>
      <w:r w:rsidRPr="00EB5CE9">
        <w:rPr>
          <w:rFonts w:ascii="Times New Roman" w:hAnsi="Times New Roman" w:cs="Times New Roman"/>
          <w:sz w:val="28"/>
          <w:szCs w:val="28"/>
        </w:rPr>
        <w:t xml:space="preserve"> допускается, если декларантом такой продукции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CE9">
        <w:rPr>
          <w:rFonts w:ascii="Times New Roman" w:hAnsi="Times New Roman" w:cs="Times New Roman"/>
          <w:sz w:val="28"/>
          <w:szCs w:val="28"/>
        </w:rPr>
        <w:t xml:space="preserve">лицо, указанное в </w:t>
      </w:r>
      <w:r>
        <w:rPr>
          <w:rFonts w:ascii="Times New Roman" w:hAnsi="Times New Roman" w:cs="Times New Roman"/>
          <w:sz w:val="28"/>
          <w:szCs w:val="28"/>
        </w:rPr>
        <w:t>СБКТС</w:t>
      </w:r>
      <w:r w:rsidRPr="00EB5CE9">
        <w:rPr>
          <w:rFonts w:ascii="Times New Roman" w:hAnsi="Times New Roman" w:cs="Times New Roman"/>
          <w:sz w:val="28"/>
          <w:szCs w:val="28"/>
        </w:rPr>
        <w:t xml:space="preserve"> в качестве заявителя при оценке соответствия это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5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автомобиля</w:t>
      </w:r>
      <w:r w:rsidRPr="00EB5CE9">
        <w:rPr>
          <w:rFonts w:ascii="Times New Roman" w:hAnsi="Times New Roman" w:cs="Times New Roman"/>
          <w:sz w:val="28"/>
          <w:szCs w:val="28"/>
        </w:rPr>
        <w:t xml:space="preserve"> обязательным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71E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571E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571E">
        <w:rPr>
          <w:rFonts w:ascii="Times New Roman" w:hAnsi="Times New Roman" w:cs="Times New Roman"/>
          <w:sz w:val="28"/>
          <w:szCs w:val="28"/>
        </w:rPr>
        <w:t>018/2011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797E59" w14:textId="77777777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электронный паспорт может быть оформлен только в случае, если в СБКТС и документе о таможенном декларировании указано одно и тоже лицо в качестве заявителя на оценку соответствия и декларантом соответственно. При этом дата оформления документа о таможенном декларировании не может быть ранее даты оформления СБКТС.</w:t>
      </w:r>
    </w:p>
    <w:p w14:paraId="30F10ADA" w14:textId="77777777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если автомобиль «растаможен» в одном государстве-члене ЕАЭС, повторная оценка соответствия с оформлением СБКТС в другом государстве-члене не допускается в соответствии с пунктом 2 статьи 53 Договора о ЕАЭС.</w:t>
      </w:r>
    </w:p>
    <w:p w14:paraId="13827B3F" w14:textId="77777777" w:rsidR="00DE4DD0" w:rsidRP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proofErr w:type="spellStart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Справочно</w:t>
      </w:r>
      <w:proofErr w:type="spellEnd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: абзац второй пункта 2 указанной статьи 53:</w:t>
      </w:r>
    </w:p>
    <w:p w14:paraId="0FBEE26D" w14:textId="77777777" w:rsidR="00DE4DD0" w:rsidRP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«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Государства-члены обеспечивают обращение продукции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,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соответствующей требованиям технического регламента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Союза (технических регламентов Союза),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на своей территории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без предъявления дополнительных по отношению к содержащимся в техническом регламенте Союза (технических регламентах Союза) требований к такой продукции и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u w:val="single"/>
        </w:rPr>
        <w:t>без проведения дополнительных процедур оценки соответствия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.».</w:t>
      </w:r>
    </w:p>
    <w:p w14:paraId="29012E77" w14:textId="77777777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Соответственно, оформление электронного паспорта в одном государстве-члене ЕАЭС на автомобиль, «растаможенный» в другом государстве-члене ЕАЭС, допускается на основании подтверждённых сведений о СБКТС и документе о таможенном декларировании, а также их действительности.</w:t>
      </w:r>
    </w:p>
    <w:p w14:paraId="2D604DEB" w14:textId="77777777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такими сведениями обмен осуществляется между соответствующими уполномоченными государственными органами путем реализации общих процессов № 17, № 18, № 19 и № 35, утвержденных Решением Коллегии ЕЭК </w:t>
      </w:r>
      <w:r w:rsidRPr="00EF743D">
        <w:rPr>
          <w:rFonts w:ascii="Times New Roman" w:hAnsi="Times New Roman" w:cs="Times New Roman"/>
          <w:sz w:val="28"/>
          <w:szCs w:val="28"/>
        </w:rPr>
        <w:t>от 14 апреля 2015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F743D">
        <w:rPr>
          <w:rFonts w:ascii="Times New Roman" w:hAnsi="Times New Roman" w:cs="Times New Roman"/>
          <w:sz w:val="28"/>
          <w:szCs w:val="28"/>
        </w:rPr>
        <w:t xml:space="preserve"> № 29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299FD2C" w14:textId="77777777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 – «</w:t>
      </w:r>
      <w:r w:rsidRPr="00EF743D">
        <w:rPr>
          <w:rFonts w:ascii="Times New Roman" w:hAnsi="Times New Roman" w:cs="Times New Roman"/>
          <w:sz w:val="28"/>
          <w:szCs w:val="28"/>
        </w:rPr>
        <w:t xml:space="preserve">Обеспечение обмена информацией в отношении автомобилей, ввезенных на таможенную территорию </w:t>
      </w:r>
      <w:r>
        <w:rPr>
          <w:rFonts w:ascii="Times New Roman" w:hAnsi="Times New Roman" w:cs="Times New Roman"/>
          <w:sz w:val="28"/>
          <w:szCs w:val="28"/>
        </w:rPr>
        <w:t>ЕАЭС</w:t>
      </w:r>
      <w:r w:rsidRPr="00EF743D">
        <w:rPr>
          <w:rFonts w:ascii="Times New Roman" w:hAnsi="Times New Roman" w:cs="Times New Roman"/>
          <w:sz w:val="28"/>
          <w:szCs w:val="28"/>
        </w:rPr>
        <w:t xml:space="preserve"> и выпущенных для внутреннего потребления, между таможенными органами государств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743D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ЕАЭС»;</w:t>
      </w:r>
    </w:p>
    <w:p w14:paraId="489261CB" w14:textId="77777777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18 – «</w:t>
      </w:r>
      <w:r w:rsidRPr="00C1360B">
        <w:rPr>
          <w:rFonts w:ascii="Times New Roman" w:hAnsi="Times New Roman" w:cs="Times New Roman"/>
          <w:sz w:val="28"/>
          <w:szCs w:val="28"/>
        </w:rPr>
        <w:t xml:space="preserve">Обеспечение обмена информацией из баз данных электронных копий таможенных приходных ордеров между таможенными органами </w:t>
      </w:r>
      <w:r w:rsidRPr="00EF743D"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743D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ЕАЭС»;</w:t>
      </w:r>
    </w:p>
    <w:p w14:paraId="32BE764C" w14:textId="77777777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19 – «</w:t>
      </w:r>
      <w:r w:rsidRPr="00C1360B">
        <w:rPr>
          <w:rFonts w:ascii="Times New Roman" w:hAnsi="Times New Roman" w:cs="Times New Roman"/>
          <w:sz w:val="28"/>
          <w:szCs w:val="28"/>
        </w:rPr>
        <w:t xml:space="preserve">Обеспечение обмена информацией из баз данных электронных копий предварительных решений, принимаемых таможенными органами </w:t>
      </w:r>
      <w:r w:rsidRPr="00EF743D"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743D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ЕАЭС»;</w:t>
      </w:r>
    </w:p>
    <w:p w14:paraId="4FCD1B5F" w14:textId="77777777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35 – «</w:t>
      </w:r>
      <w:r w:rsidRPr="00C1360B">
        <w:rPr>
          <w:rFonts w:ascii="Times New Roman" w:hAnsi="Times New Roman" w:cs="Times New Roman"/>
          <w:sz w:val="28"/>
          <w:szCs w:val="28"/>
        </w:rPr>
        <w:t xml:space="preserve">Формирование и ведение </w:t>
      </w:r>
      <w:proofErr w:type="gramStart"/>
      <w:r w:rsidRPr="00C1360B">
        <w:rPr>
          <w:rFonts w:ascii="Times New Roman" w:hAnsi="Times New Roman" w:cs="Times New Roman"/>
          <w:sz w:val="28"/>
          <w:szCs w:val="28"/>
        </w:rPr>
        <w:t>единых реестров</w:t>
      </w:r>
      <w:proofErr w:type="gramEnd"/>
      <w:r w:rsidRPr="00C1360B">
        <w:rPr>
          <w:rFonts w:ascii="Times New Roman" w:hAnsi="Times New Roman" w:cs="Times New Roman"/>
          <w:sz w:val="28"/>
          <w:szCs w:val="28"/>
        </w:rPr>
        <w:t xml:space="preserve"> выданных или принятых документов об оценке соответствия требованиям технических регламентов </w:t>
      </w:r>
      <w:r>
        <w:rPr>
          <w:rFonts w:ascii="Times New Roman" w:hAnsi="Times New Roman" w:cs="Times New Roman"/>
          <w:sz w:val="28"/>
          <w:szCs w:val="28"/>
        </w:rPr>
        <w:t>ЕАЭС</w:t>
      </w:r>
      <w:r w:rsidRPr="00C1360B">
        <w:rPr>
          <w:rFonts w:ascii="Times New Roman" w:hAnsi="Times New Roman" w:cs="Times New Roman"/>
          <w:sz w:val="28"/>
          <w:szCs w:val="28"/>
        </w:rPr>
        <w:t xml:space="preserve"> (технических регламентов Таможенного союза)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A9FFC95" w14:textId="77777777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согласно пункту 19 приложения № 6 к Порядку ЭПТС в систему электронных паспортов Республики Казахстан такие сведения должны поступать путем взаимодействия информационных систем таможенного органа и органа государственного контроля (надзора) за соблюдением </w:t>
      </w:r>
      <w:r w:rsidRPr="00ED6FE5">
        <w:rPr>
          <w:rFonts w:ascii="Times New Roman" w:hAnsi="Times New Roman" w:cs="Times New Roman"/>
          <w:sz w:val="28"/>
          <w:szCs w:val="28"/>
        </w:rPr>
        <w:t>требований технических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с информационной системой национального оператора Республики Казахстан (АО «НИТ»).</w:t>
      </w:r>
    </w:p>
    <w:p w14:paraId="36A99747" w14:textId="77777777" w:rsidR="00DE4DD0" w:rsidRPr="00C1360B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таких сведений или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вышеуказанному порядку является основанием отказа в оформлении электронного паспорта или установлении электронному паспорту статуса «действующий», который необходим для регистрации автомобиля.</w:t>
      </w:r>
    </w:p>
    <w:p w14:paraId="3BAB5CA9" w14:textId="231D4CA5" w:rsidR="00DE4DD0" w:rsidRDefault="00DE4DD0" w:rsidP="00EB5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755561" w14:textId="712A8F8F" w:rsidR="00EB5CE9" w:rsidRPr="00EB5CE9" w:rsidRDefault="00DE4DD0" w:rsidP="00EB5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5CE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EB5C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EB5CE9" w:rsidRPr="00EB5C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Касательно ограничений в отношении автомобилей.</w:t>
      </w:r>
    </w:p>
    <w:p w14:paraId="286C8159" w14:textId="77777777" w:rsidR="00EB5CE9" w:rsidRDefault="00EB5CE9" w:rsidP="008E5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AFE91" w14:textId="6A1A01BF" w:rsidR="008E571E" w:rsidRDefault="008E571E" w:rsidP="008E5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1E">
        <w:rPr>
          <w:rFonts w:ascii="Times New Roman" w:hAnsi="Times New Roman" w:cs="Times New Roman"/>
          <w:sz w:val="28"/>
          <w:szCs w:val="28"/>
        </w:rPr>
        <w:t xml:space="preserve">При покупке в </w:t>
      </w:r>
      <w:r w:rsidR="009859B5" w:rsidRPr="00DE4DD0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8E571E">
        <w:rPr>
          <w:rFonts w:ascii="Times New Roman" w:hAnsi="Times New Roman" w:cs="Times New Roman"/>
          <w:sz w:val="28"/>
          <w:szCs w:val="28"/>
        </w:rPr>
        <w:t xml:space="preserve">странах ЕАЭС автомобилей </w:t>
      </w:r>
      <w:r w:rsidRPr="00693CCE">
        <w:rPr>
          <w:rFonts w:ascii="Times New Roman" w:hAnsi="Times New Roman" w:cs="Times New Roman"/>
          <w:b/>
          <w:bCs/>
          <w:sz w:val="28"/>
          <w:szCs w:val="28"/>
        </w:rPr>
        <w:t>гражданам необходимо знать об ограничениях</w:t>
      </w:r>
      <w:r w:rsidRPr="008E571E">
        <w:rPr>
          <w:rFonts w:ascii="Times New Roman" w:hAnsi="Times New Roman" w:cs="Times New Roman"/>
          <w:sz w:val="28"/>
          <w:szCs w:val="28"/>
        </w:rPr>
        <w:t xml:space="preserve">, установленных согласно актам ЕАЭС,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которых </w:t>
      </w:r>
      <w:r w:rsidRPr="00693CCE">
        <w:rPr>
          <w:rFonts w:ascii="Times New Roman" w:hAnsi="Times New Roman" w:cs="Times New Roman"/>
          <w:b/>
          <w:bCs/>
          <w:sz w:val="28"/>
          <w:szCs w:val="28"/>
        </w:rPr>
        <w:t>оформление электронного паспорта</w:t>
      </w:r>
      <w:r>
        <w:rPr>
          <w:rFonts w:ascii="Times New Roman" w:hAnsi="Times New Roman" w:cs="Times New Roman"/>
          <w:sz w:val="28"/>
          <w:szCs w:val="28"/>
        </w:rPr>
        <w:t xml:space="preserve"> на такие автомобили </w:t>
      </w:r>
      <w:r w:rsidRPr="00693CCE">
        <w:rPr>
          <w:rFonts w:ascii="Times New Roman" w:hAnsi="Times New Roman" w:cs="Times New Roman"/>
          <w:b/>
          <w:bCs/>
          <w:sz w:val="28"/>
          <w:szCs w:val="28"/>
        </w:rPr>
        <w:t>и их регистрация в Казахстане невозможны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9263FE" w14:textId="596182B7" w:rsidR="008E571E" w:rsidRDefault="008E571E" w:rsidP="008E5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26B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2023 годах в </w:t>
      </w:r>
      <w:r w:rsidRPr="008E571E">
        <w:rPr>
          <w:rFonts w:ascii="Times New Roman" w:hAnsi="Times New Roman" w:cs="Times New Roman"/>
          <w:sz w:val="28"/>
          <w:szCs w:val="28"/>
        </w:rPr>
        <w:t>Решение Комиссии таможенного союза от 9 декабря 2011 года № 877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 877), которым принят Технический регламент Т</w:t>
      </w:r>
      <w:r w:rsidRPr="008E571E">
        <w:rPr>
          <w:rFonts w:ascii="Times New Roman" w:hAnsi="Times New Roman" w:cs="Times New Roman"/>
          <w:sz w:val="28"/>
          <w:szCs w:val="28"/>
        </w:rPr>
        <w:t xml:space="preserve">аможенного союза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1E">
        <w:rPr>
          <w:rFonts w:ascii="Times New Roman" w:hAnsi="Times New Roman" w:cs="Times New Roman"/>
          <w:sz w:val="28"/>
          <w:szCs w:val="28"/>
        </w:rPr>
        <w:t>О безопасности колесных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1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8E571E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571E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571E">
        <w:rPr>
          <w:rFonts w:ascii="Times New Roman" w:hAnsi="Times New Roman" w:cs="Times New Roman"/>
          <w:sz w:val="28"/>
          <w:szCs w:val="28"/>
        </w:rPr>
        <w:t>018/2011)</w:t>
      </w:r>
      <w:r>
        <w:rPr>
          <w:rFonts w:ascii="Times New Roman" w:hAnsi="Times New Roman" w:cs="Times New Roman"/>
          <w:sz w:val="28"/>
          <w:szCs w:val="28"/>
        </w:rPr>
        <w:t>, были внесены ряд изменений, позволяющие осуществлять выпуск в обращение автомобилей, но с ограничениями по территории обращения.</w:t>
      </w:r>
    </w:p>
    <w:p w14:paraId="3128FFB7" w14:textId="232BBAC8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Нижеу</w:t>
      </w:r>
      <w:r w:rsidRPr="00DE4DD0">
        <w:rPr>
          <w:rFonts w:ascii="Times New Roman" w:hAnsi="Times New Roman" w:cs="Times New Roman"/>
          <w:sz w:val="28"/>
          <w:szCs w:val="28"/>
        </w:rPr>
        <w:t xml:space="preserve">казанные ограничения, установленные в отношении автомобилей в других странах ЕАЭС, не </w:t>
      </w:r>
      <w:r>
        <w:rPr>
          <w:rFonts w:ascii="Times New Roman" w:hAnsi="Times New Roman" w:cs="Times New Roman"/>
          <w:sz w:val="28"/>
          <w:szCs w:val="28"/>
        </w:rPr>
        <w:t>позволят оформить электронный паспорт со статусом «действующий» в Республике Казахстан и, соответственно, зарегистрировать автомобиль.</w:t>
      </w:r>
    </w:p>
    <w:p w14:paraId="0CE6CA74" w14:textId="77777777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Убедительная просьба предварительно запрашивать выписку из электронного паспорта, оформленного в другой стране ЕАЭС, и проверять наличие ограничений.</w:t>
      </w:r>
    </w:p>
    <w:p w14:paraId="0CF175BF" w14:textId="77777777" w:rsidR="00DE4DD0" w:rsidRDefault="00DE4DD0" w:rsidP="00DE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электронного паспорта нет, то требовать его оформления в соответствии с 22 пунктом Порядка функционирования систем электронных паспортов, утвержденного Решением Коллегии ЕЭК </w:t>
      </w:r>
      <w:r w:rsidRPr="00A255A7">
        <w:rPr>
          <w:rFonts w:ascii="Times New Roman" w:hAnsi="Times New Roman" w:cs="Times New Roman"/>
          <w:sz w:val="28"/>
          <w:szCs w:val="28"/>
        </w:rPr>
        <w:t>от 22 сентября 2015 года</w:t>
      </w:r>
      <w:r>
        <w:rPr>
          <w:rFonts w:ascii="Times New Roman" w:hAnsi="Times New Roman" w:cs="Times New Roman"/>
          <w:sz w:val="28"/>
          <w:szCs w:val="28"/>
        </w:rPr>
        <w:t>№ 122 (далее – Порядок ЭПТС).</w:t>
      </w:r>
    </w:p>
    <w:p w14:paraId="7A8A92A7" w14:textId="77777777" w:rsidR="00DE4DD0" w:rsidRDefault="00DE4DD0" w:rsidP="008E5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CC6A9" w14:textId="55C28F44" w:rsidR="00DE4DD0" w:rsidRPr="00DE4DD0" w:rsidRDefault="00DE4DD0" w:rsidP="008E5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proofErr w:type="spellStart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Справочно</w:t>
      </w:r>
      <w:proofErr w:type="spellEnd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:</w:t>
      </w:r>
    </w:p>
    <w:p w14:paraId="27A0100F" w14:textId="263EDD4E" w:rsidR="008E571E" w:rsidRPr="00DE4DD0" w:rsidRDefault="008E571E" w:rsidP="008E5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1. </w:t>
      </w:r>
      <w:r w:rsidR="00D26BFA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Решением Совета ЕЭК от 17.08.2021 № 101 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Решение 877 дополнен пунктом 3.2.5, согласно которому до 31 января 2024 года включительно допускается не оснащать устройством или системой вызова экстренных оперативных служб или </w:t>
      </w:r>
      <w:proofErr w:type="spellStart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дооснащать</w:t>
      </w:r>
      <w:proofErr w:type="spellEnd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устройством или системой, соответствующими обязательным требованиям, установленным нормативными правовыми актами государства – члена Евразийского экономического союза (далее – ЕАЭС), принятыми в соответствии с абзацем вторым пункта 1 </w:t>
      </w:r>
      <w:r w:rsidR="00D26BFA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ТР ТС 018/2011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, транспортные средства (шасси) категорий M1, M2, M3, N1, N2 и N3 (за исключением транспортных средств для перевозки опасных грузов и транспортных средств, специально предназначенных для перевозки детей), которые изготовлены на таможенной территории </w:t>
      </w:r>
      <w:r w:rsidR="00D26BFA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ЕАЭС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и в отношении которых действуют одобрения типа транспортного средства (одобрения типа шасси).</w:t>
      </w:r>
    </w:p>
    <w:p w14:paraId="634B4A22" w14:textId="0B618C9B" w:rsidR="008E571E" w:rsidRPr="00DE4DD0" w:rsidRDefault="008E571E" w:rsidP="008E5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Указанные транспортные средства (шасси) должны быть дооснащены устройством или системой вызова экстренных оперативных служб изготовителем транспортного средства (шасси) до 31 декабря 2027 г.</w:t>
      </w:r>
    </w:p>
    <w:p w14:paraId="60745D3B" w14:textId="6498B7E8" w:rsidR="008E571E" w:rsidRPr="00DE4DD0" w:rsidRDefault="008E571E" w:rsidP="008E5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Реализация указанных транспортных средств (шасси), выпущенных в обращение до 31 января 2024 г. без устройств или систем вызова экстренных оперативных служб, осуществляется при условии обязательного информирования потребителей о необходимости дооснащения транспортного средства (шасси) устройством или системой вызова экстренных оперативных служб и указания в электронном паспорте транспортного средства (электронном паспорте шасси транспортного средства) соответствующей информации.</w:t>
      </w:r>
    </w:p>
    <w:p w14:paraId="368E8431" w14:textId="7FC42BB6" w:rsidR="008E571E" w:rsidRPr="00DE4DD0" w:rsidRDefault="008E571E" w:rsidP="008E5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В случае </w:t>
      </w:r>
      <w:proofErr w:type="spellStart"/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недооснащения</w:t>
      </w:r>
      <w:proofErr w:type="spellEnd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транспортных средств (шасси), произведенных на территории одного государства – члена </w:t>
      </w:r>
      <w:r w:rsidR="00D26BFA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ЕАЭС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и находящихся в эксплуатации на его территории, устройством или системой вызова экстренных оперативных служб, соответствующими требованиям </w:t>
      </w:r>
      <w:r w:rsidR="00D26BFA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ТР ТС 018/2011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, на такие транспортные средства (шасси)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с 31 декабря 2027 г. </w:t>
      </w:r>
      <w:r w:rsidR="00D26BFA"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осуществление прав владения, пользования, распоряжения транспортными средствами</w:t>
      </w:r>
      <w:r w:rsidR="00D26BFA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, указанными в абзаце втором пункта 1 раздела I ТР ТС 018/2011, </w:t>
      </w:r>
      <w:r w:rsidR="00D26BFA"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не допускается на территориях государств – членов ЕАЭС</w:t>
      </w:r>
      <w:r w:rsidR="00D26BFA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, за исключением территории государства-члена, в котором эти транспортные средства произведены, если иное не установлено законодательством других государств-членов в отношении таких транспортных средств.</w:t>
      </w:r>
    </w:p>
    <w:p w14:paraId="28938ED8" w14:textId="62BE939B" w:rsidR="008E571E" w:rsidRPr="00DE4DD0" w:rsidRDefault="008E571E" w:rsidP="008E5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Контроль за исполнением </w:t>
      </w:r>
      <w:r w:rsidR="00D26BFA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таких требований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обеспечивается уполномоченными органами государств – членов </w:t>
      </w:r>
      <w:r w:rsidR="00D26BFA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ЕАЭС 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в соответствии с </w:t>
      </w:r>
      <w:r w:rsidR="00D26BFA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их 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законодательством.</w:t>
      </w:r>
    </w:p>
    <w:p w14:paraId="6F517788" w14:textId="719A284D" w:rsidR="00BD2C3E" w:rsidRPr="00DE4DD0" w:rsidRDefault="00BD2C3E" w:rsidP="008E5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При этом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в электронных паспортах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транспортных средств (электронных паспортах шасси транспортных средств) на транспортные средства (шасси транспортных средств), выпущенные в обращение в соответствии с подпунктом 3.2.5 Решения 877 без устройств или систем вызова экстренных оперативных служб,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в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lastRenderedPageBreak/>
        <w:t xml:space="preserve">подразделе </w:t>
      </w:r>
      <w:r w:rsidR="00D702AE"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«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Иная информация</w:t>
      </w:r>
      <w:r w:rsidR="00D702AE"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»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раздела </w:t>
      </w:r>
      <w:r w:rsidR="00D702AE"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«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Дополнительная информация</w:t>
      </w:r>
      <w:r w:rsidR="00D702AE"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»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в качестве основания указываются реквизиты настоящего Решения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.</w:t>
      </w:r>
    </w:p>
    <w:p w14:paraId="5E7B7997" w14:textId="5CE8E186" w:rsidR="00D26BFA" w:rsidRPr="00DE4DD0" w:rsidRDefault="00D26BFA" w:rsidP="00D26B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2. Решени</w:t>
      </w:r>
      <w:bookmarkStart w:id="0" w:name="_GoBack"/>
      <w:bookmarkEnd w:id="0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ем Совета ЕЭК от 05.04.2022 № 45 Решение 877 дополнено пунктом 3.2.6, согласно которому выпуск в обращение и нахождение в эксплуатации транспортных средств, указанных в абзаце втором пункта 1 раздела I ТР ТС 018/2011, допускаются при условии обеспечения их безопасности и только на территории государства – члена ЕАЭС, в котором эти транспортные средства произведены, за исключением случая, указанного в абзаце втором настоящего пункта. В отношении таких транспортных средств не допускается оформление документов об оценке соответствия, предусмотренных ТР ТС 018/2011.</w:t>
      </w:r>
    </w:p>
    <w:p w14:paraId="3E10FBA5" w14:textId="7914C00F" w:rsidR="00D26BFA" w:rsidRPr="00DE4DD0" w:rsidRDefault="00D26BFA" w:rsidP="00D26B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Осуществление прав владения, пользования, распоряжения транспортными средствами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, указанными в абзаце втором пункта 1 раздела I ТР ТС 018/2011,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не допускается на территориях государств – членов ЕАЭС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, за исключением территории государства-члена, в котором эти транспортные средства произведены, если иное не установлено законодательством других государств-членов в отношении таких транспортных средств.</w:t>
      </w:r>
    </w:p>
    <w:p w14:paraId="56C0F3A7" w14:textId="1902AB3F" w:rsidR="00D26BFA" w:rsidRPr="00DE4DD0" w:rsidRDefault="00D26BFA" w:rsidP="00D26B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proofErr w:type="spellStart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Справочно</w:t>
      </w:r>
      <w:proofErr w:type="spellEnd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: абзац второй пункта 1 раздела I ТР ТС 018/2011:</w:t>
      </w:r>
    </w:p>
    <w:p w14:paraId="6D61C69C" w14:textId="37C74A8A" w:rsidR="00D26BFA" w:rsidRPr="00DE4DD0" w:rsidRDefault="00D26BFA" w:rsidP="00D26B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«До 31 декабря 2027 г. в Республике Армения, Республике Беларусь, </w:t>
      </w:r>
      <w:proofErr w:type="spellStart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Кыргызской</w:t>
      </w:r>
      <w:proofErr w:type="spellEnd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Республике и Российской Федерации допускаются установление и применение обязательных требований в отношении отдельных колесных транспортных средств, производимых на территориях государств – членов ЕАЭС, а также проведение оценки соответствия таких транспортных средств в соответствии с нормативными правовыми актами Правительства Республики Армения, Правительства Республики Беларусь, Кабинета Министров </w:t>
      </w:r>
      <w:proofErr w:type="spellStart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Кыргызской</w:t>
      </w:r>
      <w:proofErr w:type="spellEnd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Республики или Правительства Российской Федерации соответственно или в порядке, установленном законодательством указанных государств – членов ЕАЭС соответственно.».</w:t>
      </w:r>
    </w:p>
    <w:p w14:paraId="3D63D58C" w14:textId="15D5BFA8" w:rsidR="00BD2C3E" w:rsidRPr="00DE4DD0" w:rsidRDefault="00BD2C3E" w:rsidP="00BD2C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При этом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информация 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о том, что колесное транспортное средство выпускается в обращение в соответствии с абзацем вторым пункта 1 раздела I ТР ТС 018/2011, и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наименование государства-члена (государств-членов), на территории которого оно может обращаться, указываются в свидетельстве о регистрации такого колесного транспортного средства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.</w:t>
      </w:r>
    </w:p>
    <w:p w14:paraId="03825013" w14:textId="044FCDEF" w:rsidR="00BD2C3E" w:rsidRPr="00DE4DD0" w:rsidRDefault="00BD2C3E" w:rsidP="00BD2C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Правительства государств – членов ЕАЭС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обеспечивают недопущение вывоза (в том числе временного)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транспортных средств, указанных в пункте 3.2.</w:t>
      </w:r>
      <w:r w:rsidR="00FD5790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6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Решения 877,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на территории других государств – членов ЕАЭС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, если между правительствами государств – членов ЕАЭС (в том числе в двустороннем формате) не достигнуты иные договоренности.</w:t>
      </w:r>
    </w:p>
    <w:p w14:paraId="3946ABBD" w14:textId="71902AC7" w:rsidR="00BD2C3E" w:rsidRPr="00DE4DD0" w:rsidRDefault="00BD2C3E" w:rsidP="00BD2C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Контроль за исполнением положений пункта 3.2.</w:t>
      </w:r>
      <w:r w:rsidR="00FD5790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6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Решения 877 осуществляется уполномоченными органами государств – членов ЕАЭС в соответствии с их законодательством.</w:t>
      </w:r>
    </w:p>
    <w:p w14:paraId="524E56D3" w14:textId="1D35478E" w:rsidR="00BD2C3E" w:rsidRPr="00DE4DD0" w:rsidRDefault="00D26BFA" w:rsidP="00BD2C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3. </w:t>
      </w:r>
      <w:r w:rsidR="00BD2C3E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Решением Совета ЕЭК от 15.04.2022 № 77 Решение 877 дополнено пунктом 3.2.7, согласно которому до 1 февраля 2024 г. в Республике Армения, Республике Казахстан допускается оценка соответствия и выпуск в обращение транспортных средств категорий М и N, которые изготовлены на территории государства – члена ЕАЭС или ввезены официальными представителями иностранных изготовителей на территорию такого государства – члена ЕАЭС, без применения пунктов 113 и 114 приложения № 2 к Техническому регламенту и пунктов 16 и 17 приложения № 3 к Техническому регламенту.</w:t>
      </w:r>
    </w:p>
    <w:p w14:paraId="318D032A" w14:textId="3A6F80F6" w:rsidR="00BD2C3E" w:rsidRPr="00DE4DD0" w:rsidRDefault="00BD2C3E" w:rsidP="00BD2C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До 31 декабря 2027 г. в Республике Беларусь, </w:t>
      </w:r>
      <w:proofErr w:type="spellStart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Кыргызской</w:t>
      </w:r>
      <w:proofErr w:type="spellEnd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Республике и Российской Федерации особенности проведения оценки соответствия выпускаемых в обращение транспортных средств без применения требований в отношении оснащения транспортных средств системами (устройствами) вызова экстренных оперативных служб устанавливаются в соответствии с нормативными правовыми актами 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lastRenderedPageBreak/>
        <w:t xml:space="preserve">Правительства Республики Беларусь, Кабинета Министров </w:t>
      </w:r>
      <w:proofErr w:type="spellStart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Кыргызской</w:t>
      </w:r>
      <w:proofErr w:type="spellEnd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Республики или Правительства Российской Федерации соответственно.</w:t>
      </w:r>
    </w:p>
    <w:p w14:paraId="06BF5049" w14:textId="44F2B7C8" w:rsidR="00BD2C3E" w:rsidRPr="00DE4DD0" w:rsidRDefault="00BD2C3E" w:rsidP="00BD2C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До 31 декабря 2027 г. в Республике Беларусь и Российской Федерации допускаются установление требований и особенностей проведения оценки соответствия, а также выпуск в обращение транспортных средств, ввозимых из третьих стран юридическими лицами и индивидуальными предпринимателями, со дня изготовления которых прошло не более 3 лет, в соответствии с нормативными правовыми актами Правительства Республики Беларусь и Правительства Российской Федерации соответственно. В отношении таких транспортных средств не допускается оформление документов об оценке соответствия, предусмотренных Техническим регламентом.</w:t>
      </w:r>
    </w:p>
    <w:p w14:paraId="7F665933" w14:textId="3B3DB4BA" w:rsidR="00D26BFA" w:rsidRPr="00DE4DD0" w:rsidRDefault="00BD2C3E" w:rsidP="00BD2C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Осуществление прав владения, пользования, распоряжения транспортными средствами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, указанными в абзацах первом – третьем настоящего пункта,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не допускается на территориях государств – членов ЕАЭС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, за исключением территории государства – члена ЕАЭС, в котором эти транспортные средства произведены или на территорию которого они ввезены индивидуальными предпринимателями или юридическими лицами, в том числе официальными представителями иностранных изготовителей, если иное не установлено законодательством соответствующих государств – членов ЕАЭС в отношении таких транспортных средств.</w:t>
      </w:r>
    </w:p>
    <w:p w14:paraId="7889F847" w14:textId="0415DEEA" w:rsidR="00BD2C3E" w:rsidRPr="00DE4DD0" w:rsidRDefault="00BD2C3E" w:rsidP="00BD2C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При этом правительства государств – членов ЕАЭС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обеспечивают недопущение вывоза (в том числе временного)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транспортных средств, указанных в пункте 3.2.7 Решения 877,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на территории других государств – членов ЕАЭС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, если между правительствами государств – членов ЕАЭС (в том числе в двустороннем формате) не достигнуты иные договоренности.</w:t>
      </w:r>
    </w:p>
    <w:p w14:paraId="14CE2142" w14:textId="23BCCDF0" w:rsidR="00BD2C3E" w:rsidRPr="00DE4DD0" w:rsidRDefault="00BD2C3E" w:rsidP="00BD2C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Контроль за исполнением положений пункта 3.2.7 Решения 877 осуществляется уполномоченными органами государств – членов ЕАЭС в соответствии с их законодательством.</w:t>
      </w:r>
    </w:p>
    <w:p w14:paraId="5D133BE1" w14:textId="6CF81620" w:rsidR="00AD1631" w:rsidRPr="00DE4DD0" w:rsidRDefault="00AD1631" w:rsidP="00BD2C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Информация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о государстве – члене ЕАЭС,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на территории которого допускается осуществление прав владения, пользования и распоряжения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транспортными средствами, указанными в пункте 3.2.7,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указывается в электронном паспорте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такого транспортного средства.</w:t>
      </w:r>
    </w:p>
    <w:p w14:paraId="3DA782D5" w14:textId="1E7E29FE" w:rsidR="00D702AE" w:rsidRPr="00DE4DD0" w:rsidRDefault="00BD2C3E" w:rsidP="00D70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4. </w:t>
      </w:r>
      <w:r w:rsidR="00D702AE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Решением Совета ЕЭК от </w:t>
      </w:r>
      <w:r w:rsidR="00FD5790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21</w:t>
      </w:r>
      <w:r w:rsidR="00D702AE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.0</w:t>
      </w:r>
      <w:r w:rsidR="00FD5790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6</w:t>
      </w:r>
      <w:r w:rsidR="00D702AE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.202</w:t>
      </w:r>
      <w:r w:rsidR="00FD5790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2</w:t>
      </w:r>
      <w:r w:rsidR="00D702AE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№ </w:t>
      </w:r>
      <w:r w:rsidR="00FD5790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105</w:t>
      </w:r>
      <w:r w:rsidR="00D702AE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Решение 877 дополнено пунктом 3.2.8, согласно которому до 1 февраля 2024 г. в Республике Армения, Республике Беларусь, Республике Казахстан и </w:t>
      </w:r>
      <w:proofErr w:type="spellStart"/>
      <w:r w:rsidR="00D702AE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Кыргызской</w:t>
      </w:r>
      <w:proofErr w:type="spellEnd"/>
      <w:r w:rsidR="00D702AE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Республике допускается оценка соответствия и выпуск в обращение единичных транспортных средств категорий M и N, ввозимых для собственных нужд на территории этих государств, без применения положений раздела 5 приложения № 4 к Техническому регламенту.</w:t>
      </w:r>
    </w:p>
    <w:p w14:paraId="626C0E8A" w14:textId="5A24700A" w:rsidR="00BD2C3E" w:rsidRPr="00DE4DD0" w:rsidRDefault="00D702AE" w:rsidP="00D70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Осуществление прав владения, пользования, распоряжения транспортными средствами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, указанными в абзаце первом настоящего подпункта,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не допускается на территориях других государств – членов ЕАЭС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, если иное не установлено законодательством соответствующих государств – членов ЕАЭС в отношении таких транспортных средств.</w:t>
      </w:r>
    </w:p>
    <w:p w14:paraId="4E407FA1" w14:textId="44B1A9B0" w:rsidR="00AD1631" w:rsidRPr="00DE4DD0" w:rsidRDefault="00AD1631" w:rsidP="00AD16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Информация 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о государстве – члене ЕАЭС, на территории которого допускается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осуществление прав владения, пользования и распоряжения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транспортными средствами, указанными в пункте 3.2.8,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указывается в электронном паспорте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такого транспортного средства.</w:t>
      </w:r>
    </w:p>
    <w:p w14:paraId="70260B26" w14:textId="03F57663" w:rsidR="00FD5790" w:rsidRPr="00DE4DD0" w:rsidRDefault="00FD5790" w:rsidP="00FD57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При этом правительства государств – членов ЕАЭС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обеспечивают недопущение вывоза (в том числе временного)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транспортных средств, указанных в пункте 3.2.8 Решения 877,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на территории других государств – членов ЕАЭС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, если между правительствами государств – членов ЕАЭС (в том числе в двустороннем формате) не достигнуты иные договоренности.</w:t>
      </w:r>
    </w:p>
    <w:p w14:paraId="7E86A29E" w14:textId="4132FEBC" w:rsidR="00FD5790" w:rsidRPr="00DE4DD0" w:rsidRDefault="00FD5790" w:rsidP="00FD57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lastRenderedPageBreak/>
        <w:t>Контроль за исполнением положений пункта 3.2.8 Решения 877 осуществляется уполномоченными органами государств – членов ЕАЭС в соответствии с их законодательством.</w:t>
      </w:r>
    </w:p>
    <w:p w14:paraId="0B1578F6" w14:textId="6E818AB2" w:rsidR="00D702AE" w:rsidRPr="00DE4DD0" w:rsidRDefault="00D702AE" w:rsidP="00D70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5. Решением Совета ЕЭК от 19.08.2022 № 120 Решение 877 дополнено пунктом 3.2.9, согласно которому выпуск в обращение и нахождение в эксплуатации транспортных средств, указанных в абзаце третьем пункта 1 Технического регламента, допускаются при условии обеспечения их безопасности и только на территории того государства, куда были ввезены такие транспортные средства (на территории Республики Армения или на территории Республики Беларусь). В отношении таких транспортных средств не допускается оформление документов об оценке соответствия, предусмотренных Техническим регламентом.</w:t>
      </w:r>
    </w:p>
    <w:p w14:paraId="6AE0E46D" w14:textId="1C143308" w:rsidR="00D702AE" w:rsidRPr="00DE4DD0" w:rsidRDefault="00D702AE" w:rsidP="00D70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proofErr w:type="spellStart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Справочно</w:t>
      </w:r>
      <w:proofErr w:type="spellEnd"/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: абзац третий пункта 1 раздела I ТР ТС 018/2011:</w:t>
      </w:r>
    </w:p>
    <w:p w14:paraId="50A8095B" w14:textId="2DA73EF8" w:rsidR="00D702AE" w:rsidRPr="00DE4DD0" w:rsidRDefault="00D702AE" w:rsidP="00D70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«До 1 февраля 2023 г. допускается в отношении ввозимых (ввезенных) официальными представителями иностранных изготовителей на территорию Республики Армения или на территорию Республики Беларусь колесных транспортных средств категорий M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  <w:vertAlign w:val="subscript"/>
        </w:rPr>
        <w:t>1</w:t>
      </w:r>
      <w:r w:rsidR="00AD1631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и M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  <w:vertAlign w:val="subscript"/>
        </w:rPr>
        <w:t>1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G проведение оценки соответствия требованиям безопасности, установленным в настоящем техническом регламенте, за исключением пунктов 113 и 114 таблицы перечня согласно</w:t>
      </w:r>
      <w:r w:rsidR="00AD1631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приложению № 2</w:t>
      </w:r>
      <w:r w:rsidR="00AD1631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и пунктов 16 и 17 требований согласно</w:t>
      </w:r>
      <w:r w:rsidR="00AD1631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приложению № 3, в соответствии с нормативными правовыми актами Правительства Республики Армения и Правительства Республики Беларусь.».</w:t>
      </w:r>
    </w:p>
    <w:p w14:paraId="6D97316A" w14:textId="2AA9A140" w:rsidR="00D702AE" w:rsidRPr="00DE4DD0" w:rsidRDefault="00D702AE" w:rsidP="00D70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Осуществление прав владения, пользования, распоряжения транспортными средствами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, указанными в абзаце третьем пункта 1 </w:t>
      </w:r>
      <w:r w:rsidR="00AD1631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ТР ТС 018/2011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,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не допускается на территориях государств – членов </w:t>
      </w:r>
      <w:r w:rsidR="00AD1631"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ЕАЭС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, за исключением территории Республики Армения или территории Республики Беларусь соответственно, если иное не установлено законодательством других государств-членов в отношении таких транспортных средств.</w:t>
      </w:r>
    </w:p>
    <w:p w14:paraId="2595934D" w14:textId="51A8428A" w:rsidR="00D702AE" w:rsidRPr="00DE4DD0" w:rsidRDefault="00D702AE" w:rsidP="00D70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Информация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о том, что транспортное средство выпускается в обращение в соответствии с абзацем третьим пункта 1 </w:t>
      </w:r>
      <w:r w:rsidR="00AD1631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ТР ТС 018/2011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, и наименование государства – члена </w:t>
      </w:r>
      <w:r w:rsidR="00AD1631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ЕАЭС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,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на территории которого оно может обращаться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,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указываются в свидетельстве о регистрации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такого колесного транспортного средства.</w:t>
      </w:r>
    </w:p>
    <w:p w14:paraId="3F995304" w14:textId="67B3D293" w:rsidR="00AD1631" w:rsidRPr="00DE4DD0" w:rsidRDefault="00AD1631" w:rsidP="00AD16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При этом правительства государств – членов ЕАЭС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обеспечивают недопущение вывоза (в том числе временного)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транспортных средств, указанных в пункте 3.2.</w:t>
      </w:r>
      <w:r w:rsidR="00FD5790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9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Решения 877, </w:t>
      </w:r>
      <w:r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на территории других государств – членов ЕАЭС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, если между правительствами государств – членов ЕАЭС (в том числе в двустороннем формате) не достигнуты иные договоренности.</w:t>
      </w:r>
    </w:p>
    <w:p w14:paraId="7812A2FB" w14:textId="654AB077" w:rsidR="00AD1631" w:rsidRPr="00DE4DD0" w:rsidRDefault="00AD1631" w:rsidP="00AD16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Контроль за исполнением положений пункта 3.2.</w:t>
      </w:r>
      <w:r w:rsidR="00FD5790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9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Решения 877 осуществляется уполномоченными органами государств – членов ЕАЭС в соответствии с их законодательством.</w:t>
      </w:r>
    </w:p>
    <w:p w14:paraId="4A571F4C" w14:textId="194F73C3" w:rsidR="00D702AE" w:rsidRPr="00DE4DD0" w:rsidRDefault="00AD1631" w:rsidP="00AD16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6. Решением Совета ЕЭК от 2</w:t>
      </w:r>
      <w:r w:rsidR="00A424A5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7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.09.202</w:t>
      </w:r>
      <w:r w:rsidR="00A424A5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3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№ </w:t>
      </w:r>
      <w:r w:rsidR="00A424A5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95</w:t>
      </w:r>
      <w:r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Решение 877 дополнено пунктом 3.8, согласно которому </w:t>
      </w:r>
      <w:r w:rsidR="00A424A5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до 31 декабря 2027 года в Республике Армения, Республике Беларусь, Республике Казахстан и </w:t>
      </w:r>
      <w:proofErr w:type="spellStart"/>
      <w:r w:rsidR="00A424A5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Кыргызской</w:t>
      </w:r>
      <w:proofErr w:type="spellEnd"/>
      <w:r w:rsidR="00A424A5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Республике допускается оценка соответствия и выпуск в обращение транспортных средств категорий M и N, которые изготовлены на территории государства – члена ЕАЭС или ввезены представителями иностранных изготовителей на территорию такого государства – члена ЕАЭС, без применения пункта 13</w:t>
      </w:r>
      <w:r w:rsidR="00A424A5" w:rsidRPr="00DE4DD0">
        <w:rPr>
          <w:rFonts w:ascii="Times New Roman" w:hAnsi="Times New Roman" w:cs="Times New Roman"/>
          <w:i/>
          <w:iCs/>
          <w:color w:val="0070C0"/>
          <w:sz w:val="24"/>
          <w:szCs w:val="24"/>
          <w:vertAlign w:val="superscript"/>
        </w:rPr>
        <w:t>1</w:t>
      </w:r>
      <w:r w:rsidR="00A424A5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ТР ТС 018/2011, пунктов 113 и 114 приложения № 2 к ТР ТС 018/2011 и пунктов 16 и 17 приложения № 3 к ТР ТС 018/2011, о чем </w:t>
      </w:r>
      <w:r w:rsidR="00A424A5"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делается отметка в документе об оценке соответствия</w:t>
      </w:r>
      <w:r w:rsidR="00A424A5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транспортного средства в разделе «Дополнительная информация» </w:t>
      </w:r>
      <w:r w:rsidR="00A424A5"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и в</w:t>
      </w:r>
      <w:r w:rsidR="00A424A5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свидетельстве о регистрации такого транспортного средства (</w:t>
      </w:r>
      <w:r w:rsidR="00A424A5" w:rsidRPr="00DE4DD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электронном паспорте</w:t>
      </w:r>
      <w:r w:rsidR="00A424A5" w:rsidRPr="00DE4DD0">
        <w:rPr>
          <w:rFonts w:ascii="Times New Roman" w:hAnsi="Times New Roman" w:cs="Times New Roman"/>
          <w:i/>
          <w:iCs/>
          <w:color w:val="0070C0"/>
          <w:sz w:val="24"/>
          <w:szCs w:val="24"/>
        </w:rPr>
        <w:t>).</w:t>
      </w:r>
    </w:p>
    <w:p w14:paraId="3D9DF05B" w14:textId="77777777" w:rsidR="00693CCE" w:rsidRDefault="00693CCE" w:rsidP="00AD1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3CCE">
      <w:pgSz w:w="11906" w:h="16838"/>
      <w:pgMar w:top="1134" w:right="850" w:bottom="1134" w:left="1701" w:header="708" w:footer="708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промышленности и строительства Республики Казахстан - Рахметова С. П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870"/>
    <w:multiLevelType w:val="hybridMultilevel"/>
    <w:tmpl w:val="65F84EE4"/>
    <w:lvl w:ilvl="0" w:tplc="D1DECC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1E"/>
    <w:rsid w:val="000B02BB"/>
    <w:rsid w:val="00284DF7"/>
    <w:rsid w:val="00381562"/>
    <w:rsid w:val="003E0FEE"/>
    <w:rsid w:val="004110EB"/>
    <w:rsid w:val="00427B14"/>
    <w:rsid w:val="00693CCE"/>
    <w:rsid w:val="007400D1"/>
    <w:rsid w:val="00871DFF"/>
    <w:rsid w:val="008E571E"/>
    <w:rsid w:val="008F21B6"/>
    <w:rsid w:val="00937574"/>
    <w:rsid w:val="009859B5"/>
    <w:rsid w:val="00A255A7"/>
    <w:rsid w:val="00A424A5"/>
    <w:rsid w:val="00AD1631"/>
    <w:rsid w:val="00BD2C3E"/>
    <w:rsid w:val="00BE75BC"/>
    <w:rsid w:val="00C1360B"/>
    <w:rsid w:val="00CD114A"/>
    <w:rsid w:val="00D26BFA"/>
    <w:rsid w:val="00D702AE"/>
    <w:rsid w:val="00D97D33"/>
    <w:rsid w:val="00DE4DD0"/>
    <w:rsid w:val="00E0378B"/>
    <w:rsid w:val="00EB5CE9"/>
    <w:rsid w:val="00ED6FE5"/>
    <w:rsid w:val="00EF743D"/>
    <w:rsid w:val="00F8518F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DC48"/>
  <w15:chartTrackingRefBased/>
  <w15:docId w15:val="{8C0FE5C5-B91C-4AF7-9148-FBAC59CDC318}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5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7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7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7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7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7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7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7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E5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5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5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57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57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57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5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57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571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26B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Адилбек Бектибаев</dc:creator>
  <cp:keywords/>
  <dc:description/>
  <cp:lastModifiedBy>Admin</cp:lastModifiedBy>
  <cp:revision>7</cp:revision>
  <dcterms:created xsi:type="dcterms:W3CDTF">2025-06-10T07:31:00Z</dcterms:created>
  <dcterms:modified xsi:type="dcterms:W3CDTF">2025-06-27T12:11:00Z</dcterms:modified>
</cp:coreProperties>
</file>