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326" w:rsidRPr="00EE36B1" w:rsidRDefault="006C1326" w:rsidP="00FC77E2">
      <w:pPr>
        <w:widowControl w:val="0"/>
        <w:spacing w:after="360"/>
        <w:jc w:val="left"/>
        <w:rPr>
          <w:b/>
          <w:color w:val="000000"/>
          <w:sz w:val="24"/>
          <w:szCs w:val="20"/>
        </w:rPr>
      </w:pPr>
      <w:r w:rsidRPr="00EE36B1">
        <w:rPr>
          <w:b/>
          <w:color w:val="000000"/>
          <w:sz w:val="24"/>
          <w:szCs w:val="20"/>
        </w:rPr>
        <w:t>5. ТЕХНИКО-ЭКОНОМИЧЕСКИЙ АНАЛИЗ ПРОЕКТНЫХ РЕШЕНИЙ</w:t>
      </w:r>
    </w:p>
    <w:p w:rsidR="000950C6" w:rsidRPr="000950C6" w:rsidRDefault="000950C6" w:rsidP="000950C6">
      <w:pPr>
        <w:spacing w:line="360" w:lineRule="auto"/>
        <w:ind w:left="-284" w:firstLine="710"/>
        <w:jc w:val="both"/>
        <w:rPr>
          <w:sz w:val="24"/>
        </w:rPr>
      </w:pPr>
      <w:r w:rsidRPr="000950C6">
        <w:rPr>
          <w:sz w:val="24"/>
        </w:rPr>
        <w:t xml:space="preserve">Экономический анализ проведен </w:t>
      </w:r>
      <w:r w:rsidRPr="007B0F42">
        <w:rPr>
          <w:sz w:val="24"/>
        </w:rPr>
        <w:t xml:space="preserve">по </w:t>
      </w:r>
      <w:r w:rsidR="00A459BB">
        <w:rPr>
          <w:sz w:val="24"/>
        </w:rPr>
        <w:t>двум</w:t>
      </w:r>
      <w:r w:rsidRPr="000950C6">
        <w:rPr>
          <w:sz w:val="24"/>
        </w:rPr>
        <w:t xml:space="preserve"> вариант</w:t>
      </w:r>
      <w:r w:rsidR="008F6668">
        <w:rPr>
          <w:sz w:val="24"/>
        </w:rPr>
        <w:t>ам</w:t>
      </w:r>
      <w:r w:rsidRPr="000950C6">
        <w:rPr>
          <w:sz w:val="24"/>
        </w:rPr>
        <w:t>, для оценки возможных финансовых и экономических пос</w:t>
      </w:r>
      <w:r w:rsidR="008F6668">
        <w:rPr>
          <w:sz w:val="24"/>
        </w:rPr>
        <w:t>ледствии реализации рассмотренных</w:t>
      </w:r>
      <w:r w:rsidRPr="000950C6">
        <w:rPr>
          <w:sz w:val="24"/>
        </w:rPr>
        <w:t xml:space="preserve"> вариант</w:t>
      </w:r>
      <w:r w:rsidR="008F6668">
        <w:rPr>
          <w:sz w:val="24"/>
        </w:rPr>
        <w:t>ов</w:t>
      </w:r>
      <w:r w:rsidRPr="000950C6">
        <w:rPr>
          <w:sz w:val="24"/>
        </w:rPr>
        <w:t xml:space="preserve"> разработки, измерить совокупные затраты инвестора и выгоды от реализации вариант</w:t>
      </w:r>
      <w:r w:rsidR="008F6668">
        <w:rPr>
          <w:sz w:val="24"/>
        </w:rPr>
        <w:t>ов</w:t>
      </w:r>
      <w:r w:rsidRPr="000950C6">
        <w:rPr>
          <w:sz w:val="24"/>
        </w:rPr>
        <w:t>.</w:t>
      </w:r>
    </w:p>
    <w:p w:rsidR="008F6668" w:rsidRDefault="000950C6" w:rsidP="000950C6">
      <w:pPr>
        <w:spacing w:line="360" w:lineRule="auto"/>
        <w:ind w:left="-284" w:firstLine="710"/>
        <w:jc w:val="both"/>
        <w:rPr>
          <w:sz w:val="24"/>
        </w:rPr>
      </w:pPr>
      <w:r w:rsidRPr="000950C6">
        <w:rPr>
          <w:sz w:val="24"/>
        </w:rPr>
        <w:t xml:space="preserve">Анализировались: проектный уровень добычи нефти, срок достижения экономического предела, срок окупаемости инвестиций, капитальные вложения, эксплуатационные затраты, чистая прибыль, накопленный поток денежной наличности и экономические показатели. Результаты технико-экономических расчетов приведены в таблице </w:t>
      </w:r>
      <w:r w:rsidR="000F6085">
        <w:rPr>
          <w:sz w:val="24"/>
        </w:rPr>
        <w:t>5</w:t>
      </w:r>
      <w:r w:rsidR="008F6668">
        <w:rPr>
          <w:sz w:val="24"/>
        </w:rPr>
        <w:t>.1.</w:t>
      </w:r>
      <w:r w:rsidRPr="000950C6">
        <w:rPr>
          <w:sz w:val="24"/>
        </w:rPr>
        <w:t xml:space="preserve"> </w:t>
      </w:r>
    </w:p>
    <w:p w:rsidR="000950C6" w:rsidRPr="00AD1B3E" w:rsidRDefault="000950C6" w:rsidP="000950C6">
      <w:pPr>
        <w:spacing w:line="360" w:lineRule="auto"/>
        <w:ind w:left="-284" w:firstLine="710"/>
        <w:jc w:val="both"/>
        <w:rPr>
          <w:b/>
          <w:sz w:val="24"/>
        </w:rPr>
      </w:pPr>
      <w:r w:rsidRPr="00AD1B3E">
        <w:rPr>
          <w:b/>
          <w:sz w:val="24"/>
        </w:rPr>
        <w:t>Результаты расчетов:</w:t>
      </w:r>
    </w:p>
    <w:p w:rsidR="000950C6" w:rsidRPr="000950C6" w:rsidRDefault="00D71F3C" w:rsidP="00EE41DB">
      <w:pPr>
        <w:ind w:left="-284"/>
        <w:jc w:val="both"/>
        <w:rPr>
          <w:sz w:val="24"/>
        </w:rPr>
      </w:pPr>
      <w:r>
        <w:rPr>
          <w:sz w:val="24"/>
        </w:rPr>
        <w:t>Расчетный</w:t>
      </w:r>
      <w:r w:rsidR="000950C6" w:rsidRPr="000950C6">
        <w:rPr>
          <w:sz w:val="24"/>
        </w:rPr>
        <w:t xml:space="preserve"> период составил:</w:t>
      </w:r>
    </w:p>
    <w:p w:rsidR="000950C6" w:rsidRPr="000950C6" w:rsidRDefault="000950C6" w:rsidP="000950C6">
      <w:pPr>
        <w:ind w:left="-284" w:firstLine="710"/>
        <w:jc w:val="both"/>
        <w:rPr>
          <w:sz w:val="24"/>
        </w:rPr>
      </w:pPr>
      <w:r w:rsidRPr="000950C6">
        <w:rPr>
          <w:sz w:val="24"/>
        </w:rPr>
        <w:t xml:space="preserve">1 вариант </w:t>
      </w:r>
      <w:r w:rsidR="003F1683">
        <w:rPr>
          <w:sz w:val="24"/>
        </w:rPr>
        <w:t>–</w:t>
      </w:r>
      <w:r w:rsidRPr="000950C6">
        <w:rPr>
          <w:sz w:val="24"/>
        </w:rPr>
        <w:t xml:space="preserve"> 202</w:t>
      </w:r>
      <w:r w:rsidR="00D71F3C">
        <w:rPr>
          <w:sz w:val="24"/>
        </w:rPr>
        <w:t>5</w:t>
      </w:r>
      <w:r w:rsidR="003F1683">
        <w:rPr>
          <w:sz w:val="24"/>
        </w:rPr>
        <w:t xml:space="preserve"> </w:t>
      </w:r>
      <w:r w:rsidRPr="000950C6">
        <w:rPr>
          <w:sz w:val="24"/>
        </w:rPr>
        <w:t>- 20</w:t>
      </w:r>
      <w:r w:rsidR="007018CC">
        <w:rPr>
          <w:sz w:val="24"/>
        </w:rPr>
        <w:t>3</w:t>
      </w:r>
      <w:r w:rsidR="00E55851">
        <w:rPr>
          <w:sz w:val="24"/>
        </w:rPr>
        <w:t>0</w:t>
      </w:r>
      <w:r w:rsidRPr="000950C6">
        <w:rPr>
          <w:sz w:val="24"/>
        </w:rPr>
        <w:t>гг.</w:t>
      </w:r>
    </w:p>
    <w:p w:rsidR="000950C6" w:rsidRPr="000950C6" w:rsidRDefault="000950C6" w:rsidP="000950C6">
      <w:pPr>
        <w:ind w:left="-284" w:firstLine="710"/>
        <w:jc w:val="both"/>
        <w:rPr>
          <w:sz w:val="24"/>
        </w:rPr>
      </w:pPr>
      <w:r w:rsidRPr="000950C6">
        <w:rPr>
          <w:sz w:val="24"/>
        </w:rPr>
        <w:t xml:space="preserve">2 вариант – </w:t>
      </w:r>
      <w:r w:rsidR="00E55851" w:rsidRPr="000950C6">
        <w:rPr>
          <w:sz w:val="24"/>
        </w:rPr>
        <w:t>202</w:t>
      </w:r>
      <w:r w:rsidR="00D71F3C">
        <w:rPr>
          <w:sz w:val="24"/>
        </w:rPr>
        <w:t>5</w:t>
      </w:r>
      <w:r w:rsidR="00E55851">
        <w:rPr>
          <w:sz w:val="24"/>
        </w:rPr>
        <w:t xml:space="preserve"> </w:t>
      </w:r>
      <w:r w:rsidR="00E55851" w:rsidRPr="000950C6">
        <w:rPr>
          <w:sz w:val="24"/>
        </w:rPr>
        <w:t>- 20</w:t>
      </w:r>
      <w:r w:rsidR="00E55851">
        <w:rPr>
          <w:sz w:val="24"/>
        </w:rPr>
        <w:t>30</w:t>
      </w:r>
      <w:r w:rsidR="00E55851" w:rsidRPr="000950C6">
        <w:rPr>
          <w:sz w:val="24"/>
        </w:rPr>
        <w:t>гг</w:t>
      </w:r>
    </w:p>
    <w:p w:rsidR="000950C6" w:rsidRPr="000950C6" w:rsidRDefault="000950C6" w:rsidP="00EE41DB">
      <w:pPr>
        <w:ind w:left="-284"/>
        <w:jc w:val="both"/>
        <w:rPr>
          <w:sz w:val="24"/>
        </w:rPr>
      </w:pPr>
      <w:r w:rsidRPr="000950C6">
        <w:rPr>
          <w:sz w:val="24"/>
        </w:rPr>
        <w:t xml:space="preserve">Объем необходимых </w:t>
      </w:r>
      <w:r w:rsidR="00183A20">
        <w:rPr>
          <w:sz w:val="24"/>
        </w:rPr>
        <w:t>капитальных вложении</w:t>
      </w:r>
      <w:r w:rsidRPr="000950C6">
        <w:rPr>
          <w:sz w:val="24"/>
        </w:rPr>
        <w:t xml:space="preserve"> при расчете за </w:t>
      </w:r>
      <w:r w:rsidR="00D71F3C">
        <w:rPr>
          <w:sz w:val="24"/>
        </w:rPr>
        <w:t>расчетный</w:t>
      </w:r>
      <w:r w:rsidRPr="000950C6">
        <w:rPr>
          <w:sz w:val="24"/>
        </w:rPr>
        <w:t xml:space="preserve"> период составляет:</w:t>
      </w:r>
    </w:p>
    <w:p w:rsidR="00AD1B3E" w:rsidRPr="00E55851" w:rsidRDefault="00AD1B3E" w:rsidP="00AD1B3E">
      <w:pPr>
        <w:ind w:left="-284" w:firstLine="710"/>
        <w:jc w:val="both"/>
        <w:rPr>
          <w:sz w:val="24"/>
        </w:rPr>
      </w:pPr>
      <w:r w:rsidRPr="00E55851">
        <w:rPr>
          <w:sz w:val="24"/>
        </w:rPr>
        <w:t>1 вариант –</w:t>
      </w:r>
      <w:r w:rsidR="00514D9E" w:rsidRPr="00E55851">
        <w:rPr>
          <w:sz w:val="24"/>
        </w:rPr>
        <w:t xml:space="preserve"> </w:t>
      </w:r>
      <w:r w:rsidR="00A459BB">
        <w:rPr>
          <w:sz w:val="24"/>
          <w:lang w:eastAsia="ru-KZ"/>
        </w:rPr>
        <w:t>1846,3</w:t>
      </w:r>
      <w:r w:rsidR="00E55851" w:rsidRPr="00E55851">
        <w:rPr>
          <w:sz w:val="24"/>
          <w:lang w:eastAsia="ru-KZ"/>
        </w:rPr>
        <w:t xml:space="preserve"> </w:t>
      </w:r>
      <w:r w:rsidRPr="00E55851">
        <w:rPr>
          <w:sz w:val="24"/>
        </w:rPr>
        <w:t xml:space="preserve">млн. </w:t>
      </w:r>
      <w:proofErr w:type="spellStart"/>
      <w:r w:rsidRPr="00E55851">
        <w:rPr>
          <w:sz w:val="24"/>
        </w:rPr>
        <w:t>тг</w:t>
      </w:r>
      <w:proofErr w:type="spellEnd"/>
      <w:r w:rsidRPr="00E55851">
        <w:rPr>
          <w:sz w:val="24"/>
        </w:rPr>
        <w:t>.</w:t>
      </w:r>
    </w:p>
    <w:p w:rsidR="00AD1B3E" w:rsidRPr="00E55851" w:rsidRDefault="00AD1B3E" w:rsidP="00AD1B3E">
      <w:pPr>
        <w:ind w:left="-284" w:firstLine="710"/>
        <w:jc w:val="both"/>
        <w:rPr>
          <w:sz w:val="24"/>
        </w:rPr>
      </w:pPr>
      <w:r w:rsidRPr="00E55851">
        <w:rPr>
          <w:sz w:val="24"/>
        </w:rPr>
        <w:t>2 вариант –</w:t>
      </w:r>
      <w:r w:rsidR="00514D9E" w:rsidRPr="00E55851">
        <w:rPr>
          <w:sz w:val="24"/>
        </w:rPr>
        <w:t xml:space="preserve"> </w:t>
      </w:r>
      <w:r w:rsidR="00A459BB">
        <w:rPr>
          <w:sz w:val="24"/>
          <w:lang w:eastAsia="ru-KZ"/>
        </w:rPr>
        <w:t>482,5</w:t>
      </w:r>
      <w:r w:rsidR="00E55851" w:rsidRPr="00E55851">
        <w:rPr>
          <w:sz w:val="24"/>
          <w:lang w:eastAsia="ru-KZ"/>
        </w:rPr>
        <w:t xml:space="preserve"> </w:t>
      </w:r>
      <w:r w:rsidRPr="00E55851">
        <w:rPr>
          <w:sz w:val="24"/>
        </w:rPr>
        <w:t xml:space="preserve">млн. </w:t>
      </w:r>
      <w:proofErr w:type="spellStart"/>
      <w:r w:rsidRPr="00E55851">
        <w:rPr>
          <w:sz w:val="24"/>
        </w:rPr>
        <w:t>тг</w:t>
      </w:r>
      <w:proofErr w:type="spellEnd"/>
      <w:r w:rsidRPr="00E55851">
        <w:rPr>
          <w:sz w:val="24"/>
        </w:rPr>
        <w:t>.</w:t>
      </w:r>
    </w:p>
    <w:p w:rsidR="000950C6" w:rsidRPr="000950C6" w:rsidRDefault="000950C6" w:rsidP="00EE41DB">
      <w:pPr>
        <w:ind w:left="-284"/>
        <w:jc w:val="both"/>
        <w:rPr>
          <w:sz w:val="24"/>
        </w:rPr>
      </w:pPr>
      <w:r w:rsidRPr="000950C6">
        <w:rPr>
          <w:sz w:val="24"/>
        </w:rPr>
        <w:t xml:space="preserve">Суммарные эксплуатационные затраты за </w:t>
      </w:r>
      <w:r w:rsidR="00D71F3C">
        <w:rPr>
          <w:sz w:val="24"/>
        </w:rPr>
        <w:t>расчетный</w:t>
      </w:r>
      <w:r w:rsidR="00D71F3C" w:rsidRPr="000950C6">
        <w:rPr>
          <w:sz w:val="24"/>
        </w:rPr>
        <w:t xml:space="preserve"> </w:t>
      </w:r>
      <w:r w:rsidRPr="000950C6">
        <w:rPr>
          <w:sz w:val="24"/>
        </w:rPr>
        <w:t>период составляют:</w:t>
      </w:r>
    </w:p>
    <w:p w:rsidR="00AD1B3E" w:rsidRPr="00E55851" w:rsidRDefault="00AD1B3E" w:rsidP="00AD1B3E">
      <w:pPr>
        <w:ind w:left="-284" w:firstLine="710"/>
        <w:jc w:val="both"/>
        <w:rPr>
          <w:sz w:val="24"/>
        </w:rPr>
      </w:pPr>
      <w:r w:rsidRPr="00AD1B3E">
        <w:rPr>
          <w:sz w:val="24"/>
        </w:rPr>
        <w:t>1 вариант –</w:t>
      </w:r>
      <w:r w:rsidR="00514D9E" w:rsidRPr="00514D9E">
        <w:rPr>
          <w:sz w:val="24"/>
        </w:rPr>
        <w:t xml:space="preserve"> </w:t>
      </w:r>
      <w:r w:rsidR="00A459BB">
        <w:rPr>
          <w:sz w:val="24"/>
          <w:lang w:eastAsia="ru-KZ"/>
        </w:rPr>
        <w:t>22</w:t>
      </w:r>
      <w:r w:rsidR="00961CC8">
        <w:rPr>
          <w:sz w:val="24"/>
          <w:lang w:eastAsia="ru-KZ"/>
        </w:rPr>
        <w:t>244</w:t>
      </w:r>
      <w:r w:rsidR="00A459BB">
        <w:rPr>
          <w:sz w:val="24"/>
          <w:lang w:eastAsia="ru-KZ"/>
        </w:rPr>
        <w:t>,</w:t>
      </w:r>
      <w:r w:rsidR="00961CC8">
        <w:rPr>
          <w:sz w:val="24"/>
          <w:lang w:eastAsia="ru-KZ"/>
        </w:rPr>
        <w:t>2</w:t>
      </w:r>
      <w:r w:rsidR="00E55851" w:rsidRPr="00E55851">
        <w:rPr>
          <w:sz w:val="24"/>
          <w:lang w:eastAsia="ru-KZ"/>
        </w:rPr>
        <w:t xml:space="preserve"> </w:t>
      </w:r>
      <w:r w:rsidRPr="00E55851">
        <w:rPr>
          <w:sz w:val="24"/>
        </w:rPr>
        <w:t xml:space="preserve">млн. </w:t>
      </w:r>
      <w:proofErr w:type="spellStart"/>
      <w:r w:rsidRPr="00E55851">
        <w:rPr>
          <w:sz w:val="24"/>
        </w:rPr>
        <w:t>тг</w:t>
      </w:r>
      <w:proofErr w:type="spellEnd"/>
    </w:p>
    <w:p w:rsidR="00AD1B3E" w:rsidRPr="00E55851" w:rsidRDefault="00AD1B3E" w:rsidP="00AD1B3E">
      <w:pPr>
        <w:ind w:left="-284" w:firstLine="710"/>
        <w:jc w:val="both"/>
        <w:rPr>
          <w:sz w:val="24"/>
        </w:rPr>
      </w:pPr>
      <w:r w:rsidRPr="00E55851">
        <w:rPr>
          <w:sz w:val="24"/>
        </w:rPr>
        <w:t>2 вариант –</w:t>
      </w:r>
      <w:r w:rsidR="00514D9E" w:rsidRPr="00E55851">
        <w:rPr>
          <w:sz w:val="24"/>
        </w:rPr>
        <w:t xml:space="preserve"> </w:t>
      </w:r>
      <w:r w:rsidR="00A459BB">
        <w:rPr>
          <w:sz w:val="24"/>
          <w:lang w:eastAsia="ru-KZ"/>
        </w:rPr>
        <w:t>21</w:t>
      </w:r>
      <w:r w:rsidR="00961CC8">
        <w:rPr>
          <w:sz w:val="24"/>
          <w:lang w:eastAsia="ru-KZ"/>
        </w:rPr>
        <w:t>893</w:t>
      </w:r>
      <w:r w:rsidR="00A459BB">
        <w:rPr>
          <w:sz w:val="24"/>
          <w:lang w:eastAsia="ru-KZ"/>
        </w:rPr>
        <w:t>,</w:t>
      </w:r>
      <w:r w:rsidR="00961CC8">
        <w:rPr>
          <w:sz w:val="24"/>
          <w:lang w:eastAsia="ru-KZ"/>
        </w:rPr>
        <w:t>0</w:t>
      </w:r>
      <w:bookmarkStart w:id="0" w:name="_GoBack"/>
      <w:bookmarkEnd w:id="0"/>
      <w:r w:rsidR="00E55851" w:rsidRPr="00E55851">
        <w:rPr>
          <w:sz w:val="24"/>
          <w:lang w:eastAsia="ru-KZ"/>
        </w:rPr>
        <w:t xml:space="preserve"> </w:t>
      </w:r>
      <w:r w:rsidRPr="00E55851">
        <w:rPr>
          <w:sz w:val="24"/>
        </w:rPr>
        <w:t xml:space="preserve">млн. </w:t>
      </w:r>
      <w:proofErr w:type="spellStart"/>
      <w:r w:rsidRPr="00E55851">
        <w:rPr>
          <w:sz w:val="24"/>
        </w:rPr>
        <w:t>тг</w:t>
      </w:r>
      <w:proofErr w:type="spellEnd"/>
      <w:r w:rsidRPr="00E55851">
        <w:rPr>
          <w:sz w:val="24"/>
        </w:rPr>
        <w:t>.</w:t>
      </w:r>
    </w:p>
    <w:p w:rsidR="000950C6" w:rsidRPr="00E55851" w:rsidRDefault="000950C6" w:rsidP="00C160B5">
      <w:pPr>
        <w:spacing w:line="360" w:lineRule="auto"/>
        <w:ind w:left="-284" w:firstLine="710"/>
        <w:jc w:val="both"/>
        <w:rPr>
          <w:sz w:val="24"/>
        </w:rPr>
      </w:pPr>
      <w:r w:rsidRPr="00E55851">
        <w:rPr>
          <w:sz w:val="24"/>
        </w:rPr>
        <w:t xml:space="preserve">Накопленный дисконтированный поток наличности (Чистая приведенная стоимость) за </w:t>
      </w:r>
      <w:r w:rsidR="00D71F3C">
        <w:rPr>
          <w:sz w:val="24"/>
        </w:rPr>
        <w:t>расчетный</w:t>
      </w:r>
      <w:r w:rsidR="00D71F3C" w:rsidRPr="000950C6">
        <w:rPr>
          <w:sz w:val="24"/>
        </w:rPr>
        <w:t xml:space="preserve"> </w:t>
      </w:r>
      <w:r w:rsidRPr="00E55851">
        <w:rPr>
          <w:sz w:val="24"/>
        </w:rPr>
        <w:t xml:space="preserve">период, при ставке дисконта </w:t>
      </w:r>
      <w:r w:rsidR="009E73F8" w:rsidRPr="00E55851">
        <w:rPr>
          <w:sz w:val="24"/>
        </w:rPr>
        <w:t>10,85</w:t>
      </w:r>
      <w:r w:rsidRPr="00E55851">
        <w:rPr>
          <w:sz w:val="24"/>
        </w:rPr>
        <w:t>% имеет следующую величину:</w:t>
      </w:r>
    </w:p>
    <w:p w:rsidR="00AD1B3E" w:rsidRPr="00E55851" w:rsidRDefault="00AD1B3E" w:rsidP="00AD1B3E">
      <w:pPr>
        <w:ind w:left="-284" w:firstLine="710"/>
        <w:jc w:val="both"/>
        <w:rPr>
          <w:sz w:val="24"/>
        </w:rPr>
      </w:pPr>
      <w:r w:rsidRPr="00E55851">
        <w:rPr>
          <w:sz w:val="24"/>
        </w:rPr>
        <w:t>1 вариант –</w:t>
      </w:r>
      <w:r w:rsidR="00514D9E" w:rsidRPr="00E55851">
        <w:rPr>
          <w:sz w:val="24"/>
        </w:rPr>
        <w:t xml:space="preserve"> </w:t>
      </w:r>
      <w:r w:rsidR="00D71F3C">
        <w:rPr>
          <w:sz w:val="24"/>
        </w:rPr>
        <w:t>(</w:t>
      </w:r>
      <w:r w:rsidR="00E55851" w:rsidRPr="008F1D80">
        <w:rPr>
          <w:sz w:val="24"/>
          <w:lang w:val="ru-KZ" w:eastAsia="ru-KZ"/>
        </w:rPr>
        <w:t>-</w:t>
      </w:r>
      <w:r w:rsidR="00961CC8">
        <w:rPr>
          <w:sz w:val="24"/>
          <w:lang w:eastAsia="ru-KZ"/>
        </w:rPr>
        <w:t>4260</w:t>
      </w:r>
      <w:r w:rsidR="00A459BB">
        <w:rPr>
          <w:sz w:val="24"/>
          <w:lang w:eastAsia="ru-KZ"/>
        </w:rPr>
        <w:t>,</w:t>
      </w:r>
      <w:r w:rsidR="00961CC8">
        <w:rPr>
          <w:sz w:val="24"/>
          <w:lang w:eastAsia="ru-KZ"/>
        </w:rPr>
        <w:t>0</w:t>
      </w:r>
      <w:r w:rsidR="00D71F3C">
        <w:rPr>
          <w:sz w:val="24"/>
          <w:lang w:eastAsia="ru-KZ"/>
        </w:rPr>
        <w:t>)</w:t>
      </w:r>
      <w:r w:rsidR="00E55851" w:rsidRPr="00E55851">
        <w:rPr>
          <w:sz w:val="24"/>
          <w:lang w:eastAsia="ru-KZ"/>
        </w:rPr>
        <w:t xml:space="preserve"> </w:t>
      </w:r>
      <w:r w:rsidRPr="00E55851">
        <w:rPr>
          <w:sz w:val="24"/>
        </w:rPr>
        <w:t xml:space="preserve">млн. </w:t>
      </w:r>
      <w:proofErr w:type="spellStart"/>
      <w:r w:rsidRPr="00E55851">
        <w:rPr>
          <w:sz w:val="24"/>
        </w:rPr>
        <w:t>тг</w:t>
      </w:r>
      <w:proofErr w:type="spellEnd"/>
      <w:r w:rsidRPr="00E55851">
        <w:rPr>
          <w:sz w:val="24"/>
        </w:rPr>
        <w:t>.</w:t>
      </w:r>
    </w:p>
    <w:p w:rsidR="00AD1B3E" w:rsidRPr="00E55851" w:rsidRDefault="00AD1B3E" w:rsidP="00AD1B3E">
      <w:pPr>
        <w:ind w:left="-284" w:firstLine="710"/>
        <w:jc w:val="both"/>
        <w:rPr>
          <w:sz w:val="24"/>
        </w:rPr>
      </w:pPr>
      <w:r w:rsidRPr="00E55851">
        <w:rPr>
          <w:sz w:val="24"/>
        </w:rPr>
        <w:t>2 вариант –</w:t>
      </w:r>
      <w:r w:rsidR="00514D9E" w:rsidRPr="00E55851">
        <w:rPr>
          <w:sz w:val="24"/>
        </w:rPr>
        <w:t xml:space="preserve"> </w:t>
      </w:r>
      <w:r w:rsidR="00D71F3C">
        <w:rPr>
          <w:sz w:val="24"/>
        </w:rPr>
        <w:t>(</w:t>
      </w:r>
      <w:r w:rsidR="00E55851" w:rsidRPr="008F1D80">
        <w:rPr>
          <w:sz w:val="24"/>
          <w:lang w:val="ru-KZ" w:eastAsia="ru-KZ"/>
        </w:rPr>
        <w:t>-</w:t>
      </w:r>
      <w:r w:rsidR="00961CC8">
        <w:rPr>
          <w:sz w:val="24"/>
          <w:lang w:eastAsia="ru-KZ"/>
        </w:rPr>
        <w:t>3409</w:t>
      </w:r>
      <w:r w:rsidR="00D71F3C">
        <w:rPr>
          <w:sz w:val="24"/>
          <w:lang w:eastAsia="ru-KZ"/>
        </w:rPr>
        <w:t>,</w:t>
      </w:r>
      <w:r w:rsidR="00961CC8">
        <w:rPr>
          <w:sz w:val="24"/>
          <w:lang w:eastAsia="ru-KZ"/>
        </w:rPr>
        <w:t>4</w:t>
      </w:r>
      <w:r w:rsidR="00D71F3C">
        <w:rPr>
          <w:sz w:val="24"/>
          <w:lang w:eastAsia="ru-KZ"/>
        </w:rPr>
        <w:t>)</w:t>
      </w:r>
      <w:r w:rsidR="00E55851" w:rsidRPr="00E55851">
        <w:rPr>
          <w:sz w:val="24"/>
          <w:lang w:eastAsia="ru-KZ"/>
        </w:rPr>
        <w:t xml:space="preserve"> </w:t>
      </w:r>
      <w:r w:rsidRPr="00E55851">
        <w:rPr>
          <w:sz w:val="24"/>
        </w:rPr>
        <w:t xml:space="preserve">млн. </w:t>
      </w:r>
      <w:proofErr w:type="spellStart"/>
      <w:r w:rsidRPr="00E55851">
        <w:rPr>
          <w:sz w:val="24"/>
        </w:rPr>
        <w:t>тг</w:t>
      </w:r>
      <w:proofErr w:type="spellEnd"/>
      <w:r w:rsidRPr="00E55851">
        <w:rPr>
          <w:sz w:val="24"/>
        </w:rPr>
        <w:t>.</w:t>
      </w:r>
    </w:p>
    <w:p w:rsidR="001B06CB" w:rsidRPr="00E55851" w:rsidRDefault="001B06CB" w:rsidP="001B06CB">
      <w:pPr>
        <w:spacing w:line="360" w:lineRule="auto"/>
        <w:ind w:left="-284" w:firstLine="710"/>
        <w:jc w:val="both"/>
        <w:rPr>
          <w:sz w:val="24"/>
        </w:rPr>
      </w:pPr>
      <w:r w:rsidRPr="00E55851">
        <w:rPr>
          <w:sz w:val="24"/>
        </w:rPr>
        <w:t xml:space="preserve">Накопленный дисконтированный поток наличности </w:t>
      </w:r>
      <w:r w:rsidR="000818DD" w:rsidRPr="00E55851">
        <w:rPr>
          <w:sz w:val="24"/>
        </w:rPr>
        <w:t>Государства за</w:t>
      </w:r>
      <w:r w:rsidRPr="00E55851">
        <w:rPr>
          <w:sz w:val="24"/>
        </w:rPr>
        <w:t xml:space="preserve"> </w:t>
      </w:r>
      <w:r w:rsidR="00D71F3C">
        <w:rPr>
          <w:sz w:val="24"/>
        </w:rPr>
        <w:t>расчетный</w:t>
      </w:r>
      <w:r w:rsidR="00D71F3C" w:rsidRPr="000950C6">
        <w:rPr>
          <w:sz w:val="24"/>
        </w:rPr>
        <w:t xml:space="preserve"> </w:t>
      </w:r>
      <w:r w:rsidRPr="00E55851">
        <w:rPr>
          <w:sz w:val="24"/>
        </w:rPr>
        <w:t xml:space="preserve">период, при ставке дисконта </w:t>
      </w:r>
      <w:r w:rsidR="009E73F8" w:rsidRPr="00E55851">
        <w:rPr>
          <w:sz w:val="24"/>
        </w:rPr>
        <w:t>10,85</w:t>
      </w:r>
      <w:r w:rsidRPr="00E55851">
        <w:rPr>
          <w:sz w:val="24"/>
        </w:rPr>
        <w:t>% имеет следующую величину:</w:t>
      </w:r>
    </w:p>
    <w:p w:rsidR="004E6A16" w:rsidRPr="00E55851" w:rsidRDefault="004E6A16" w:rsidP="004E6A16">
      <w:pPr>
        <w:ind w:left="-284" w:firstLine="710"/>
        <w:jc w:val="both"/>
        <w:rPr>
          <w:sz w:val="24"/>
        </w:rPr>
      </w:pPr>
      <w:r w:rsidRPr="00E55851">
        <w:rPr>
          <w:sz w:val="24"/>
        </w:rPr>
        <w:t xml:space="preserve">1 вариант – </w:t>
      </w:r>
      <w:r w:rsidR="00A459BB">
        <w:rPr>
          <w:sz w:val="24"/>
          <w:lang w:eastAsia="ru-KZ"/>
        </w:rPr>
        <w:t>5648,</w:t>
      </w:r>
      <w:r w:rsidR="00961CC8">
        <w:rPr>
          <w:sz w:val="24"/>
          <w:lang w:eastAsia="ru-KZ"/>
        </w:rPr>
        <w:t>7</w:t>
      </w:r>
      <w:r w:rsidR="00E55851" w:rsidRPr="00E55851">
        <w:rPr>
          <w:sz w:val="24"/>
          <w:lang w:eastAsia="ru-KZ"/>
        </w:rPr>
        <w:t xml:space="preserve"> </w:t>
      </w:r>
      <w:r w:rsidRPr="00E55851">
        <w:rPr>
          <w:sz w:val="24"/>
        </w:rPr>
        <w:t xml:space="preserve">млн. </w:t>
      </w:r>
      <w:proofErr w:type="spellStart"/>
      <w:r w:rsidRPr="00E55851">
        <w:rPr>
          <w:sz w:val="24"/>
        </w:rPr>
        <w:t>тг</w:t>
      </w:r>
      <w:proofErr w:type="spellEnd"/>
      <w:r w:rsidRPr="00E55851">
        <w:rPr>
          <w:sz w:val="24"/>
        </w:rPr>
        <w:t>.</w:t>
      </w:r>
    </w:p>
    <w:p w:rsidR="004E6A16" w:rsidRPr="00E55851" w:rsidRDefault="004E6A16" w:rsidP="004E6A16">
      <w:pPr>
        <w:ind w:left="-284" w:firstLine="710"/>
        <w:jc w:val="both"/>
        <w:rPr>
          <w:sz w:val="24"/>
        </w:rPr>
      </w:pPr>
      <w:r w:rsidRPr="00E55851">
        <w:rPr>
          <w:sz w:val="24"/>
        </w:rPr>
        <w:t xml:space="preserve">2 вариант – </w:t>
      </w:r>
      <w:r w:rsidR="00A459BB">
        <w:rPr>
          <w:sz w:val="24"/>
          <w:lang w:eastAsia="ru-KZ"/>
        </w:rPr>
        <w:t>5363,</w:t>
      </w:r>
      <w:r w:rsidR="00961CC8">
        <w:rPr>
          <w:sz w:val="24"/>
          <w:lang w:eastAsia="ru-KZ"/>
        </w:rPr>
        <w:t>1</w:t>
      </w:r>
      <w:r w:rsidR="00E55851" w:rsidRPr="00E55851">
        <w:rPr>
          <w:sz w:val="24"/>
          <w:lang w:eastAsia="ru-KZ"/>
        </w:rPr>
        <w:t xml:space="preserve"> </w:t>
      </w:r>
      <w:r w:rsidRPr="00E55851">
        <w:rPr>
          <w:sz w:val="24"/>
        </w:rPr>
        <w:t xml:space="preserve">млн. </w:t>
      </w:r>
      <w:proofErr w:type="spellStart"/>
      <w:r w:rsidRPr="00E55851">
        <w:rPr>
          <w:sz w:val="24"/>
        </w:rPr>
        <w:t>тг</w:t>
      </w:r>
      <w:proofErr w:type="spellEnd"/>
      <w:r w:rsidRPr="00E55851">
        <w:rPr>
          <w:sz w:val="24"/>
        </w:rPr>
        <w:t>.</w:t>
      </w:r>
    </w:p>
    <w:p w:rsidR="007B0F42" w:rsidRPr="007B0F42" w:rsidRDefault="000950C6" w:rsidP="007B0F42">
      <w:pPr>
        <w:spacing w:line="360" w:lineRule="auto"/>
        <w:ind w:left="-284" w:firstLine="710"/>
        <w:jc w:val="both"/>
        <w:rPr>
          <w:sz w:val="24"/>
        </w:rPr>
      </w:pPr>
      <w:r w:rsidRPr="000950C6">
        <w:rPr>
          <w:sz w:val="24"/>
        </w:rPr>
        <w:t xml:space="preserve">Таким образом, </w:t>
      </w:r>
      <w:r w:rsidR="00E55851">
        <w:rPr>
          <w:sz w:val="24"/>
        </w:rPr>
        <w:t>менее убыточным</w:t>
      </w:r>
      <w:r w:rsidRPr="000950C6">
        <w:rPr>
          <w:sz w:val="24"/>
        </w:rPr>
        <w:t xml:space="preserve"> является </w:t>
      </w:r>
      <w:r w:rsidR="00A459BB">
        <w:rPr>
          <w:sz w:val="24"/>
        </w:rPr>
        <w:t>второй</w:t>
      </w:r>
      <w:r w:rsidRPr="000950C6">
        <w:rPr>
          <w:sz w:val="24"/>
        </w:rPr>
        <w:t xml:space="preserve"> вариант</w:t>
      </w:r>
      <w:r w:rsidR="000818DD">
        <w:rPr>
          <w:sz w:val="24"/>
        </w:rPr>
        <w:t>, по которому недропользователь получа</w:t>
      </w:r>
      <w:r w:rsidR="007018CC">
        <w:rPr>
          <w:sz w:val="24"/>
        </w:rPr>
        <w:t>е</w:t>
      </w:r>
      <w:r w:rsidR="000818DD">
        <w:rPr>
          <w:sz w:val="24"/>
        </w:rPr>
        <w:t xml:space="preserve">т </w:t>
      </w:r>
      <w:r w:rsidR="00E55851">
        <w:rPr>
          <w:sz w:val="24"/>
        </w:rPr>
        <w:t>меньший убыток</w:t>
      </w:r>
      <w:r w:rsidRPr="000950C6">
        <w:rPr>
          <w:sz w:val="24"/>
        </w:rPr>
        <w:t xml:space="preserve">. </w:t>
      </w:r>
    </w:p>
    <w:p w:rsidR="00812285" w:rsidRDefault="00812285" w:rsidP="000F6085">
      <w:pPr>
        <w:pStyle w:val="a3"/>
        <w:spacing w:before="0" w:line="240" w:lineRule="auto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Таблица 5.</w:t>
      </w:r>
      <w:r w:rsidRPr="005E4AB7">
        <w:rPr>
          <w:rFonts w:eastAsia="SimSun"/>
          <w:lang w:eastAsia="zh-CN"/>
        </w:rPr>
        <w:t>1</w:t>
      </w:r>
      <w:r w:rsidRPr="00EE36B1">
        <w:rPr>
          <w:rFonts w:eastAsia="SimSun"/>
          <w:lang w:eastAsia="zh-CN"/>
        </w:rPr>
        <w:t>- Технико-экономические показатели вариантов разработки по месторождению в целом</w:t>
      </w:r>
      <w:r>
        <w:rPr>
          <w:rFonts w:eastAsia="SimSun"/>
          <w:lang w:eastAsia="zh-C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65"/>
        <w:gridCol w:w="1276"/>
        <w:gridCol w:w="1134"/>
        <w:gridCol w:w="1270"/>
      </w:tblGrid>
      <w:tr w:rsidR="00A459BB" w:rsidRPr="00A459BB" w:rsidTr="00A459BB">
        <w:trPr>
          <w:trHeight w:val="408"/>
          <w:tblHeader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9BB" w:rsidRPr="00A459BB" w:rsidRDefault="00A459BB" w:rsidP="00A459BB">
            <w:pPr>
              <w:rPr>
                <w:b/>
                <w:bCs/>
                <w:szCs w:val="20"/>
                <w:lang w:val="ru-KZ" w:eastAsia="ru-KZ"/>
              </w:rPr>
            </w:pPr>
            <w:r w:rsidRPr="00A459BB">
              <w:rPr>
                <w:b/>
                <w:bCs/>
                <w:szCs w:val="20"/>
                <w:lang w:val="ru-KZ" w:eastAsia="ru-KZ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9BB" w:rsidRPr="00A459BB" w:rsidRDefault="00A459BB" w:rsidP="00A459BB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A459BB">
              <w:rPr>
                <w:b/>
                <w:bCs/>
                <w:szCs w:val="20"/>
                <w:lang w:val="ru-KZ" w:eastAsia="ru-KZ"/>
              </w:rPr>
              <w:t>Ед.изм</w:t>
            </w:r>
            <w:proofErr w:type="spellEnd"/>
            <w:r w:rsidRPr="00A459BB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24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9BB" w:rsidRPr="00A459BB" w:rsidRDefault="00A459BB" w:rsidP="00A459BB">
            <w:pPr>
              <w:rPr>
                <w:b/>
                <w:bCs/>
                <w:szCs w:val="20"/>
                <w:lang w:val="ru-KZ" w:eastAsia="ru-KZ"/>
              </w:rPr>
            </w:pPr>
            <w:r w:rsidRPr="00A459BB">
              <w:rPr>
                <w:b/>
                <w:bCs/>
                <w:szCs w:val="20"/>
                <w:lang w:val="ru-KZ" w:eastAsia="ru-KZ"/>
              </w:rPr>
              <w:t>Варианты</w:t>
            </w:r>
          </w:p>
        </w:tc>
      </w:tr>
      <w:tr w:rsidR="00A459BB" w:rsidRPr="00A459BB" w:rsidTr="00A459BB">
        <w:trPr>
          <w:trHeight w:val="408"/>
          <w:tblHeader/>
        </w:trPr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9BB" w:rsidRPr="00A459BB" w:rsidRDefault="00A459BB" w:rsidP="00A459BB">
            <w:pPr>
              <w:jc w:val="left"/>
              <w:rPr>
                <w:b/>
                <w:bCs/>
                <w:szCs w:val="20"/>
                <w:lang w:val="ru-KZ" w:eastAsia="ru-K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9BB" w:rsidRPr="00A459BB" w:rsidRDefault="00A459BB" w:rsidP="00A459BB">
            <w:pPr>
              <w:jc w:val="left"/>
              <w:rPr>
                <w:b/>
                <w:bCs/>
                <w:szCs w:val="20"/>
                <w:lang w:val="ru-KZ" w:eastAsia="ru-KZ"/>
              </w:rPr>
            </w:pPr>
          </w:p>
        </w:tc>
        <w:tc>
          <w:tcPr>
            <w:tcW w:w="2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9BB" w:rsidRPr="00A459BB" w:rsidRDefault="00A459BB" w:rsidP="00A459BB">
            <w:pPr>
              <w:jc w:val="left"/>
              <w:rPr>
                <w:b/>
                <w:bCs/>
                <w:szCs w:val="20"/>
                <w:lang w:val="ru-KZ" w:eastAsia="ru-KZ"/>
              </w:rPr>
            </w:pPr>
          </w:p>
        </w:tc>
      </w:tr>
      <w:tr w:rsidR="00A459BB" w:rsidRPr="00A459BB" w:rsidTr="00A459BB">
        <w:trPr>
          <w:trHeight w:val="20"/>
          <w:tblHeader/>
        </w:trPr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9BB" w:rsidRPr="00A459BB" w:rsidRDefault="00A459BB" w:rsidP="00A459BB">
            <w:pPr>
              <w:jc w:val="left"/>
              <w:rPr>
                <w:b/>
                <w:bCs/>
                <w:szCs w:val="20"/>
                <w:lang w:val="ru-KZ" w:eastAsia="ru-K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9BB" w:rsidRPr="00A459BB" w:rsidRDefault="00A459BB" w:rsidP="00A459BB">
            <w:pPr>
              <w:jc w:val="left"/>
              <w:rPr>
                <w:b/>
                <w:bCs/>
                <w:szCs w:val="20"/>
                <w:lang w:val="ru-KZ" w:eastAsia="ru-K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9BB" w:rsidRPr="00A459BB" w:rsidRDefault="00A459BB" w:rsidP="00A459BB">
            <w:pPr>
              <w:rPr>
                <w:b/>
                <w:bCs/>
                <w:szCs w:val="20"/>
                <w:lang w:val="ru-KZ" w:eastAsia="ru-KZ"/>
              </w:rPr>
            </w:pPr>
            <w:r w:rsidRPr="00A459BB">
              <w:rPr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9BB" w:rsidRPr="00A459BB" w:rsidRDefault="00A459BB" w:rsidP="00A459BB">
            <w:pPr>
              <w:rPr>
                <w:b/>
                <w:bCs/>
                <w:szCs w:val="20"/>
                <w:lang w:val="ru-KZ" w:eastAsia="ru-KZ"/>
              </w:rPr>
            </w:pPr>
            <w:r w:rsidRPr="00A459BB">
              <w:rPr>
                <w:b/>
                <w:bCs/>
                <w:szCs w:val="20"/>
                <w:lang w:val="ru-KZ" w:eastAsia="ru-KZ"/>
              </w:rPr>
              <w:t>2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A459BB">
              <w:rPr>
                <w:b/>
                <w:bCs/>
                <w:szCs w:val="20"/>
                <w:lang w:val="ru-KZ" w:eastAsia="ru-KZ"/>
              </w:rPr>
              <w:t>Рентабельный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b/>
                <w:bCs/>
                <w:szCs w:val="20"/>
                <w:lang w:val="ru-KZ" w:eastAsia="ru-KZ"/>
              </w:rPr>
            </w:pPr>
            <w:r w:rsidRPr="00A459BB">
              <w:rPr>
                <w:b/>
                <w:bCs/>
                <w:szCs w:val="20"/>
                <w:lang w:val="ru-KZ" w:eastAsia="ru-KZ"/>
              </w:rPr>
              <w:t>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b/>
                <w:bCs/>
                <w:sz w:val="18"/>
                <w:szCs w:val="18"/>
                <w:lang w:eastAsia="ru-KZ"/>
              </w:rPr>
            </w:pPr>
            <w:r>
              <w:rPr>
                <w:b/>
                <w:bCs/>
                <w:sz w:val="18"/>
                <w:szCs w:val="18"/>
              </w:rPr>
              <w:t>2025 - 2030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2025 - 2030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Проектный уровень добычи жидкости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proofErr w:type="spellStart"/>
            <w:r w:rsidRPr="00A459BB">
              <w:rPr>
                <w:szCs w:val="20"/>
                <w:lang w:val="ru-KZ" w:eastAsia="ru-KZ"/>
              </w:rPr>
              <w:t>тыс.т</w:t>
            </w:r>
            <w:proofErr w:type="spellEnd"/>
            <w:r w:rsidRPr="00A459BB">
              <w:rPr>
                <w:szCs w:val="20"/>
                <w:lang w:val="ru-KZ" w:eastAsia="ru-KZ"/>
              </w:rPr>
              <w:t>/год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Проектный уровень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proofErr w:type="spellStart"/>
            <w:r w:rsidRPr="00A459BB">
              <w:rPr>
                <w:szCs w:val="20"/>
                <w:lang w:val="ru-KZ" w:eastAsia="ru-KZ"/>
              </w:rPr>
              <w:t>тыс.т</w:t>
            </w:r>
            <w:proofErr w:type="spellEnd"/>
            <w:r w:rsidRPr="00A459BB">
              <w:rPr>
                <w:szCs w:val="20"/>
                <w:lang w:val="ru-KZ" w:eastAsia="ru-KZ"/>
              </w:rPr>
              <w:t>/год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Проектный уровень добычи попутного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млн.м3/год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Проектный уровень закачки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тыс.м3/год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386,9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Темп отбора при проектном уровне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Максимальный фонд скважин за весь срок разработки, в </w:t>
            </w:r>
            <w:proofErr w:type="spellStart"/>
            <w:r w:rsidRPr="00A459BB">
              <w:rPr>
                <w:szCs w:val="20"/>
                <w:lang w:val="ru-KZ" w:eastAsia="ru-KZ"/>
              </w:rPr>
              <w:t>т.ч</w:t>
            </w:r>
            <w:proofErr w:type="spellEnd"/>
            <w:r w:rsidRPr="00A459BB">
              <w:rPr>
                <w:szCs w:val="20"/>
                <w:lang w:val="ru-KZ" w:eastAsia="ru-KZ"/>
              </w:rPr>
              <w:t xml:space="preserve"> 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добывающих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нагнетательных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Ввод новых скважин из бурения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Нефтедобывающих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400" w:firstLine="8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наклонно-направленных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lastRenderedPageBreak/>
              <w:t xml:space="preserve">Накопленные показатели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добыча нефти за рентабельный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тыс.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82,05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добыча нефти с начала разработки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тыс.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1 067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1 063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добыча нефтяного (попутного)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млн.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добыча нефтяного (попутного) газа с начала разработки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млн.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добыча жидкости за рентабельный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тыс.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2 362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добыча жидкости с начала разработки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тыс.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10 418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закачка воды за рентабельный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2 171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2 097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закачка воды с начала разработки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8 597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8 522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Коэффициент извлечения нефти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доли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0,637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Средняя обводненность продукции к концу разработки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96,7%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96,7%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Суммарная выручка от реализации товарной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18 763,5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17 851,6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Капитальные затраты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1 846,3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482,5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в строительство скважин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1 084,7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в нефтепромысловое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761,6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482,5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Эксплуатационные затраты (без амортизации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22 244,2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21 893,0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производственные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12 147,9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12 252,5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налоги и платежи, относимые на вычеты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2 148,8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2 033,2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непроизводственные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7 947,6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7 607,4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Эксплуатационные затраты с учетом амортизации(для налогообложения)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23 890,4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22 735,8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Удельные эксплуатационные затраты на 1 тонну нефти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  <w:r w:rsidRPr="00A459BB">
              <w:rPr>
                <w:szCs w:val="20"/>
                <w:lang w:val="ru-KZ" w:eastAsia="ru-KZ"/>
              </w:rPr>
              <w:t>/тонна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157 695,9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166 790,7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Полная себестоимость 1 тонны нефти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  <w:r w:rsidRPr="00A459BB">
              <w:rPr>
                <w:szCs w:val="20"/>
                <w:lang w:val="ru-KZ" w:eastAsia="ru-KZ"/>
              </w:rPr>
              <w:t>/тонна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273 458,0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276 635,6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A459BB">
              <w:rPr>
                <w:b/>
                <w:bCs/>
                <w:szCs w:val="20"/>
                <w:lang w:val="ru-KZ" w:eastAsia="ru-KZ"/>
              </w:rPr>
              <w:t xml:space="preserve">Чистые </w:t>
            </w:r>
            <w:proofErr w:type="spellStart"/>
            <w:r w:rsidRPr="00A459BB">
              <w:rPr>
                <w:b/>
                <w:bCs/>
                <w:szCs w:val="20"/>
                <w:lang w:val="ru-KZ" w:eastAsia="ru-KZ"/>
              </w:rPr>
              <w:t>недисконтированные</w:t>
            </w:r>
            <w:proofErr w:type="spellEnd"/>
            <w:r w:rsidRPr="00A459BB">
              <w:rPr>
                <w:b/>
                <w:bCs/>
                <w:szCs w:val="20"/>
                <w:lang w:val="ru-KZ" w:eastAsia="ru-KZ"/>
              </w:rPr>
              <w:t xml:space="preserve">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- Поток денежной наличности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-5 327,1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-4 524,0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- Поступления Государству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7 107,2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6 750,6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A459BB">
              <w:rPr>
                <w:b/>
                <w:bCs/>
                <w:szCs w:val="20"/>
                <w:lang w:val="ru-KZ" w:eastAsia="ru-KZ"/>
              </w:rPr>
              <w:t xml:space="preserve">Чистые дисконтированные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400" w:firstLine="8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при ставке дисконта КМГ (WACC) в 10,85%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-4 260,0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-3 409,4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A459BB">
              <w:rPr>
                <w:b/>
                <w:bCs/>
                <w:szCs w:val="20"/>
                <w:lang w:val="ru-KZ" w:eastAsia="ru-KZ"/>
              </w:rPr>
              <w:t>- бюджета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61CC8" w:rsidRPr="00A459BB" w:rsidTr="00A459B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ind w:firstLineChars="400" w:firstLine="800"/>
              <w:jc w:val="left"/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>при ставке дисконта КМГ (WACC) в 10,85%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Pr="00A459BB" w:rsidRDefault="00961CC8" w:rsidP="00961CC8">
            <w:pPr>
              <w:rPr>
                <w:szCs w:val="20"/>
                <w:lang w:val="ru-KZ" w:eastAsia="ru-KZ"/>
              </w:rPr>
            </w:pPr>
            <w:r w:rsidRPr="00A459BB">
              <w:rPr>
                <w:szCs w:val="20"/>
                <w:lang w:val="ru-KZ" w:eastAsia="ru-KZ"/>
              </w:rPr>
              <w:t xml:space="preserve">млн. </w:t>
            </w:r>
            <w:proofErr w:type="spellStart"/>
            <w:r w:rsidRPr="00A459BB">
              <w:rPr>
                <w:szCs w:val="20"/>
                <w:lang w:val="ru-KZ" w:eastAsia="ru-KZ"/>
              </w:rPr>
              <w:t>тг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5 648,7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CC8" w:rsidRDefault="00961CC8" w:rsidP="00961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5 364,1</w:t>
            </w:r>
          </w:p>
        </w:tc>
      </w:tr>
    </w:tbl>
    <w:p w:rsidR="00244AE3" w:rsidRDefault="00244AE3" w:rsidP="006F782B">
      <w:pPr>
        <w:pStyle w:val="a3"/>
        <w:spacing w:before="0" w:line="240" w:lineRule="auto"/>
        <w:jc w:val="both"/>
        <w:rPr>
          <w:rFonts w:eastAsia="SimSun"/>
          <w:lang w:eastAsia="zh-CN"/>
        </w:rPr>
      </w:pPr>
    </w:p>
    <w:sectPr w:rsidR="00244AE3" w:rsidSect="00F5192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2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39B" w:rsidRDefault="0048439B" w:rsidP="00DB72F6">
      <w:r>
        <w:separator/>
      </w:r>
    </w:p>
  </w:endnote>
  <w:endnote w:type="continuationSeparator" w:id="0">
    <w:p w:rsidR="0048439B" w:rsidRDefault="0048439B" w:rsidP="00DB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59A" w:rsidRPr="008F6668" w:rsidRDefault="000C5199" w:rsidP="0095330C">
    <w:pPr>
      <w:pStyle w:val="a9"/>
      <w:pBdr>
        <w:top w:val="single" w:sz="4" w:space="1" w:color="auto"/>
      </w:pBdr>
      <w:ind w:right="340"/>
      <w:jc w:val="both"/>
    </w:pPr>
    <w:r>
      <w:rPr>
        <w:sz w:val="14"/>
        <w:szCs w:val="14"/>
      </w:rPr>
      <w:t xml:space="preserve">ПРОЕКТ РАЗРАБОТКИ МЕСТОРОЖДЕНИЯ </w:t>
    </w:r>
    <w:r w:rsidR="00467B5D">
      <w:rPr>
        <w:sz w:val="14"/>
        <w:szCs w:val="14"/>
      </w:rPr>
      <w:t xml:space="preserve">ЖОЛДЫБАЙ СЕВЕРНЫЙ </w:t>
    </w:r>
    <w:r w:rsidR="0095330C">
      <w:rPr>
        <w:sz w:val="14"/>
        <w:szCs w:val="14"/>
      </w:rPr>
      <w:t>АТЫРАУСКОЙ ОБЛАСТИ РЕСПУБЛИКИ КАЗАХСТАН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39B" w:rsidRDefault="0048439B" w:rsidP="00DB72F6">
      <w:r>
        <w:separator/>
      </w:r>
    </w:p>
  </w:footnote>
  <w:footnote w:type="continuationSeparator" w:id="0">
    <w:p w:rsidR="0048439B" w:rsidRDefault="0048439B" w:rsidP="00DB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59A" w:rsidRPr="00403900" w:rsidRDefault="008C759A" w:rsidP="00B3579C">
    <w:pPr>
      <w:framePr w:w="361" w:wrap="around" w:vAnchor="text" w:hAnchor="page" w:x="10816" w:y="-17"/>
      <w:tabs>
        <w:tab w:val="center" w:pos="4677"/>
        <w:tab w:val="right" w:pos="9355"/>
      </w:tabs>
      <w:jc w:val="left"/>
      <w:rPr>
        <w:szCs w:val="20"/>
        <w:lang w:val="x-none"/>
      </w:rPr>
    </w:pPr>
    <w:r w:rsidRPr="00403900">
      <w:rPr>
        <w:szCs w:val="20"/>
        <w:lang w:val="x-none"/>
      </w:rPr>
      <w:fldChar w:fldCharType="begin"/>
    </w:r>
    <w:r w:rsidRPr="00403900">
      <w:rPr>
        <w:szCs w:val="20"/>
        <w:lang w:val="x-none"/>
      </w:rPr>
      <w:instrText xml:space="preserve">PAGE  </w:instrText>
    </w:r>
    <w:r w:rsidRPr="00403900">
      <w:rPr>
        <w:szCs w:val="20"/>
        <w:lang w:val="x-none"/>
      </w:rPr>
      <w:fldChar w:fldCharType="separate"/>
    </w:r>
    <w:r w:rsidR="00C76282">
      <w:rPr>
        <w:noProof/>
        <w:szCs w:val="20"/>
        <w:lang w:val="x-none"/>
      </w:rPr>
      <w:t>289</w:t>
    </w:r>
    <w:r w:rsidRPr="00403900">
      <w:rPr>
        <w:szCs w:val="20"/>
        <w:lang w:val="x-none"/>
      </w:rPr>
      <w:fldChar w:fldCharType="end"/>
    </w:r>
  </w:p>
  <w:sdt>
    <w:sdtPr>
      <w:rPr>
        <w:sz w:val="14"/>
        <w:szCs w:val="14"/>
      </w:rPr>
      <w:id w:val="-1326131926"/>
      <w:docPartObj>
        <w:docPartGallery w:val="Page Numbers (Top of Page)"/>
        <w:docPartUnique/>
      </w:docPartObj>
    </w:sdtPr>
    <w:sdtEndPr/>
    <w:sdtContent>
      <w:p w:rsidR="008C759A" w:rsidRPr="006F782B" w:rsidRDefault="008C759A" w:rsidP="006F782B">
        <w:pPr>
          <w:pBdr>
            <w:bottom w:val="single" w:sz="4" w:space="1" w:color="auto"/>
          </w:pBdr>
          <w:ind w:right="340"/>
          <w:jc w:val="left"/>
          <w:rPr>
            <w:color w:val="000000"/>
            <w:sz w:val="14"/>
            <w:szCs w:val="14"/>
          </w:rPr>
        </w:pPr>
        <w:r w:rsidRPr="005F0982">
          <w:rPr>
            <w:color w:val="000000"/>
            <w:sz w:val="14"/>
            <w:szCs w:val="14"/>
          </w:rPr>
          <w:t>ТЕХНИКО-ЭКОНОМИЧЕСКИЙ АНАЛИЗ ПРОЕКТНЫХ РЕШЕНИЙ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E4232"/>
    <w:multiLevelType w:val="hybridMultilevel"/>
    <w:tmpl w:val="83D034CA"/>
    <w:lvl w:ilvl="0" w:tplc="0419000F">
      <w:start w:val="1"/>
      <w:numFmt w:val="decimal"/>
      <w:lvlText w:val="%1."/>
      <w:lvlJc w:val="left"/>
      <w:pPr>
        <w:ind w:left="1097" w:hanging="360"/>
      </w:p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 w15:restartNumberingAfterBreak="0">
    <w:nsid w:val="5886585E"/>
    <w:multiLevelType w:val="hybridMultilevel"/>
    <w:tmpl w:val="BE72B65C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KZ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CFC"/>
    <w:rsid w:val="00001AA9"/>
    <w:rsid w:val="000051AD"/>
    <w:rsid w:val="00010D50"/>
    <w:rsid w:val="00023F5A"/>
    <w:rsid w:val="00024219"/>
    <w:rsid w:val="00025A6B"/>
    <w:rsid w:val="00046C2C"/>
    <w:rsid w:val="000478F6"/>
    <w:rsid w:val="0005351B"/>
    <w:rsid w:val="000546C9"/>
    <w:rsid w:val="0006022F"/>
    <w:rsid w:val="00062E76"/>
    <w:rsid w:val="00071ED1"/>
    <w:rsid w:val="00075376"/>
    <w:rsid w:val="000818DD"/>
    <w:rsid w:val="0008778A"/>
    <w:rsid w:val="00090A81"/>
    <w:rsid w:val="000950C6"/>
    <w:rsid w:val="000B69F2"/>
    <w:rsid w:val="000C1E6B"/>
    <w:rsid w:val="000C5199"/>
    <w:rsid w:val="000C554A"/>
    <w:rsid w:val="000D44DF"/>
    <w:rsid w:val="000E2B36"/>
    <w:rsid w:val="000E33ED"/>
    <w:rsid w:val="000E35FD"/>
    <w:rsid w:val="000E40F2"/>
    <w:rsid w:val="000F4B37"/>
    <w:rsid w:val="000F6085"/>
    <w:rsid w:val="00105002"/>
    <w:rsid w:val="00107652"/>
    <w:rsid w:val="00115BE8"/>
    <w:rsid w:val="001247DE"/>
    <w:rsid w:val="00133B7C"/>
    <w:rsid w:val="00134596"/>
    <w:rsid w:val="00136AD8"/>
    <w:rsid w:val="001574C6"/>
    <w:rsid w:val="001618B6"/>
    <w:rsid w:val="001631E6"/>
    <w:rsid w:val="00164C0D"/>
    <w:rsid w:val="00165844"/>
    <w:rsid w:val="001757CA"/>
    <w:rsid w:val="00176C95"/>
    <w:rsid w:val="00180FC8"/>
    <w:rsid w:val="00183A20"/>
    <w:rsid w:val="00195D13"/>
    <w:rsid w:val="001B06CB"/>
    <w:rsid w:val="001C0294"/>
    <w:rsid w:val="001C3843"/>
    <w:rsid w:val="001D386C"/>
    <w:rsid w:val="001E32FA"/>
    <w:rsid w:val="001E7C71"/>
    <w:rsid w:val="001F02D9"/>
    <w:rsid w:val="001F7B66"/>
    <w:rsid w:val="002015A8"/>
    <w:rsid w:val="00203C26"/>
    <w:rsid w:val="0020548C"/>
    <w:rsid w:val="00206DE9"/>
    <w:rsid w:val="0020774A"/>
    <w:rsid w:val="00210D08"/>
    <w:rsid w:val="00215F6F"/>
    <w:rsid w:val="0021769A"/>
    <w:rsid w:val="00222874"/>
    <w:rsid w:val="00232F6C"/>
    <w:rsid w:val="00244AE3"/>
    <w:rsid w:val="0024573E"/>
    <w:rsid w:val="00263B7D"/>
    <w:rsid w:val="00266B48"/>
    <w:rsid w:val="00282C4D"/>
    <w:rsid w:val="0028383F"/>
    <w:rsid w:val="0028450B"/>
    <w:rsid w:val="002B2C34"/>
    <w:rsid w:val="002B3A46"/>
    <w:rsid w:val="002B68AD"/>
    <w:rsid w:val="002C145D"/>
    <w:rsid w:val="002C7FB4"/>
    <w:rsid w:val="002E359B"/>
    <w:rsid w:val="002F5F01"/>
    <w:rsid w:val="00331BFD"/>
    <w:rsid w:val="00336687"/>
    <w:rsid w:val="0033695D"/>
    <w:rsid w:val="00351340"/>
    <w:rsid w:val="00354E1A"/>
    <w:rsid w:val="003572CD"/>
    <w:rsid w:val="00357BFE"/>
    <w:rsid w:val="0039092D"/>
    <w:rsid w:val="00391A12"/>
    <w:rsid w:val="003929DD"/>
    <w:rsid w:val="003B1631"/>
    <w:rsid w:val="003B3772"/>
    <w:rsid w:val="003B7C71"/>
    <w:rsid w:val="003C052D"/>
    <w:rsid w:val="003D06D6"/>
    <w:rsid w:val="003D33F1"/>
    <w:rsid w:val="003E6E88"/>
    <w:rsid w:val="003F1683"/>
    <w:rsid w:val="003F69BA"/>
    <w:rsid w:val="003F7111"/>
    <w:rsid w:val="00403900"/>
    <w:rsid w:val="0040470C"/>
    <w:rsid w:val="0040778F"/>
    <w:rsid w:val="004164A3"/>
    <w:rsid w:val="004213F7"/>
    <w:rsid w:val="004221CB"/>
    <w:rsid w:val="00425288"/>
    <w:rsid w:val="004262CF"/>
    <w:rsid w:val="004308BB"/>
    <w:rsid w:val="00435BAC"/>
    <w:rsid w:val="00435D47"/>
    <w:rsid w:val="004363F8"/>
    <w:rsid w:val="00436D79"/>
    <w:rsid w:val="00440061"/>
    <w:rsid w:val="0044421B"/>
    <w:rsid w:val="004469F5"/>
    <w:rsid w:val="00451EE6"/>
    <w:rsid w:val="00455EB4"/>
    <w:rsid w:val="0045760A"/>
    <w:rsid w:val="00462AFA"/>
    <w:rsid w:val="00464560"/>
    <w:rsid w:val="00467178"/>
    <w:rsid w:val="00467B5D"/>
    <w:rsid w:val="004801DA"/>
    <w:rsid w:val="0048200C"/>
    <w:rsid w:val="00482936"/>
    <w:rsid w:val="0048439B"/>
    <w:rsid w:val="00485110"/>
    <w:rsid w:val="004869FE"/>
    <w:rsid w:val="004968AE"/>
    <w:rsid w:val="004B52BD"/>
    <w:rsid w:val="004C6954"/>
    <w:rsid w:val="004E6A16"/>
    <w:rsid w:val="005073D0"/>
    <w:rsid w:val="00512BC7"/>
    <w:rsid w:val="00514D9E"/>
    <w:rsid w:val="0052760C"/>
    <w:rsid w:val="00550CF9"/>
    <w:rsid w:val="00556B41"/>
    <w:rsid w:val="00556FFA"/>
    <w:rsid w:val="00583597"/>
    <w:rsid w:val="0059260B"/>
    <w:rsid w:val="005B23C8"/>
    <w:rsid w:val="005E1B0D"/>
    <w:rsid w:val="005E4AB7"/>
    <w:rsid w:val="005F0982"/>
    <w:rsid w:val="005F6758"/>
    <w:rsid w:val="00606AEE"/>
    <w:rsid w:val="00607ECB"/>
    <w:rsid w:val="00612B69"/>
    <w:rsid w:val="00620220"/>
    <w:rsid w:val="00623C95"/>
    <w:rsid w:val="0062726F"/>
    <w:rsid w:val="00631E7C"/>
    <w:rsid w:val="006566B3"/>
    <w:rsid w:val="0066365D"/>
    <w:rsid w:val="00664D71"/>
    <w:rsid w:val="00665463"/>
    <w:rsid w:val="006811ED"/>
    <w:rsid w:val="00681D66"/>
    <w:rsid w:val="0068303C"/>
    <w:rsid w:val="0068534D"/>
    <w:rsid w:val="00686319"/>
    <w:rsid w:val="006877AC"/>
    <w:rsid w:val="0069755F"/>
    <w:rsid w:val="006B04E2"/>
    <w:rsid w:val="006C1326"/>
    <w:rsid w:val="006C1977"/>
    <w:rsid w:val="006C43BA"/>
    <w:rsid w:val="006C526D"/>
    <w:rsid w:val="006C5CDA"/>
    <w:rsid w:val="006D3D6C"/>
    <w:rsid w:val="006E04CB"/>
    <w:rsid w:val="006E47DD"/>
    <w:rsid w:val="006E4DDD"/>
    <w:rsid w:val="006F6FE9"/>
    <w:rsid w:val="006F782B"/>
    <w:rsid w:val="007018CC"/>
    <w:rsid w:val="00701BBB"/>
    <w:rsid w:val="00704619"/>
    <w:rsid w:val="00707BAB"/>
    <w:rsid w:val="00707CCB"/>
    <w:rsid w:val="00722CB9"/>
    <w:rsid w:val="00722FCF"/>
    <w:rsid w:val="00735AFE"/>
    <w:rsid w:val="00741139"/>
    <w:rsid w:val="00742F6E"/>
    <w:rsid w:val="007441E2"/>
    <w:rsid w:val="00746FD3"/>
    <w:rsid w:val="00765496"/>
    <w:rsid w:val="00766F73"/>
    <w:rsid w:val="00776B34"/>
    <w:rsid w:val="007826D6"/>
    <w:rsid w:val="00782EB3"/>
    <w:rsid w:val="00793FD9"/>
    <w:rsid w:val="00795F03"/>
    <w:rsid w:val="007B0F42"/>
    <w:rsid w:val="007C3ED2"/>
    <w:rsid w:val="007D27CF"/>
    <w:rsid w:val="007D5EE2"/>
    <w:rsid w:val="007E0009"/>
    <w:rsid w:val="007F5A53"/>
    <w:rsid w:val="007F730C"/>
    <w:rsid w:val="007F7DB5"/>
    <w:rsid w:val="008016CA"/>
    <w:rsid w:val="00802838"/>
    <w:rsid w:val="00802D83"/>
    <w:rsid w:val="00812285"/>
    <w:rsid w:val="00813F8E"/>
    <w:rsid w:val="00825F34"/>
    <w:rsid w:val="00830953"/>
    <w:rsid w:val="00837C55"/>
    <w:rsid w:val="00841685"/>
    <w:rsid w:val="00844D99"/>
    <w:rsid w:val="00853CFC"/>
    <w:rsid w:val="00854A40"/>
    <w:rsid w:val="008554A3"/>
    <w:rsid w:val="00856C6D"/>
    <w:rsid w:val="0086188D"/>
    <w:rsid w:val="00870E1C"/>
    <w:rsid w:val="008710EE"/>
    <w:rsid w:val="008752E5"/>
    <w:rsid w:val="008850CF"/>
    <w:rsid w:val="0088728A"/>
    <w:rsid w:val="008932DB"/>
    <w:rsid w:val="0089461E"/>
    <w:rsid w:val="008A5700"/>
    <w:rsid w:val="008A6C65"/>
    <w:rsid w:val="008B681A"/>
    <w:rsid w:val="008C0D4B"/>
    <w:rsid w:val="008C759A"/>
    <w:rsid w:val="008D3382"/>
    <w:rsid w:val="008D35B0"/>
    <w:rsid w:val="008E3600"/>
    <w:rsid w:val="008F1D80"/>
    <w:rsid w:val="008F23E7"/>
    <w:rsid w:val="008F6668"/>
    <w:rsid w:val="0090211F"/>
    <w:rsid w:val="009101D3"/>
    <w:rsid w:val="00911117"/>
    <w:rsid w:val="00920B27"/>
    <w:rsid w:val="009254AF"/>
    <w:rsid w:val="00930180"/>
    <w:rsid w:val="00936630"/>
    <w:rsid w:val="009370E3"/>
    <w:rsid w:val="0094430B"/>
    <w:rsid w:val="0095330C"/>
    <w:rsid w:val="00954841"/>
    <w:rsid w:val="009579E0"/>
    <w:rsid w:val="00961CC8"/>
    <w:rsid w:val="009656D7"/>
    <w:rsid w:val="00966AEA"/>
    <w:rsid w:val="009847DB"/>
    <w:rsid w:val="0098631A"/>
    <w:rsid w:val="0099054D"/>
    <w:rsid w:val="00991073"/>
    <w:rsid w:val="00993E48"/>
    <w:rsid w:val="00994AD1"/>
    <w:rsid w:val="009A377F"/>
    <w:rsid w:val="009A7E30"/>
    <w:rsid w:val="009B029D"/>
    <w:rsid w:val="009C1D83"/>
    <w:rsid w:val="009D1271"/>
    <w:rsid w:val="009D1D20"/>
    <w:rsid w:val="009D5B9C"/>
    <w:rsid w:val="009D6CE5"/>
    <w:rsid w:val="009E1836"/>
    <w:rsid w:val="009E6F1E"/>
    <w:rsid w:val="009E73F8"/>
    <w:rsid w:val="009F4184"/>
    <w:rsid w:val="009F5588"/>
    <w:rsid w:val="009F7957"/>
    <w:rsid w:val="009F7EEB"/>
    <w:rsid w:val="00A0057F"/>
    <w:rsid w:val="00A03A68"/>
    <w:rsid w:val="00A1637D"/>
    <w:rsid w:val="00A2500F"/>
    <w:rsid w:val="00A25AE7"/>
    <w:rsid w:val="00A41E28"/>
    <w:rsid w:val="00A459BB"/>
    <w:rsid w:val="00A50E1F"/>
    <w:rsid w:val="00A53643"/>
    <w:rsid w:val="00A6152B"/>
    <w:rsid w:val="00A65BE5"/>
    <w:rsid w:val="00A74045"/>
    <w:rsid w:val="00A74357"/>
    <w:rsid w:val="00A7559B"/>
    <w:rsid w:val="00A835CF"/>
    <w:rsid w:val="00AC1590"/>
    <w:rsid w:val="00AD1B3E"/>
    <w:rsid w:val="00AD1F74"/>
    <w:rsid w:val="00AE49C5"/>
    <w:rsid w:val="00AE4F63"/>
    <w:rsid w:val="00B06A31"/>
    <w:rsid w:val="00B078F8"/>
    <w:rsid w:val="00B30D67"/>
    <w:rsid w:val="00B3579C"/>
    <w:rsid w:val="00B37D2D"/>
    <w:rsid w:val="00B42BB8"/>
    <w:rsid w:val="00B44EA2"/>
    <w:rsid w:val="00B47F17"/>
    <w:rsid w:val="00B54845"/>
    <w:rsid w:val="00B704BB"/>
    <w:rsid w:val="00B70571"/>
    <w:rsid w:val="00B90F6A"/>
    <w:rsid w:val="00B9111C"/>
    <w:rsid w:val="00B96461"/>
    <w:rsid w:val="00B97FF7"/>
    <w:rsid w:val="00BB0632"/>
    <w:rsid w:val="00BB294D"/>
    <w:rsid w:val="00BB5860"/>
    <w:rsid w:val="00BC524A"/>
    <w:rsid w:val="00BC56F1"/>
    <w:rsid w:val="00BD0ED5"/>
    <w:rsid w:val="00BD1476"/>
    <w:rsid w:val="00BE0FC0"/>
    <w:rsid w:val="00BE7150"/>
    <w:rsid w:val="00BF31CF"/>
    <w:rsid w:val="00BF3C7A"/>
    <w:rsid w:val="00C079DB"/>
    <w:rsid w:val="00C14B9B"/>
    <w:rsid w:val="00C16093"/>
    <w:rsid w:val="00C160B5"/>
    <w:rsid w:val="00C20737"/>
    <w:rsid w:val="00C20ABD"/>
    <w:rsid w:val="00C2573A"/>
    <w:rsid w:val="00C26FBE"/>
    <w:rsid w:val="00C46C4D"/>
    <w:rsid w:val="00C514E8"/>
    <w:rsid w:val="00C5190F"/>
    <w:rsid w:val="00C55134"/>
    <w:rsid w:val="00C55588"/>
    <w:rsid w:val="00C61145"/>
    <w:rsid w:val="00C76282"/>
    <w:rsid w:val="00C91A6B"/>
    <w:rsid w:val="00C94899"/>
    <w:rsid w:val="00CA0D54"/>
    <w:rsid w:val="00CA1B1E"/>
    <w:rsid w:val="00CB38E3"/>
    <w:rsid w:val="00CB4CB9"/>
    <w:rsid w:val="00CC0A35"/>
    <w:rsid w:val="00CC1DAD"/>
    <w:rsid w:val="00CD2153"/>
    <w:rsid w:val="00CD2E32"/>
    <w:rsid w:val="00CD6C64"/>
    <w:rsid w:val="00CE4072"/>
    <w:rsid w:val="00CE710C"/>
    <w:rsid w:val="00D021A0"/>
    <w:rsid w:val="00D06EEE"/>
    <w:rsid w:val="00D07A56"/>
    <w:rsid w:val="00D128A9"/>
    <w:rsid w:val="00D20F93"/>
    <w:rsid w:val="00D26259"/>
    <w:rsid w:val="00D2748B"/>
    <w:rsid w:val="00D40F76"/>
    <w:rsid w:val="00D41597"/>
    <w:rsid w:val="00D434AC"/>
    <w:rsid w:val="00D45D8E"/>
    <w:rsid w:val="00D46FB8"/>
    <w:rsid w:val="00D576D5"/>
    <w:rsid w:val="00D613F5"/>
    <w:rsid w:val="00D631BF"/>
    <w:rsid w:val="00D663F1"/>
    <w:rsid w:val="00D70453"/>
    <w:rsid w:val="00D7054F"/>
    <w:rsid w:val="00D71F3C"/>
    <w:rsid w:val="00D76EA2"/>
    <w:rsid w:val="00D80A43"/>
    <w:rsid w:val="00D80A5A"/>
    <w:rsid w:val="00D91AEF"/>
    <w:rsid w:val="00D97D87"/>
    <w:rsid w:val="00DA22D3"/>
    <w:rsid w:val="00DA3AEE"/>
    <w:rsid w:val="00DA3C13"/>
    <w:rsid w:val="00DA7B5E"/>
    <w:rsid w:val="00DB16AC"/>
    <w:rsid w:val="00DB3071"/>
    <w:rsid w:val="00DB5C00"/>
    <w:rsid w:val="00DB63CB"/>
    <w:rsid w:val="00DB72F6"/>
    <w:rsid w:val="00DC61BF"/>
    <w:rsid w:val="00DD2EAC"/>
    <w:rsid w:val="00DD4619"/>
    <w:rsid w:val="00DD5339"/>
    <w:rsid w:val="00DE5052"/>
    <w:rsid w:val="00DF2A21"/>
    <w:rsid w:val="00DF403B"/>
    <w:rsid w:val="00E06012"/>
    <w:rsid w:val="00E12752"/>
    <w:rsid w:val="00E17717"/>
    <w:rsid w:val="00E228EC"/>
    <w:rsid w:val="00E30D6E"/>
    <w:rsid w:val="00E30EF2"/>
    <w:rsid w:val="00E330E8"/>
    <w:rsid w:val="00E353D3"/>
    <w:rsid w:val="00E35CA9"/>
    <w:rsid w:val="00E47543"/>
    <w:rsid w:val="00E51FC9"/>
    <w:rsid w:val="00E55021"/>
    <w:rsid w:val="00E55851"/>
    <w:rsid w:val="00E61828"/>
    <w:rsid w:val="00E62C19"/>
    <w:rsid w:val="00E7626A"/>
    <w:rsid w:val="00EA00BF"/>
    <w:rsid w:val="00EA24D3"/>
    <w:rsid w:val="00EB7C7A"/>
    <w:rsid w:val="00EC12B5"/>
    <w:rsid w:val="00EC69F3"/>
    <w:rsid w:val="00ED06BA"/>
    <w:rsid w:val="00ED0B14"/>
    <w:rsid w:val="00EE36B1"/>
    <w:rsid w:val="00EE41DB"/>
    <w:rsid w:val="00EF5616"/>
    <w:rsid w:val="00EF79E4"/>
    <w:rsid w:val="00F006C7"/>
    <w:rsid w:val="00F03707"/>
    <w:rsid w:val="00F12473"/>
    <w:rsid w:val="00F21E05"/>
    <w:rsid w:val="00F310E1"/>
    <w:rsid w:val="00F31628"/>
    <w:rsid w:val="00F51926"/>
    <w:rsid w:val="00F53B02"/>
    <w:rsid w:val="00F654D1"/>
    <w:rsid w:val="00F65F32"/>
    <w:rsid w:val="00F745A4"/>
    <w:rsid w:val="00F77019"/>
    <w:rsid w:val="00F82463"/>
    <w:rsid w:val="00F94186"/>
    <w:rsid w:val="00FA2AB1"/>
    <w:rsid w:val="00FC01B1"/>
    <w:rsid w:val="00FC1F9A"/>
    <w:rsid w:val="00FC77E2"/>
    <w:rsid w:val="00FD13F6"/>
    <w:rsid w:val="00FD4C56"/>
    <w:rsid w:val="00FF3A2C"/>
    <w:rsid w:val="00FF3F20"/>
    <w:rsid w:val="00FF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17031"/>
  <w15:docId w15:val="{5C0F7A08-4DE7-4E78-B880-A9D636B1B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Обычный для таблиц"/>
    <w:qFormat/>
    <w:rsid w:val="00550CF9"/>
    <w:pPr>
      <w:spacing w:after="0" w:line="240" w:lineRule="auto"/>
      <w:jc w:val="center"/>
    </w:pPr>
    <w:rPr>
      <w:rFonts w:ascii="Times New Roman" w:hAnsi="Times New Roman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6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№ таблицы"/>
    <w:basedOn w:val="1"/>
    <w:qFormat/>
    <w:rsid w:val="00550CF9"/>
    <w:pPr>
      <w:spacing w:after="120" w:line="360" w:lineRule="auto"/>
    </w:pPr>
    <w:rPr>
      <w:rFonts w:ascii="Times New Roman" w:hAnsi="Times New Roman"/>
      <w:b/>
      <w:color w:val="000000" w:themeColor="text1"/>
      <w:sz w:val="20"/>
    </w:rPr>
  </w:style>
  <w:style w:type="character" w:customStyle="1" w:styleId="10">
    <w:name w:val="Заголовок 1 Знак"/>
    <w:basedOn w:val="a0"/>
    <w:link w:val="1"/>
    <w:uiPriority w:val="9"/>
    <w:rsid w:val="00ED06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4">
    <w:name w:val="таблиция"/>
    <w:basedOn w:val="a"/>
    <w:link w:val="a5"/>
    <w:qFormat/>
    <w:rsid w:val="00550CF9"/>
    <w:pPr>
      <w:spacing w:line="360" w:lineRule="auto"/>
    </w:pPr>
    <w:rPr>
      <w:color w:val="000000"/>
      <w:szCs w:val="16"/>
    </w:rPr>
  </w:style>
  <w:style w:type="character" w:customStyle="1" w:styleId="a5">
    <w:name w:val="таблиция Знак"/>
    <w:basedOn w:val="a0"/>
    <w:link w:val="a4"/>
    <w:rsid w:val="00550CF9"/>
    <w:rPr>
      <w:rFonts w:ascii="Times New Roman" w:eastAsia="Times New Roman" w:hAnsi="Times New Roman" w:cs="Times New Roman"/>
      <w:color w:val="000000"/>
      <w:sz w:val="20"/>
      <w:szCs w:val="16"/>
      <w:lang w:eastAsia="ru-RU"/>
    </w:rPr>
  </w:style>
  <w:style w:type="paragraph" w:styleId="a6">
    <w:name w:val="header"/>
    <w:basedOn w:val="a"/>
    <w:link w:val="a7"/>
    <w:unhideWhenUsed/>
    <w:rsid w:val="00DB72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B72F6"/>
    <w:rPr>
      <w:rFonts w:ascii="Times New Roman" w:hAnsi="Times New Roman" w:cs="Times New Roman"/>
      <w:sz w:val="20"/>
      <w:szCs w:val="24"/>
      <w:lang w:eastAsia="ru-RU"/>
    </w:rPr>
  </w:style>
  <w:style w:type="character" w:styleId="a8">
    <w:name w:val="page number"/>
    <w:rsid w:val="00DB72F6"/>
  </w:style>
  <w:style w:type="paragraph" w:styleId="a9">
    <w:name w:val="footer"/>
    <w:aliases w:val="Title Down"/>
    <w:basedOn w:val="a"/>
    <w:link w:val="aa"/>
    <w:uiPriority w:val="99"/>
    <w:unhideWhenUsed/>
    <w:rsid w:val="00DB72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Title Down Знак"/>
    <w:basedOn w:val="a0"/>
    <w:link w:val="a9"/>
    <w:uiPriority w:val="99"/>
    <w:rsid w:val="00DB72F6"/>
    <w:rPr>
      <w:rFonts w:ascii="Times New Roman" w:hAnsi="Times New Roman" w:cs="Times New Roman"/>
      <w:sz w:val="20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039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3900"/>
    <w:rPr>
      <w:rFonts w:ascii="Tahoma" w:hAnsi="Tahoma" w:cs="Tahoma"/>
      <w:sz w:val="16"/>
      <w:szCs w:val="16"/>
      <w:lang w:eastAsia="ru-RU"/>
    </w:rPr>
  </w:style>
  <w:style w:type="paragraph" w:customStyle="1" w:styleId="TEOtipical">
    <w:name w:val="TEO_tipical"/>
    <w:basedOn w:val="a"/>
    <w:autoRedefine/>
    <w:qFormat/>
    <w:rsid w:val="00C079DB"/>
    <w:pPr>
      <w:spacing w:line="360" w:lineRule="auto"/>
      <w:ind w:firstLine="737"/>
      <w:jc w:val="both"/>
    </w:pPr>
    <w:rPr>
      <w:sz w:val="24"/>
    </w:rPr>
  </w:style>
  <w:style w:type="paragraph" w:customStyle="1" w:styleId="TEOrisunok">
    <w:name w:val="TEO_risunok"/>
    <w:basedOn w:val="TEOtipical"/>
    <w:next w:val="TEOtipical"/>
    <w:autoRedefine/>
    <w:rsid w:val="00556FFA"/>
    <w:pPr>
      <w:spacing w:after="120" w:line="240" w:lineRule="auto"/>
      <w:ind w:firstLine="0"/>
      <w:jc w:val="center"/>
    </w:pPr>
    <w:rPr>
      <w:b/>
      <w:bCs/>
      <w:color w:val="000000"/>
      <w:sz w:val="20"/>
      <w:szCs w:val="20"/>
    </w:rPr>
  </w:style>
  <w:style w:type="paragraph" w:customStyle="1" w:styleId="TEOtabledown">
    <w:name w:val="TEO_table_down"/>
    <w:basedOn w:val="a"/>
    <w:next w:val="a"/>
    <w:autoRedefine/>
    <w:rsid w:val="00704619"/>
    <w:pPr>
      <w:spacing w:after="120"/>
    </w:pPr>
    <w:rPr>
      <w:b/>
      <w:sz w:val="24"/>
    </w:rPr>
  </w:style>
  <w:style w:type="paragraph" w:customStyle="1" w:styleId="TEOtableup">
    <w:name w:val="TEO_table_up"/>
    <w:basedOn w:val="a"/>
    <w:next w:val="TEOtabledown"/>
    <w:autoRedefine/>
    <w:rsid w:val="00FC01B1"/>
    <w:pPr>
      <w:spacing w:line="360" w:lineRule="auto"/>
      <w:jc w:val="both"/>
    </w:pPr>
    <w:rPr>
      <w:rFonts w:eastAsia="Calibri"/>
      <w:b/>
      <w:snapToGrid w:val="0"/>
      <w:szCs w:val="20"/>
    </w:rPr>
  </w:style>
  <w:style w:type="paragraph" w:customStyle="1" w:styleId="TCrisunok">
    <w:name w:val="TC_risunok"/>
    <w:basedOn w:val="a"/>
    <w:autoRedefine/>
    <w:qFormat/>
    <w:rsid w:val="006566B3"/>
    <w:pPr>
      <w:widowControl w:val="0"/>
      <w:spacing w:before="120" w:after="120" w:line="360" w:lineRule="auto"/>
    </w:pPr>
    <w:rPr>
      <w:b/>
      <w:bCs/>
      <w:color w:val="000000"/>
      <w:szCs w:val="20"/>
    </w:rPr>
  </w:style>
  <w:style w:type="paragraph" w:customStyle="1" w:styleId="ad">
    <w:name w:val="Шарб_табл"/>
    <w:basedOn w:val="a"/>
    <w:link w:val="ae"/>
    <w:qFormat/>
    <w:rsid w:val="000950C6"/>
    <w:pPr>
      <w:jc w:val="left"/>
    </w:pPr>
    <w:rPr>
      <w:b/>
      <w:szCs w:val="20"/>
      <w:lang w:val="x-none" w:eastAsia="en-US"/>
    </w:rPr>
  </w:style>
  <w:style w:type="character" w:customStyle="1" w:styleId="ae">
    <w:name w:val="Шарб_табл Знак"/>
    <w:link w:val="ad"/>
    <w:rsid w:val="000950C6"/>
    <w:rPr>
      <w:rFonts w:ascii="Times New Roman" w:hAnsi="Times New Roman" w:cs="Times New Roman"/>
      <w:b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F0516-A9E3-4577-B99D-BF06A90D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Матжанова Марта</dc:creator>
  <cp:lastModifiedBy>Матжанова Марта Джарылгаповна</cp:lastModifiedBy>
  <cp:revision>152</cp:revision>
  <cp:lastPrinted>2016-05-24T09:13:00Z</cp:lastPrinted>
  <dcterms:created xsi:type="dcterms:W3CDTF">2016-05-24T10:14:00Z</dcterms:created>
  <dcterms:modified xsi:type="dcterms:W3CDTF">2025-04-10T04:50:00Z</dcterms:modified>
</cp:coreProperties>
</file>