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4DDB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033CC4B2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4D5296FD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747735D6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1C593FFD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702BB863" w14:textId="77777777" w:rsidTr="007D44BD">
        <w:trPr>
          <w:trHeight w:val="332"/>
        </w:trPr>
        <w:tc>
          <w:tcPr>
            <w:tcW w:w="568" w:type="dxa"/>
            <w:vMerge w:val="restart"/>
          </w:tcPr>
          <w:p w14:paraId="26F8A075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2B307049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7C507AC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36842C5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07A5067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60F5609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4088440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46A65D9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77623C27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0EAAA87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440EBB38" w14:textId="77777777" w:rsidR="000E32CC" w:rsidRPr="00DA10B2" w:rsidRDefault="000E32CC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04313E3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34D6A31D" w14:textId="77777777" w:rsidTr="007D44BD">
        <w:trPr>
          <w:trHeight w:val="1018"/>
        </w:trPr>
        <w:tc>
          <w:tcPr>
            <w:tcW w:w="568" w:type="dxa"/>
            <w:vMerge/>
          </w:tcPr>
          <w:p w14:paraId="584D9EF5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34D7F38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5BA713D4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33B0A14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1A2804E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0C50B8C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0FCE9B1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04209C8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72225C81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2B43C32A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61A2F74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43F6250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54F77880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0E32CC" w:rsidRPr="00F024B7" w14:paraId="6CFB748A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93C567E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0ACEFA24" w14:textId="77777777" w:rsidR="000E32CC" w:rsidRPr="00DA10B2" w:rsidRDefault="002B1567" w:rsidP="002B156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Ақкөл </w:t>
            </w:r>
            <w:r w:rsidR="000E32CC">
              <w:rPr>
                <w:sz w:val="19"/>
                <w:szCs w:val="19"/>
                <w:lang w:val="kk-KZ"/>
              </w:rPr>
              <w:t>ауылдық округі, №1</w:t>
            </w:r>
            <w:r w:rsidR="000E32CC" w:rsidRPr="00DA10B2">
              <w:rPr>
                <w:sz w:val="19"/>
                <w:szCs w:val="19"/>
                <w:lang w:val="kk-KZ"/>
              </w:rPr>
              <w:t xml:space="preserve"> </w:t>
            </w:r>
            <w:r w:rsidR="000E32CC"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Зеленая роща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3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15EECCD" w14:textId="77777777" w:rsidR="000E32CC" w:rsidRPr="00DA10B2" w:rsidRDefault="000E32CC" w:rsidP="00C8797E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1AF5760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EB7F515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200,0598</w:t>
            </w:r>
            <w:r w:rsidR="000E32CC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2422689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ECD0BA4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B44836B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199,3598</w:t>
            </w:r>
          </w:p>
        </w:tc>
        <w:tc>
          <w:tcPr>
            <w:tcW w:w="1134" w:type="dxa"/>
            <w:vAlign w:val="center"/>
          </w:tcPr>
          <w:p w14:paraId="0E728ED8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BDEA865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0,7</w:t>
            </w:r>
          </w:p>
        </w:tc>
        <w:tc>
          <w:tcPr>
            <w:tcW w:w="1276" w:type="dxa"/>
            <w:vAlign w:val="center"/>
          </w:tcPr>
          <w:p w14:paraId="07EEFFD0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76D88F39" w14:textId="77777777" w:rsidR="000E32CC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2B1567" w:rsidRPr="00F024B7" w14:paraId="74171165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05B2D5A3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38BA794D" w14:textId="77777777" w:rsidR="002B1567" w:rsidRPr="00DA10B2" w:rsidRDefault="002B1567" w:rsidP="002B156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№2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3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4CC4375" w14:textId="77777777" w:rsidR="002B1567" w:rsidRPr="00DA10B2" w:rsidRDefault="002B1567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B44BA19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6A3F558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40,6477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B082DE0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3D4BC59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34A713B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9E6C889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40,2477</w:t>
            </w:r>
          </w:p>
        </w:tc>
        <w:tc>
          <w:tcPr>
            <w:tcW w:w="850" w:type="dxa"/>
            <w:vAlign w:val="center"/>
          </w:tcPr>
          <w:p w14:paraId="55A82362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76" w:type="dxa"/>
            <w:vAlign w:val="center"/>
          </w:tcPr>
          <w:p w14:paraId="2E624ADB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0BDE8EC0" w14:textId="77777777" w:rsidR="002B1567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B46D26" w:rsidRPr="00F024B7" w14:paraId="026D2365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340351FE" w14:textId="77777777" w:rsidR="00B46D26" w:rsidRPr="00DA10B2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7E6D5250" w14:textId="77777777" w:rsidR="00B46D26" w:rsidRPr="00DA10B2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№3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18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2FBCD7C" w14:textId="77777777" w:rsidR="00B46D26" w:rsidRPr="00DA10B2" w:rsidRDefault="00B46D26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106E2CA" w14:textId="77777777" w:rsidR="00B46D26" w:rsidRPr="00DA10B2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03749EF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41C148A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44CCD3F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16ABEEF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499,4</w:t>
            </w:r>
          </w:p>
        </w:tc>
        <w:tc>
          <w:tcPr>
            <w:tcW w:w="1134" w:type="dxa"/>
            <w:vAlign w:val="center"/>
          </w:tcPr>
          <w:p w14:paraId="772B9084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D5412E9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7D665CDE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5B05A3E3" w14:textId="77777777" w:rsidR="00B46D26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0F27F141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FF38AB2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2D1CA091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№4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18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3E48933F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145B70D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A8C150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1096,4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B10C82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DDB4E1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14FC4F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1095,0</w:t>
            </w:r>
          </w:p>
        </w:tc>
        <w:tc>
          <w:tcPr>
            <w:tcW w:w="1134" w:type="dxa"/>
            <w:vAlign w:val="center"/>
          </w:tcPr>
          <w:p w14:paraId="3C43EDE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50A9D46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1,4</w:t>
            </w:r>
          </w:p>
        </w:tc>
        <w:tc>
          <w:tcPr>
            <w:tcW w:w="1276" w:type="dxa"/>
            <w:vAlign w:val="center"/>
          </w:tcPr>
          <w:p w14:paraId="53403E8D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62AC82EF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3AB3471F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0A5F09B5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7B0415FB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Бәйет ауылдық округі, №5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Бәйет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6CC24FC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0B3B97A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Егін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49DF66A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785,4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A7296CC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90FE06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784,1</w:t>
            </w:r>
          </w:p>
        </w:tc>
        <w:tc>
          <w:tcPr>
            <w:tcW w:w="1134" w:type="dxa"/>
            <w:vAlign w:val="center"/>
          </w:tcPr>
          <w:p w14:paraId="3121D160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6A1B8D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6AFDB9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1,3</w:t>
            </w:r>
          </w:p>
        </w:tc>
        <w:tc>
          <w:tcPr>
            <w:tcW w:w="1276" w:type="dxa"/>
            <w:vAlign w:val="center"/>
          </w:tcPr>
          <w:p w14:paraId="53883B4C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</w:t>
            </w:r>
          </w:p>
        </w:tc>
        <w:tc>
          <w:tcPr>
            <w:tcW w:w="1134" w:type="dxa"/>
            <w:vAlign w:val="center"/>
          </w:tcPr>
          <w:p w14:paraId="2C57ADCC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канал</w:t>
            </w:r>
          </w:p>
        </w:tc>
      </w:tr>
      <w:tr w:rsidR="00581727" w:rsidRPr="00F024B7" w14:paraId="0517A3CB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0ABC4C34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74C4157E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№6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Сарықамыс</w:t>
            </w:r>
            <w:r w:rsidRPr="000B508B">
              <w:rPr>
                <w:sz w:val="19"/>
                <w:szCs w:val="19"/>
                <w:lang w:val="kk-KZ"/>
              </w:rPr>
              <w:t xml:space="preserve"> а-нан 1</w:t>
            </w:r>
            <w:r>
              <w:rPr>
                <w:sz w:val="19"/>
                <w:szCs w:val="19"/>
                <w:lang w:val="kk-KZ"/>
              </w:rPr>
              <w:t>3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2179823B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D85C3DC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FB7B221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609,312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539625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57EB94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99808C1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606,712</w:t>
            </w:r>
          </w:p>
        </w:tc>
        <w:tc>
          <w:tcPr>
            <w:tcW w:w="1134" w:type="dxa"/>
            <w:vAlign w:val="center"/>
          </w:tcPr>
          <w:p w14:paraId="6894B40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BCB10D7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2,6</w:t>
            </w:r>
          </w:p>
        </w:tc>
        <w:tc>
          <w:tcPr>
            <w:tcW w:w="1276" w:type="dxa"/>
            <w:vAlign w:val="center"/>
          </w:tcPr>
          <w:p w14:paraId="2851C699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43CA1CA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7E765BE6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76F35B50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71031195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№7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Сарықамыс</w:t>
            </w:r>
            <w:r w:rsidRPr="000B508B">
              <w:rPr>
                <w:sz w:val="19"/>
                <w:szCs w:val="19"/>
                <w:lang w:val="kk-KZ"/>
              </w:rPr>
              <w:t xml:space="preserve"> а-нан 1</w:t>
            </w:r>
            <w:r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1DC67558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1908051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Егін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7F978AF9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814,028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3BB73B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952CD54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811,628</w:t>
            </w:r>
          </w:p>
        </w:tc>
        <w:tc>
          <w:tcPr>
            <w:tcW w:w="1134" w:type="dxa"/>
            <w:vAlign w:val="center"/>
          </w:tcPr>
          <w:p w14:paraId="789C02FA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42B2D94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7804AE0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2,4</w:t>
            </w:r>
          </w:p>
        </w:tc>
        <w:tc>
          <w:tcPr>
            <w:tcW w:w="1276" w:type="dxa"/>
            <w:vAlign w:val="center"/>
          </w:tcPr>
          <w:p w14:paraId="6FC5517B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FD3E147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63AB9C12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1DB0712E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14F2B779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№8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лот,  (Тай а-нан 40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3E75548E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6399CE2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B446703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A30C0E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B65E79D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F734F9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997,2</w:t>
            </w:r>
          </w:p>
        </w:tc>
        <w:tc>
          <w:tcPr>
            <w:tcW w:w="1134" w:type="dxa"/>
            <w:vAlign w:val="center"/>
          </w:tcPr>
          <w:p w14:paraId="45C25BA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C430E2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2,8</w:t>
            </w:r>
          </w:p>
        </w:tc>
        <w:tc>
          <w:tcPr>
            <w:tcW w:w="1276" w:type="dxa"/>
            <w:vAlign w:val="center"/>
          </w:tcPr>
          <w:p w14:paraId="4382CB01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BB2C13B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760B9C34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498F3BC0" w14:textId="77777777" w:rsidR="00581727" w:rsidRPr="002A04A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16F40D18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№9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13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2BA70B1E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262369F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CD6387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47,0660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142259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1A920A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05721E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9BC766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47,0660</w:t>
            </w:r>
          </w:p>
        </w:tc>
        <w:tc>
          <w:tcPr>
            <w:tcW w:w="850" w:type="dxa"/>
            <w:vAlign w:val="center"/>
          </w:tcPr>
          <w:p w14:paraId="3E17454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DCA9B2D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0AFDF06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өзен</w:t>
            </w:r>
          </w:p>
        </w:tc>
      </w:tr>
      <w:tr w:rsidR="00581727" w:rsidRPr="00F024B7" w14:paraId="2FB1CF02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36746B7B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268" w:type="dxa"/>
            <w:vAlign w:val="center"/>
          </w:tcPr>
          <w:p w14:paraId="2B4C24FA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№10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Төртүй а-нан 7</w:t>
            </w:r>
            <w:r w:rsidRPr="00DA10B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233355C0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36D72CE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8DA0A53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589,3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FCAE28C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562113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E3C3F1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438,0</w:t>
            </w:r>
          </w:p>
        </w:tc>
        <w:tc>
          <w:tcPr>
            <w:tcW w:w="1134" w:type="dxa"/>
            <w:vAlign w:val="center"/>
          </w:tcPr>
          <w:p w14:paraId="284CCE04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150,1</w:t>
            </w:r>
          </w:p>
        </w:tc>
        <w:tc>
          <w:tcPr>
            <w:tcW w:w="850" w:type="dxa"/>
            <w:vAlign w:val="center"/>
          </w:tcPr>
          <w:p w14:paraId="25882A93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1,2</w:t>
            </w:r>
          </w:p>
        </w:tc>
        <w:tc>
          <w:tcPr>
            <w:tcW w:w="1276" w:type="dxa"/>
            <w:vAlign w:val="center"/>
          </w:tcPr>
          <w:p w14:paraId="73D608F0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7521E096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өзен</w:t>
            </w:r>
          </w:p>
        </w:tc>
      </w:tr>
      <w:tr w:rsidR="00740D19" w:rsidRPr="000E32CC" w14:paraId="1FDF47A1" w14:textId="77777777" w:rsidTr="00A653CC">
        <w:trPr>
          <w:trHeight w:val="478"/>
        </w:trPr>
        <w:tc>
          <w:tcPr>
            <w:tcW w:w="568" w:type="dxa"/>
            <w:vAlign w:val="center"/>
          </w:tcPr>
          <w:p w14:paraId="535F4496" w14:textId="77777777" w:rsidR="00740D19" w:rsidRPr="000E32CC" w:rsidRDefault="00740D19" w:rsidP="00740D19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8D70590" w14:textId="77777777" w:rsidR="00740D19" w:rsidRPr="000E32CC" w:rsidRDefault="00740D19" w:rsidP="00740D19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3BFD1B56" w14:textId="77777777" w:rsidR="00740D19" w:rsidRPr="000E32CC" w:rsidRDefault="00740D19" w:rsidP="00740D19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0E8AA8" w14:textId="77777777" w:rsidR="00740D19" w:rsidRPr="000E32CC" w:rsidRDefault="00740D19" w:rsidP="00740D19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0EA35C2" w14:textId="77777777" w:rsidR="00740D19" w:rsidRPr="00740D19" w:rsidRDefault="00740D19" w:rsidP="00740D19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5682,2135</w:t>
            </w:r>
          </w:p>
        </w:tc>
        <w:tc>
          <w:tcPr>
            <w:tcW w:w="1305" w:type="dxa"/>
            <w:vAlign w:val="center"/>
          </w:tcPr>
          <w:p w14:paraId="141D2E84" w14:textId="77777777" w:rsidR="00740D19" w:rsidRPr="00740D19" w:rsidRDefault="00740D19" w:rsidP="00740D19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1595,728</w:t>
            </w:r>
          </w:p>
        </w:tc>
        <w:tc>
          <w:tcPr>
            <w:tcW w:w="1134" w:type="dxa"/>
            <w:vAlign w:val="center"/>
          </w:tcPr>
          <w:p w14:paraId="3E8E4C07" w14:textId="77777777" w:rsidR="00740D19" w:rsidRPr="00740D19" w:rsidRDefault="00740D19" w:rsidP="00740D19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3835,6718</w:t>
            </w:r>
          </w:p>
        </w:tc>
        <w:tc>
          <w:tcPr>
            <w:tcW w:w="1134" w:type="dxa"/>
            <w:vAlign w:val="center"/>
          </w:tcPr>
          <w:p w14:paraId="74078CB8" w14:textId="77777777" w:rsidR="00740D19" w:rsidRPr="00740D19" w:rsidRDefault="00740D19" w:rsidP="00740D19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237,4137</w:t>
            </w:r>
          </w:p>
        </w:tc>
        <w:tc>
          <w:tcPr>
            <w:tcW w:w="850" w:type="dxa"/>
            <w:vAlign w:val="center"/>
          </w:tcPr>
          <w:p w14:paraId="60AE696D" w14:textId="77777777" w:rsidR="00740D19" w:rsidRPr="00740D19" w:rsidRDefault="00740D19" w:rsidP="00740D19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13,4</w:t>
            </w:r>
          </w:p>
        </w:tc>
        <w:tc>
          <w:tcPr>
            <w:tcW w:w="1276" w:type="dxa"/>
            <w:vAlign w:val="center"/>
          </w:tcPr>
          <w:p w14:paraId="1E0F5ABC" w14:textId="77777777" w:rsidR="00740D19" w:rsidRPr="000E32CC" w:rsidRDefault="00740D19" w:rsidP="00740D19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18937F" w14:textId="77777777" w:rsidR="00740D19" w:rsidRPr="000E32CC" w:rsidRDefault="00740D19" w:rsidP="00740D19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53CBB2D2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4897F921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lastRenderedPageBreak/>
        <w:t>ЕСКЕРТПЕ</w:t>
      </w:r>
    </w:p>
    <w:p w14:paraId="093D54D6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10EC5429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55656822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2E58C5E1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1EAC274D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4D6C714A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54430630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2A514544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0ADB15C7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11DF1F21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37B9F26E" w14:textId="77777777" w:rsidR="000B2511" w:rsidRDefault="000B2511" w:rsidP="00411BD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73963DB3" w14:textId="77777777" w:rsidR="000B2511" w:rsidRPr="00F70C07" w:rsidRDefault="000B2511" w:rsidP="00411BD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65C9F0C3" w14:textId="77777777" w:rsidR="000B2511" w:rsidRPr="00DA10B2" w:rsidRDefault="000B2511" w:rsidP="00411BD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0F26690C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4F989CAB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545E0C">
        <w:rPr>
          <w:b/>
          <w:lang w:val="kk-KZ"/>
        </w:rPr>
        <w:t>16 маусымынан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545E0C">
        <w:rPr>
          <w:b/>
          <w:lang w:val="kk-KZ"/>
        </w:rPr>
        <w:t>4 шілде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2CBF2583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545E0C">
        <w:rPr>
          <w:rFonts w:eastAsiaTheme="minorEastAsia"/>
          <w:b/>
          <w:color w:val="000000"/>
          <w:lang w:val="kk-KZ"/>
        </w:rPr>
        <w:t>8 шілдесінде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3C0EE0D1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lastRenderedPageBreak/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21D37DAE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49894830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32A33A5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B01304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7A71C58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0F7270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4A1D15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EE922F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0EE48B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067CA00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8BD4D1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1429B1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3454668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3AAD75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C13794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22132E6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EAA76A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C978B8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CCFF10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05FCFC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6B3AEFB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664CC646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A5F53A8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61920E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D104C0F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6542A4E1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48BC25E0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505EFEB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FD1F9A3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3562D861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C13C5F3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0D9DC46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884AE68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523C9D0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901F81F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B9882A4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4D8D56D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D807637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3443D7A0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9B3DF15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481E6D1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sectPr w:rsidR="000C4985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82238316">
    <w:abstractNumId w:val="1"/>
  </w:num>
  <w:num w:numId="2" w16cid:durableId="184432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C498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0D19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61E06"/>
    <w:rsid w:val="008621EC"/>
    <w:rsid w:val="00864187"/>
    <w:rsid w:val="00865FF5"/>
    <w:rsid w:val="00866E79"/>
    <w:rsid w:val="00871DFE"/>
    <w:rsid w:val="00885875"/>
    <w:rsid w:val="008C236D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40FE"/>
    <w:rsid w:val="00BF20A6"/>
    <w:rsid w:val="00C01718"/>
    <w:rsid w:val="00C136DC"/>
    <w:rsid w:val="00C13985"/>
    <w:rsid w:val="00C17ED4"/>
    <w:rsid w:val="00C20275"/>
    <w:rsid w:val="00C2224A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724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F8F"/>
    <w:rsid w:val="00EC41DE"/>
    <w:rsid w:val="00EC5911"/>
    <w:rsid w:val="00ED0B4E"/>
    <w:rsid w:val="00EE2E5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93F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D992-4047-4671-B8FE-DF9AA312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5</cp:revision>
  <cp:lastPrinted>2025-05-12T13:04:00Z</cp:lastPrinted>
  <dcterms:created xsi:type="dcterms:W3CDTF">2025-05-12T13:23:00Z</dcterms:created>
  <dcterms:modified xsi:type="dcterms:W3CDTF">2025-05-15T05:02:00Z</dcterms:modified>
</cp:coreProperties>
</file>