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E80417" w:rsidRPr="009420F4" w:rsidTr="00D7147A">
        <w:trPr>
          <w:gridAfter w:val="1"/>
          <w:wAfter w:w="15" w:type="dxa"/>
          <w:trHeight w:val="1611"/>
        </w:trPr>
        <w:tc>
          <w:tcPr>
            <w:tcW w:w="4249" w:type="dxa"/>
          </w:tcPr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E80417" w:rsidRPr="009420F4" w:rsidRDefault="00E80417" w:rsidP="00D7147A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9420F4">
              <w:rPr>
                <w:noProof/>
                <w:sz w:val="24"/>
                <w:szCs w:val="24"/>
              </w:rPr>
              <w:drawing>
                <wp:inline distT="0" distB="0" distL="0" distR="0" wp14:anchorId="1FFA60D4" wp14:editId="63617869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E80417" w:rsidRPr="009420F4" w:rsidRDefault="00E80417" w:rsidP="00D7147A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«АГЕНТСТВО РЕСПУБЛИКИ</w:t>
            </w:r>
          </w:p>
          <w:p w:rsidR="00E80417" w:rsidRPr="009420F4" w:rsidRDefault="00E80417" w:rsidP="00D7147A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КАЗАХСТАН</w:t>
            </w:r>
            <w:r w:rsidRPr="009420F4">
              <w:rPr>
                <w:iCs/>
                <w:sz w:val="22"/>
                <w:szCs w:val="22"/>
              </w:rPr>
              <w:t xml:space="preserve"> </w:t>
            </w:r>
            <w:r w:rsidRPr="009420F4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E80417" w:rsidRPr="009420F4" w:rsidRDefault="00E80417" w:rsidP="00D7147A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9420F4">
              <w:rPr>
                <w:b/>
                <w:sz w:val="22"/>
                <w:szCs w:val="22"/>
              </w:rPr>
              <w:t>»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E80417" w:rsidRPr="009420F4" w:rsidTr="00D7147A">
        <w:trPr>
          <w:trHeight w:val="869"/>
        </w:trPr>
        <w:tc>
          <w:tcPr>
            <w:tcW w:w="4249" w:type="dxa"/>
            <w:hideMark/>
          </w:tcPr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</w:rPr>
              <w:t>БА</w:t>
            </w:r>
            <w:r w:rsidRPr="009420F4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E80417" w:rsidRPr="009420F4" w:rsidRDefault="00E80417" w:rsidP="00D7147A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E80417" w:rsidRPr="009420F4" w:rsidTr="00D7147A">
        <w:trPr>
          <w:trHeight w:val="691"/>
        </w:trPr>
        <w:tc>
          <w:tcPr>
            <w:tcW w:w="4249" w:type="dxa"/>
            <w:hideMark/>
          </w:tcPr>
          <w:p w:rsidR="00E80417" w:rsidRPr="009420F4" w:rsidRDefault="00C24952" w:rsidP="00D7147A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C24952">
              <w:rPr>
                <w:sz w:val="22"/>
                <w:szCs w:val="22"/>
              </w:rPr>
              <w:t xml:space="preserve">29 сентября </w:t>
            </w:r>
            <w:r w:rsidR="00E80417" w:rsidRPr="009420F4">
              <w:rPr>
                <w:sz w:val="22"/>
                <w:szCs w:val="22"/>
              </w:rPr>
              <w:t>202</w:t>
            </w:r>
            <w:r w:rsidR="00E80417" w:rsidRPr="009420F4">
              <w:rPr>
                <w:sz w:val="22"/>
                <w:szCs w:val="22"/>
                <w:lang w:val="kk-KZ"/>
              </w:rPr>
              <w:t>5</w:t>
            </w:r>
            <w:r w:rsidR="00E80417" w:rsidRPr="009420F4">
              <w:rPr>
                <w:sz w:val="22"/>
                <w:szCs w:val="22"/>
              </w:rPr>
              <w:t xml:space="preserve"> года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</w:rPr>
              <w:t xml:space="preserve">Алматы </w:t>
            </w:r>
            <w:r w:rsidRPr="009420F4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E80417" w:rsidRPr="009420F4" w:rsidRDefault="00E80417" w:rsidP="00D7147A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E80417" w:rsidRPr="006617EC" w:rsidRDefault="00E80417" w:rsidP="00D7147A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</w:rPr>
              <w:t>№</w:t>
            </w:r>
            <w:r w:rsidRPr="009420F4">
              <w:rPr>
                <w:sz w:val="22"/>
                <w:szCs w:val="22"/>
                <w:lang w:val="en-US"/>
              </w:rPr>
              <w:t xml:space="preserve"> </w:t>
            </w:r>
            <w:r w:rsidR="006617EC">
              <w:rPr>
                <w:sz w:val="22"/>
                <w:szCs w:val="22"/>
                <w:lang w:val="kk-KZ"/>
              </w:rPr>
              <w:t>64</w:t>
            </w: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E80417" w:rsidRPr="009420F4" w:rsidRDefault="00E80417" w:rsidP="00D7147A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52444D" w:rsidRPr="00E80417" w:rsidRDefault="0052444D">
      <w:pPr>
        <w:rPr>
          <w:sz w:val="10"/>
          <w:szCs w:val="10"/>
          <w:lang w:val="kk-KZ"/>
        </w:rPr>
      </w:pPr>
    </w:p>
    <w:p w:rsidR="0052444D" w:rsidRPr="00E80417" w:rsidRDefault="0052444D">
      <w:pPr>
        <w:widowControl w:val="0"/>
        <w:jc w:val="both"/>
        <w:rPr>
          <w:sz w:val="10"/>
          <w:szCs w:val="10"/>
        </w:rPr>
      </w:pPr>
    </w:p>
    <w:p w:rsidR="00CF3322" w:rsidRPr="00460B08" w:rsidRDefault="00CF3322" w:rsidP="00CF3322">
      <w:pPr>
        <w:jc w:val="center"/>
        <w:rPr>
          <w:b/>
          <w:sz w:val="28"/>
          <w:szCs w:val="28"/>
        </w:rPr>
      </w:pPr>
      <w:r w:rsidRPr="00460B08">
        <w:rPr>
          <w:b/>
          <w:sz w:val="28"/>
          <w:szCs w:val="28"/>
        </w:rPr>
        <w:t>О внесении изменений и дополнени</w:t>
      </w:r>
      <w:r w:rsidR="00494EF3">
        <w:rPr>
          <w:b/>
          <w:sz w:val="28"/>
          <w:szCs w:val="28"/>
        </w:rPr>
        <w:t>я</w:t>
      </w:r>
      <w:r w:rsidRPr="00460B08">
        <w:rPr>
          <w:b/>
          <w:sz w:val="28"/>
          <w:szCs w:val="28"/>
        </w:rPr>
        <w:t xml:space="preserve"> в некоторые нормативные </w:t>
      </w:r>
    </w:p>
    <w:p w:rsidR="00CF3322" w:rsidRPr="00460B08" w:rsidRDefault="00CF3322" w:rsidP="00CF3322">
      <w:pPr>
        <w:jc w:val="center"/>
        <w:rPr>
          <w:b/>
          <w:sz w:val="28"/>
          <w:szCs w:val="28"/>
        </w:rPr>
      </w:pPr>
      <w:r w:rsidRPr="00460B08">
        <w:rPr>
          <w:b/>
          <w:sz w:val="28"/>
          <w:szCs w:val="28"/>
        </w:rPr>
        <w:t xml:space="preserve">правовые акты Республики Казахстан </w:t>
      </w:r>
    </w:p>
    <w:p w:rsidR="00CF3322" w:rsidRPr="00460B08" w:rsidRDefault="00CF3322" w:rsidP="00CF3322">
      <w:pPr>
        <w:jc w:val="center"/>
        <w:rPr>
          <w:b/>
          <w:sz w:val="28"/>
          <w:szCs w:val="28"/>
        </w:rPr>
      </w:pPr>
      <w:r w:rsidRPr="00460B08">
        <w:rPr>
          <w:b/>
          <w:sz w:val="28"/>
          <w:szCs w:val="28"/>
        </w:rPr>
        <w:t>по вопросам банковской и микрофинансовой деятельности</w:t>
      </w:r>
    </w:p>
    <w:p w:rsidR="00C65CD7" w:rsidRPr="00E80417" w:rsidRDefault="00C65CD7" w:rsidP="00C65CD7">
      <w:pPr>
        <w:jc w:val="both"/>
        <w:rPr>
          <w:rFonts w:eastAsia="Calibri"/>
          <w:sz w:val="16"/>
          <w:szCs w:val="16"/>
        </w:rPr>
      </w:pPr>
    </w:p>
    <w:p w:rsidR="00234516" w:rsidRPr="00E80417" w:rsidRDefault="00234516" w:rsidP="00C65CD7">
      <w:pPr>
        <w:jc w:val="both"/>
        <w:rPr>
          <w:rFonts w:eastAsia="Calibri"/>
          <w:sz w:val="16"/>
          <w:szCs w:val="16"/>
        </w:rPr>
      </w:pPr>
    </w:p>
    <w:p w:rsidR="00CF3322" w:rsidRPr="00460B08" w:rsidRDefault="00CF3322" w:rsidP="00CF3322">
      <w:pPr>
        <w:ind w:firstLine="709"/>
        <w:jc w:val="both"/>
        <w:rPr>
          <w:color w:val="000000"/>
          <w:sz w:val="28"/>
          <w:szCs w:val="28"/>
        </w:rPr>
      </w:pPr>
      <w:r w:rsidRPr="00460B08">
        <w:rPr>
          <w:color w:val="000000"/>
          <w:sz w:val="28"/>
          <w:szCs w:val="28"/>
        </w:rPr>
        <w:t xml:space="preserve">Правление </w:t>
      </w:r>
      <w:bookmarkStart w:id="0" w:name="_Hlk137113095"/>
      <w:r w:rsidRPr="00460B08">
        <w:rPr>
          <w:color w:val="000000"/>
          <w:sz w:val="28"/>
          <w:szCs w:val="28"/>
        </w:rPr>
        <w:t xml:space="preserve">Агентства Республики Казахстан по регулированию и развитию финансового рынка </w:t>
      </w:r>
      <w:bookmarkEnd w:id="0"/>
      <w:r w:rsidRPr="00460B08">
        <w:rPr>
          <w:b/>
          <w:color w:val="000000"/>
          <w:sz w:val="28"/>
          <w:szCs w:val="28"/>
        </w:rPr>
        <w:t>ПОСТАНОВЛЯЕТ:</w:t>
      </w:r>
    </w:p>
    <w:p w:rsidR="00CF3322" w:rsidRPr="00460B08" w:rsidRDefault="00CF3322" w:rsidP="00CF3322">
      <w:pPr>
        <w:ind w:firstLine="709"/>
        <w:jc w:val="both"/>
        <w:rPr>
          <w:color w:val="000000"/>
          <w:sz w:val="28"/>
          <w:szCs w:val="28"/>
        </w:rPr>
      </w:pPr>
      <w:r w:rsidRPr="00460B08">
        <w:rPr>
          <w:color w:val="000000"/>
          <w:sz w:val="28"/>
          <w:szCs w:val="28"/>
        </w:rPr>
        <w:t>1. Утвердить Перечень нормативных правовых актов Республики Казахстан по вопросам банковской и микрофинансовой деятельности, в которые вносятся изменения и дополнение, согласно приложению к настоящему постановлению.</w:t>
      </w:r>
    </w:p>
    <w:p w:rsidR="00CF3322" w:rsidRPr="00460B08" w:rsidRDefault="00CF3322" w:rsidP="00CF3322">
      <w:pPr>
        <w:ind w:firstLine="709"/>
        <w:jc w:val="both"/>
        <w:rPr>
          <w:color w:val="000000"/>
          <w:sz w:val="28"/>
          <w:szCs w:val="28"/>
        </w:rPr>
      </w:pPr>
      <w:r w:rsidRPr="00460B08">
        <w:rPr>
          <w:color w:val="000000"/>
          <w:sz w:val="28"/>
          <w:szCs w:val="28"/>
        </w:rPr>
        <w:t xml:space="preserve">2. </w:t>
      </w:r>
      <w:r w:rsidR="00AE35E1" w:rsidRPr="00460B08">
        <w:rPr>
          <w:color w:val="000000"/>
          <w:sz w:val="28"/>
          <w:szCs w:val="28"/>
        </w:rPr>
        <w:t xml:space="preserve">Департаменту развития финансовых услуг и поведенческого надзора </w:t>
      </w:r>
      <w:r w:rsidRPr="00460B08">
        <w:rPr>
          <w:color w:val="000000"/>
          <w:sz w:val="28"/>
          <w:szCs w:val="28"/>
        </w:rPr>
        <w:t>в установленном законодательством Республики Казахстан порядке обеспечить:</w:t>
      </w:r>
    </w:p>
    <w:p w:rsidR="00CF3322" w:rsidRPr="00460B08" w:rsidRDefault="00CF3322" w:rsidP="00CF3322">
      <w:pPr>
        <w:ind w:firstLine="709"/>
        <w:jc w:val="both"/>
        <w:rPr>
          <w:color w:val="000000"/>
          <w:sz w:val="28"/>
          <w:szCs w:val="28"/>
        </w:rPr>
      </w:pPr>
      <w:r w:rsidRPr="00460B08">
        <w:rPr>
          <w:color w:val="000000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CF3322" w:rsidRPr="00460B08" w:rsidRDefault="00CF3322" w:rsidP="00CF3322">
      <w:pPr>
        <w:ind w:firstLine="709"/>
        <w:jc w:val="both"/>
        <w:rPr>
          <w:color w:val="000000"/>
          <w:sz w:val="28"/>
          <w:szCs w:val="28"/>
        </w:rPr>
      </w:pPr>
      <w:r w:rsidRPr="00460B08">
        <w:rPr>
          <w:color w:val="000000"/>
          <w:sz w:val="28"/>
          <w:szCs w:val="28"/>
        </w:rPr>
        <w:t>2) размещение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CF3322" w:rsidRPr="00460B08" w:rsidRDefault="00CF3322" w:rsidP="00CF3322">
      <w:pPr>
        <w:ind w:firstLine="709"/>
        <w:jc w:val="both"/>
        <w:rPr>
          <w:color w:val="000000"/>
          <w:sz w:val="28"/>
          <w:szCs w:val="28"/>
        </w:rPr>
      </w:pPr>
      <w:r w:rsidRPr="00460B08">
        <w:rPr>
          <w:color w:val="000000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CF3322" w:rsidRPr="00460B08" w:rsidRDefault="00CF3322" w:rsidP="00CF3322">
      <w:pPr>
        <w:ind w:firstLine="709"/>
        <w:jc w:val="both"/>
        <w:rPr>
          <w:color w:val="000000"/>
          <w:sz w:val="28"/>
          <w:szCs w:val="28"/>
        </w:rPr>
      </w:pPr>
      <w:r w:rsidRPr="00460B08">
        <w:rPr>
          <w:color w:val="000000"/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CF3322" w:rsidRPr="00460B08" w:rsidRDefault="00CF3322" w:rsidP="00CF3322">
      <w:pPr>
        <w:ind w:firstLine="709"/>
        <w:jc w:val="both"/>
        <w:rPr>
          <w:color w:val="000000"/>
          <w:sz w:val="28"/>
          <w:szCs w:val="28"/>
        </w:rPr>
      </w:pPr>
      <w:r w:rsidRPr="00460B08">
        <w:rPr>
          <w:color w:val="000000"/>
          <w:sz w:val="28"/>
          <w:szCs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52444D" w:rsidRPr="00E80417" w:rsidRDefault="0052444D">
      <w:pPr>
        <w:rPr>
          <w:rFonts w:eastAsia="Calibri"/>
          <w:color w:val="000000" w:themeColor="text1"/>
          <w:sz w:val="16"/>
          <w:szCs w:val="16"/>
        </w:rPr>
      </w:pPr>
    </w:p>
    <w:p w:rsidR="004B6536" w:rsidRPr="00E80417" w:rsidRDefault="004B6536">
      <w:pPr>
        <w:rPr>
          <w:sz w:val="16"/>
          <w:szCs w:val="16"/>
        </w:rPr>
      </w:pPr>
    </w:p>
    <w:p w:rsidR="00E80417" w:rsidRDefault="00E80417" w:rsidP="00E80417">
      <w:pPr>
        <w:tabs>
          <w:tab w:val="left" w:pos="1134"/>
          <w:tab w:val="left" w:pos="6804"/>
        </w:tabs>
        <w:overflowPunct/>
        <w:autoSpaceDE/>
        <w:autoSpaceDN/>
        <w:adjustRightInd/>
        <w:ind w:left="720"/>
        <w:contextualSpacing/>
        <w:rPr>
          <w:rFonts w:eastAsia="Calibri"/>
          <w:b/>
          <w:sz w:val="28"/>
          <w:szCs w:val="28"/>
          <w:lang w:val="kk-KZ" w:eastAsia="en-US"/>
        </w:rPr>
      </w:pPr>
      <w:r w:rsidRPr="009E32F0">
        <w:rPr>
          <w:rFonts w:eastAsia="Calibri"/>
          <w:b/>
          <w:sz w:val="28"/>
          <w:szCs w:val="28"/>
          <w:lang w:val="kk-KZ" w:eastAsia="en-US"/>
        </w:rPr>
        <w:t xml:space="preserve">Председатель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Агентства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r w:rsidRPr="009E32F0">
        <w:rPr>
          <w:rFonts w:eastAsia="Calibri"/>
          <w:b/>
          <w:sz w:val="28"/>
          <w:szCs w:val="28"/>
          <w:lang w:eastAsia="en-US"/>
        </w:rPr>
        <w:t>Республики Казахстан</w:t>
      </w:r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по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регулированию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и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развитию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финансового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рынка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tab/>
      </w:r>
      <w:r>
        <w:rPr>
          <w:rFonts w:eastAsia="Calibri"/>
          <w:b/>
          <w:sz w:val="28"/>
          <w:szCs w:val="28"/>
          <w:lang w:val="kk-KZ" w:eastAsia="en-US"/>
        </w:rPr>
        <w:t xml:space="preserve">   </w:t>
      </w:r>
      <w:r w:rsidRPr="009E32F0">
        <w:rPr>
          <w:rFonts w:eastAsia="Calibri"/>
          <w:b/>
          <w:sz w:val="28"/>
          <w:szCs w:val="28"/>
          <w:lang w:val="kk-KZ" w:eastAsia="en-US"/>
        </w:rPr>
        <w:t xml:space="preserve">М.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Абылкасымова</w:t>
      </w:r>
      <w:proofErr w:type="spellEnd"/>
    </w:p>
    <w:p w:rsidR="000E4CF7" w:rsidRDefault="000E4CF7" w:rsidP="00E80417">
      <w:pPr>
        <w:tabs>
          <w:tab w:val="left" w:pos="1134"/>
          <w:tab w:val="left" w:pos="6804"/>
        </w:tabs>
        <w:overflowPunct/>
        <w:autoSpaceDE/>
        <w:autoSpaceDN/>
        <w:adjustRightInd/>
        <w:ind w:left="720"/>
        <w:contextualSpacing/>
        <w:rPr>
          <w:rFonts w:eastAsia="Calibri"/>
          <w:b/>
          <w:sz w:val="28"/>
          <w:szCs w:val="28"/>
          <w:lang w:val="kk-KZ" w:eastAsia="en-US"/>
        </w:rPr>
      </w:pP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0E4CF7" w:rsidRPr="001720A6" w:rsidTr="008E4572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E4CF7" w:rsidRPr="001720A6" w:rsidRDefault="000E4CF7" w:rsidP="008E4572">
            <w:pPr>
              <w:jc w:val="right"/>
              <w:rPr>
                <w:sz w:val="28"/>
                <w:szCs w:val="28"/>
              </w:rPr>
            </w:pPr>
            <w:r w:rsidRPr="001720A6">
              <w:rPr>
                <w:sz w:val="28"/>
                <w:szCs w:val="28"/>
              </w:rPr>
              <w:lastRenderedPageBreak/>
              <w:t>Приложение</w:t>
            </w:r>
          </w:p>
          <w:p w:rsidR="000E4CF7" w:rsidRPr="001720A6" w:rsidRDefault="000E4CF7" w:rsidP="008E4572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1720A6">
              <w:rPr>
                <w:sz w:val="28"/>
                <w:szCs w:val="28"/>
              </w:rPr>
              <w:t>к постановлению</w:t>
            </w:r>
          </w:p>
        </w:tc>
      </w:tr>
    </w:tbl>
    <w:p w:rsidR="000E4CF7" w:rsidRPr="001720A6" w:rsidRDefault="000E4CF7" w:rsidP="000E4CF7">
      <w:pPr>
        <w:rPr>
          <w:rFonts w:eastAsia="Calibri"/>
          <w:sz w:val="28"/>
          <w:szCs w:val="28"/>
        </w:rPr>
      </w:pPr>
      <w:bookmarkStart w:id="1" w:name="_Hlk79489230"/>
    </w:p>
    <w:bookmarkEnd w:id="1"/>
    <w:p w:rsidR="000E4CF7" w:rsidRPr="001720A6" w:rsidRDefault="000E4CF7" w:rsidP="000E4CF7">
      <w:pPr>
        <w:tabs>
          <w:tab w:val="left" w:pos="5387"/>
        </w:tabs>
        <w:jc w:val="center"/>
        <w:rPr>
          <w:b/>
          <w:sz w:val="28"/>
          <w:szCs w:val="28"/>
        </w:rPr>
      </w:pPr>
      <w:r w:rsidRPr="001720A6">
        <w:rPr>
          <w:b/>
          <w:sz w:val="28"/>
          <w:szCs w:val="28"/>
        </w:rPr>
        <w:t>Перечень нормативных правовых актов Республики Казахстан</w:t>
      </w:r>
    </w:p>
    <w:p w:rsidR="000E4CF7" w:rsidRPr="001720A6" w:rsidRDefault="000E4CF7" w:rsidP="000E4CF7">
      <w:pPr>
        <w:tabs>
          <w:tab w:val="left" w:pos="5387"/>
        </w:tabs>
        <w:jc w:val="center"/>
        <w:rPr>
          <w:b/>
          <w:sz w:val="28"/>
          <w:szCs w:val="28"/>
        </w:rPr>
      </w:pPr>
      <w:r w:rsidRPr="001720A6">
        <w:rPr>
          <w:b/>
          <w:sz w:val="28"/>
          <w:szCs w:val="28"/>
        </w:rPr>
        <w:t>по вопросам банковской и микрофинансовой деятельности, в которые вносятся изменения и дополнение</w:t>
      </w:r>
    </w:p>
    <w:p w:rsidR="000E4CF7" w:rsidRPr="001720A6" w:rsidRDefault="000E4CF7" w:rsidP="000E4CF7">
      <w:pPr>
        <w:jc w:val="center"/>
      </w:pPr>
    </w:p>
    <w:p w:rsidR="000E4CF7" w:rsidRPr="001720A6" w:rsidRDefault="000E4CF7" w:rsidP="000E4CF7">
      <w:pPr>
        <w:jc w:val="center"/>
      </w:pP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1. Внести в постановление Правления Национального Банка Республики Казахстан от 26 марта 2012 года № 137 «Об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вкладам» (зарегистрировано в Реестре государственной регистрации нормативных правовых актов под № 7663) следующие изменения: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преамбулу изложить в следующей редакции: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«В соответствии с пунктом 7 статьи 39 </w:t>
      </w:r>
      <w:hyperlink r:id="rId11" w:tooltip="Закон Республики Казахстан от 31 августа 1995 года № 2444 " w:history="1">
        <w:r w:rsidRPr="001720A6">
          <w:rPr>
            <w:color w:val="000000"/>
            <w:sz w:val="28"/>
            <w:szCs w:val="28"/>
          </w:rPr>
          <w:t>Закона</w:t>
        </w:r>
      </w:hyperlink>
      <w:r w:rsidRPr="001720A6">
        <w:rPr>
          <w:color w:val="000000"/>
          <w:sz w:val="28"/>
          <w:szCs w:val="28"/>
        </w:rPr>
        <w:t xml:space="preserve"> Республики Казахстан «О банках и банковской деятельности в Республике Казахстан» Правление Национального Банка Республики Казахстан </w:t>
      </w:r>
      <w:r w:rsidRPr="00E466C9">
        <w:rPr>
          <w:b/>
          <w:color w:val="000000"/>
          <w:sz w:val="28"/>
          <w:szCs w:val="28"/>
        </w:rPr>
        <w:t>ПОСТАНОВЛЯЕТ</w:t>
      </w:r>
      <w:r w:rsidRPr="001720A6">
        <w:rPr>
          <w:color w:val="000000"/>
          <w:sz w:val="28"/>
          <w:szCs w:val="28"/>
        </w:rPr>
        <w:t xml:space="preserve">:» 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в Правилах исчисления ставок вознаграждения в достоверном, годовом, эффективном, сопоставимом исчислении (реальной стоимости) по займам и вкладам, утвержденных указанным постановлением: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пункты 2, 8, 8-1 и 9 изложить в следующей редакции: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«2. </w:t>
      </w:r>
      <w:r w:rsidRPr="00B92778">
        <w:rPr>
          <w:color w:val="000000"/>
          <w:sz w:val="28"/>
          <w:szCs w:val="28"/>
        </w:rPr>
        <w:t>Банки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</w:t>
      </w:r>
      <w:r w:rsidRPr="001720A6">
        <w:rPr>
          <w:color w:val="000000"/>
          <w:sz w:val="28"/>
          <w:szCs w:val="28"/>
        </w:rPr>
        <w:t>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1) при распространении информации о величинах вознаграждения по услугам, в том числе ее публикации;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2) в договоре о предоставлении услуг, заключаемом с клиентами;</w:t>
      </w:r>
    </w:p>
    <w:p w:rsidR="000E4CF7" w:rsidRPr="00EB0BE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EB0BE9">
        <w:rPr>
          <w:color w:val="000000"/>
          <w:sz w:val="28"/>
          <w:szCs w:val="28"/>
        </w:rPr>
        <w:t>3) в личном кабинете на интернет-ресурсе, в мобильном приложении при оказании банками электронных банковских услуг.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В договоре о предоставлении услуг, заключаемом с клиентами,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 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Если общие условия отражаются в договоре о предоставлении услуг в виде таблицы, годовая эффективная ставка вознаграждения указывается в отдельной строке (столбце), следующей после указания других ставок. </w:t>
      </w:r>
    </w:p>
    <w:p w:rsidR="000E4CF7" w:rsidRPr="00EB0BE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EB0BE9">
        <w:rPr>
          <w:color w:val="000000"/>
          <w:sz w:val="28"/>
          <w:szCs w:val="28"/>
        </w:rPr>
        <w:t>Банки размещают на своем интернет-ресурсе средство автоматизированного расчета (калькулятор) годовой эффективной ставки вознаграждения, предназначенное для расчета клиентами годовой эффективной ставки вознаграждения с учетом всех платежей, связанных с услугой, и  отображения ее итогового значения.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lastRenderedPageBreak/>
        <w:t>8. В расчет годовой эффективной ставки вознаграждения по займу, выдаваемому юридическому лицу, включаются комиссии и иные платежи, связанные с выдачей и обслуживанием займа, предусмотренные договором банковского займа, размеры и сроки выплаты, которых известны на дату заключения договора банковского займа, а также следующие платежи клиентов в пользу третьих лиц:</w:t>
      </w:r>
    </w:p>
    <w:p w:rsidR="000E4CF7" w:rsidRPr="00EB0BE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EB0BE9">
        <w:rPr>
          <w:color w:val="000000"/>
          <w:sz w:val="28"/>
          <w:szCs w:val="28"/>
        </w:rPr>
        <w:t>1) платежи клиента в пользу страховой (перестраховочной) организации, в том числе за счёт суммы банковского займа, осуществляемые в рамках договоров добровольного страхования при предоставлении банковского займа, заключение которых оказывает влияние на условия предоставления (изменения) банковского займа либо вытекает из условий банковского займа, включая договоры страхования предмета залога, находящегося в пользовании залогодателя и обеспечивающего обязательства клиента;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2) платежи клиента гаранту (поручителю) за получение гарантии (поручительства), оценщику за оценку передаваемого в залог имущества;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3) платежи клиента в пользу организаций (посредников), оказывающих услуги банку второго уровня, филиалу банка-нерезидента Республики Казахстан, организации, осуществляющей отдельные виды банковских операций (далее - банк)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4) комиссии и платежи клиента в пользу банка и (или) иных организаций в рамках договоров банковского счета и (или) договоров банковского обслуживания, договоров страхования (перестрахования), связанные с получением займа, обслуживанием займа, не связанные с подпунктами 1), 2) и 3) настоящего пункта.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Если при расчете годовой эффективной ставки вознаграждения по займу, отсутствует возможность определения размеров платежей, указанных в подпунктах 1), 2), 3) и 4) части первой настоящего пункта, на весь срок кредитования, то в расчет годовой эффективной ставки вознаграждения по займу включаются платежи за весь срок кредитования, исходя из тарифов данных лиц, определенных на день заключения с ними договоров.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Комиссии и иные платежи, предусмотренные договором банковского займа, а также платежи, указанные в подпунктах 1), 2), 3) и 4) части первой настоящего пункта, факт взимания которых неизвестен на дату заключения договора банковского займа, учитываются в случае перерасчета годовой эффективной ставки вознаграждения после фактического платежа.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8-1. В расчет годовой эффективной ставки вознаграждения по займу, выдаваемому физическому лицу, включаются комиссии и иные платежи, связанные с выдачей и обслуживанием займа, предусмотренные договором банковского займа, размеры и сроки выплаты, которых известны на дату заключения договора банковского займа.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lastRenderedPageBreak/>
        <w:t>Если при расчете годовой эффективной ставки вознаграждения по займу отсутствует возможность определения размеров платежей в пользу лиц, указанных в подпунктах 5), 6), 7) и 7-1) пункта 2 Перечня, на весь срок кредитования, в расчет годовой эффективной ставки вознаграждения включаются платежи за весь срок кредитования, исходя из тарифов, установленных данными лицами и определенных на дату заключения с ними договоров.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Комиссии и иные платежи, предусмотренные договором банковского займа, указанные в подпунктах 3), 4), 5), 6), 7), 7-1) и 8) пункта 2 Перечня, факт взимания которых неизвестен на дату заключения договора банковского займа, учитываются в случае перерасчета годовой эффективной ставки вознаграждения после фактического платежа или при их введении в период обслуживания банковского займа.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9. В расчет годовой эффективной ставки вознаграждения по займу не включаются: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1) платежи клиента в пользу третьих лиц, за исключением платежей, указанных в подпунктах 1), 2), 3) и 4) пункта 8 Правил и в подпунктах 5), 6), 7) и 7-1) пункта 2 Перечня;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2) платежи клиента, связанные с несоблюдением им условий договора банковского займа, включая неустойку и иные виды штрафных санкций, в том числе за превышение лимита овердрафта, установленного клиенту.».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2. Внести в постановление Правления Национального Банка Республики Казахстан от 26 ноября 2019 года № 208 «Об утверждении Правил расчета годовой эффективной ставки вознаграждения по предоставляемым микрокредитам» (зарегистрировано в Реестре государственной регистрации нормативных правовых актов</w:t>
      </w:r>
      <w:r w:rsidRPr="001720A6" w:rsidDel="00DF7BDB">
        <w:rPr>
          <w:color w:val="000000"/>
          <w:sz w:val="28"/>
          <w:szCs w:val="28"/>
        </w:rPr>
        <w:t xml:space="preserve"> </w:t>
      </w:r>
      <w:r w:rsidRPr="001720A6">
        <w:rPr>
          <w:color w:val="000000"/>
          <w:sz w:val="28"/>
          <w:szCs w:val="28"/>
        </w:rPr>
        <w:t>под № 19677) следующие изменения и дополнение: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преамбулу изложить в следующей редакции: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«В соответствии с пунктом 2 статьи 5 </w:t>
      </w:r>
      <w:hyperlink r:id="rId12" w:tooltip="Закон Республики Казахстан от 26 ноября 2012 года № 56-V " w:history="1">
        <w:r w:rsidRPr="001720A6">
          <w:rPr>
            <w:color w:val="000000"/>
            <w:sz w:val="28"/>
            <w:szCs w:val="28"/>
          </w:rPr>
          <w:t>Закон</w:t>
        </w:r>
      </w:hyperlink>
      <w:r w:rsidRPr="001720A6">
        <w:rPr>
          <w:color w:val="000000"/>
          <w:sz w:val="28"/>
          <w:szCs w:val="28"/>
        </w:rPr>
        <w:t>а Республики Казахстан «О микрофинансовой деятельности» Правление Национального Банка Республики Казахстан </w:t>
      </w:r>
      <w:r w:rsidRPr="00E466C9">
        <w:rPr>
          <w:b/>
          <w:color w:val="000000"/>
          <w:sz w:val="28"/>
          <w:szCs w:val="28"/>
        </w:rPr>
        <w:t>ПОСТАНОВЛЯЕТ</w:t>
      </w:r>
      <w:r w:rsidRPr="001720A6">
        <w:rPr>
          <w:color w:val="000000"/>
          <w:sz w:val="28"/>
          <w:szCs w:val="28"/>
        </w:rPr>
        <w:t>:»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в Правилах расчета годовой эффективной ставки вознаграждения по предоставляемым микрокредитам, утвержденных указанным постановлением: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пункты 2, 3 и 8 изложить в следующей редакции: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«2. </w:t>
      </w:r>
      <w:r w:rsidRPr="00B92778">
        <w:rPr>
          <w:color w:val="000000"/>
          <w:sz w:val="28"/>
          <w:szCs w:val="28"/>
        </w:rPr>
        <w:t>Микрофинансовые организации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</w:t>
      </w:r>
      <w:r w:rsidRPr="001720A6">
        <w:rPr>
          <w:color w:val="000000"/>
          <w:sz w:val="28"/>
          <w:szCs w:val="28"/>
        </w:rPr>
        <w:t>:</w:t>
      </w:r>
    </w:p>
    <w:p w:rsidR="000E4CF7" w:rsidRPr="0034511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>1) при распространении информации о величинах вознаграждения по микрокредитам, в том числе ее публикации;</w:t>
      </w:r>
    </w:p>
    <w:p w:rsidR="000E4CF7" w:rsidRPr="0034511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>2) в договоре о предоставлении микрокредита, заключаемом с клиентами;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>3) в личном кабинете на интернет-ресурсе, в мобильном приложении при предоставлении микрокредитов электронным способом.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lastRenderedPageBreak/>
        <w:t xml:space="preserve">В договоре о </w:t>
      </w:r>
      <w:r w:rsidRPr="00345119">
        <w:rPr>
          <w:color w:val="000000"/>
          <w:sz w:val="28"/>
          <w:szCs w:val="28"/>
        </w:rPr>
        <w:t>предоставлении микрокредита, заключаемом с клиентами, годовая эффективная ставка вознаграждения печатается при помощи устройств компьютерной техники в одном предложении</w:t>
      </w:r>
      <w:r w:rsidRPr="001720A6">
        <w:rPr>
          <w:color w:val="000000"/>
          <w:sz w:val="28"/>
          <w:szCs w:val="28"/>
        </w:rPr>
        <w:t xml:space="preserve"> с другими ставками вознаграждения. </w:t>
      </w:r>
    </w:p>
    <w:p w:rsidR="000E4CF7" w:rsidRPr="00EE45B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>Если общие условия отражаются в договоре о предоставлении микрокредита в виде таблицы</w:t>
      </w:r>
      <w:r w:rsidRPr="001720A6">
        <w:rPr>
          <w:color w:val="000000"/>
          <w:sz w:val="28"/>
          <w:szCs w:val="28"/>
        </w:rPr>
        <w:t>, годовая эффективная ставка вознаграждения указывается в отдельной строке (столбце), следующей после указания других ставок.</w:t>
      </w:r>
    </w:p>
    <w:p w:rsidR="000E4CF7" w:rsidRPr="00EB0BE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EB0BE9">
        <w:rPr>
          <w:color w:val="000000"/>
          <w:sz w:val="28"/>
          <w:szCs w:val="28"/>
        </w:rPr>
        <w:t>Микрофинансовые организации размещают на своем интернет-ресурсе (при их наличии) средство автоматизированного расчета (калькулятор) годовой эффективной ставки вознаграждения, предназначенное для расчета заемщиками годовой эффективной ставки вознаграждения с учетом всех платежей, связанных с микрокредитом, и отображения ее итогового значения.</w:t>
      </w:r>
    </w:p>
    <w:p w:rsidR="000E4CF7" w:rsidRPr="0034511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>3. Расчет годовой эффективной ставки вознаграждения производится: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>1) на дату заключения договора о предоставлении микрокредита, дополнительных соглашений к договору о предоставлении микрокредита</w:t>
      </w:r>
      <w:r w:rsidRPr="001720A6">
        <w:rPr>
          <w:color w:val="000000"/>
          <w:sz w:val="28"/>
          <w:szCs w:val="28"/>
        </w:rPr>
        <w:t>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2) по устному или письменному требованию заемщика;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3) в случае внесения изменений и дополнений в договор о предоставлении микрокредита, которые влекут изменение суммы (размера) денежных обязательств заемщика и (или) срока их уплаты.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4</w:t>
      </w:r>
      <w:r w:rsidRPr="00EB0BE9">
        <w:rPr>
          <w:color w:val="000000"/>
          <w:sz w:val="28"/>
          <w:szCs w:val="28"/>
        </w:rPr>
        <w:t>) в случае осуществления заемщиком в период обслуживания микрокредита платежей, указанных в пункте 8-1 настоящих Правил, и не включенных в расчет годовой эффективной ставки вознаграждения на дату заключения договора о предоставлении микрокредита, заемщик уведомляется об изменении значения годовой эффективной ставки вознаграждения в порядке, предусмотренном договором о предоставлении микрокредита.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8. </w:t>
      </w:r>
      <w:r w:rsidRPr="001720A6">
        <w:rPr>
          <w:sz w:val="28"/>
          <w:szCs w:val="28"/>
        </w:rPr>
        <w:t xml:space="preserve">В расчет годовой эффективной ставки вознаграждения по микрокредиту включаются </w:t>
      </w:r>
      <w:r w:rsidRPr="00EB0BE9">
        <w:rPr>
          <w:sz w:val="28"/>
          <w:szCs w:val="28"/>
        </w:rPr>
        <w:t>все платежи заемщика по основному долгу и вознаграждению, в том числе иные платежи заемщика в пользу третьих лиц, указанные в пункте 8-1 Правил, за исключением платежей (пени, штрафа) заемщика, возникших в связи с несоблюдением им условий договора о предоставлении микрокредита по уплате основного долга и (или) вознаграждения</w:t>
      </w:r>
      <w:r w:rsidRPr="00EB0BE9">
        <w:rPr>
          <w:color w:val="000000"/>
          <w:sz w:val="28"/>
          <w:szCs w:val="28"/>
        </w:rPr>
        <w:t>.»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дополнить пунктом 8-1 следующего содержания:</w:t>
      </w:r>
    </w:p>
    <w:p w:rsidR="000E4CF7" w:rsidRPr="00EB0BE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EB0BE9">
        <w:rPr>
          <w:color w:val="000000"/>
          <w:sz w:val="28"/>
          <w:szCs w:val="28"/>
        </w:rPr>
        <w:t>«8-1. В расчет годовой эффективной ставки вознаграждения по микрокредиту включаются иные платежи заемщиков в пользу третьих лиц, которые известны на дату заключения договора о предоставлении микрокредита:</w:t>
      </w:r>
    </w:p>
    <w:p w:rsidR="000E4CF7" w:rsidRPr="00EB0BE9" w:rsidRDefault="000E4CF7" w:rsidP="000E4CF7">
      <w:pPr>
        <w:ind w:firstLine="709"/>
        <w:jc w:val="both"/>
        <w:rPr>
          <w:sz w:val="28"/>
          <w:szCs w:val="28"/>
        </w:rPr>
      </w:pPr>
      <w:r w:rsidRPr="00EB0BE9">
        <w:rPr>
          <w:color w:val="000000"/>
          <w:sz w:val="28"/>
          <w:szCs w:val="28"/>
        </w:rPr>
        <w:t xml:space="preserve">1) </w:t>
      </w:r>
      <w:r w:rsidRPr="00EB0BE9">
        <w:rPr>
          <w:sz w:val="28"/>
          <w:szCs w:val="28"/>
        </w:rPr>
        <w:t>платежи заемщика в пользу страховой (перестраховочной) организации, в том числе за счёт суммы микрокредита, осуществляемые в рамках договоров добровольного страхования при предоставлении микрокредита, заключение которых оказывает влияние на условия</w:t>
      </w:r>
      <w:r w:rsidRPr="00444107">
        <w:rPr>
          <w:b/>
          <w:sz w:val="28"/>
          <w:szCs w:val="28"/>
        </w:rPr>
        <w:t xml:space="preserve"> </w:t>
      </w:r>
      <w:r w:rsidRPr="00EB0BE9">
        <w:rPr>
          <w:sz w:val="28"/>
          <w:szCs w:val="28"/>
        </w:rPr>
        <w:t>предоставления (изменения)</w:t>
      </w:r>
      <w:r w:rsidRPr="00444107">
        <w:rPr>
          <w:b/>
          <w:sz w:val="28"/>
          <w:szCs w:val="28"/>
        </w:rPr>
        <w:t xml:space="preserve"> </w:t>
      </w:r>
      <w:r w:rsidRPr="00EB0BE9">
        <w:rPr>
          <w:sz w:val="28"/>
          <w:szCs w:val="28"/>
        </w:rPr>
        <w:t>микрокредита либо вытекает из условий микрокредита, включая договоры страхования предмета залога, находящегося в пользовании залогодателя и обеспечивающего обязательства заемщика;</w:t>
      </w:r>
    </w:p>
    <w:p w:rsidR="000E4CF7" w:rsidRPr="00EB0BE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EB0BE9">
        <w:rPr>
          <w:color w:val="000000"/>
          <w:sz w:val="28"/>
          <w:szCs w:val="28"/>
        </w:rPr>
        <w:lastRenderedPageBreak/>
        <w:t xml:space="preserve">2) </w:t>
      </w:r>
      <w:r w:rsidRPr="00EB0BE9">
        <w:rPr>
          <w:sz w:val="28"/>
          <w:szCs w:val="28"/>
        </w:rPr>
        <w:t>платежи заемщика гаранту (поручителю) за получение гарантии (поручительства), оценщику за оценку передаваемого в залог имущества.</w:t>
      </w:r>
    </w:p>
    <w:p w:rsidR="000E4CF7" w:rsidRPr="00EB0BE9" w:rsidRDefault="000E4CF7" w:rsidP="000E4CF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B0BE9">
        <w:rPr>
          <w:color w:val="000000"/>
          <w:sz w:val="28"/>
          <w:szCs w:val="28"/>
        </w:rPr>
        <w:t>Если при расчете годовой эффективной ставки вознаграждения по микрокредиту, отсутствует возможность определения размеров платежей, указанных в настоящего пункте, на весь срок микрокредитования, то в расчет годовой эффективной ставки вознаграждения по микрокредиту включаются платежи за весь срок микрокредитования, исходя из тарифов данных лиц, определенных на день заключения с ними договоров.</w:t>
      </w:r>
    </w:p>
    <w:p w:rsidR="000E4CF7" w:rsidRPr="00EB0BE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EB0BE9">
        <w:rPr>
          <w:color w:val="000000"/>
          <w:sz w:val="28"/>
          <w:szCs w:val="28"/>
        </w:rPr>
        <w:t xml:space="preserve">Платежи, указанные в настоящем пункте, факт взимания которых неизвестен на дату заключения договора о предоставлении микрокредита, в случае перерасчета учитываются в расчете годовой эффективной ставки вознаграждения после фактического платежа.». 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3. Внести в постановление Правления Национального Банка Республики Казахстан от 28 ноября 2019 года № 218 «Об утверждении Перечня комиссий и иных платежей, связанных с выдачей и обслуживанием банковского займа, выданного физическому лицу» (зарегистрировано в Реестре государственной регистрации нормативных правовых актов под № 19702) следующие изменения: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преамбулу изложить в следующей редакции: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«В соответствии с пунктом </w:t>
      </w:r>
      <w:r>
        <w:rPr>
          <w:color w:val="000000"/>
          <w:sz w:val="28"/>
          <w:szCs w:val="28"/>
        </w:rPr>
        <w:t>3</w:t>
      </w:r>
      <w:r w:rsidRPr="001720A6">
        <w:rPr>
          <w:color w:val="000000"/>
          <w:sz w:val="28"/>
          <w:szCs w:val="28"/>
        </w:rPr>
        <w:t xml:space="preserve"> статьи 39 Закона Республики Казахстан «О банках и банковской деятельности в Республике Казахстан» Правление Национального Банка Республики Казахстан </w:t>
      </w:r>
      <w:r w:rsidRPr="00E466C9">
        <w:rPr>
          <w:b/>
          <w:color w:val="000000"/>
          <w:sz w:val="28"/>
          <w:szCs w:val="28"/>
        </w:rPr>
        <w:t>ПОСТАНОВЛЯЕТ</w:t>
      </w:r>
      <w:r w:rsidRPr="001720A6">
        <w:rPr>
          <w:color w:val="000000"/>
          <w:sz w:val="28"/>
          <w:szCs w:val="28"/>
        </w:rPr>
        <w:t>:»;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в Перечне комиссий и иных платежей, связанных с выдачей и обслуживанием банковского займа, выданного физическому лицу, утвержденных указанным постановлением: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пункт 2 изложить в следующей редакции: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«2. К комиссиям и иным платежам, связанным с выдачей и обслуживанием займа, выданного (выдаваемого) физическому лицу, относятся следующие комиссии и иные платежи: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1) за рассмотрение заявления и документов на получение займа;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2) за организацию займа;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3) комиссии за изменение условий предоставленного займа: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графика погашения;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валюты займа;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ставки вознаграждения;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методов погашения займа;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4) комиссии за рассмотрение вопросов по: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изменению условий, связанных с заемщиком (</w:t>
      </w:r>
      <w:proofErr w:type="spellStart"/>
      <w:r w:rsidRPr="001720A6">
        <w:rPr>
          <w:color w:val="000000"/>
          <w:sz w:val="28"/>
          <w:szCs w:val="28"/>
        </w:rPr>
        <w:t>созаемщиком</w:t>
      </w:r>
      <w:proofErr w:type="spellEnd"/>
      <w:r w:rsidRPr="001720A6">
        <w:rPr>
          <w:color w:val="000000"/>
          <w:sz w:val="28"/>
          <w:szCs w:val="28"/>
        </w:rPr>
        <w:t>), гарантом (поручителем) по инициативе заемщика (</w:t>
      </w:r>
      <w:proofErr w:type="spellStart"/>
      <w:r w:rsidRPr="001720A6">
        <w:rPr>
          <w:color w:val="000000"/>
          <w:sz w:val="28"/>
          <w:szCs w:val="28"/>
        </w:rPr>
        <w:t>созаемщика</w:t>
      </w:r>
      <w:proofErr w:type="spellEnd"/>
      <w:r w:rsidRPr="001720A6">
        <w:rPr>
          <w:color w:val="000000"/>
          <w:sz w:val="28"/>
          <w:szCs w:val="28"/>
        </w:rPr>
        <w:t>), гаранта (поручителя);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изменению условий обременения предмета залога по займу, а также при замене предмета залога;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замене залогодателя;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выдаче по заявлению клиента правоустанавливающих документов на предмет залога, содержащихся в кредитном досье клиента;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lastRenderedPageBreak/>
        <w:t>выдаче по заявлению клиента справки о согласии на регистрацию (снятие с регистрации) по месту жительства физического лица, на узаконение перепланировок, построек, пристроек, произведенных на территории залогового обеспечения;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оказанию услуг по оформлению права собственности и (или) права залога на имущество, введенное в эксплуатацию при смене залогодателя;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оказанию услуг по изменению целевого назначения недвижимого имущества, разделению земельных участков на доли;</w:t>
      </w:r>
    </w:p>
    <w:p w:rsidR="000E4CF7" w:rsidRPr="0034511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 xml:space="preserve">выдаче по заявлению клиента справки о разрешении на замену регистрационного номера транспортного средства, являющегося залоговым обеспечением, на переоформление свидетельства о регистрации транспортного средства, на </w:t>
      </w:r>
      <w:r w:rsidRPr="00345119">
        <w:rPr>
          <w:color w:val="000000"/>
          <w:sz w:val="28"/>
          <w:szCs w:val="28"/>
        </w:rPr>
        <w:t>восстановление утерянных документов по транспортному средству;</w:t>
      </w:r>
    </w:p>
    <w:p w:rsidR="000E4CF7" w:rsidRPr="0034511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 xml:space="preserve">5) </w:t>
      </w:r>
      <w:r w:rsidRPr="00345119">
        <w:rPr>
          <w:sz w:val="28"/>
          <w:szCs w:val="28"/>
        </w:rPr>
        <w:t xml:space="preserve">платежи клиента в пользу </w:t>
      </w:r>
      <w:r w:rsidRPr="00EB0BE9">
        <w:rPr>
          <w:sz w:val="28"/>
          <w:szCs w:val="28"/>
        </w:rPr>
        <w:t>страховой (перестраховочной) организации, в том числе за счёт суммы банковского займа, осуществляемые в рамках договоров добровольного страхования при предоставлении банковского займа, заключение которых оказывает влияние на условия предоставления (изменения) банковского займа либо вытекает из условий банковского займа, включая договоры страхования предмета залога, находящегося в пользовании залогодателя и обеспечивающего обязательства клиента</w:t>
      </w:r>
      <w:r w:rsidRPr="00EB0BE9">
        <w:rPr>
          <w:color w:val="000000"/>
          <w:sz w:val="28"/>
          <w:szCs w:val="28"/>
        </w:rPr>
        <w:t>;</w:t>
      </w:r>
    </w:p>
    <w:p w:rsidR="000E4CF7" w:rsidRPr="00345119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>6) платежи клиента гаранту (поручителю) за получение гарантии (поручительства), оценщику за оценку передаваемого в залог имущества;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345119">
        <w:rPr>
          <w:color w:val="000000"/>
          <w:sz w:val="28"/>
          <w:szCs w:val="28"/>
        </w:rPr>
        <w:t>7) платежи клиента в пользу организаций (посредников), оказывающих услуги банку второго уровня, филиалу банка-нерезидента</w:t>
      </w:r>
      <w:r w:rsidRPr="001720A6">
        <w:rPr>
          <w:color w:val="000000"/>
          <w:sz w:val="28"/>
          <w:szCs w:val="28"/>
        </w:rPr>
        <w:t xml:space="preserve"> Республики Казахстан, организации, осуществляющей отдельные виды банковских операций (далее - банк) по привлечению клиентов, осуществлению проверки документов, предоставляемых клиентами, на соответствие условиям выдачи займа, передаче документов клиентов банку, приему платежей и переводов от клиентов банка в счет погашения займов; </w:t>
      </w:r>
    </w:p>
    <w:p w:rsidR="000E4CF7" w:rsidRPr="001720A6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7-1) комиссии и платежи клиента в пользу банка и (или) иных организаций в рамках договоров банковского счета и (или) договоров банковского обслуживания, договоров страхования (перестрахования), связанные с получением займа, обслуживанием займа, не связанные с подпунктами 5), 6) и 7) настоящего пункта;</w:t>
      </w:r>
    </w:p>
    <w:p w:rsidR="000E4CF7" w:rsidRPr="00CE63A5" w:rsidRDefault="000E4CF7" w:rsidP="000E4CF7">
      <w:pPr>
        <w:ind w:firstLine="709"/>
        <w:jc w:val="both"/>
        <w:rPr>
          <w:color w:val="000000"/>
          <w:sz w:val="28"/>
          <w:szCs w:val="28"/>
        </w:rPr>
      </w:pPr>
      <w:r w:rsidRPr="001720A6">
        <w:rPr>
          <w:color w:val="000000"/>
          <w:sz w:val="28"/>
          <w:szCs w:val="28"/>
        </w:rPr>
        <w:t>8) за выдачу по заявлению клиента справки о ссудной задолженности по займу.».</w:t>
      </w:r>
    </w:p>
    <w:p w:rsidR="000E4CF7" w:rsidRPr="000E4CF7" w:rsidRDefault="000E4CF7" w:rsidP="00E80417">
      <w:pPr>
        <w:tabs>
          <w:tab w:val="left" w:pos="1134"/>
          <w:tab w:val="left" w:pos="6804"/>
        </w:tabs>
        <w:overflowPunct/>
        <w:autoSpaceDE/>
        <w:autoSpaceDN/>
        <w:adjustRightInd/>
        <w:ind w:left="720"/>
        <w:contextualSpacing/>
        <w:rPr>
          <w:rFonts w:eastAsia="Calibri"/>
          <w:b/>
          <w:sz w:val="28"/>
          <w:szCs w:val="28"/>
          <w:lang w:eastAsia="en-US"/>
        </w:rPr>
      </w:pPr>
    </w:p>
    <w:sectPr w:rsidR="000E4CF7" w:rsidRPr="000E4CF7" w:rsidSect="002067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5A4" w:rsidRDefault="005D55A4">
      <w:r>
        <w:separator/>
      </w:r>
    </w:p>
  </w:endnote>
  <w:endnote w:type="continuationSeparator" w:id="0">
    <w:p w:rsidR="005D55A4" w:rsidRDefault="005D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AC" w:rsidRDefault="002067A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AC" w:rsidRDefault="002067A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AC" w:rsidRDefault="002067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5A4" w:rsidRDefault="005D55A4">
      <w:r>
        <w:separator/>
      </w:r>
    </w:p>
  </w:footnote>
  <w:footnote w:type="continuationSeparator" w:id="0">
    <w:p w:rsidR="005D55A4" w:rsidRDefault="005D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Default="002067AC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27.45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ЕР 656722201"/>
          <w10:wrap anchorx="margin" anchory="margin"/>
        </v:shape>
      </w:pict>
    </w:r>
    <w:r w:rsidR="00414240">
      <w:rPr>
        <w:rStyle w:val="ae"/>
      </w:rPr>
      <w:pgNum/>
    </w:r>
  </w:p>
  <w:p w:rsidR="0052444D" w:rsidRDefault="005244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Pr="00C65CD7" w:rsidRDefault="00414240">
    <w:pPr>
      <w:pStyle w:val="a9"/>
      <w:framePr w:wrap="around" w:vAnchor="text" w:hAnchor="margin" w:xAlign="center" w:y="1"/>
      <w:rPr>
        <w:rStyle w:val="ae"/>
        <w:sz w:val="28"/>
      </w:rPr>
    </w:pPr>
    <w:r w:rsidRPr="00C65CD7">
      <w:rPr>
        <w:rStyle w:val="ae"/>
        <w:sz w:val="28"/>
      </w:rPr>
      <w:fldChar w:fldCharType="begin"/>
    </w:r>
    <w:r w:rsidRPr="00C65CD7">
      <w:rPr>
        <w:rStyle w:val="ae"/>
        <w:sz w:val="28"/>
      </w:rPr>
      <w:instrText xml:space="preserve">PAGE  </w:instrText>
    </w:r>
    <w:r w:rsidRPr="00C65CD7">
      <w:rPr>
        <w:rStyle w:val="ae"/>
        <w:sz w:val="28"/>
      </w:rPr>
      <w:fldChar w:fldCharType="separate"/>
    </w:r>
    <w:r w:rsidRPr="00C65CD7">
      <w:rPr>
        <w:rStyle w:val="ae"/>
        <w:noProof/>
        <w:sz w:val="28"/>
      </w:rPr>
      <w:t>2</w:t>
    </w:r>
    <w:r w:rsidRPr="00C65CD7">
      <w:rPr>
        <w:rStyle w:val="ae"/>
        <w:sz w:val="28"/>
      </w:rPr>
      <w:fldChar w:fldCharType="end"/>
    </w:r>
  </w:p>
  <w:p w:rsidR="0052444D" w:rsidRDefault="005244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4A6" w:rsidRDefault="00F164A6" w:rsidP="00F164A6">
    <w:pPr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         </w:t>
    </w:r>
    <w:r w:rsidRPr="006644A8">
      <w:rPr>
        <w:i/>
        <w:sz w:val="24"/>
        <w:szCs w:val="24"/>
      </w:rPr>
      <w:t xml:space="preserve">Зарегистрировано в Министерстве юстиции РК </w:t>
    </w:r>
    <w:r w:rsidR="002067AC">
      <w:rPr>
        <w:i/>
        <w:sz w:val="24"/>
        <w:szCs w:val="24"/>
      </w:rPr>
      <w:t>01</w:t>
    </w:r>
    <w:r w:rsidRPr="006644A8">
      <w:rPr>
        <w:i/>
        <w:sz w:val="24"/>
        <w:szCs w:val="24"/>
      </w:rPr>
      <w:t xml:space="preserve"> </w:t>
    </w:r>
    <w:r w:rsidR="002067AC">
      <w:rPr>
        <w:i/>
        <w:sz w:val="24"/>
        <w:szCs w:val="24"/>
      </w:rPr>
      <w:t>октября</w:t>
    </w:r>
    <w:r w:rsidRPr="006644A8">
      <w:rPr>
        <w:i/>
        <w:sz w:val="24"/>
        <w:szCs w:val="24"/>
      </w:rPr>
      <w:t xml:space="preserve"> 202</w:t>
    </w:r>
    <w:r w:rsidRPr="000F7910">
      <w:rPr>
        <w:i/>
        <w:sz w:val="24"/>
        <w:szCs w:val="24"/>
      </w:rPr>
      <w:t>5</w:t>
    </w:r>
    <w:r w:rsidRPr="006644A8">
      <w:rPr>
        <w:i/>
        <w:sz w:val="24"/>
        <w:szCs w:val="24"/>
      </w:rPr>
      <w:t xml:space="preserve"> года под № 3</w:t>
    </w:r>
    <w:r w:rsidR="002067AC">
      <w:rPr>
        <w:i/>
        <w:sz w:val="24"/>
        <w:szCs w:val="24"/>
      </w:rPr>
      <w:t>7026</w:t>
    </w:r>
    <w:bookmarkStart w:id="2" w:name="_GoBack"/>
    <w:bookmarkEnd w:id="2"/>
  </w:p>
  <w:p w:rsidR="00F164A6" w:rsidRPr="00F164A6" w:rsidRDefault="00F164A6" w:rsidP="00F164A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3D1E"/>
    <w:multiLevelType w:val="multilevel"/>
    <w:tmpl w:val="DED2BC5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2673D45"/>
    <w:multiLevelType w:val="hybridMultilevel"/>
    <w:tmpl w:val="745EAF14"/>
    <w:lvl w:ilvl="0" w:tplc="1D6C1DE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DA32424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23248F3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F747A4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E72FAD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792849E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3B0A7C8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91D05CA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17E051A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9043A14"/>
    <w:multiLevelType w:val="hybridMultilevel"/>
    <w:tmpl w:val="A4BE78E2"/>
    <w:lvl w:ilvl="0" w:tplc="E648F66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7A431A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EB3E6756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D1F2CEC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ED6C9F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CA68AA4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BFA3C5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4E4B1D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7CEDE0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" w15:restartNumberingAfterBreak="0">
    <w:nsid w:val="4F052888"/>
    <w:multiLevelType w:val="hybridMultilevel"/>
    <w:tmpl w:val="3F0C0BE6"/>
    <w:lvl w:ilvl="0" w:tplc="E27AE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82E902A">
      <w:start w:val="1"/>
      <w:numFmt w:val="lowerLetter"/>
      <w:lvlText w:val="%2."/>
      <w:lvlJc w:val="left"/>
      <w:pPr>
        <w:ind w:left="1785" w:hanging="360"/>
      </w:pPr>
    </w:lvl>
    <w:lvl w:ilvl="2" w:tplc="307692C6">
      <w:start w:val="1"/>
      <w:numFmt w:val="lowerRoman"/>
      <w:lvlText w:val="%3."/>
      <w:lvlJc w:val="right"/>
      <w:pPr>
        <w:ind w:left="2505" w:hanging="180"/>
      </w:pPr>
    </w:lvl>
    <w:lvl w:ilvl="3" w:tplc="59D84338">
      <w:start w:val="1"/>
      <w:numFmt w:val="decimal"/>
      <w:lvlText w:val="%4."/>
      <w:lvlJc w:val="left"/>
      <w:pPr>
        <w:ind w:left="3225" w:hanging="360"/>
      </w:pPr>
    </w:lvl>
    <w:lvl w:ilvl="4" w:tplc="1842240C">
      <w:start w:val="1"/>
      <w:numFmt w:val="lowerLetter"/>
      <w:lvlText w:val="%5."/>
      <w:lvlJc w:val="left"/>
      <w:pPr>
        <w:ind w:left="3945" w:hanging="360"/>
      </w:pPr>
    </w:lvl>
    <w:lvl w:ilvl="5" w:tplc="2B7EF9C0">
      <w:start w:val="1"/>
      <w:numFmt w:val="lowerRoman"/>
      <w:lvlText w:val="%6."/>
      <w:lvlJc w:val="right"/>
      <w:pPr>
        <w:ind w:left="4665" w:hanging="180"/>
      </w:pPr>
    </w:lvl>
    <w:lvl w:ilvl="6" w:tplc="F57C5130">
      <w:start w:val="1"/>
      <w:numFmt w:val="decimal"/>
      <w:lvlText w:val="%7."/>
      <w:lvlJc w:val="left"/>
      <w:pPr>
        <w:ind w:left="5385" w:hanging="360"/>
      </w:pPr>
    </w:lvl>
    <w:lvl w:ilvl="7" w:tplc="2C983EFA">
      <w:start w:val="1"/>
      <w:numFmt w:val="lowerLetter"/>
      <w:lvlText w:val="%8."/>
      <w:lvlJc w:val="left"/>
      <w:pPr>
        <w:ind w:left="6105" w:hanging="360"/>
      </w:pPr>
    </w:lvl>
    <w:lvl w:ilvl="8" w:tplc="8782118A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ECE4A6E"/>
    <w:multiLevelType w:val="multilevel"/>
    <w:tmpl w:val="33161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4D"/>
    <w:rsid w:val="00084BD5"/>
    <w:rsid w:val="000E4CF7"/>
    <w:rsid w:val="000E6448"/>
    <w:rsid w:val="00106996"/>
    <w:rsid w:val="00114E31"/>
    <w:rsid w:val="00157E5D"/>
    <w:rsid w:val="001D7098"/>
    <w:rsid w:val="001E67B6"/>
    <w:rsid w:val="001F7F25"/>
    <w:rsid w:val="002067AC"/>
    <w:rsid w:val="00234516"/>
    <w:rsid w:val="0027118D"/>
    <w:rsid w:val="002B5CAB"/>
    <w:rsid w:val="002C608E"/>
    <w:rsid w:val="002D3DB8"/>
    <w:rsid w:val="00344E4C"/>
    <w:rsid w:val="003A415B"/>
    <w:rsid w:val="00401ACA"/>
    <w:rsid w:val="00414240"/>
    <w:rsid w:val="00444CB7"/>
    <w:rsid w:val="00456028"/>
    <w:rsid w:val="004932BC"/>
    <w:rsid w:val="00494EF3"/>
    <w:rsid w:val="004B6536"/>
    <w:rsid w:val="00516653"/>
    <w:rsid w:val="0052444D"/>
    <w:rsid w:val="005B4A70"/>
    <w:rsid w:val="005D55A4"/>
    <w:rsid w:val="006463CA"/>
    <w:rsid w:val="006617EC"/>
    <w:rsid w:val="00670E58"/>
    <w:rsid w:val="00690733"/>
    <w:rsid w:val="006E1FF7"/>
    <w:rsid w:val="006F7288"/>
    <w:rsid w:val="007B10D0"/>
    <w:rsid w:val="007C4504"/>
    <w:rsid w:val="007D4C54"/>
    <w:rsid w:val="0084486B"/>
    <w:rsid w:val="00861B85"/>
    <w:rsid w:val="008A54BF"/>
    <w:rsid w:val="008C4AE1"/>
    <w:rsid w:val="00941BC8"/>
    <w:rsid w:val="00963A68"/>
    <w:rsid w:val="00975C44"/>
    <w:rsid w:val="009B0DAE"/>
    <w:rsid w:val="00A8154E"/>
    <w:rsid w:val="00AA1705"/>
    <w:rsid w:val="00AA3408"/>
    <w:rsid w:val="00AB142C"/>
    <w:rsid w:val="00AB438D"/>
    <w:rsid w:val="00AE35E1"/>
    <w:rsid w:val="00B122D0"/>
    <w:rsid w:val="00BB3CB8"/>
    <w:rsid w:val="00BD2D09"/>
    <w:rsid w:val="00C24952"/>
    <w:rsid w:val="00C34F26"/>
    <w:rsid w:val="00C45388"/>
    <w:rsid w:val="00C52BF8"/>
    <w:rsid w:val="00C65CD7"/>
    <w:rsid w:val="00C71769"/>
    <w:rsid w:val="00C91D05"/>
    <w:rsid w:val="00CF3322"/>
    <w:rsid w:val="00CF5E1F"/>
    <w:rsid w:val="00D5795C"/>
    <w:rsid w:val="00D878EB"/>
    <w:rsid w:val="00D92338"/>
    <w:rsid w:val="00DA1EDC"/>
    <w:rsid w:val="00DA2DE7"/>
    <w:rsid w:val="00E22ABD"/>
    <w:rsid w:val="00E305FD"/>
    <w:rsid w:val="00E525FE"/>
    <w:rsid w:val="00E80417"/>
    <w:rsid w:val="00E90D65"/>
    <w:rsid w:val="00EE26BE"/>
    <w:rsid w:val="00EF6B1F"/>
    <w:rsid w:val="00F03FA7"/>
    <w:rsid w:val="00F113A1"/>
    <w:rsid w:val="00F164A6"/>
    <w:rsid w:val="00F5240B"/>
    <w:rsid w:val="00F668E5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537254"/>
  <w15:docId w15:val="{7B4F8B1D-FFC7-4326-A1C2-1ECD3A6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nline.zakon.kz/Document/?doc_id=3130009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.zakon.kz/Document/?doc_id=100393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104BAB54-72C5-42C9-9F29-DE702EF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Лейла Рахматулина</cp:lastModifiedBy>
  <cp:revision>13</cp:revision>
  <cp:lastPrinted>2024-06-17T07:31:00Z</cp:lastPrinted>
  <dcterms:created xsi:type="dcterms:W3CDTF">2025-07-22T12:24:00Z</dcterms:created>
  <dcterms:modified xsi:type="dcterms:W3CDTF">2025-10-08T11:06:00Z</dcterms:modified>
</cp:coreProperties>
</file>