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DE" w:rsidRDefault="005753DE" w:rsidP="005753DE">
      <w:pPr>
        <w:jc w:val="center"/>
        <w:rPr>
          <w:b/>
        </w:rPr>
      </w:pPr>
      <w:r>
        <w:rPr>
          <w:b/>
        </w:rPr>
        <w:t>ИНФОРМАЦИОННОЕ СООБЩЕНИЕ</w:t>
      </w:r>
    </w:p>
    <w:p w:rsidR="005753DE" w:rsidRDefault="005753DE" w:rsidP="005753DE">
      <w:pPr>
        <w:jc w:val="both"/>
        <w:rPr>
          <w:b/>
        </w:rPr>
      </w:pPr>
    </w:p>
    <w:p w:rsidR="005753DE" w:rsidRDefault="005753DE" w:rsidP="005753DE">
      <w:pPr>
        <w:jc w:val="both"/>
        <w:rPr>
          <w:b/>
        </w:rPr>
      </w:pPr>
      <w:r>
        <w:rPr>
          <w:b/>
          <w:lang w:val="kk-KZ"/>
        </w:rPr>
        <w:t xml:space="preserve">         К</w:t>
      </w:r>
      <w:r>
        <w:rPr>
          <w:b/>
        </w:rPr>
        <w:t xml:space="preserve">ГУ «Аппарат </w:t>
      </w:r>
      <w:proofErr w:type="spellStart"/>
      <w:r>
        <w:rPr>
          <w:b/>
        </w:rPr>
        <w:t>акима</w:t>
      </w:r>
      <w:proofErr w:type="spellEnd"/>
      <w:r>
        <w:rPr>
          <w:b/>
        </w:rPr>
        <w:t xml:space="preserve"> </w:t>
      </w:r>
      <w:proofErr w:type="spellStart"/>
      <w:r>
        <w:rPr>
          <w:b/>
        </w:rPr>
        <w:t>Тайыншинского</w:t>
      </w:r>
      <w:proofErr w:type="spellEnd"/>
      <w:r>
        <w:rPr>
          <w:b/>
        </w:rPr>
        <w:t xml:space="preserve"> района Северо-Казахстанской области»  в соответствии со статьей 43-1 Земельного кодекса Республики Казахстан и Правилами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проводит конкурс по предоставлению права временного возмездного землепользования (аренды) на земельные участки сельскохозяйственного назначения, находящихся в государственной собственности и не предоставленные в землепользование сроком на 10 лет.</w:t>
      </w:r>
    </w:p>
    <w:p w:rsidR="005753DE" w:rsidRDefault="005753DE" w:rsidP="005753DE">
      <w:pPr>
        <w:pStyle w:val="a4"/>
        <w:jc w:val="both"/>
      </w:pPr>
      <w:r>
        <w:rPr>
          <w:b/>
          <w:lang w:val="kk-KZ"/>
        </w:rPr>
        <w:t xml:space="preserve">                 К</w:t>
      </w:r>
      <w:r>
        <w:rPr>
          <w:b/>
        </w:rPr>
        <w:t xml:space="preserve">ГУ «Аппарат </w:t>
      </w:r>
      <w:proofErr w:type="spellStart"/>
      <w:r>
        <w:rPr>
          <w:b/>
        </w:rPr>
        <w:t>акима</w:t>
      </w:r>
      <w:proofErr w:type="spellEnd"/>
      <w:r>
        <w:rPr>
          <w:b/>
        </w:rPr>
        <w:t xml:space="preserve"> </w:t>
      </w:r>
      <w:proofErr w:type="spellStart"/>
      <w:r>
        <w:rPr>
          <w:b/>
        </w:rPr>
        <w:t>Тайыншинского</w:t>
      </w:r>
      <w:proofErr w:type="spellEnd"/>
      <w:r>
        <w:rPr>
          <w:b/>
        </w:rPr>
        <w:t xml:space="preserve"> района Северо-Казахстанской области» </w:t>
      </w:r>
      <w:r>
        <w:t>начинается прием заявок на участие в конкурсе по истечению тридцати календарных дней со дня первой публикации извещения (объявления). Заявки на участие в настоящем конкурсе принимаются в течение пятнадцати рабочих дней со дня начала приема заявок. Прием заявок осуществляется в период с 01 декабря 2025  года по 22 декабря 2025 года включительно. Днем окончания конкурса считается день подведения итогов. Итоги конкурса проводятся на следующий день после окончания срока подачи заявок на участие в конкурсе.</w:t>
      </w:r>
    </w:p>
    <w:p w:rsidR="005753DE" w:rsidRDefault="005753DE" w:rsidP="005753DE">
      <w:pPr>
        <w:pStyle w:val="a4"/>
        <w:jc w:val="both"/>
      </w:pPr>
      <w:r>
        <w:rPr>
          <w:b/>
          <w:lang w:val="kk-KZ"/>
        </w:rPr>
        <w:t xml:space="preserve">         </w:t>
      </w:r>
      <w:r>
        <w:tab/>
      </w:r>
      <w:r>
        <w:rPr>
          <w:lang w:val="kk-KZ"/>
        </w:rPr>
        <w:t xml:space="preserve"> </w:t>
      </w:r>
      <w:r>
        <w:t xml:space="preserve">Дата, время и место проведения конкурса: итоги конкурса будут подведены  23 декабря  2025 года, в 10 часов 00 минут, в здании </w:t>
      </w:r>
      <w:proofErr w:type="spellStart"/>
      <w:r>
        <w:t>акимата</w:t>
      </w:r>
      <w:proofErr w:type="spellEnd"/>
      <w:r>
        <w:t xml:space="preserve"> </w:t>
      </w:r>
      <w:proofErr w:type="spellStart"/>
      <w:r>
        <w:t>Тайыншинского</w:t>
      </w:r>
      <w:proofErr w:type="spellEnd"/>
      <w:r>
        <w:t xml:space="preserve"> района, по адресу СКО, </w:t>
      </w:r>
      <w:proofErr w:type="spellStart"/>
      <w:r>
        <w:t>Тайыншинский</w:t>
      </w:r>
      <w:proofErr w:type="spellEnd"/>
      <w:r>
        <w:t xml:space="preserve"> район, город </w:t>
      </w:r>
      <w:proofErr w:type="spellStart"/>
      <w:r>
        <w:t>Тайынша</w:t>
      </w:r>
      <w:proofErr w:type="spellEnd"/>
      <w:r>
        <w:t xml:space="preserve"> ул. Конституции Казахстана, 197, 3-этаж, зал заседаний.</w:t>
      </w:r>
    </w:p>
    <w:p w:rsidR="005753DE" w:rsidRDefault="005753DE" w:rsidP="005753DE">
      <w:pPr>
        <w:ind w:firstLine="708"/>
        <w:jc w:val="both"/>
        <w:rPr>
          <w:lang w:val="kk-KZ"/>
        </w:rPr>
      </w:pPr>
      <w:r>
        <w:rPr>
          <w:b/>
        </w:rPr>
        <w:t>Условия конкурса</w:t>
      </w:r>
      <w:r>
        <w:rPr>
          <w:b/>
          <w:lang w:val="kk-KZ"/>
        </w:rPr>
        <w:t>:</w:t>
      </w:r>
      <w:r>
        <w:rPr>
          <w:lang w:val="kk-KZ"/>
        </w:rPr>
        <w:t xml:space="preserve">         </w:t>
      </w:r>
    </w:p>
    <w:p w:rsidR="005753DE" w:rsidRDefault="005753DE" w:rsidP="005753DE">
      <w:pPr>
        <w:pStyle w:val="a5"/>
        <w:jc w:val="both"/>
      </w:pPr>
      <w:r>
        <w:t>    </w:t>
      </w:r>
      <w:r>
        <w:tab/>
        <w:t>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подается на бумажном носителе или посредством веб-портала «электронного правительства» в соответствии с законодательством Республики Казахстан с обязательным присвоением регистрационного номера и выдачей уведомления заявителю.</w:t>
      </w:r>
    </w:p>
    <w:p w:rsidR="005753DE" w:rsidRDefault="005753DE" w:rsidP="005753DE">
      <w:pPr>
        <w:pStyle w:val="a5"/>
        <w:jc w:val="both"/>
      </w:pPr>
      <w:r>
        <w:t> </w:t>
      </w:r>
      <w:r>
        <w:tab/>
        <w:t>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должна содержать:</w:t>
      </w:r>
    </w:p>
    <w:p w:rsidR="005753DE" w:rsidRDefault="005753DE" w:rsidP="005753DE">
      <w:pPr>
        <w:pStyle w:val="a5"/>
        <w:jc w:val="both"/>
      </w:pPr>
      <w:r>
        <w:tab/>
        <w:t>1) для негосударственных юридических лиц Республики Казахстан – наименование юридического лица, его место нахождения, сведения о государственной регистрации (перерегистрации) в качестве юридического лица,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аффилированных лицах заявителя;</w:t>
      </w:r>
    </w:p>
    <w:p w:rsidR="005753DE" w:rsidRDefault="005753DE" w:rsidP="005753DE">
      <w:pPr>
        <w:pStyle w:val="a5"/>
        <w:jc w:val="both"/>
      </w:pPr>
      <w:r>
        <w:t> </w:t>
      </w:r>
      <w:r>
        <w:tab/>
        <w:t>2) для физических лиц – фамилию, имя и отчество (если оно указано в документе, удостоверяющем личность) заявителя, место жительства, гражданство, индивидуальный идентификационный номер, сведения о документе, удостоверяющем личность заявителя;</w:t>
      </w:r>
    </w:p>
    <w:p w:rsidR="005753DE" w:rsidRDefault="005753DE" w:rsidP="005753DE">
      <w:pPr>
        <w:pStyle w:val="a5"/>
        <w:jc w:val="both"/>
      </w:pPr>
      <w:r>
        <w:tab/>
        <w:t>3) местоположение земельного участка, на который претендует заявитель;</w:t>
      </w:r>
    </w:p>
    <w:p w:rsidR="005753DE" w:rsidRDefault="005753DE" w:rsidP="005753DE">
      <w:pPr>
        <w:pStyle w:val="a5"/>
        <w:jc w:val="both"/>
      </w:pPr>
      <w:r>
        <w:tab/>
        <w:t>4) конкурсное предложение;</w:t>
      </w:r>
    </w:p>
    <w:p w:rsidR="005753DE" w:rsidRDefault="005753DE" w:rsidP="005753DE">
      <w:pPr>
        <w:pStyle w:val="a5"/>
        <w:jc w:val="both"/>
      </w:pPr>
      <w:r>
        <w:tab/>
      </w:r>
      <w:proofErr w:type="gramStart"/>
      <w:r>
        <w:t xml:space="preserve">5) обязательства по заключению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либо сельскохозяйственного производства в течение трех рабочих дней со дня получения уведомления о необходимости подписания указанного договора в случае признания заявителя </w:t>
      </w:r>
      <w:r>
        <w:lastRenderedPageBreak/>
        <w:t>победителем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roofErr w:type="gramEnd"/>
    </w:p>
    <w:p w:rsidR="005753DE" w:rsidRDefault="005753DE" w:rsidP="005753DE">
      <w:pPr>
        <w:pStyle w:val="a5"/>
        <w:jc w:val="both"/>
      </w:pPr>
      <w:r>
        <w:tab/>
        <w:t xml:space="preserve">Заявку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могут представлять уполномоченные представители физического лица или негосударственного юридического лица Республики Казахстан на основании доверенности, выданной и оформленной в соответствии с законодательством Республики Казахстан. </w:t>
      </w:r>
    </w:p>
    <w:p w:rsidR="005753DE" w:rsidRDefault="005753DE" w:rsidP="005753DE">
      <w:pPr>
        <w:pStyle w:val="a5"/>
        <w:jc w:val="both"/>
        <w:rPr>
          <w:b/>
        </w:rPr>
      </w:pPr>
      <w:r>
        <w:rPr>
          <w:b/>
        </w:rPr>
        <w:tab/>
        <w:t>Конкурсное предложение должно содержать:</w:t>
      </w:r>
    </w:p>
    <w:p w:rsidR="005753DE" w:rsidRDefault="005753DE" w:rsidP="005753DE">
      <w:pPr>
        <w:pStyle w:val="a5"/>
        <w:jc w:val="both"/>
      </w:pPr>
      <w:r>
        <w:t> </w:t>
      </w:r>
      <w:r>
        <w:tab/>
        <w:t xml:space="preserve">1) бизнес-план (прогнозный объем инвестиций, площади возделывания сельскохозяйственных культур, поголовье сельскохозяйственных животных, применяемые </w:t>
      </w:r>
      <w:proofErr w:type="spellStart"/>
      <w:r>
        <w:t>агротехнологии</w:t>
      </w:r>
      <w:proofErr w:type="spellEnd"/>
      <w:r>
        <w:t>,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p w:rsidR="005753DE" w:rsidRDefault="005753DE" w:rsidP="005753DE">
      <w:pPr>
        <w:pStyle w:val="a5"/>
        <w:jc w:val="both"/>
      </w:pPr>
      <w:r>
        <w:t> </w:t>
      </w:r>
      <w:r>
        <w:tab/>
        <w:t>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p w:rsidR="005753DE" w:rsidRDefault="005753DE" w:rsidP="005753DE">
      <w:pPr>
        <w:pStyle w:val="a5"/>
        <w:jc w:val="both"/>
      </w:pPr>
      <w:r>
        <w:tab/>
        <w:t xml:space="preserve">3) </w:t>
      </w:r>
      <w:r>
        <w:rPr>
          <w:rStyle w:val="s0"/>
          <w:color w:val="000000"/>
          <w:shd w:val="clear" w:color="auto" w:fill="FFFFFF"/>
        </w:rPr>
        <w:t>обязательства по исполнению требований земельного законодательства Республики Казахстан, включая </w:t>
      </w:r>
      <w:hyperlink r:id="rId5" w:tooltip="Приказ Министра сельского хозяйства Республики Казахстан от 17 января 2020 года № 7 «Об утверждении Правил рационального использования земель сельскохозяйственного назначения и внесении изменений и дополнения в некоторые приказы Министра сельского хозяйст" w:history="1">
        <w:r>
          <w:rPr>
            <w:rStyle w:val="a3"/>
            <w:color w:val="000080"/>
            <w:shd w:val="clear" w:color="auto" w:fill="FFFFFF"/>
          </w:rPr>
          <w:t>правила</w:t>
        </w:r>
      </w:hyperlink>
      <w:r>
        <w:rPr>
          <w:rStyle w:val="s0"/>
          <w:color w:val="000000"/>
          <w:shd w:val="clear" w:color="auto" w:fill="FFFFFF"/>
        </w:rPr>
        <w:t> рационального использования земель сельскохозяйственного назначения </w:t>
      </w:r>
      <w:r>
        <w:rPr>
          <w:color w:val="000000"/>
          <w:shd w:val="clear" w:color="auto" w:fill="FFFFFF"/>
        </w:rPr>
        <w:t>и правила рационального использования пастбищ</w:t>
      </w:r>
      <w:r>
        <w:rPr>
          <w:rStyle w:val="s0"/>
          <w:color w:val="000000"/>
          <w:shd w:val="clear" w:color="auto" w:fill="FFFFFF"/>
        </w:rPr>
        <w:t xml:space="preserve">,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 обоснованных </w:t>
      </w:r>
      <w:proofErr w:type="spellStart"/>
      <w:r>
        <w:rPr>
          <w:rStyle w:val="s0"/>
          <w:color w:val="000000"/>
          <w:shd w:val="clear" w:color="auto" w:fill="FFFFFF"/>
        </w:rPr>
        <w:t>агротехнологий</w:t>
      </w:r>
      <w:proofErr w:type="spellEnd"/>
      <w:r>
        <w:rPr>
          <w:rStyle w:val="s0"/>
          <w:color w:val="000000"/>
          <w:shd w:val="clear" w:color="auto" w:fill="FFFFFF"/>
        </w:rPr>
        <w:t>, фитосанитарных и карантинных требований.</w:t>
      </w:r>
    </w:p>
    <w:p w:rsidR="005753DE" w:rsidRDefault="005753DE" w:rsidP="005753DE">
      <w:pPr>
        <w:pStyle w:val="a5"/>
        <w:jc w:val="both"/>
      </w:pPr>
      <w:r>
        <w:tab/>
      </w:r>
      <w:proofErr w:type="gramStart"/>
      <w:r>
        <w:rPr>
          <w:shd w:val="clear" w:color="auto" w:fill="FFFFFF"/>
        </w:rPr>
        <w:t>Конкурсное предложение представляется участником конкурса в закрытом конверте, отпечатанное или написанное несмываемыми чернилами в прошитом виде с пронумерованными страницами, где последняя страница заверяется: подписью участника – для физических лиц (или доверенного лица) и подписью первого руководителя (или доверенного лица) и печатью (при ее наличии) – для юридических лиц, за исключением случаев его подачи посредством веб-портала "электронного правительства".</w:t>
      </w:r>
      <w:proofErr w:type="gramEnd"/>
      <w:r>
        <w:rPr>
          <w:shd w:val="clear" w:color="auto" w:fill="FFFFFF"/>
        </w:rPr>
        <w:t xml:space="preserve"> </w:t>
      </w:r>
      <w:r>
        <w:t>В закрытом конверте конкурсного предложения указывается надпись "Конкурс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"Не вскрывать до 23 декабря 2025 года".</w:t>
      </w:r>
    </w:p>
    <w:p w:rsidR="005753DE" w:rsidRDefault="005753DE" w:rsidP="005753DE">
      <w:pPr>
        <w:pStyle w:val="a5"/>
        <w:ind w:firstLine="709"/>
        <w:jc w:val="both"/>
      </w:pPr>
      <w:r>
        <w:t>Заявка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соответствующая требованиям</w:t>
      </w:r>
      <w:r>
        <w:rPr>
          <w:lang w:val="kk-KZ"/>
        </w:rPr>
        <w:t xml:space="preserve"> пункту 9 статьи 43-1 Земельного кодекса</w:t>
      </w:r>
      <w:r>
        <w:t>, подлежит отклонению.</w:t>
      </w:r>
    </w:p>
    <w:p w:rsidR="005753DE" w:rsidRDefault="005753DE" w:rsidP="005753DE">
      <w:pPr>
        <w:pStyle w:val="a5"/>
        <w:jc w:val="both"/>
      </w:pPr>
    </w:p>
    <w:p w:rsidR="005753DE" w:rsidRDefault="005753DE" w:rsidP="005753DE">
      <w:pPr>
        <w:pStyle w:val="a5"/>
        <w:jc w:val="both"/>
        <w:rPr>
          <w:color w:val="000000"/>
          <w:spacing w:val="2"/>
        </w:rPr>
      </w:pPr>
      <w:r>
        <w:rPr>
          <w:color w:val="000000"/>
          <w:spacing w:val="2"/>
        </w:rPr>
        <w:t>      Земельная комиссия оценивает, сопоставляет конкурсные предложения и определяет выигравшую конкурсную заявку.</w:t>
      </w:r>
    </w:p>
    <w:p w:rsidR="005753DE" w:rsidRDefault="005753DE" w:rsidP="005753DE">
      <w:pPr>
        <w:pStyle w:val="a5"/>
        <w:jc w:val="both"/>
        <w:rPr>
          <w:color w:val="000000"/>
          <w:spacing w:val="2"/>
        </w:rPr>
      </w:pPr>
      <w:r>
        <w:rPr>
          <w:color w:val="000000"/>
          <w:spacing w:val="2"/>
        </w:rPr>
        <w:t>      При рассмотрении конкурсных предложений и заявок на участие в конкурсе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не принимаются во внимание грамматические и арифметические ошибки, не затрагивающие существа представленных конкурсных предложений и заявок, которые можно исправить.</w:t>
      </w:r>
    </w:p>
    <w:p w:rsidR="005753DE" w:rsidRDefault="005753DE" w:rsidP="005753DE">
      <w:pPr>
        <w:pStyle w:val="a5"/>
        <w:jc w:val="both"/>
      </w:pPr>
    </w:p>
    <w:p w:rsidR="005753DE" w:rsidRDefault="005753DE" w:rsidP="005753DE">
      <w:pPr>
        <w:shd w:val="clear" w:color="auto" w:fill="FFFFFF"/>
        <w:textAlignment w:val="baseline"/>
        <w:rPr>
          <w:spacing w:val="2"/>
        </w:rPr>
      </w:pPr>
      <w:r>
        <w:t xml:space="preserve">          </w:t>
      </w:r>
      <w:r>
        <w:rPr>
          <w:spacing w:val="2"/>
        </w:rPr>
        <w:t xml:space="preserve">Земельная комиссия изучает все заявки на предмет их соответствия, полноты, наличия ошибок в расчетах, всех подписей на документах, а также проверяет правильность оформления в целом, оценивает, сопоставляет заявки путем присвоения </w:t>
      </w:r>
      <w:r>
        <w:rPr>
          <w:spacing w:val="2"/>
        </w:rPr>
        <w:lastRenderedPageBreak/>
        <w:t>баллов по бизнес-плану, в том числе, по прогнозному объему инвестиций, указанного в конкурсном предложении.</w:t>
      </w:r>
    </w:p>
    <w:p w:rsidR="005753DE" w:rsidRDefault="005753DE" w:rsidP="005753DE">
      <w:pPr>
        <w:shd w:val="clear" w:color="auto" w:fill="FFFFFF"/>
        <w:ind w:firstLine="142"/>
        <w:textAlignment w:val="baseline"/>
        <w:rPr>
          <w:spacing w:val="2"/>
        </w:rPr>
      </w:pPr>
      <w:r>
        <w:rPr>
          <w:spacing w:val="2"/>
        </w:rPr>
        <w:t>      Баллы присваиваются по следующим критериям обязательств:</w:t>
      </w:r>
    </w:p>
    <w:p w:rsidR="005753DE" w:rsidRDefault="005753DE" w:rsidP="005753DE">
      <w:pPr>
        <w:pStyle w:val="a5"/>
        <w:jc w:val="both"/>
      </w:pPr>
      <w:r>
        <w:t>     </w:t>
      </w:r>
      <w:r>
        <w:rPr>
          <w:rFonts w:ascii="Courier New" w:hAnsi="Courier New" w:cs="Courier New"/>
        </w:rPr>
        <w:t> </w:t>
      </w:r>
      <w:r>
        <w:t>1) прогнозный объем вкладываемых инвестиций на 1 гектар в первые пять лет аренды земельного участка, тысяч тенге:</w:t>
      </w:r>
    </w:p>
    <w:p w:rsidR="005753DE" w:rsidRDefault="005753DE" w:rsidP="005753DE">
      <w:pPr>
        <w:pStyle w:val="a5"/>
        <w:jc w:val="both"/>
      </w:pPr>
      <w:r>
        <w:t>      на неорошаемую пашню:</w:t>
      </w:r>
    </w:p>
    <w:p w:rsidR="005753DE" w:rsidRDefault="005753DE" w:rsidP="005753DE">
      <w:pPr>
        <w:pStyle w:val="a5"/>
        <w:jc w:val="both"/>
      </w:pPr>
      <w:r>
        <w:t>      до 50 – 1 балл;</w:t>
      </w:r>
    </w:p>
    <w:p w:rsidR="005753DE" w:rsidRDefault="005753DE" w:rsidP="005753DE">
      <w:pPr>
        <w:pStyle w:val="a5"/>
        <w:jc w:val="both"/>
      </w:pPr>
      <w:r>
        <w:t>      от 50 до 70 – 2 балла;</w:t>
      </w:r>
    </w:p>
    <w:p w:rsidR="005753DE" w:rsidRDefault="005753DE" w:rsidP="005753DE">
      <w:pPr>
        <w:pStyle w:val="a5"/>
        <w:jc w:val="both"/>
      </w:pPr>
      <w:r>
        <w:t>      от 70 до 90 – 3 балла;</w:t>
      </w:r>
    </w:p>
    <w:p w:rsidR="005753DE" w:rsidRDefault="005753DE" w:rsidP="005753DE">
      <w:pPr>
        <w:pStyle w:val="a5"/>
        <w:jc w:val="both"/>
      </w:pPr>
      <w:r>
        <w:t>      от 90 до 110 – 4 балла;</w:t>
      </w:r>
    </w:p>
    <w:p w:rsidR="005753DE" w:rsidRDefault="005753DE" w:rsidP="005753DE">
      <w:pPr>
        <w:pStyle w:val="a5"/>
        <w:jc w:val="both"/>
      </w:pPr>
      <w:r>
        <w:t>      свыше 110 – 5 баллов;</w:t>
      </w:r>
    </w:p>
    <w:p w:rsidR="005753DE" w:rsidRDefault="005753DE" w:rsidP="005753DE">
      <w:pPr>
        <w:pStyle w:val="a5"/>
        <w:jc w:val="both"/>
      </w:pPr>
      <w:r>
        <w:t>      на пастбищные и сенокосные угодья:</w:t>
      </w:r>
    </w:p>
    <w:p w:rsidR="005753DE" w:rsidRDefault="005753DE" w:rsidP="005753DE">
      <w:pPr>
        <w:pStyle w:val="a5"/>
        <w:jc w:val="both"/>
      </w:pPr>
      <w:r>
        <w:t>      до 5 – 1 балл;</w:t>
      </w:r>
    </w:p>
    <w:p w:rsidR="005753DE" w:rsidRDefault="005753DE" w:rsidP="005753DE">
      <w:pPr>
        <w:pStyle w:val="a5"/>
        <w:jc w:val="both"/>
      </w:pPr>
      <w:r>
        <w:t>      от 5 до 10 – 2 балла;</w:t>
      </w:r>
    </w:p>
    <w:p w:rsidR="005753DE" w:rsidRDefault="005753DE" w:rsidP="005753DE">
      <w:pPr>
        <w:pStyle w:val="a5"/>
        <w:jc w:val="both"/>
      </w:pPr>
      <w:r>
        <w:t>      от 10 до 20 – 3 балла;</w:t>
      </w:r>
    </w:p>
    <w:p w:rsidR="005753DE" w:rsidRDefault="005753DE" w:rsidP="005753DE">
      <w:pPr>
        <w:pStyle w:val="a5"/>
        <w:jc w:val="both"/>
      </w:pPr>
      <w:r>
        <w:t>      от 20 до 30 – 4 балла;</w:t>
      </w:r>
    </w:p>
    <w:p w:rsidR="005753DE" w:rsidRDefault="005753DE" w:rsidP="005753DE">
      <w:pPr>
        <w:pStyle w:val="a5"/>
        <w:jc w:val="both"/>
      </w:pPr>
      <w:r>
        <w:t>      свыше 30 – 5 баллов;</w:t>
      </w:r>
    </w:p>
    <w:p w:rsidR="005753DE" w:rsidRDefault="005753DE" w:rsidP="005753DE">
      <w:pPr>
        <w:pStyle w:val="a5"/>
        <w:jc w:val="both"/>
      </w:pPr>
      <w:r>
        <w:t>      2) на пастбищные угодья – наличие поголовья сельскохозяйственных животных:</w:t>
      </w:r>
    </w:p>
    <w:p w:rsidR="005753DE" w:rsidRDefault="005753DE" w:rsidP="005753DE">
      <w:pPr>
        <w:pStyle w:val="a5"/>
        <w:jc w:val="both"/>
      </w:pPr>
      <w:r>
        <w:t>      менее 50 голов крупного рогатого скота, лошадей, верблюдов – 5 баллов;</w:t>
      </w:r>
    </w:p>
    <w:p w:rsidR="005753DE" w:rsidRDefault="005753DE" w:rsidP="005753DE">
      <w:pPr>
        <w:pStyle w:val="a5"/>
        <w:jc w:val="both"/>
      </w:pPr>
      <w:r>
        <w:t>      50 и более голов крупного рогатого скота, лошадей, верблюдов – 10 баллов;</w:t>
      </w:r>
    </w:p>
    <w:p w:rsidR="005753DE" w:rsidRDefault="005753DE" w:rsidP="005753DE">
      <w:pPr>
        <w:pStyle w:val="a5"/>
        <w:jc w:val="both"/>
      </w:pPr>
      <w:r>
        <w:t>      менее 300 голов мелкого рогатого скота – 5 баллов;</w:t>
      </w:r>
    </w:p>
    <w:p w:rsidR="005753DE" w:rsidRDefault="005753DE" w:rsidP="005753DE">
      <w:pPr>
        <w:pStyle w:val="a5"/>
        <w:jc w:val="both"/>
      </w:pPr>
      <w:r>
        <w:t>      300 и более голов мелкого рогатого скота – 10 баллов;</w:t>
      </w:r>
    </w:p>
    <w:p w:rsidR="005753DE" w:rsidRDefault="005753DE" w:rsidP="005753DE">
      <w:pPr>
        <w:pStyle w:val="a5"/>
        <w:jc w:val="both"/>
      </w:pPr>
      <w:r>
        <w:t>      3) наличие сельскохозяйственной техники, находящейся в собственности:</w:t>
      </w:r>
    </w:p>
    <w:p w:rsidR="005753DE" w:rsidRDefault="005753DE" w:rsidP="005753DE">
      <w:pPr>
        <w:pStyle w:val="a5"/>
        <w:jc w:val="both"/>
      </w:pPr>
      <w:r>
        <w:t>      менее 5 единиц – 5 баллов;</w:t>
      </w:r>
    </w:p>
    <w:p w:rsidR="005753DE" w:rsidRDefault="005753DE" w:rsidP="005753DE">
      <w:pPr>
        <w:pStyle w:val="a5"/>
        <w:jc w:val="both"/>
      </w:pPr>
      <w:r>
        <w:t>      5 и более единиц – 10 баллов;</w:t>
      </w:r>
    </w:p>
    <w:p w:rsidR="005753DE" w:rsidRDefault="005753DE" w:rsidP="005753DE">
      <w:pPr>
        <w:pStyle w:val="a5"/>
        <w:jc w:val="both"/>
      </w:pPr>
      <w:r>
        <w:t>      4) наличие технологического оборудования:</w:t>
      </w:r>
    </w:p>
    <w:p w:rsidR="005753DE" w:rsidRDefault="005753DE" w:rsidP="005753DE">
      <w:pPr>
        <w:pStyle w:val="a5"/>
        <w:jc w:val="both"/>
      </w:pPr>
      <w:r>
        <w:t>      1 единица – 1 балл;</w:t>
      </w:r>
    </w:p>
    <w:p w:rsidR="005753DE" w:rsidRDefault="005753DE" w:rsidP="005753DE">
      <w:pPr>
        <w:pStyle w:val="a5"/>
        <w:jc w:val="both"/>
      </w:pPr>
      <w:r>
        <w:t>      2 и более единиц – 3 балла;</w:t>
      </w:r>
    </w:p>
    <w:p w:rsidR="005753DE" w:rsidRDefault="005753DE" w:rsidP="005753DE">
      <w:pPr>
        <w:pStyle w:val="a5"/>
        <w:jc w:val="both"/>
      </w:pPr>
      <w:r>
        <w:t>      5) наличие квалифицированных специалистов в области сельского хозяйства:</w:t>
      </w:r>
    </w:p>
    <w:p w:rsidR="005753DE" w:rsidRDefault="005753DE" w:rsidP="005753DE">
      <w:pPr>
        <w:pStyle w:val="a5"/>
        <w:jc w:val="both"/>
      </w:pPr>
      <w:r>
        <w:t>      менее 5 квалифицированных специалистов – 5 баллов;</w:t>
      </w:r>
    </w:p>
    <w:p w:rsidR="005753DE" w:rsidRDefault="005753DE" w:rsidP="005753DE">
      <w:pPr>
        <w:pStyle w:val="a5"/>
        <w:jc w:val="both"/>
      </w:pPr>
      <w:r>
        <w:t>      5 и более квалифицированных специалистов – 10 баллов.</w:t>
      </w:r>
    </w:p>
    <w:p w:rsidR="005753DE" w:rsidRDefault="005753DE" w:rsidP="005753DE">
      <w:pPr>
        <w:pStyle w:val="a5"/>
        <w:jc w:val="both"/>
      </w:pPr>
      <w:r>
        <w:tab/>
        <w:t>Лицам, проживающим в данном районе, городе, селе, поселке не менее 5 лет, предоставляется преимущество в виде присвоения дополнительных 10 баллов к их конкурсным предложениям.</w:t>
      </w:r>
      <w:r>
        <w:rPr>
          <w:lang w:val="kk-KZ"/>
        </w:rPr>
        <w:t xml:space="preserve"> </w:t>
      </w:r>
    </w:p>
    <w:p w:rsidR="005753DE" w:rsidRDefault="005753DE" w:rsidP="005753DE">
      <w:pPr>
        <w:pStyle w:val="a5"/>
        <w:ind w:firstLine="709"/>
        <w:jc w:val="both"/>
        <w:rPr>
          <w:lang w:val="kk-KZ"/>
        </w:rPr>
      </w:pPr>
      <w:r>
        <w:t>Сельскохозяйственным кооперативам предоставляется преимущество в виде присвоения дополнительных 5 баллов к их конкурсным предложениям.</w:t>
      </w:r>
    </w:p>
    <w:p w:rsidR="005753DE" w:rsidRDefault="005753DE" w:rsidP="005753DE">
      <w:pPr>
        <w:pStyle w:val="a5"/>
        <w:ind w:firstLine="709"/>
        <w:jc w:val="both"/>
      </w:pPr>
      <w:r>
        <w:rPr>
          <w:lang w:val="kk-KZ"/>
        </w:rPr>
        <w:t>При предоствлении дополнительных балл</w:t>
      </w:r>
      <w:r>
        <w:t>о</w:t>
      </w:r>
      <w:r>
        <w:rPr>
          <w:lang w:val="kk-KZ"/>
        </w:rPr>
        <w:t>в члены земельной комиссии будут руководствоваться предоставленными участниками подтверждающими документами</w:t>
      </w:r>
      <w:r>
        <w:t>.</w:t>
      </w:r>
    </w:p>
    <w:p w:rsidR="005753DE" w:rsidRDefault="005753DE" w:rsidP="005753DE">
      <w:pPr>
        <w:pStyle w:val="a5"/>
        <w:ind w:firstLine="709"/>
        <w:jc w:val="both"/>
      </w:pPr>
    </w:p>
    <w:p w:rsidR="005753DE" w:rsidRDefault="005753DE" w:rsidP="005753DE">
      <w:pPr>
        <w:pStyle w:val="a5"/>
        <w:ind w:firstLine="709"/>
        <w:jc w:val="both"/>
      </w:pPr>
      <w:r>
        <w:t>Участник, набравший наиболее высокий балл, признается победителем.</w:t>
      </w:r>
    </w:p>
    <w:p w:rsidR="005753DE" w:rsidRDefault="005753DE" w:rsidP="005753DE">
      <w:pPr>
        <w:pStyle w:val="a5"/>
        <w:jc w:val="both"/>
      </w:pPr>
      <w:r>
        <w:t>     </w:t>
      </w:r>
      <w:r>
        <w:tab/>
        <w:t>При равенстве баллов двух или более конкурсных предложений победитель конкурса определяется путем открытого голосования членами комиссии.</w:t>
      </w:r>
    </w:p>
    <w:p w:rsidR="005753DE" w:rsidRDefault="005753DE" w:rsidP="005753DE">
      <w:pPr>
        <w:pStyle w:val="a5"/>
        <w:jc w:val="both"/>
      </w:pPr>
      <w:r>
        <w:t>     </w:t>
      </w:r>
      <w:r>
        <w:tab/>
        <w:t>В данном случае признается победителем участник, набравший наиболее высокий балл и большинство голосов членов комиссии.</w:t>
      </w:r>
    </w:p>
    <w:p w:rsidR="005753DE" w:rsidRDefault="005753DE" w:rsidP="005753DE">
      <w:pPr>
        <w:pStyle w:val="a5"/>
        <w:jc w:val="both"/>
      </w:pPr>
    </w:p>
    <w:p w:rsidR="005753DE" w:rsidRDefault="005753DE" w:rsidP="005753DE">
      <w:pPr>
        <w:pStyle w:val="a5"/>
        <w:jc w:val="both"/>
      </w:pPr>
      <w:r>
        <w:t>.</w:t>
      </w:r>
    </w:p>
    <w:p w:rsidR="005753DE" w:rsidRDefault="005753DE" w:rsidP="005753DE">
      <w:pPr>
        <w:pStyle w:val="a5"/>
        <w:jc w:val="both"/>
        <w:rPr>
          <w:b/>
          <w:lang w:val="kk-KZ"/>
        </w:rPr>
      </w:pPr>
      <w:r>
        <w:rPr>
          <w:b/>
          <w:lang w:val="kk-KZ"/>
        </w:rPr>
        <w:tab/>
        <w:t xml:space="preserve">Сведения и дополнительную информацию о порядке проведения конкурса можно получить на сайте акима Тайыншинского района </w:t>
      </w:r>
      <w:r>
        <w:fldChar w:fldCharType="begin"/>
      </w:r>
      <w:r>
        <w:instrText xml:space="preserve"> HYPERLINK "http://www.tsh.sko.kz" </w:instrText>
      </w:r>
      <w:r>
        <w:fldChar w:fldCharType="separate"/>
      </w:r>
      <w:r>
        <w:rPr>
          <w:rStyle w:val="a3"/>
          <w:b/>
          <w:lang w:val="en-US"/>
        </w:rPr>
        <w:t>www</w:t>
      </w:r>
      <w:r>
        <w:rPr>
          <w:rStyle w:val="a3"/>
          <w:b/>
        </w:rPr>
        <w:t>.</w:t>
      </w:r>
      <w:r>
        <w:rPr>
          <w:rStyle w:val="a3"/>
          <w:b/>
          <w:lang w:val="en-US"/>
        </w:rPr>
        <w:t>tsh</w:t>
      </w:r>
      <w:r>
        <w:rPr>
          <w:rStyle w:val="a3"/>
          <w:b/>
        </w:rPr>
        <w:t>.</w:t>
      </w:r>
      <w:r>
        <w:rPr>
          <w:rStyle w:val="a3"/>
          <w:b/>
          <w:lang w:val="en-US"/>
        </w:rPr>
        <w:t>sko</w:t>
      </w:r>
      <w:r>
        <w:rPr>
          <w:rStyle w:val="a3"/>
          <w:b/>
        </w:rPr>
        <w:t>.</w:t>
      </w:r>
      <w:r>
        <w:rPr>
          <w:rStyle w:val="a3"/>
          <w:b/>
          <w:lang w:val="en-US"/>
        </w:rPr>
        <w:t>gov</w:t>
      </w:r>
      <w:r>
        <w:rPr>
          <w:rStyle w:val="a3"/>
          <w:b/>
        </w:rPr>
        <w:t>.</w:t>
      </w:r>
      <w:r>
        <w:rPr>
          <w:rStyle w:val="a3"/>
          <w:b/>
          <w:lang w:val="en-US"/>
        </w:rPr>
        <w:t>kz</w:t>
      </w:r>
      <w:r>
        <w:fldChar w:fldCharType="end"/>
      </w:r>
      <w:r>
        <w:rPr>
          <w:b/>
          <w:lang w:val="kk-KZ"/>
        </w:rPr>
        <w:t xml:space="preserve">, КГУ «Отдел земельных отношений акимата Тайыншинского района СКО» </w:t>
      </w:r>
      <w:r>
        <w:rPr>
          <w:b/>
          <w:lang w:val="en-US"/>
        </w:rPr>
        <w:fldChar w:fldCharType="begin"/>
      </w:r>
      <w:r w:rsidRPr="005753DE">
        <w:rPr>
          <w:b/>
        </w:rPr>
        <w:instrText xml:space="preserve"> </w:instrText>
      </w:r>
      <w:r>
        <w:rPr>
          <w:b/>
          <w:lang w:val="en-US"/>
        </w:rPr>
        <w:instrText>HYPERLINK</w:instrText>
      </w:r>
      <w:r w:rsidRPr="005753DE">
        <w:rPr>
          <w:b/>
        </w:rPr>
        <w:instrText xml:space="preserve"> "</w:instrText>
      </w:r>
      <w:r>
        <w:rPr>
          <w:b/>
          <w:lang w:val="en-US"/>
        </w:rPr>
        <w:instrText>http</w:instrText>
      </w:r>
      <w:r w:rsidRPr="005753DE">
        <w:rPr>
          <w:b/>
        </w:rPr>
        <w:instrText>://</w:instrText>
      </w:r>
      <w:r>
        <w:rPr>
          <w:b/>
          <w:lang w:val="en-US"/>
        </w:rPr>
        <w:instrText>www</w:instrText>
      </w:r>
      <w:r w:rsidRPr="005753DE">
        <w:rPr>
          <w:b/>
        </w:rPr>
        <w:instrText>.</w:instrText>
      </w:r>
      <w:r>
        <w:rPr>
          <w:b/>
          <w:lang w:val="en-US"/>
        </w:rPr>
        <w:instrText>ozo</w:instrText>
      </w:r>
      <w:r w:rsidRPr="005753DE">
        <w:rPr>
          <w:b/>
        </w:rPr>
        <w:instrText>-</w:instrText>
      </w:r>
      <w:r>
        <w:rPr>
          <w:b/>
          <w:lang w:val="en-US"/>
        </w:rPr>
        <w:instrText>tsh</w:instrText>
      </w:r>
      <w:r w:rsidRPr="005753DE">
        <w:rPr>
          <w:b/>
        </w:rPr>
        <w:instrText>.</w:instrText>
      </w:r>
      <w:r>
        <w:rPr>
          <w:b/>
          <w:lang w:val="en-US"/>
        </w:rPr>
        <w:instrText>sko</w:instrText>
      </w:r>
      <w:r w:rsidRPr="005753DE">
        <w:rPr>
          <w:b/>
        </w:rPr>
        <w:instrText>.</w:instrText>
      </w:r>
      <w:r>
        <w:rPr>
          <w:b/>
          <w:lang w:val="en-US"/>
        </w:rPr>
        <w:instrText>gov</w:instrText>
      </w:r>
      <w:r w:rsidRPr="005753DE">
        <w:rPr>
          <w:b/>
        </w:rPr>
        <w:instrText>.</w:instrText>
      </w:r>
      <w:r>
        <w:rPr>
          <w:b/>
          <w:lang w:val="en-US"/>
        </w:rPr>
        <w:instrText>kz</w:instrText>
      </w:r>
      <w:r w:rsidRPr="005753DE">
        <w:rPr>
          <w:b/>
        </w:rPr>
        <w:instrText xml:space="preserve">" </w:instrText>
      </w:r>
      <w:r>
        <w:rPr>
          <w:b/>
          <w:lang w:val="en-US"/>
        </w:rPr>
        <w:fldChar w:fldCharType="separate"/>
      </w:r>
      <w:r>
        <w:rPr>
          <w:rStyle w:val="a3"/>
          <w:b/>
          <w:lang w:val="en-US"/>
        </w:rPr>
        <w:t>www</w:t>
      </w:r>
      <w:r>
        <w:rPr>
          <w:rStyle w:val="a3"/>
          <w:b/>
        </w:rPr>
        <w:t>.</w:t>
      </w:r>
      <w:r>
        <w:rPr>
          <w:rStyle w:val="a3"/>
          <w:b/>
          <w:lang w:val="en-US"/>
        </w:rPr>
        <w:t>ozo</w:t>
      </w:r>
      <w:r>
        <w:rPr>
          <w:rStyle w:val="a3"/>
          <w:b/>
        </w:rPr>
        <w:t>-</w:t>
      </w:r>
      <w:r>
        <w:rPr>
          <w:rStyle w:val="a3"/>
          <w:b/>
          <w:lang w:val="en-US"/>
        </w:rPr>
        <w:t>tsh</w:t>
      </w:r>
      <w:r>
        <w:rPr>
          <w:rStyle w:val="a3"/>
          <w:b/>
        </w:rPr>
        <w:t>.</w:t>
      </w:r>
      <w:r>
        <w:rPr>
          <w:rStyle w:val="a3"/>
          <w:b/>
          <w:lang w:val="en-US"/>
        </w:rPr>
        <w:t>sko</w:t>
      </w:r>
      <w:r>
        <w:rPr>
          <w:rStyle w:val="a3"/>
          <w:b/>
        </w:rPr>
        <w:t>.</w:t>
      </w:r>
      <w:r>
        <w:rPr>
          <w:rStyle w:val="a3"/>
          <w:b/>
          <w:lang w:val="en-US"/>
        </w:rPr>
        <w:t>g</w:t>
      </w:r>
      <w:r>
        <w:rPr>
          <w:rStyle w:val="a3"/>
          <w:b/>
        </w:rPr>
        <w:t>ov.</w:t>
      </w:r>
      <w:proofErr w:type="spellStart"/>
      <w:r>
        <w:rPr>
          <w:rStyle w:val="a3"/>
          <w:b/>
          <w:lang w:val="en-US"/>
        </w:rPr>
        <w:t>kz</w:t>
      </w:r>
      <w:proofErr w:type="spellEnd"/>
      <w:r>
        <w:rPr>
          <w:b/>
          <w:lang w:val="en-US"/>
        </w:rPr>
        <w:fldChar w:fldCharType="end"/>
      </w:r>
      <w:r>
        <w:t xml:space="preserve">, </w:t>
      </w:r>
      <w:r>
        <w:rPr>
          <w:b/>
        </w:rPr>
        <w:t xml:space="preserve"> </w:t>
      </w:r>
      <w:r>
        <w:rPr>
          <w:b/>
          <w:lang w:val="kk-KZ"/>
        </w:rPr>
        <w:t xml:space="preserve">или по тел.: 8 (71536) 2-26-97, 2-21-85. </w:t>
      </w:r>
    </w:p>
    <w:p w:rsidR="005753DE" w:rsidRDefault="005753DE" w:rsidP="005753DE">
      <w:pPr>
        <w:pStyle w:val="a5"/>
        <w:jc w:val="both"/>
        <w:rPr>
          <w:b/>
          <w:sz w:val="20"/>
          <w:szCs w:val="20"/>
          <w:lang w:val="kk-KZ"/>
        </w:rPr>
      </w:pPr>
    </w:p>
    <w:tbl>
      <w:tblPr>
        <w:tblW w:w="104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1032"/>
        <w:gridCol w:w="1168"/>
        <w:gridCol w:w="1843"/>
        <w:gridCol w:w="1803"/>
        <w:gridCol w:w="1418"/>
        <w:gridCol w:w="1417"/>
      </w:tblGrid>
      <w:tr w:rsidR="005753DE" w:rsidTr="005753DE">
        <w:tc>
          <w:tcPr>
            <w:tcW w:w="10455" w:type="dxa"/>
            <w:gridSpan w:val="7"/>
            <w:tcBorders>
              <w:top w:val="single" w:sz="4" w:space="0" w:color="auto"/>
              <w:left w:val="single" w:sz="4" w:space="0" w:color="auto"/>
              <w:bottom w:val="single" w:sz="4" w:space="0" w:color="auto"/>
              <w:right w:val="single" w:sz="4" w:space="0" w:color="auto"/>
            </w:tcBorders>
            <w:vAlign w:val="center"/>
            <w:hideMark/>
          </w:tcPr>
          <w:p w:rsidR="005753DE" w:rsidRDefault="005753DE">
            <w:pPr>
              <w:jc w:val="center"/>
              <w:rPr>
                <w:b/>
                <w:bCs/>
              </w:rPr>
            </w:pPr>
            <w:r>
              <w:rPr>
                <w:b/>
                <w:bCs/>
              </w:rPr>
              <w:t>Перечень земельных участков выставляемых  на конкурс</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vAlign w:val="center"/>
            <w:hideMark/>
          </w:tcPr>
          <w:p w:rsidR="005753DE" w:rsidRDefault="005753DE">
            <w:pPr>
              <w:jc w:val="center"/>
              <w:rPr>
                <w:b/>
                <w:bCs/>
              </w:rPr>
            </w:pPr>
            <w:r>
              <w:rPr>
                <w:b/>
                <w:lang w:val="kk-KZ"/>
              </w:rPr>
              <w:lastRenderedPageBreak/>
              <w:t>Характеристика земельных участков</w:t>
            </w:r>
          </w:p>
        </w:tc>
      </w:tr>
      <w:tr w:rsidR="005753DE" w:rsidTr="005753DE">
        <w:tc>
          <w:tcPr>
            <w:tcW w:w="1774" w:type="dxa"/>
            <w:tcBorders>
              <w:top w:val="single" w:sz="4" w:space="0" w:color="auto"/>
              <w:left w:val="single" w:sz="4" w:space="0" w:color="auto"/>
              <w:bottom w:val="single" w:sz="4" w:space="0" w:color="auto"/>
              <w:right w:val="single" w:sz="4" w:space="0" w:color="auto"/>
            </w:tcBorders>
            <w:vAlign w:val="center"/>
            <w:hideMark/>
          </w:tcPr>
          <w:p w:rsidR="005753DE" w:rsidRDefault="005753DE">
            <w:pPr>
              <w:pStyle w:val="a5"/>
            </w:pPr>
            <w:r>
              <w:rPr>
                <w:lang w:val="kk-KZ"/>
              </w:rPr>
              <w:t>Состав угодий (неорашаемые)</w:t>
            </w:r>
          </w:p>
        </w:tc>
        <w:tc>
          <w:tcPr>
            <w:tcW w:w="1032" w:type="dxa"/>
            <w:tcBorders>
              <w:top w:val="single" w:sz="4" w:space="0" w:color="auto"/>
              <w:left w:val="single" w:sz="4" w:space="0" w:color="auto"/>
              <w:bottom w:val="single" w:sz="4" w:space="0" w:color="auto"/>
              <w:right w:val="single" w:sz="4" w:space="0" w:color="auto"/>
            </w:tcBorders>
            <w:vAlign w:val="center"/>
            <w:hideMark/>
          </w:tcPr>
          <w:p w:rsidR="005753DE" w:rsidRDefault="005753DE">
            <w:pPr>
              <w:pStyle w:val="a5"/>
            </w:pPr>
            <w:r>
              <w:t>Балл бонитет</w:t>
            </w:r>
          </w:p>
        </w:tc>
        <w:tc>
          <w:tcPr>
            <w:tcW w:w="1168" w:type="dxa"/>
            <w:tcBorders>
              <w:top w:val="single" w:sz="4" w:space="0" w:color="auto"/>
              <w:left w:val="single" w:sz="4" w:space="0" w:color="auto"/>
              <w:bottom w:val="single" w:sz="4" w:space="0" w:color="auto"/>
              <w:right w:val="single" w:sz="4" w:space="0" w:color="auto"/>
            </w:tcBorders>
            <w:vAlign w:val="center"/>
            <w:hideMark/>
          </w:tcPr>
          <w:p w:rsidR="005753DE" w:rsidRDefault="005753DE">
            <w:pPr>
              <w:pStyle w:val="a5"/>
            </w:pPr>
            <w:r>
              <w:rPr>
                <w:lang w:val="kk-KZ"/>
              </w:rPr>
              <w:t>Общая п</w:t>
            </w:r>
            <w:r>
              <w:t>лощадь</w:t>
            </w:r>
            <w:r>
              <w:rPr>
                <w:lang w:val="kk-KZ"/>
              </w:rPr>
              <w:t>,</w:t>
            </w:r>
            <w:r>
              <w:t xml:space="preserve"> га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53DE" w:rsidRDefault="005753DE">
            <w:pPr>
              <w:pStyle w:val="a5"/>
              <w:rPr>
                <w:lang w:val="kk-KZ"/>
              </w:rPr>
            </w:pPr>
            <w:r>
              <w:rPr>
                <w:lang w:val="kk-KZ"/>
              </w:rPr>
              <w:t xml:space="preserve">Качественная </w:t>
            </w:r>
            <w:r>
              <w:t xml:space="preserve"> характеристика </w:t>
            </w:r>
            <w:r>
              <w:rPr>
                <w:lang w:val="kk-KZ"/>
              </w:rPr>
              <w:t>почв</w:t>
            </w:r>
            <w:r>
              <w:t xml:space="preserve">  </w:t>
            </w:r>
          </w:p>
        </w:tc>
        <w:tc>
          <w:tcPr>
            <w:tcW w:w="1803" w:type="dxa"/>
            <w:tcBorders>
              <w:top w:val="single" w:sz="4" w:space="0" w:color="auto"/>
              <w:left w:val="single" w:sz="4" w:space="0" w:color="auto"/>
              <w:bottom w:val="single" w:sz="4" w:space="0" w:color="auto"/>
              <w:right w:val="single" w:sz="4" w:space="0" w:color="auto"/>
            </w:tcBorders>
            <w:vAlign w:val="center"/>
            <w:hideMark/>
          </w:tcPr>
          <w:p w:rsidR="005753DE" w:rsidRDefault="005753DE">
            <w:pPr>
              <w:pStyle w:val="a5"/>
            </w:pPr>
            <w:r>
              <w:t>Месторасположение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53DE" w:rsidRDefault="005753DE">
            <w:pPr>
              <w:pStyle w:val="a5"/>
              <w:rPr>
                <w:lang w:val="kk-KZ"/>
              </w:rPr>
            </w:pPr>
            <w:r>
              <w:rPr>
                <w:lang w:val="kk-KZ"/>
              </w:rPr>
              <w:t>Сельскохозяйственная специализация регона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53DE" w:rsidRDefault="005753DE">
            <w:pPr>
              <w:pStyle w:val="a5"/>
              <w:rPr>
                <w:lang w:val="kk-KZ"/>
              </w:rPr>
            </w:pPr>
            <w:r>
              <w:rPr>
                <w:lang w:val="kk-KZ"/>
              </w:rPr>
              <w:t xml:space="preserve">Водообеспеченность </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1</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445 га, пастбища </w:t>
            </w:r>
            <w:proofErr w:type="spellStart"/>
            <w:r>
              <w:t>естеств</w:t>
            </w:r>
            <w:proofErr w:type="spellEnd"/>
            <w:r>
              <w:t>. - 42 га, кустарники 3 га, болота – 2 га, дороги – 1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30</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494</w:t>
            </w: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Амандыкский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c>
          <w:tcPr>
            <w:tcW w:w="1774" w:type="dxa"/>
            <w:tcBorders>
              <w:top w:val="single" w:sz="4" w:space="0" w:color="auto"/>
              <w:left w:val="single" w:sz="4" w:space="0" w:color="auto"/>
              <w:bottom w:val="single" w:sz="4" w:space="0" w:color="auto"/>
              <w:right w:val="single" w:sz="4" w:space="0" w:color="auto"/>
            </w:tcBorders>
          </w:tcPr>
          <w:p w:rsidR="005753DE" w:rsidRDefault="005753DE">
            <w:pPr>
              <w:pStyle w:val="a5"/>
            </w:pPr>
          </w:p>
        </w:tc>
        <w:tc>
          <w:tcPr>
            <w:tcW w:w="1032" w:type="dxa"/>
            <w:tcBorders>
              <w:top w:val="single" w:sz="4" w:space="0" w:color="auto"/>
              <w:left w:val="single" w:sz="4" w:space="0" w:color="auto"/>
              <w:bottom w:val="single" w:sz="4" w:space="0" w:color="auto"/>
              <w:right w:val="single" w:sz="4" w:space="0" w:color="auto"/>
            </w:tcBorders>
          </w:tcPr>
          <w:p w:rsidR="005753DE" w:rsidRDefault="005753DE">
            <w:pPr>
              <w:pStyle w:val="a5"/>
            </w:pP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tcPr>
          <w:p w:rsidR="005753DE" w:rsidRDefault="005753DE">
            <w:pPr>
              <w:pStyle w:val="a5"/>
              <w:rPr>
                <w:lang w:val="kk-KZ"/>
              </w:rPr>
            </w:pPr>
          </w:p>
        </w:tc>
        <w:tc>
          <w:tcPr>
            <w:tcW w:w="1803" w:type="dxa"/>
            <w:tcBorders>
              <w:top w:val="single" w:sz="4" w:space="0" w:color="auto"/>
              <w:left w:val="single" w:sz="4" w:space="0" w:color="auto"/>
              <w:bottom w:val="single" w:sz="4" w:space="0" w:color="auto"/>
              <w:right w:val="single" w:sz="4" w:space="0" w:color="auto"/>
            </w:tcBorders>
          </w:tcPr>
          <w:p w:rsidR="005753DE" w:rsidRDefault="005753DE">
            <w:pPr>
              <w:pStyle w:val="a5"/>
            </w:pPr>
          </w:p>
        </w:tc>
        <w:tc>
          <w:tcPr>
            <w:tcW w:w="1418" w:type="dxa"/>
            <w:tcBorders>
              <w:top w:val="single" w:sz="4" w:space="0" w:color="auto"/>
              <w:left w:val="single" w:sz="4" w:space="0" w:color="auto"/>
              <w:bottom w:val="single" w:sz="4" w:space="0" w:color="auto"/>
              <w:right w:val="single" w:sz="4" w:space="0" w:color="auto"/>
            </w:tcBorders>
          </w:tcPr>
          <w:p w:rsidR="005753DE" w:rsidRDefault="005753DE">
            <w:pPr>
              <w:pStyle w:val="a5"/>
              <w:rPr>
                <w:lang w:val="kk-KZ"/>
              </w:rPr>
            </w:pPr>
          </w:p>
        </w:tc>
        <w:tc>
          <w:tcPr>
            <w:tcW w:w="1417" w:type="dxa"/>
            <w:tcBorders>
              <w:top w:val="single" w:sz="4" w:space="0" w:color="auto"/>
              <w:left w:val="single" w:sz="4" w:space="0" w:color="auto"/>
              <w:bottom w:val="single" w:sz="4" w:space="0" w:color="auto"/>
              <w:right w:val="single" w:sz="4" w:space="0" w:color="auto"/>
            </w:tcBorders>
          </w:tcPr>
          <w:p w:rsidR="005753DE" w:rsidRDefault="005753DE">
            <w:pPr>
              <w:pStyle w:val="a5"/>
              <w:rPr>
                <w:lang w:val="kk-KZ"/>
              </w:rPr>
            </w:pP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2</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599 га, пастбища </w:t>
            </w:r>
            <w:proofErr w:type="spellStart"/>
            <w:r>
              <w:t>естеств</w:t>
            </w:r>
            <w:proofErr w:type="spellEnd"/>
            <w:r>
              <w:t>. - 37 га, кустарники -4 га, дороги – 2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31,2</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642</w:t>
            </w: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Амандыкский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c>
          <w:tcPr>
            <w:tcW w:w="1774" w:type="dxa"/>
            <w:tcBorders>
              <w:top w:val="single" w:sz="4" w:space="0" w:color="auto"/>
              <w:left w:val="single" w:sz="4" w:space="0" w:color="auto"/>
              <w:bottom w:val="single" w:sz="4" w:space="0" w:color="auto"/>
              <w:right w:val="single" w:sz="4" w:space="0" w:color="auto"/>
            </w:tcBorders>
          </w:tcPr>
          <w:p w:rsidR="005753DE" w:rsidRDefault="005753DE">
            <w:pPr>
              <w:pStyle w:val="a5"/>
            </w:pPr>
          </w:p>
        </w:tc>
        <w:tc>
          <w:tcPr>
            <w:tcW w:w="1032" w:type="dxa"/>
            <w:tcBorders>
              <w:top w:val="single" w:sz="4" w:space="0" w:color="auto"/>
              <w:left w:val="single" w:sz="4" w:space="0" w:color="auto"/>
              <w:bottom w:val="single" w:sz="4" w:space="0" w:color="auto"/>
              <w:right w:val="single" w:sz="4" w:space="0" w:color="auto"/>
            </w:tcBorders>
          </w:tcPr>
          <w:p w:rsidR="005753DE" w:rsidRDefault="005753DE">
            <w:pPr>
              <w:pStyle w:val="a5"/>
            </w:pP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tcPr>
          <w:p w:rsidR="005753DE" w:rsidRDefault="005753DE">
            <w:pPr>
              <w:pStyle w:val="a5"/>
              <w:rPr>
                <w:lang w:val="kk-KZ"/>
              </w:rPr>
            </w:pPr>
          </w:p>
        </w:tc>
        <w:tc>
          <w:tcPr>
            <w:tcW w:w="1803" w:type="dxa"/>
            <w:tcBorders>
              <w:top w:val="single" w:sz="4" w:space="0" w:color="auto"/>
              <w:left w:val="single" w:sz="4" w:space="0" w:color="auto"/>
              <w:bottom w:val="single" w:sz="4" w:space="0" w:color="auto"/>
              <w:right w:val="single" w:sz="4" w:space="0" w:color="auto"/>
            </w:tcBorders>
          </w:tcPr>
          <w:p w:rsidR="005753DE" w:rsidRDefault="005753DE">
            <w:pPr>
              <w:pStyle w:val="a5"/>
            </w:pPr>
          </w:p>
        </w:tc>
        <w:tc>
          <w:tcPr>
            <w:tcW w:w="1418" w:type="dxa"/>
            <w:tcBorders>
              <w:top w:val="single" w:sz="4" w:space="0" w:color="auto"/>
              <w:left w:val="single" w:sz="4" w:space="0" w:color="auto"/>
              <w:bottom w:val="single" w:sz="4" w:space="0" w:color="auto"/>
              <w:right w:val="single" w:sz="4" w:space="0" w:color="auto"/>
            </w:tcBorders>
          </w:tcPr>
          <w:p w:rsidR="005753DE" w:rsidRDefault="005753DE">
            <w:pPr>
              <w:pStyle w:val="a5"/>
              <w:rPr>
                <w:lang w:val="kk-KZ"/>
              </w:rPr>
            </w:pPr>
          </w:p>
        </w:tc>
        <w:tc>
          <w:tcPr>
            <w:tcW w:w="1417" w:type="dxa"/>
            <w:tcBorders>
              <w:top w:val="single" w:sz="4" w:space="0" w:color="auto"/>
              <w:left w:val="single" w:sz="4" w:space="0" w:color="auto"/>
              <w:bottom w:val="single" w:sz="4" w:space="0" w:color="auto"/>
              <w:right w:val="single" w:sz="4" w:space="0" w:color="auto"/>
            </w:tcBorders>
          </w:tcPr>
          <w:p w:rsidR="005753DE" w:rsidRDefault="005753DE">
            <w:pPr>
              <w:pStyle w:val="a5"/>
              <w:rPr>
                <w:lang w:val="kk-KZ"/>
              </w:rPr>
            </w:pP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3</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405 га, пастбища </w:t>
            </w:r>
            <w:proofErr w:type="spellStart"/>
            <w:r>
              <w:t>естеств</w:t>
            </w:r>
            <w:proofErr w:type="spellEnd"/>
            <w:r>
              <w:t>. - 6 га, дороги – 1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31,6</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412</w:t>
            </w: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Алаботинский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4</w:t>
            </w:r>
          </w:p>
        </w:tc>
      </w:tr>
      <w:tr w:rsidR="005753DE" w:rsidTr="005753DE">
        <w:trPr>
          <w:trHeight w:val="1176"/>
        </w:trPr>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783 га, пастбища </w:t>
            </w:r>
            <w:proofErr w:type="spellStart"/>
            <w:r>
              <w:t>естеств</w:t>
            </w:r>
            <w:proofErr w:type="spellEnd"/>
            <w:r>
              <w:t>. - 38 га, дороги – 3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32,6</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824</w:t>
            </w: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Алаботинский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rPr>
          <w:trHeight w:val="280"/>
        </w:trPr>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5</w:t>
            </w:r>
          </w:p>
        </w:tc>
      </w:tr>
      <w:tr w:rsidR="005753DE" w:rsidTr="005753DE">
        <w:trPr>
          <w:trHeight w:val="1176"/>
        </w:trPr>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430 га, пастбища </w:t>
            </w:r>
            <w:proofErr w:type="spellStart"/>
            <w:r>
              <w:t>естеств</w:t>
            </w:r>
            <w:proofErr w:type="spellEnd"/>
            <w:r>
              <w:t>. – 13 га, дороги – 2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25,9</w:t>
            </w:r>
          </w:p>
        </w:tc>
        <w:tc>
          <w:tcPr>
            <w:tcW w:w="1168" w:type="dxa"/>
            <w:tcBorders>
              <w:top w:val="single" w:sz="4" w:space="0" w:color="auto"/>
              <w:left w:val="single" w:sz="4" w:space="0" w:color="auto"/>
              <w:bottom w:val="single" w:sz="4" w:space="0" w:color="auto"/>
              <w:right w:val="single" w:sz="4" w:space="0" w:color="auto"/>
            </w:tcBorders>
            <w:vAlign w:val="bottom"/>
            <w:hideMark/>
          </w:tcPr>
          <w:p w:rsidR="005753DE" w:rsidRDefault="005753DE">
            <w:pPr>
              <w:pStyle w:val="a5"/>
            </w:pPr>
            <w:r>
              <w:t>445</w:t>
            </w: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Алаботинский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6</w:t>
            </w:r>
          </w:p>
        </w:tc>
      </w:tr>
      <w:tr w:rsidR="005753DE" w:rsidTr="005753DE">
        <w:trPr>
          <w:trHeight w:val="701"/>
        </w:trPr>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77 га, пастбища </w:t>
            </w:r>
            <w:proofErr w:type="spellStart"/>
            <w:r>
              <w:t>естеств</w:t>
            </w:r>
            <w:proofErr w:type="spellEnd"/>
            <w:r>
              <w:t>. – 1 га,</w:t>
            </w:r>
          </w:p>
        </w:tc>
        <w:tc>
          <w:tcPr>
            <w:tcW w:w="1032" w:type="dxa"/>
            <w:tcBorders>
              <w:top w:val="single" w:sz="4" w:space="0" w:color="auto"/>
              <w:left w:val="single" w:sz="4" w:space="0" w:color="auto"/>
              <w:bottom w:val="single" w:sz="4" w:space="0" w:color="auto"/>
              <w:right w:val="single" w:sz="4" w:space="0" w:color="auto"/>
            </w:tcBorders>
          </w:tcPr>
          <w:p w:rsidR="005753DE" w:rsidRDefault="005753DE">
            <w:pPr>
              <w:pStyle w:val="a5"/>
            </w:pPr>
            <w:r>
              <w:t>22</w:t>
            </w:r>
          </w:p>
          <w:p w:rsidR="005753DE" w:rsidRDefault="005753DE"/>
          <w:p w:rsidR="005753DE" w:rsidRDefault="005753DE"/>
          <w:p w:rsidR="005753DE" w:rsidRDefault="005753DE"/>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78</w:t>
            </w: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Амандыкский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7</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6 га, лесополосы – 0,3 га, </w:t>
            </w:r>
            <w:proofErr w:type="spellStart"/>
            <w:r>
              <w:t>просин</w:t>
            </w:r>
            <w:proofErr w:type="spellEnd"/>
            <w:r>
              <w:t xml:space="preserve"> – 0,7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13,5</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7</w:t>
            </w:r>
          </w:p>
          <w:p w:rsidR="005753DE" w:rsidRDefault="005753DE">
            <w:pPr>
              <w:pStyle w:val="a5"/>
            </w:pPr>
          </w:p>
          <w:p w:rsidR="005753DE" w:rsidRDefault="005753DE">
            <w:pPr>
              <w:pStyle w:val="a5"/>
            </w:pP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Мироновский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 xml:space="preserve">Огородничество </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 xml:space="preserve">Имеется </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8</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 xml:space="preserve">Пашня - 6 га, лесополосы – </w:t>
            </w:r>
            <w:r>
              <w:lastRenderedPageBreak/>
              <w:t>0,2 га, прочие – 0,5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lastRenderedPageBreak/>
              <w:t>13,9</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6,7</w:t>
            </w:r>
          </w:p>
          <w:p w:rsidR="005753DE" w:rsidRDefault="005753DE">
            <w:pPr>
              <w:pStyle w:val="a5"/>
            </w:pPr>
          </w:p>
          <w:p w:rsidR="005753DE" w:rsidRDefault="005753DE">
            <w:pPr>
              <w:pStyle w:val="a5"/>
            </w:pP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lastRenderedPageBreak/>
              <w:t xml:space="preserve">Степная зона, тип почв- </w:t>
            </w:r>
            <w:r>
              <w:rPr>
                <w:lang w:val="kk-KZ"/>
              </w:rPr>
              <w:lastRenderedPageBreak/>
              <w:t>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lastRenderedPageBreak/>
              <w:t>Мироновский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 xml:space="preserve">Огородничество </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 xml:space="preserve">Имеется </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lastRenderedPageBreak/>
              <w:t>Лот № 9</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rPr>
                <w:lang w:val="kk-KZ"/>
              </w:rPr>
              <w:t>П</w:t>
            </w:r>
            <w:proofErr w:type="spellStart"/>
            <w:r>
              <w:t>ашня</w:t>
            </w:r>
            <w:proofErr w:type="spellEnd"/>
            <w:r>
              <w:t xml:space="preserve"> – 73 га,</w:t>
            </w:r>
            <w:r>
              <w:rPr>
                <w:lang w:val="kk-KZ"/>
              </w:rPr>
              <w:t xml:space="preserve"> дороги</w:t>
            </w:r>
            <w:bookmarkStart w:id="0" w:name="_GoBack"/>
            <w:bookmarkEnd w:id="0"/>
            <w:r>
              <w:rPr>
                <w:lang w:val="kk-KZ"/>
              </w:rPr>
              <w:t xml:space="preserve"> – 0,9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30,7</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73,9</w:t>
            </w:r>
          </w:p>
          <w:p w:rsidR="005753DE" w:rsidRDefault="005753DE">
            <w:pPr>
              <w:pStyle w:val="a5"/>
            </w:pPr>
          </w:p>
          <w:p w:rsidR="005753DE" w:rsidRDefault="005753DE">
            <w:pPr>
              <w:pStyle w:val="a5"/>
            </w:pP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Амандыкский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10</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rPr>
                <w:lang w:val="kk-KZ"/>
              </w:rPr>
              <w:t>П</w:t>
            </w:r>
            <w:proofErr w:type="spellStart"/>
            <w:r>
              <w:t>ашня</w:t>
            </w:r>
            <w:proofErr w:type="spellEnd"/>
            <w:r>
              <w:t xml:space="preserve"> – 19,3</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t>26,2</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19,3</w:t>
            </w:r>
          </w:p>
          <w:p w:rsidR="005753DE" w:rsidRDefault="005753DE">
            <w:pPr>
              <w:pStyle w:val="a5"/>
            </w:pPr>
          </w:p>
          <w:p w:rsidR="005753DE" w:rsidRDefault="005753DE">
            <w:pPr>
              <w:pStyle w:val="a5"/>
            </w:pP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Амандыкский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r w:rsidR="005753DE" w:rsidTr="005753DE">
        <w:tc>
          <w:tcPr>
            <w:tcW w:w="10455" w:type="dxa"/>
            <w:gridSpan w:val="7"/>
            <w:tcBorders>
              <w:top w:val="single" w:sz="4" w:space="0" w:color="auto"/>
              <w:left w:val="single" w:sz="4" w:space="0" w:color="auto"/>
              <w:bottom w:val="single" w:sz="4" w:space="0" w:color="auto"/>
              <w:right w:val="single" w:sz="4" w:space="0" w:color="auto"/>
            </w:tcBorders>
            <w:hideMark/>
          </w:tcPr>
          <w:p w:rsidR="005753DE" w:rsidRDefault="005753DE">
            <w:pPr>
              <w:pStyle w:val="a5"/>
              <w:jc w:val="center"/>
              <w:rPr>
                <w:lang w:val="kk-KZ"/>
              </w:rPr>
            </w:pPr>
            <w:r>
              <w:rPr>
                <w:lang w:val="kk-KZ"/>
              </w:rPr>
              <w:t>Лот № 11</w:t>
            </w:r>
          </w:p>
        </w:tc>
      </w:tr>
      <w:tr w:rsidR="005753DE" w:rsidTr="005753DE">
        <w:tc>
          <w:tcPr>
            <w:tcW w:w="1774"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r>
              <w:rPr>
                <w:lang w:val="kk-KZ"/>
              </w:rPr>
              <w:t>П</w:t>
            </w:r>
            <w:proofErr w:type="spellStart"/>
            <w:r>
              <w:t>ашня</w:t>
            </w:r>
            <w:proofErr w:type="spellEnd"/>
            <w:r>
              <w:t xml:space="preserve"> – 27 га,  пастбища</w:t>
            </w:r>
            <w:r>
              <w:rPr>
                <w:lang w:val="kk-KZ"/>
              </w:rPr>
              <w:t xml:space="preserve"> улучш. – 6 га, дороги – 0,1 га</w:t>
            </w:r>
          </w:p>
        </w:tc>
        <w:tc>
          <w:tcPr>
            <w:tcW w:w="1032"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22,3</w:t>
            </w:r>
          </w:p>
        </w:tc>
        <w:tc>
          <w:tcPr>
            <w:tcW w:w="1168" w:type="dxa"/>
            <w:tcBorders>
              <w:top w:val="single" w:sz="4" w:space="0" w:color="auto"/>
              <w:left w:val="single" w:sz="4" w:space="0" w:color="auto"/>
              <w:bottom w:val="single" w:sz="4" w:space="0" w:color="auto"/>
              <w:right w:val="single" w:sz="4" w:space="0" w:color="auto"/>
            </w:tcBorders>
            <w:vAlign w:val="bottom"/>
          </w:tcPr>
          <w:p w:rsidR="005753DE" w:rsidRDefault="005753DE">
            <w:pPr>
              <w:pStyle w:val="a5"/>
            </w:pPr>
            <w:r>
              <w:t>33,1</w:t>
            </w:r>
          </w:p>
          <w:p w:rsidR="005753DE" w:rsidRDefault="005753DE">
            <w:pPr>
              <w:pStyle w:val="a5"/>
            </w:pPr>
          </w:p>
          <w:p w:rsidR="005753DE" w:rsidRDefault="005753DE">
            <w:pPr>
              <w:pStyle w:val="a5"/>
            </w:pPr>
          </w:p>
          <w:p w:rsidR="005753DE" w:rsidRDefault="005753DE">
            <w:pPr>
              <w:pStyle w:val="a5"/>
            </w:pPr>
          </w:p>
        </w:tc>
        <w:tc>
          <w:tcPr>
            <w:tcW w:w="1843"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Степная зона, тип почв- черноземы   южные</w:t>
            </w:r>
          </w:p>
        </w:tc>
        <w:tc>
          <w:tcPr>
            <w:tcW w:w="1803" w:type="dxa"/>
            <w:tcBorders>
              <w:top w:val="single" w:sz="4" w:space="0" w:color="auto"/>
              <w:left w:val="single" w:sz="4" w:space="0" w:color="auto"/>
              <w:bottom w:val="single" w:sz="4" w:space="0" w:color="auto"/>
              <w:right w:val="single" w:sz="4" w:space="0" w:color="auto"/>
            </w:tcBorders>
            <w:hideMark/>
          </w:tcPr>
          <w:p w:rsidR="005753DE" w:rsidRDefault="005753DE">
            <w:pPr>
              <w:pStyle w:val="a5"/>
            </w:pPr>
            <w:proofErr w:type="spellStart"/>
            <w:r>
              <w:t>Амандыкский</w:t>
            </w:r>
            <w:proofErr w:type="spellEnd"/>
            <w:r>
              <w:t xml:space="preserve"> сельский округ</w:t>
            </w:r>
          </w:p>
        </w:tc>
        <w:tc>
          <w:tcPr>
            <w:tcW w:w="1418"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Растениеводство, животноводство</w:t>
            </w:r>
          </w:p>
        </w:tc>
        <w:tc>
          <w:tcPr>
            <w:tcW w:w="1417" w:type="dxa"/>
            <w:tcBorders>
              <w:top w:val="single" w:sz="4" w:space="0" w:color="auto"/>
              <w:left w:val="single" w:sz="4" w:space="0" w:color="auto"/>
              <w:bottom w:val="single" w:sz="4" w:space="0" w:color="auto"/>
              <w:right w:val="single" w:sz="4" w:space="0" w:color="auto"/>
            </w:tcBorders>
            <w:hideMark/>
          </w:tcPr>
          <w:p w:rsidR="005753DE" w:rsidRDefault="005753DE">
            <w:pPr>
              <w:pStyle w:val="a5"/>
              <w:rPr>
                <w:lang w:val="kk-KZ"/>
              </w:rPr>
            </w:pPr>
            <w:r>
              <w:rPr>
                <w:lang w:val="kk-KZ"/>
              </w:rPr>
              <w:t>Не имеется</w:t>
            </w:r>
          </w:p>
        </w:tc>
      </w:tr>
    </w:tbl>
    <w:p w:rsidR="005753DE" w:rsidRDefault="005753DE" w:rsidP="005753DE">
      <w:pPr>
        <w:pStyle w:val="a5"/>
        <w:rPr>
          <w:lang w:val="kk-KZ"/>
        </w:rPr>
      </w:pPr>
    </w:p>
    <w:p w:rsidR="00EA1D4E" w:rsidRDefault="00EA1D4E"/>
    <w:sectPr w:rsidR="00EA1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8F"/>
    <w:rsid w:val="00241A8F"/>
    <w:rsid w:val="005753DE"/>
    <w:rsid w:val="00EA1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3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753DE"/>
    <w:rPr>
      <w:color w:val="0000FF"/>
      <w:u w:val="single"/>
    </w:rPr>
  </w:style>
  <w:style w:type="paragraph" w:styleId="a4">
    <w:name w:val="Normal (Web)"/>
    <w:basedOn w:val="a"/>
    <w:uiPriority w:val="99"/>
    <w:semiHidden/>
    <w:unhideWhenUsed/>
    <w:rsid w:val="005753DE"/>
    <w:pPr>
      <w:spacing w:before="100" w:beforeAutospacing="1" w:after="100" w:afterAutospacing="1"/>
    </w:pPr>
  </w:style>
  <w:style w:type="paragraph" w:styleId="a5">
    <w:name w:val="No Spacing"/>
    <w:uiPriority w:val="99"/>
    <w:qFormat/>
    <w:rsid w:val="005753DE"/>
    <w:pPr>
      <w:spacing w:after="0" w:line="240" w:lineRule="auto"/>
    </w:pPr>
    <w:rPr>
      <w:rFonts w:ascii="Times New Roman" w:eastAsia="Times New Roman" w:hAnsi="Times New Roman" w:cs="Times New Roman"/>
      <w:sz w:val="24"/>
      <w:szCs w:val="24"/>
      <w:lang w:eastAsia="ru-RU"/>
    </w:rPr>
  </w:style>
  <w:style w:type="character" w:customStyle="1" w:styleId="s0">
    <w:name w:val="s0"/>
    <w:rsid w:val="005753DE"/>
  </w:style>
  <w:style w:type="character" w:customStyle="1" w:styleId="s2">
    <w:name w:val="s2"/>
    <w:rsid w:val="00575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3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753DE"/>
    <w:rPr>
      <w:color w:val="0000FF"/>
      <w:u w:val="single"/>
    </w:rPr>
  </w:style>
  <w:style w:type="paragraph" w:styleId="a4">
    <w:name w:val="Normal (Web)"/>
    <w:basedOn w:val="a"/>
    <w:uiPriority w:val="99"/>
    <w:semiHidden/>
    <w:unhideWhenUsed/>
    <w:rsid w:val="005753DE"/>
    <w:pPr>
      <w:spacing w:before="100" w:beforeAutospacing="1" w:after="100" w:afterAutospacing="1"/>
    </w:pPr>
  </w:style>
  <w:style w:type="paragraph" w:styleId="a5">
    <w:name w:val="No Spacing"/>
    <w:uiPriority w:val="99"/>
    <w:qFormat/>
    <w:rsid w:val="005753DE"/>
    <w:pPr>
      <w:spacing w:after="0" w:line="240" w:lineRule="auto"/>
    </w:pPr>
    <w:rPr>
      <w:rFonts w:ascii="Times New Roman" w:eastAsia="Times New Roman" w:hAnsi="Times New Roman" w:cs="Times New Roman"/>
      <w:sz w:val="24"/>
      <w:szCs w:val="24"/>
      <w:lang w:eastAsia="ru-RU"/>
    </w:rPr>
  </w:style>
  <w:style w:type="character" w:customStyle="1" w:styleId="s0">
    <w:name w:val="s0"/>
    <w:rsid w:val="005753DE"/>
  </w:style>
  <w:style w:type="character" w:customStyle="1" w:styleId="s2">
    <w:name w:val="s2"/>
    <w:rsid w:val="0057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zakon.kz/Document/?doc_id=361809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10135</Characters>
  <Application>Microsoft Office Word</Application>
  <DocSecurity>0</DocSecurity>
  <Lines>84</Lines>
  <Paragraphs>23</Paragraphs>
  <ScaleCrop>false</ScaleCrop>
  <Company>SPecialiST RePack</Company>
  <LinksUpToDate>false</LinksUpToDate>
  <CharactersWithSpaces>11889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2025-10-29T17:38:00Z</dcterms:created>
  <dcterms:modified xsi:type="dcterms:W3CDTF">2025-10-29T17:38:00Z</dcterms:modified>
</cp:coreProperties>
</file>