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Layout w:type="fixed"/>
        <w:tblLook w:val="01E0"/>
      </w:tblPr>
      <w:tblGrid>
        <w:gridCol w:w="4536"/>
        <w:gridCol w:w="1843"/>
        <w:gridCol w:w="4111"/>
      </w:tblGrid>
      <w:tr w:rsidR="00AA7406" w:rsidRPr="00AA7406" w:rsidTr="008E1E30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4320"/>
            </w:tblGrid>
            <w:tr w:rsidR="00227C3A" w:rsidTr="00227C3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:rsidR="00227C3A" w:rsidRDefault="00227C3A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03-11/2680   от: 28.01.2025</w:t>
                  </w:r>
                </w:p>
                <w:p w:rsidR="00227C3A" w:rsidRPr="00227C3A" w:rsidRDefault="00227C3A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97   от: 29.01.2025</w:t>
                  </w:r>
                </w:p>
              </w:tc>
            </w:tr>
          </w:tbl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406" w:rsidRPr="00AA7406" w:rsidRDefault="00AA7406" w:rsidP="00AA7406">
            <w:pPr>
              <w:spacing w:after="0" w:line="240" w:lineRule="auto"/>
              <w:ind w:right="603"/>
              <w:jc w:val="right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2990" cy="1052830"/>
                  <wp:effectExtent l="19050" t="0" r="3810" b="0"/>
                  <wp:docPr id="6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18"/>
                <w:szCs w:val="18"/>
                <w:lang w:val="kk-KZ" w:eastAsia="ru-RU"/>
              </w:rPr>
            </w:pPr>
          </w:p>
          <w:p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AA7406" w:rsidRPr="004D33FB" w:rsidTr="008E1E30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16"/>
                <w:lang w:val="kk-KZ" w:eastAsia="ru-RU"/>
              </w:rPr>
            </w:pPr>
          </w:p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8" w:history="1">
              <w:r w:rsidRPr="00055A8E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e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:rsidR="00AA7406" w:rsidRPr="00AA7406" w:rsidRDefault="00AA7406" w:rsidP="00AA7406">
            <w:pPr>
              <w:spacing w:after="0" w:line="240" w:lineRule="auto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406" w:rsidRPr="00AA7406" w:rsidRDefault="00AA7406" w:rsidP="00AA7406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20"/>
                <w:lang w:val="kk-KZ" w:eastAsia="ru-RU"/>
              </w:rPr>
            </w:pPr>
          </w:p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-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9" w:history="1"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gov</w:t>
              </w:r>
              <w:r w:rsidRPr="00055A8E">
                <w:rPr>
                  <w:rFonts w:eastAsia="Times New Roman"/>
                  <w:color w:val="002060"/>
                  <w:sz w:val="17"/>
                  <w:u w:val="single"/>
                  <w:lang w:eastAsia="ru-RU"/>
                </w:rPr>
                <w:t>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:rsidR="00AA7406" w:rsidRPr="00055A8E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:rsidR="00AA7406" w:rsidRPr="00AA7406" w:rsidRDefault="00AA7406" w:rsidP="00AA7406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:rsidR="00AA7406" w:rsidRPr="00AA7406" w:rsidRDefault="00AA7406" w:rsidP="00AA7406">
      <w:pPr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  <w:r w:rsidRPr="00055A8E">
        <w:rPr>
          <w:rFonts w:eastAsia="Times New Roman"/>
          <w:sz w:val="24"/>
          <w:szCs w:val="24"/>
          <w:lang w:eastAsia="ru-RU"/>
        </w:rPr>
        <w:tab/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________________</w:t>
      </w:r>
      <w:r w:rsidRPr="00AA7406">
        <w:rPr>
          <w:rFonts w:eastAsia="Times New Roman"/>
          <w:sz w:val="24"/>
          <w:szCs w:val="24"/>
          <w:lang w:eastAsia="ru-RU"/>
        </w:rPr>
        <w:t xml:space="preserve"> № </w:t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</w:t>
      </w:r>
    </w:p>
    <w:p w:rsidR="00A77909" w:rsidRDefault="00A77909" w:rsidP="0042781B">
      <w:pPr>
        <w:spacing w:after="0" w:line="240" w:lineRule="auto"/>
        <w:ind w:left="5103"/>
        <w:rPr>
          <w:b/>
        </w:rPr>
      </w:pPr>
    </w:p>
    <w:p w:rsidR="00BC2652" w:rsidRDefault="002E79FB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  <w:r>
        <w:rPr>
          <w:b/>
        </w:rPr>
        <w:t>ГУ «Аппарат Костанайскогообластногомаслихата»</w:t>
      </w:r>
    </w:p>
    <w:p w:rsidR="00AA7406" w:rsidRDefault="00AA7406" w:rsidP="00CD358D">
      <w:pPr>
        <w:tabs>
          <w:tab w:val="left" w:pos="5812"/>
        </w:tabs>
        <w:spacing w:after="0" w:line="240" w:lineRule="auto"/>
        <w:ind w:left="5529"/>
      </w:pPr>
    </w:p>
    <w:p w:rsidR="0042781B" w:rsidRPr="00E1601D" w:rsidRDefault="00E1601D" w:rsidP="000D1B5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№</w:t>
      </w:r>
      <w:r w:rsidR="002E04B2">
        <w:rPr>
          <w:i/>
          <w:iCs/>
          <w:sz w:val="24"/>
          <w:szCs w:val="24"/>
        </w:rPr>
        <w:t>37</w:t>
      </w:r>
      <w:r w:rsidR="001A6DCD">
        <w:rPr>
          <w:i/>
          <w:iCs/>
          <w:sz w:val="24"/>
          <w:szCs w:val="24"/>
        </w:rPr>
        <w:t xml:space="preserve"> от </w:t>
      </w:r>
      <w:r w:rsidR="004D33FB">
        <w:rPr>
          <w:i/>
          <w:iCs/>
          <w:sz w:val="24"/>
          <w:szCs w:val="24"/>
        </w:rPr>
        <w:t>2</w:t>
      </w:r>
      <w:r w:rsidR="002E04B2">
        <w:rPr>
          <w:i/>
          <w:iCs/>
          <w:sz w:val="24"/>
          <w:szCs w:val="24"/>
        </w:rPr>
        <w:t>4</w:t>
      </w:r>
      <w:r w:rsidR="001A6DCD">
        <w:rPr>
          <w:i/>
          <w:iCs/>
          <w:sz w:val="24"/>
          <w:szCs w:val="24"/>
        </w:rPr>
        <w:t>.0</w:t>
      </w:r>
      <w:r w:rsidR="002E04B2">
        <w:rPr>
          <w:i/>
          <w:iCs/>
          <w:sz w:val="24"/>
          <w:szCs w:val="24"/>
        </w:rPr>
        <w:t>1</w:t>
      </w:r>
      <w:r w:rsidR="001A6DCD">
        <w:rPr>
          <w:i/>
          <w:iCs/>
          <w:sz w:val="24"/>
          <w:szCs w:val="24"/>
        </w:rPr>
        <w:t>.202</w:t>
      </w:r>
      <w:r w:rsidR="002E04B2">
        <w:rPr>
          <w:i/>
          <w:iCs/>
          <w:sz w:val="24"/>
          <w:szCs w:val="24"/>
        </w:rPr>
        <w:t>5</w:t>
      </w:r>
      <w:r w:rsidR="001A6DCD">
        <w:rPr>
          <w:i/>
          <w:iCs/>
          <w:sz w:val="24"/>
          <w:szCs w:val="24"/>
        </w:rPr>
        <w:t xml:space="preserve"> г.</w:t>
      </w:r>
    </w:p>
    <w:p w:rsidR="00DF74C7" w:rsidRDefault="00DF74C7" w:rsidP="00AA7406">
      <w:pPr>
        <w:spacing w:after="0" w:line="240" w:lineRule="auto"/>
        <w:ind w:firstLine="708"/>
        <w:jc w:val="both"/>
        <w:rPr>
          <w:color w:val="000000"/>
        </w:rPr>
      </w:pPr>
    </w:p>
    <w:p w:rsidR="004D33FB" w:rsidRDefault="002E04B2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  <w:lang w:val="kk-KZ"/>
        </w:rPr>
      </w:pPr>
      <w:r>
        <w:t>На депутатский запрос депутата Костанайского областного маслихата Сергазиновой А.К. касательно вопроса строительства разводящих сетей в с.Севастополь Сарыкольского района сообщаем следующие</w:t>
      </w:r>
      <w:r w:rsidR="00610A8A">
        <w:rPr>
          <w:lang w:val="kk-KZ"/>
        </w:rPr>
        <w:t>.</w:t>
      </w:r>
    </w:p>
    <w:p w:rsidR="00A67706" w:rsidRDefault="002E04B2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 xml:space="preserve">Управлением энергетики и ЖКХ ежегодно в </w:t>
      </w:r>
      <w:r w:rsidR="00E40422">
        <w:rPr>
          <w:bCs/>
          <w:iCs/>
          <w:color w:val="000000"/>
          <w:lang w:val="kk-KZ"/>
        </w:rPr>
        <w:t>январе-</w:t>
      </w:r>
      <w:r>
        <w:rPr>
          <w:bCs/>
          <w:iCs/>
          <w:color w:val="000000"/>
          <w:lang w:val="kk-KZ"/>
        </w:rPr>
        <w:t xml:space="preserve">феврале формируется перечень инвестиционных проектов по водоснабжению с бюджетной заявкой на формирование </w:t>
      </w:r>
      <w:r w:rsidR="00E40422">
        <w:rPr>
          <w:bCs/>
          <w:iCs/>
          <w:color w:val="000000"/>
          <w:lang w:val="kk-KZ"/>
        </w:rPr>
        <w:t xml:space="preserve">и/или уточнение </w:t>
      </w:r>
      <w:r>
        <w:rPr>
          <w:bCs/>
          <w:iCs/>
          <w:color w:val="000000"/>
          <w:lang w:val="kk-KZ"/>
        </w:rPr>
        <w:t>республиканского бюджета</w:t>
      </w:r>
      <w:r w:rsidR="00A67706">
        <w:rPr>
          <w:bCs/>
          <w:iCs/>
          <w:color w:val="000000"/>
          <w:lang w:val="kk-KZ"/>
        </w:rPr>
        <w:t>, на основании предоставленных бюджетных заявок от акиматов городов и районов</w:t>
      </w:r>
      <w:r>
        <w:rPr>
          <w:bCs/>
          <w:iCs/>
          <w:color w:val="000000"/>
          <w:lang w:val="kk-KZ"/>
        </w:rPr>
        <w:t xml:space="preserve">. </w:t>
      </w:r>
    </w:p>
    <w:p w:rsidR="002E04B2" w:rsidRDefault="002E04B2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>Так, в феврале 2024 г. была сформирована бюджетная з</w:t>
      </w:r>
      <w:r w:rsidR="00FF1D75">
        <w:rPr>
          <w:bCs/>
          <w:iCs/>
          <w:color w:val="000000"/>
          <w:lang w:val="kk-KZ"/>
        </w:rPr>
        <w:t>а</w:t>
      </w:r>
      <w:r>
        <w:rPr>
          <w:bCs/>
          <w:iCs/>
          <w:color w:val="000000"/>
          <w:lang w:val="kk-KZ"/>
        </w:rPr>
        <w:t xml:space="preserve">явка на формирование республиканского бюджета 2025-2027 гг. и направлена в адрес Министерства промышленности и строительства РК </w:t>
      </w:r>
      <w:r w:rsidRPr="00A67706">
        <w:rPr>
          <w:bCs/>
          <w:i/>
          <w:color w:val="000000"/>
          <w:lang w:val="kk-KZ"/>
        </w:rPr>
        <w:t>(исх.№</w:t>
      </w:r>
      <w:r w:rsidR="00A67706" w:rsidRPr="00A67706">
        <w:rPr>
          <w:bCs/>
          <w:i/>
          <w:color w:val="000000"/>
          <w:lang w:val="kk-KZ"/>
        </w:rPr>
        <w:t>03-07/2180 от 04.03.2024 г.</w:t>
      </w:r>
      <w:r w:rsidRPr="00A67706">
        <w:rPr>
          <w:bCs/>
          <w:i/>
          <w:color w:val="000000"/>
          <w:lang w:val="kk-KZ"/>
        </w:rPr>
        <w:t>)</w:t>
      </w:r>
      <w:r w:rsidR="00A67706">
        <w:rPr>
          <w:bCs/>
          <w:iCs/>
          <w:color w:val="000000"/>
          <w:lang w:val="kk-KZ"/>
        </w:rPr>
        <w:t>, при этом проект «</w:t>
      </w:r>
      <w:r w:rsidR="00A67706" w:rsidRPr="00A67706">
        <w:rPr>
          <w:bCs/>
          <w:iCs/>
          <w:color w:val="000000"/>
          <w:lang w:val="kk-KZ"/>
        </w:rPr>
        <w:t>Строительство системы водоснабжения с. СевастопольСарыкольского района Костанайской области</w:t>
      </w:r>
      <w:r w:rsidR="00A67706">
        <w:rPr>
          <w:bCs/>
          <w:iCs/>
          <w:color w:val="000000"/>
          <w:lang w:val="kk-KZ"/>
        </w:rPr>
        <w:t>» акиматом Сарыкольского района не был предоставлен для включения в бюджетную заявку.</w:t>
      </w:r>
    </w:p>
    <w:p w:rsidR="00A67706" w:rsidRDefault="00A67706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 xml:space="preserve">На сегодняшний день </w:t>
      </w:r>
      <w:r w:rsidR="00FF1D75">
        <w:rPr>
          <w:bCs/>
          <w:iCs/>
          <w:color w:val="000000"/>
          <w:lang w:val="kk-KZ"/>
        </w:rPr>
        <w:t xml:space="preserve">по объектам водоснабжения </w:t>
      </w:r>
      <w:r>
        <w:rPr>
          <w:bCs/>
          <w:iCs/>
          <w:color w:val="000000"/>
          <w:lang w:val="kk-KZ"/>
        </w:rPr>
        <w:t>формируется бюджетная заявка на уточнение республиканского бюджета 2025 г. и на формирование республиканского бюджета 2026-2028 гг.</w:t>
      </w:r>
      <w:r w:rsidR="00FF1D75">
        <w:rPr>
          <w:bCs/>
          <w:iCs/>
          <w:color w:val="000000"/>
          <w:lang w:val="kk-KZ"/>
        </w:rPr>
        <w:t xml:space="preserve">, срок предоставления в адрес Министерства промышленности и строительства РК для акимата Костанайской области установлен 13 февраля т.г. Акиматом Сарыкольского района </w:t>
      </w:r>
      <w:r w:rsidR="00807E2D">
        <w:rPr>
          <w:bCs/>
          <w:iCs/>
          <w:color w:val="000000"/>
          <w:lang w:val="kk-KZ"/>
        </w:rPr>
        <w:t>предоставлена бюджетная заявка по</w:t>
      </w:r>
      <w:r w:rsidR="00FF1D75">
        <w:rPr>
          <w:bCs/>
          <w:iCs/>
          <w:color w:val="000000"/>
          <w:lang w:val="kk-KZ"/>
        </w:rPr>
        <w:t xml:space="preserve"> проект</w:t>
      </w:r>
      <w:r w:rsidR="00807E2D">
        <w:rPr>
          <w:bCs/>
          <w:iCs/>
          <w:color w:val="000000"/>
          <w:lang w:val="kk-KZ"/>
        </w:rPr>
        <w:t>у</w:t>
      </w:r>
      <w:r w:rsidR="00FF1D75">
        <w:rPr>
          <w:bCs/>
          <w:iCs/>
          <w:color w:val="000000"/>
          <w:lang w:val="kk-KZ"/>
        </w:rPr>
        <w:t xml:space="preserve"> «</w:t>
      </w:r>
      <w:r w:rsidR="00FF1D75" w:rsidRPr="00A67706">
        <w:rPr>
          <w:bCs/>
          <w:iCs/>
          <w:color w:val="000000"/>
          <w:lang w:val="kk-KZ"/>
        </w:rPr>
        <w:t>Строительство системы водоснабжения с. СевастопольСарыкольского района Костанайской области</w:t>
      </w:r>
      <w:r w:rsidR="00FF1D75">
        <w:rPr>
          <w:bCs/>
          <w:iCs/>
          <w:color w:val="000000"/>
          <w:lang w:val="kk-KZ"/>
        </w:rPr>
        <w:t>» на уточнение республиканского бюджета 2025 г. на 2025 г. – на сумму 74,1 млн.тенге, 2026 г. – 592,9 млн.тенге.</w:t>
      </w:r>
      <w:r w:rsidR="00E40422">
        <w:rPr>
          <w:bCs/>
          <w:iCs/>
          <w:color w:val="000000"/>
          <w:lang w:val="kk-KZ"/>
        </w:rPr>
        <w:t xml:space="preserve"> Период реализации проекта будет зависеть от положительного решения республиканской бюджетной комиссии.</w:t>
      </w:r>
    </w:p>
    <w:p w:rsidR="00E40422" w:rsidRDefault="00E40422" w:rsidP="00E4042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>Кроме этого, в мае 2024 г. проект «</w:t>
      </w:r>
      <w:r w:rsidRPr="00A67706">
        <w:rPr>
          <w:bCs/>
          <w:iCs/>
          <w:color w:val="000000"/>
          <w:lang w:val="kk-KZ"/>
        </w:rPr>
        <w:t>Строительство системы водоснабжения с. СевастопольСарыкольского района Костанайской области</w:t>
      </w:r>
      <w:r>
        <w:rPr>
          <w:bCs/>
          <w:iCs/>
          <w:color w:val="000000"/>
          <w:lang w:val="kk-KZ"/>
        </w:rPr>
        <w:t xml:space="preserve">» заявлялся на уточнение областного бюджета. Однако областной бюджетной комиссией не был поддержан к финансированию. </w:t>
      </w:r>
    </w:p>
    <w:p w:rsidR="00FF1D75" w:rsidRDefault="00E40422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lastRenderedPageBreak/>
        <w:t xml:space="preserve">Надо отметить, что Главой государства поручено к концу 2025 года обеспечить 100% </w:t>
      </w:r>
      <w:r w:rsidR="002A559A">
        <w:rPr>
          <w:bCs/>
          <w:iCs/>
          <w:color w:val="000000"/>
          <w:lang w:val="kk-KZ"/>
        </w:rPr>
        <w:t>населенных пунктов качественной питьевой водой.</w:t>
      </w:r>
    </w:p>
    <w:p w:rsidR="002A559A" w:rsidRDefault="002A559A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>Обеспеченные качественным водоснабжением или доступом к услугам водоснабжения, считаются села с централизованной системой водоснабжения, с пунктами очистки и раздачи воды, пунктами раздачи привозной воды.</w:t>
      </w:r>
    </w:p>
    <w:p w:rsidR="002A559A" w:rsidRDefault="002A559A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 xml:space="preserve">В с.Севастополь в период с 2020 по 2021 гг. был  реализован проект «Водоснабжение с.Севастополь Сарыкольского района» сметной стоимостью 165,6 млн.тенге, в рамках которого построен магистральный водовод 18,4 км  с установкой пункта раздачи воды заводского изготовления с технологическим оборудованием. </w:t>
      </w:r>
    </w:p>
    <w:p w:rsidR="002A559A" w:rsidRDefault="002A559A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 xml:space="preserve">Учитывая изложенное, с.Севастополь с 2021 г. уже обеспечено качественным водоснабжением, и считается обеспеченным </w:t>
      </w:r>
      <w:r w:rsidR="00923945">
        <w:rPr>
          <w:bCs/>
          <w:iCs/>
          <w:color w:val="000000"/>
          <w:lang w:val="kk-KZ"/>
        </w:rPr>
        <w:t>услугами водоснабжения.</w:t>
      </w:r>
    </w:p>
    <w:p w:rsidR="004D33FB" w:rsidRDefault="00923945" w:rsidP="00923945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rPr>
          <w:bCs/>
          <w:iCs/>
          <w:color w:val="000000"/>
          <w:lang w:val="kk-KZ"/>
        </w:rPr>
        <w:t>Реализация нового про</w:t>
      </w:r>
      <w:r w:rsidR="00807E2D">
        <w:rPr>
          <w:bCs/>
          <w:iCs/>
          <w:color w:val="000000"/>
          <w:lang w:val="kk-KZ"/>
        </w:rPr>
        <w:t>е</w:t>
      </w:r>
      <w:r>
        <w:rPr>
          <w:bCs/>
          <w:iCs/>
          <w:color w:val="000000"/>
          <w:lang w:val="kk-KZ"/>
        </w:rPr>
        <w:t>кта будет направлена на улучшение водоснабжения, а именно подведение водопроводных сетей до границы участков потребителей. В целом</w:t>
      </w:r>
      <w:r w:rsidR="004D33FB">
        <w:t xml:space="preserve"> реализация проекта будет зависеть от бюджетного финансирования. </w:t>
      </w:r>
    </w:p>
    <w:p w:rsidR="00055A8E" w:rsidRDefault="00055A8E" w:rsidP="00AA7406">
      <w:pPr>
        <w:spacing w:after="0" w:line="240" w:lineRule="auto"/>
        <w:ind w:firstLine="708"/>
        <w:jc w:val="both"/>
      </w:pPr>
    </w:p>
    <w:p w:rsidR="00923945" w:rsidRDefault="00923945" w:rsidP="00AA7406">
      <w:pPr>
        <w:spacing w:after="0" w:line="240" w:lineRule="auto"/>
        <w:ind w:firstLine="708"/>
        <w:jc w:val="both"/>
      </w:pPr>
    </w:p>
    <w:p w:rsidR="00923945" w:rsidRDefault="00923945" w:rsidP="00AA7406">
      <w:pPr>
        <w:spacing w:after="0" w:line="240" w:lineRule="auto"/>
        <w:ind w:firstLine="708"/>
        <w:jc w:val="both"/>
      </w:pPr>
    </w:p>
    <w:p w:rsidR="00923945" w:rsidRDefault="00923945" w:rsidP="00AA7406">
      <w:pPr>
        <w:spacing w:after="0" w:line="240" w:lineRule="auto"/>
        <w:ind w:firstLine="708"/>
        <w:jc w:val="both"/>
      </w:pPr>
    </w:p>
    <w:p w:rsidR="004D33FB" w:rsidRDefault="00807E2D" w:rsidP="0092394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Заместитель р</w:t>
      </w:r>
      <w:r w:rsidR="004D33FB">
        <w:rPr>
          <w:b/>
        </w:rPr>
        <w:t>уководител</w:t>
      </w:r>
      <w:r>
        <w:rPr>
          <w:b/>
        </w:rPr>
        <w:t>яА</w:t>
      </w:r>
      <w:r w:rsidR="004D33FB">
        <w:rPr>
          <w:b/>
        </w:rPr>
        <w:t xml:space="preserve">. </w:t>
      </w:r>
      <w:r>
        <w:rPr>
          <w:b/>
        </w:rPr>
        <w:t>Сабыржан</w:t>
      </w:r>
    </w:p>
    <w:p w:rsidR="00B61D65" w:rsidRDefault="00B61D65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Исп: </w:t>
      </w:r>
      <w:r w:rsidR="00BD37CD">
        <w:rPr>
          <w:i/>
          <w:sz w:val="20"/>
        </w:rPr>
        <w:t>И.Феськова</w:t>
      </w:r>
      <w:r w:rsidR="004D33FB">
        <w:rPr>
          <w:i/>
          <w:sz w:val="20"/>
        </w:rPr>
        <w:t xml:space="preserve">, </w:t>
      </w:r>
    </w:p>
    <w:p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Тел: 8(7142) </w:t>
      </w:r>
      <w:r w:rsidR="00BD37CD">
        <w:rPr>
          <w:i/>
          <w:sz w:val="20"/>
        </w:rPr>
        <w:t>54-56-15</w:t>
      </w:r>
    </w:p>
    <w:sectPr w:rsidR="00AA7406" w:rsidRPr="00AA7406" w:rsidSect="00055A8E">
      <w:headerReference w:type="default" r:id="rId10"/>
      <w:headerReference w:type="first" r:id="rId11"/>
      <w:pgSz w:w="11906" w:h="16838"/>
      <w:pgMar w:top="964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07" w:rsidRDefault="00C51007" w:rsidP="003720BD">
      <w:pPr>
        <w:spacing w:after="0" w:line="240" w:lineRule="auto"/>
      </w:pPr>
      <w:r>
        <w:separator/>
      </w:r>
    </w:p>
  </w:endnote>
  <w:endnote w:type="continuationSeparator" w:id="1">
    <w:p w:rsidR="00C51007" w:rsidRDefault="00C51007" w:rsidP="003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07" w:rsidRDefault="00C51007" w:rsidP="003720BD">
      <w:pPr>
        <w:spacing w:after="0" w:line="240" w:lineRule="auto"/>
      </w:pPr>
      <w:r>
        <w:separator/>
      </w:r>
    </w:p>
  </w:footnote>
  <w:footnote w:type="continuationSeparator" w:id="1">
    <w:p w:rsidR="00C51007" w:rsidRDefault="00C51007" w:rsidP="0037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88759"/>
      <w:docPartObj>
        <w:docPartGallery w:val="Page Numbers (Top of Page)"/>
        <w:docPartUnique/>
      </w:docPartObj>
    </w:sdtPr>
    <w:sdtContent>
      <w:p w:rsidR="00AE7EBB" w:rsidRDefault="00974A27">
        <w:pPr>
          <w:pStyle w:val="a5"/>
          <w:jc w:val="center"/>
        </w:pPr>
        <w:r>
          <w:fldChar w:fldCharType="begin"/>
        </w:r>
        <w:r w:rsidR="00AE7EBB">
          <w:instrText>PAGE   \* MERGEFORMAT</w:instrText>
        </w:r>
        <w:r>
          <w:fldChar w:fldCharType="separate"/>
        </w:r>
        <w:r w:rsidR="00227C3A">
          <w:rPr>
            <w:noProof/>
          </w:rPr>
          <w:t>2</w:t>
        </w:r>
        <w:r>
          <w:fldChar w:fldCharType="end"/>
        </w:r>
      </w:p>
    </w:sdtContent>
  </w:sdt>
  <w:p w:rsidR="00AE7EBB" w:rsidRDefault="00AE7E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3A" w:rsidRDefault="00227C3A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227C3A" w:rsidRPr="00227C3A" w:rsidRDefault="00227C3A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29.01.2025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03NYq/E+PC5AatY4k51/rDD6Sps=" w:salt="2MZCcTrSifaZcQORE/1lH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7406"/>
    <w:rsid w:val="000154DC"/>
    <w:rsid w:val="00016684"/>
    <w:rsid w:val="000250ED"/>
    <w:rsid w:val="00046162"/>
    <w:rsid w:val="00055A8E"/>
    <w:rsid w:val="00094C53"/>
    <w:rsid w:val="00097BF5"/>
    <w:rsid w:val="00097F9E"/>
    <w:rsid w:val="000C5BF5"/>
    <w:rsid w:val="000D1B51"/>
    <w:rsid w:val="000D421D"/>
    <w:rsid w:val="00124067"/>
    <w:rsid w:val="00135247"/>
    <w:rsid w:val="00160F12"/>
    <w:rsid w:val="001A6DCD"/>
    <w:rsid w:val="001A7E09"/>
    <w:rsid w:val="002169BE"/>
    <w:rsid w:val="00227C3A"/>
    <w:rsid w:val="00277701"/>
    <w:rsid w:val="00281FA8"/>
    <w:rsid w:val="002865E0"/>
    <w:rsid w:val="002A559A"/>
    <w:rsid w:val="002C4A87"/>
    <w:rsid w:val="002D01A7"/>
    <w:rsid w:val="002E04B2"/>
    <w:rsid w:val="002E79FB"/>
    <w:rsid w:val="00323156"/>
    <w:rsid w:val="003720BD"/>
    <w:rsid w:val="0037753D"/>
    <w:rsid w:val="00407FA7"/>
    <w:rsid w:val="00413CBE"/>
    <w:rsid w:val="0042781B"/>
    <w:rsid w:val="00433677"/>
    <w:rsid w:val="004613BF"/>
    <w:rsid w:val="00485278"/>
    <w:rsid w:val="004B5403"/>
    <w:rsid w:val="004D33FB"/>
    <w:rsid w:val="004D59E1"/>
    <w:rsid w:val="00545D50"/>
    <w:rsid w:val="005D07D2"/>
    <w:rsid w:val="00610A8A"/>
    <w:rsid w:val="006F15AB"/>
    <w:rsid w:val="006F40D8"/>
    <w:rsid w:val="007251CB"/>
    <w:rsid w:val="00743913"/>
    <w:rsid w:val="007B33FF"/>
    <w:rsid w:val="00807E2D"/>
    <w:rsid w:val="008C1868"/>
    <w:rsid w:val="008E1E30"/>
    <w:rsid w:val="0090555E"/>
    <w:rsid w:val="00923945"/>
    <w:rsid w:val="0093393E"/>
    <w:rsid w:val="00950148"/>
    <w:rsid w:val="00960236"/>
    <w:rsid w:val="00974A27"/>
    <w:rsid w:val="00977AB3"/>
    <w:rsid w:val="009B3ADC"/>
    <w:rsid w:val="009C40EC"/>
    <w:rsid w:val="00A36F05"/>
    <w:rsid w:val="00A67706"/>
    <w:rsid w:val="00A73C7B"/>
    <w:rsid w:val="00A77909"/>
    <w:rsid w:val="00AA7406"/>
    <w:rsid w:val="00AE7EBB"/>
    <w:rsid w:val="00B103CC"/>
    <w:rsid w:val="00B47F70"/>
    <w:rsid w:val="00B61D65"/>
    <w:rsid w:val="00BB19CA"/>
    <w:rsid w:val="00BB4918"/>
    <w:rsid w:val="00BC2652"/>
    <w:rsid w:val="00BC310E"/>
    <w:rsid w:val="00BD37CD"/>
    <w:rsid w:val="00BD72C4"/>
    <w:rsid w:val="00BE4653"/>
    <w:rsid w:val="00BE7D2F"/>
    <w:rsid w:val="00BF2C99"/>
    <w:rsid w:val="00C3618A"/>
    <w:rsid w:val="00C41334"/>
    <w:rsid w:val="00C51007"/>
    <w:rsid w:val="00C80345"/>
    <w:rsid w:val="00C917A3"/>
    <w:rsid w:val="00CD358D"/>
    <w:rsid w:val="00CD6F13"/>
    <w:rsid w:val="00CE5182"/>
    <w:rsid w:val="00D25BC1"/>
    <w:rsid w:val="00D503AE"/>
    <w:rsid w:val="00DA2FE1"/>
    <w:rsid w:val="00DA5202"/>
    <w:rsid w:val="00DA6026"/>
    <w:rsid w:val="00DB002F"/>
    <w:rsid w:val="00DD001B"/>
    <w:rsid w:val="00DE681F"/>
    <w:rsid w:val="00DF2BAE"/>
    <w:rsid w:val="00DF364D"/>
    <w:rsid w:val="00DF74C7"/>
    <w:rsid w:val="00E047F3"/>
    <w:rsid w:val="00E11D3B"/>
    <w:rsid w:val="00E12B45"/>
    <w:rsid w:val="00E1601D"/>
    <w:rsid w:val="00E17344"/>
    <w:rsid w:val="00E31368"/>
    <w:rsid w:val="00E35110"/>
    <w:rsid w:val="00E40422"/>
    <w:rsid w:val="00E420F1"/>
    <w:rsid w:val="00E53835"/>
    <w:rsid w:val="00EE6B18"/>
    <w:rsid w:val="00EF2575"/>
    <w:rsid w:val="00EF3C30"/>
    <w:rsid w:val="00F07667"/>
    <w:rsid w:val="00F11B25"/>
    <w:rsid w:val="00F1464A"/>
    <w:rsid w:val="00F16BB4"/>
    <w:rsid w:val="00F807C7"/>
    <w:rsid w:val="00F837B1"/>
    <w:rsid w:val="00F97E63"/>
    <w:rsid w:val="00FA3514"/>
    <w:rsid w:val="00FD531A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BD"/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BD"/>
  </w:style>
  <w:style w:type="paragraph" w:styleId="a9">
    <w:name w:val="No Spacing"/>
    <w:link w:val="aa"/>
    <w:uiPriority w:val="1"/>
    <w:qFormat/>
    <w:rsid w:val="00216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169B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D3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D33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ergy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D023-17FE-44E5-B21E-75CFB78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530</Words>
  <Characters>3021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43</cp:revision>
  <cp:lastPrinted>2023-10-31T05:16:00Z</cp:lastPrinted>
  <dcterms:created xsi:type="dcterms:W3CDTF">2021-07-12T04:05:00Z</dcterms:created>
  <dcterms:modified xsi:type="dcterms:W3CDTF">2025-01-29T05:55:00Z</dcterms:modified>
</cp:coreProperties>
</file>