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EC2B2" w14:textId="77777777" w:rsidR="00892E1E" w:rsidRDefault="00035F55" w:rsidP="00892E1E">
      <w:pPr>
        <w:rPr>
          <w:color w:val="3399FF"/>
          <w:lang w:val="kk-KZ"/>
        </w:rPr>
      </w:pPr>
      <w:r>
        <w:rPr>
          <w:color w:val="3399FF"/>
          <w:lang w:val="kk-KZ"/>
        </w:rPr>
        <w:t xml:space="preserve">          </w:t>
      </w:r>
      <w:r w:rsidR="003F26A2">
        <w:rPr>
          <w:color w:val="3399FF"/>
          <w:lang w:val="kk-KZ"/>
        </w:rPr>
        <w:t xml:space="preserve">         Астана</w:t>
      </w:r>
      <w:r w:rsidR="00892E1E">
        <w:rPr>
          <w:color w:val="3399FF"/>
          <w:lang w:val="kk-KZ"/>
        </w:rPr>
        <w:t xml:space="preserve"> қ</w:t>
      </w:r>
      <w:r w:rsidR="00892E1E">
        <w:rPr>
          <w:color w:val="3399FF"/>
        </w:rPr>
        <w:t>аласы</w:t>
      </w:r>
      <w:r w:rsidR="00892E1E" w:rsidRPr="00D31102">
        <w:rPr>
          <w:color w:val="3399FF"/>
          <w:lang w:val="kk-KZ"/>
        </w:rPr>
        <w:t xml:space="preserve">                                                                   </w:t>
      </w:r>
      <w:r w:rsidR="00892E1E">
        <w:rPr>
          <w:color w:val="3399FF"/>
          <w:lang w:val="kk-KZ"/>
        </w:rPr>
        <w:t xml:space="preserve">                             </w:t>
      </w:r>
      <w:r>
        <w:rPr>
          <w:color w:val="3399FF"/>
          <w:lang w:val="kk-KZ"/>
        </w:rPr>
        <w:t xml:space="preserve">    </w:t>
      </w:r>
      <w:r w:rsidR="00892E1E">
        <w:rPr>
          <w:color w:val="3399FF"/>
          <w:lang w:val="kk-KZ"/>
        </w:rPr>
        <w:t xml:space="preserve">         город </w:t>
      </w:r>
      <w:r w:rsidR="003F26A2">
        <w:rPr>
          <w:color w:val="3399FF"/>
          <w:lang w:val="kk-KZ"/>
        </w:rPr>
        <w:t>Астана</w:t>
      </w:r>
      <w:r w:rsidR="00892E1E" w:rsidRPr="00D31102">
        <w:rPr>
          <w:color w:val="3399FF"/>
          <w:lang w:val="kk-KZ"/>
        </w:rPr>
        <w:t xml:space="preserve">                                                                   </w:t>
      </w:r>
      <w:r w:rsidR="00892E1E">
        <w:rPr>
          <w:color w:val="3399FF"/>
          <w:lang w:val="kk-KZ"/>
        </w:rPr>
        <w:t xml:space="preserve">                                           </w:t>
      </w:r>
      <w:r w:rsidR="00892E1E" w:rsidRPr="00D31102">
        <w:rPr>
          <w:color w:val="3399FF"/>
          <w:lang w:val="kk-KZ"/>
        </w:rPr>
        <w:t xml:space="preserve"> </w:t>
      </w:r>
    </w:p>
    <w:p w14:paraId="19102380" w14:textId="77777777" w:rsidR="00EE69B8" w:rsidRDefault="00EE69B8" w:rsidP="00934587">
      <w:pPr>
        <w:rPr>
          <w:color w:val="3399FF"/>
          <w:lang w:val="kk-KZ"/>
        </w:rPr>
      </w:pPr>
    </w:p>
    <w:p w14:paraId="1B2EA138" w14:textId="743A16A2" w:rsidR="00642211" w:rsidRDefault="00642211" w:rsidP="00934587">
      <w:pPr>
        <w:rPr>
          <w:color w:val="3399FF"/>
          <w:lang w:val="kk-KZ"/>
        </w:rPr>
      </w:pPr>
    </w:p>
    <w:p w14:paraId="16DF03ED" w14:textId="77777777" w:rsidR="005E764A" w:rsidRDefault="005E764A" w:rsidP="005E764A">
      <w:pPr>
        <w:shd w:val="clear" w:color="auto" w:fill="FFFFFF"/>
        <w:spacing w:after="300"/>
        <w:jc w:val="center"/>
        <w:rPr>
          <w:b/>
          <w:sz w:val="28"/>
          <w:szCs w:val="28"/>
        </w:rPr>
      </w:pPr>
      <w:r>
        <w:rPr>
          <w:b/>
          <w:sz w:val="28"/>
          <w:szCs w:val="28"/>
        </w:rPr>
        <w:t>«Бірдей басымдығы бар өтініш берушілер арасында аукцион өткізу қағидаларын бекіту туралы» Қазақстан Республикасы Инвестициялар және даму министрінің 2018 жылғы 11 мамырдағы № 316 бұйрығына өзгеріс енгізу туралы</w:t>
      </w:r>
    </w:p>
    <w:p w14:paraId="04A66069" w14:textId="77777777" w:rsidR="005E764A" w:rsidRPr="00667E7E" w:rsidRDefault="005E764A" w:rsidP="005E764A">
      <w:pPr>
        <w:shd w:val="clear" w:color="auto" w:fill="FFFFFF"/>
        <w:spacing w:after="300"/>
        <w:jc w:val="both"/>
        <w:rPr>
          <w:b/>
          <w:bCs/>
          <w:sz w:val="28"/>
          <w:szCs w:val="28"/>
        </w:rPr>
      </w:pPr>
      <w:r w:rsidRPr="00667E7E">
        <w:rPr>
          <w:b/>
          <w:bCs/>
          <w:sz w:val="28"/>
          <w:szCs w:val="28"/>
        </w:rPr>
        <w:t>БҰЙЫРАМЫН:</w:t>
      </w:r>
    </w:p>
    <w:p w14:paraId="7DCD504B" w14:textId="5F781FFA" w:rsidR="005E764A" w:rsidRDefault="005E764A" w:rsidP="00667E7E">
      <w:pPr>
        <w:shd w:val="clear" w:color="auto" w:fill="FFFFFF"/>
        <w:jc w:val="both"/>
        <w:rPr>
          <w:sz w:val="28"/>
          <w:szCs w:val="28"/>
        </w:rPr>
      </w:pPr>
      <w:r>
        <w:rPr>
          <w:sz w:val="28"/>
          <w:szCs w:val="28"/>
        </w:rPr>
        <w:t xml:space="preserve">  </w:t>
      </w:r>
      <w:r>
        <w:rPr>
          <w:sz w:val="28"/>
          <w:szCs w:val="28"/>
        </w:rPr>
        <w:tab/>
        <w:t xml:space="preserve">1. </w:t>
      </w:r>
      <w:r w:rsidR="00667E7E" w:rsidRPr="00667E7E">
        <w:rPr>
          <w:sz w:val="28"/>
          <w:szCs w:val="28"/>
        </w:rPr>
        <w:t>«</w:t>
      </w:r>
      <w:r>
        <w:rPr>
          <w:sz w:val="28"/>
          <w:szCs w:val="28"/>
        </w:rPr>
        <w:t>Бірдей басымдығы бар өтініш берушілер арасында аукцион өткізу қағидаларын бекіту туралы</w:t>
      </w:r>
      <w:r w:rsidR="00667E7E">
        <w:rPr>
          <w:sz w:val="28"/>
          <w:szCs w:val="28"/>
        </w:rPr>
        <w:t>»</w:t>
      </w:r>
      <w:r>
        <w:rPr>
          <w:sz w:val="28"/>
          <w:szCs w:val="28"/>
        </w:rPr>
        <w:t xml:space="preserve"> Қазақстан Республикасы Инвестициялар және даму министрінің 2018 жылғы 11 мамырдағы № 316 </w:t>
      </w:r>
      <w:hyperlink r:id="rId7" w:anchor="z1">
        <w:r>
          <w:rPr>
            <w:color w:val="073A5E"/>
            <w:sz w:val="28"/>
            <w:szCs w:val="28"/>
            <w:u w:val="single"/>
          </w:rPr>
          <w:t>бұйрығына</w:t>
        </w:r>
      </w:hyperlink>
      <w:r>
        <w:rPr>
          <w:sz w:val="28"/>
          <w:szCs w:val="28"/>
        </w:rPr>
        <w:t xml:space="preserve"> (Нормативтік құқықтық актілерді мемлекеттік тіркеу тізілімінде № 16994 болып тіркелген) мынадай өзгеріс енгізілсін:</w:t>
      </w:r>
    </w:p>
    <w:p w14:paraId="488E3745" w14:textId="77777777" w:rsidR="005E764A" w:rsidRDefault="005E764A" w:rsidP="00667E7E">
      <w:pPr>
        <w:shd w:val="clear" w:color="auto" w:fill="FFFFFF"/>
        <w:ind w:firstLine="708"/>
        <w:jc w:val="both"/>
        <w:rPr>
          <w:sz w:val="28"/>
          <w:szCs w:val="28"/>
        </w:rPr>
      </w:pPr>
      <w:r>
        <w:rPr>
          <w:sz w:val="28"/>
          <w:szCs w:val="28"/>
        </w:rPr>
        <w:t>2-тармақ мынадай мазмұндағы 22), 23, 24) и 25)-тармақтарменпен толықтырылсын:</w:t>
      </w:r>
    </w:p>
    <w:p w14:paraId="12EB2CCF" w14:textId="77777777" w:rsidR="005E764A" w:rsidRDefault="005E764A" w:rsidP="005E764A">
      <w:pPr>
        <w:shd w:val="clear" w:color="auto" w:fill="FFFFFF"/>
        <w:ind w:firstLine="708"/>
        <w:jc w:val="both"/>
        <w:rPr>
          <w:sz w:val="28"/>
          <w:szCs w:val="28"/>
        </w:rPr>
      </w:pPr>
      <w:r>
        <w:rPr>
          <w:sz w:val="28"/>
          <w:szCs w:val="28"/>
        </w:rPr>
        <w:t>«22) кепілдік жарна – қол қою бонусын төлеу жөніндегі аукцион жеңімпазының міндеттемесін орындауды қамтамасыз ету болып табылатын, өтінім беруші аукционға қатысу үшін енгізетін ақшалай сома;</w:t>
      </w:r>
    </w:p>
    <w:p w14:paraId="6322B366" w14:textId="77777777" w:rsidR="005E764A" w:rsidRDefault="005E764A" w:rsidP="005E764A">
      <w:pPr>
        <w:shd w:val="clear" w:color="auto" w:fill="FFFFFF"/>
        <w:ind w:firstLine="708"/>
        <w:jc w:val="both"/>
        <w:rPr>
          <w:sz w:val="28"/>
          <w:szCs w:val="28"/>
        </w:rPr>
      </w:pPr>
      <w:r>
        <w:rPr>
          <w:sz w:val="28"/>
          <w:szCs w:val="28"/>
        </w:rPr>
        <w:t>23) қатысуға өтінім – қатты пайдалы қазбаларды барлауға лицензия беруге өтініш беруші берген аукционға қатысуға өтінім;</w:t>
      </w:r>
    </w:p>
    <w:p w14:paraId="454944B8" w14:textId="77777777" w:rsidR="005E764A" w:rsidRDefault="005E764A" w:rsidP="005E764A">
      <w:pPr>
        <w:shd w:val="clear" w:color="auto" w:fill="FFFFFF"/>
        <w:ind w:firstLine="708"/>
        <w:jc w:val="both"/>
        <w:rPr>
          <w:sz w:val="28"/>
          <w:szCs w:val="28"/>
        </w:rPr>
      </w:pPr>
      <w:r>
        <w:rPr>
          <w:sz w:val="28"/>
          <w:szCs w:val="28"/>
        </w:rPr>
        <w:t>24) жер қойнауын пайдаланушылардың бірыңғай платформасы (бұдан әрі – бірыңғай платформа) – лицензия берудің бизнес-процестерін автоматтандыруға арналған тізілімнің веб-порталындағы ақпараттық жүйе;</w:t>
      </w:r>
    </w:p>
    <w:p w14:paraId="26DE1991" w14:textId="77777777" w:rsidR="005E764A" w:rsidRDefault="005E764A" w:rsidP="005E764A">
      <w:pPr>
        <w:shd w:val="clear" w:color="auto" w:fill="FFFFFF"/>
        <w:ind w:firstLine="708"/>
        <w:jc w:val="both"/>
        <w:rPr>
          <w:sz w:val="28"/>
          <w:szCs w:val="28"/>
        </w:rPr>
      </w:pPr>
      <w:r>
        <w:rPr>
          <w:sz w:val="28"/>
          <w:szCs w:val="28"/>
        </w:rPr>
        <w:t>25) электрондық әмиян – қатысушының Екінші деңгейдегі банктегі бірыңғай оператордың есеп айырысу шотына енгізген ақшасын көрсету үшін тізілімдегі дербес шоты.»;</w:t>
      </w:r>
    </w:p>
    <w:p w14:paraId="31879789" w14:textId="77777777" w:rsidR="005E764A" w:rsidRDefault="005E764A" w:rsidP="005E764A">
      <w:pPr>
        <w:shd w:val="clear" w:color="auto" w:fill="FFFFFF"/>
        <w:ind w:firstLine="708"/>
        <w:jc w:val="both"/>
        <w:rPr>
          <w:sz w:val="28"/>
          <w:szCs w:val="28"/>
        </w:rPr>
      </w:pPr>
      <w:r>
        <w:rPr>
          <w:sz w:val="28"/>
          <w:szCs w:val="28"/>
        </w:rPr>
        <w:t>16-тармақ мынадай редакцияда жазылсын:</w:t>
      </w:r>
    </w:p>
    <w:p w14:paraId="39CD1DAA" w14:textId="77777777" w:rsidR="005E764A" w:rsidRDefault="005E764A" w:rsidP="005E764A">
      <w:pPr>
        <w:shd w:val="clear" w:color="auto" w:fill="FFFFFF"/>
        <w:ind w:firstLine="708"/>
        <w:jc w:val="both"/>
        <w:rPr>
          <w:sz w:val="28"/>
          <w:szCs w:val="28"/>
        </w:rPr>
      </w:pPr>
      <w:r>
        <w:rPr>
          <w:sz w:val="28"/>
          <w:szCs w:val="28"/>
        </w:rPr>
        <w:t>«16. Аукционға қатысу үшін мыналарды көрсете отырып, тізілімнің веб-порталында алдын ала тіркелу қажет:</w:t>
      </w:r>
    </w:p>
    <w:p w14:paraId="0CF7D3C2" w14:textId="77777777" w:rsidR="005E764A" w:rsidRDefault="005E764A" w:rsidP="005E764A">
      <w:pPr>
        <w:shd w:val="clear" w:color="auto" w:fill="FFFFFF"/>
        <w:ind w:firstLine="708"/>
        <w:jc w:val="both"/>
        <w:rPr>
          <w:sz w:val="28"/>
          <w:szCs w:val="28"/>
        </w:rPr>
      </w:pPr>
      <w:r>
        <w:rPr>
          <w:sz w:val="28"/>
          <w:szCs w:val="28"/>
        </w:rPr>
        <w:t>1) жеке тұлғалар үшін: ЖСН, тегі, аты және әкесінің аты (бар болса);</w:t>
      </w:r>
    </w:p>
    <w:p w14:paraId="1A837A84" w14:textId="36AF8EA2" w:rsidR="005E764A" w:rsidRDefault="005E764A" w:rsidP="005E764A">
      <w:pPr>
        <w:shd w:val="clear" w:color="auto" w:fill="FFFFFF"/>
        <w:ind w:firstLine="708"/>
        <w:jc w:val="both"/>
        <w:rPr>
          <w:sz w:val="28"/>
          <w:szCs w:val="28"/>
        </w:rPr>
      </w:pPr>
      <w:r>
        <w:rPr>
          <w:sz w:val="28"/>
          <w:szCs w:val="28"/>
        </w:rPr>
        <w:t>2) заңды тұлғалар үшін: БСН, толық атауы, бірінші басшының тегі, аты және әкесінің аты (бар болса);</w:t>
      </w:r>
    </w:p>
    <w:p w14:paraId="40FFE6E8" w14:textId="77777777" w:rsidR="005E764A" w:rsidRDefault="005E764A" w:rsidP="005E764A">
      <w:pPr>
        <w:shd w:val="clear" w:color="auto" w:fill="FFFFFF"/>
        <w:ind w:firstLine="708"/>
        <w:jc w:val="both"/>
        <w:rPr>
          <w:sz w:val="28"/>
          <w:szCs w:val="28"/>
        </w:rPr>
      </w:pPr>
      <w:r>
        <w:rPr>
          <w:sz w:val="28"/>
          <w:szCs w:val="28"/>
        </w:rPr>
        <w:t>3) байланыс деректері (пошталық мекенжайы, телефон, e-mail).</w:t>
      </w:r>
    </w:p>
    <w:p w14:paraId="344A1AAA" w14:textId="77777777" w:rsidR="005E764A" w:rsidRDefault="005E764A" w:rsidP="005E764A">
      <w:pPr>
        <w:shd w:val="clear" w:color="auto" w:fill="FFFFFF"/>
        <w:ind w:firstLine="708"/>
        <w:jc w:val="both"/>
        <w:rPr>
          <w:sz w:val="28"/>
          <w:szCs w:val="28"/>
        </w:rPr>
      </w:pPr>
      <w:r>
        <w:rPr>
          <w:sz w:val="28"/>
          <w:szCs w:val="28"/>
        </w:rPr>
        <w:t>Жоғарыда көрсетілген деректер өзгерген кезде қатысушы өтінішті тіркегенге дейін тізілімнің веб-порталына енгізілген деректерді өзгертеді.</w:t>
      </w:r>
    </w:p>
    <w:p w14:paraId="19EDB112" w14:textId="77777777" w:rsidR="005E764A" w:rsidRDefault="005E764A" w:rsidP="005E764A">
      <w:pPr>
        <w:shd w:val="clear" w:color="auto" w:fill="FFFFFF"/>
        <w:ind w:firstLine="708"/>
        <w:jc w:val="both"/>
        <w:rPr>
          <w:sz w:val="28"/>
          <w:szCs w:val="28"/>
        </w:rPr>
      </w:pPr>
      <w:r>
        <w:rPr>
          <w:sz w:val="28"/>
          <w:szCs w:val="28"/>
        </w:rPr>
        <w:lastRenderedPageBreak/>
        <w:t>16-1. Жеке және заңды тұлғалардың электрондық аукционға қатысуға өтініштерін қалыптастыру, қабылдау және өңдеу мынадай кезеңдерден тұрады:</w:t>
      </w:r>
    </w:p>
    <w:p w14:paraId="4EAEB3B0" w14:textId="77777777" w:rsidR="005E764A" w:rsidRDefault="005E764A" w:rsidP="005E764A">
      <w:pPr>
        <w:shd w:val="clear" w:color="auto" w:fill="FFFFFF"/>
        <w:ind w:firstLine="708"/>
        <w:jc w:val="both"/>
        <w:rPr>
          <w:sz w:val="28"/>
          <w:szCs w:val="28"/>
        </w:rPr>
      </w:pPr>
      <w:r>
        <w:rPr>
          <w:sz w:val="28"/>
          <w:szCs w:val="28"/>
        </w:rPr>
        <w:t>1) жеке және заңды тұлғалардың кепілдік жарнаны және қатысу жарнасын төлеуі;</w:t>
      </w:r>
    </w:p>
    <w:p w14:paraId="1F3050F7" w14:textId="77777777" w:rsidR="005E764A" w:rsidRDefault="005E764A" w:rsidP="005E764A">
      <w:pPr>
        <w:shd w:val="clear" w:color="auto" w:fill="FFFFFF"/>
        <w:ind w:firstLine="708"/>
        <w:jc w:val="both"/>
        <w:rPr>
          <w:sz w:val="28"/>
          <w:szCs w:val="28"/>
        </w:rPr>
      </w:pPr>
      <w:r>
        <w:rPr>
          <w:sz w:val="28"/>
          <w:szCs w:val="28"/>
        </w:rPr>
        <w:t>2) ақпараттандыру объектісіне қатысуға жеке және заңды тұлғалардың өтінішті қалыптастыруы және қол қоюы;</w:t>
      </w:r>
    </w:p>
    <w:p w14:paraId="1B9EC808" w14:textId="77777777" w:rsidR="005E764A" w:rsidRDefault="005E764A" w:rsidP="005E764A">
      <w:pPr>
        <w:shd w:val="clear" w:color="auto" w:fill="FFFFFF"/>
        <w:ind w:firstLine="708"/>
        <w:jc w:val="both"/>
        <w:rPr>
          <w:sz w:val="28"/>
          <w:szCs w:val="28"/>
        </w:rPr>
      </w:pPr>
      <w:r>
        <w:rPr>
          <w:sz w:val="28"/>
          <w:szCs w:val="28"/>
        </w:rPr>
        <w:t>3) қатысуға электрондық өтінішті құзыретті органның қабылдауы және өңдеуі;</w:t>
      </w:r>
    </w:p>
    <w:p w14:paraId="356CAC81" w14:textId="77777777" w:rsidR="005E764A" w:rsidRDefault="005E764A" w:rsidP="005E764A">
      <w:pPr>
        <w:shd w:val="clear" w:color="auto" w:fill="FFFFFF"/>
        <w:ind w:firstLine="708"/>
        <w:jc w:val="both"/>
        <w:rPr>
          <w:sz w:val="28"/>
          <w:szCs w:val="28"/>
        </w:rPr>
      </w:pPr>
      <w:r>
        <w:rPr>
          <w:sz w:val="28"/>
          <w:szCs w:val="28"/>
        </w:rPr>
        <w:t>4) ақпараттандыру объектісінде қатысуға арналған өтінішті өңдеу мәртебесін көрсету.</w:t>
      </w:r>
    </w:p>
    <w:p w14:paraId="2522A349" w14:textId="77777777" w:rsidR="005E764A" w:rsidRDefault="005E764A" w:rsidP="005E764A">
      <w:pPr>
        <w:shd w:val="clear" w:color="auto" w:fill="FFFFFF"/>
        <w:ind w:firstLine="708"/>
        <w:jc w:val="both"/>
        <w:rPr>
          <w:sz w:val="28"/>
          <w:szCs w:val="28"/>
        </w:rPr>
      </w:pPr>
      <w:r>
        <w:rPr>
          <w:sz w:val="28"/>
          <w:szCs w:val="28"/>
        </w:rPr>
        <w:t>Жеке және заңды тұлғалар қатысуға арналған өтінішті қалыптастыру және беру үшін осы Қағидалардың 7-тармағында көзделген шарттарды сақтауды, сондай-ақ кепілдік жарнаны және аукционға қатысу жарнасын төлеуді қамтамасыз етеді.</w:t>
      </w:r>
    </w:p>
    <w:p w14:paraId="3CDEF9DE" w14:textId="77777777" w:rsidR="005E764A" w:rsidRDefault="005E764A" w:rsidP="005E764A">
      <w:pPr>
        <w:shd w:val="clear" w:color="auto" w:fill="FFFFFF"/>
        <w:ind w:firstLine="708"/>
        <w:jc w:val="both"/>
        <w:rPr>
          <w:sz w:val="28"/>
          <w:szCs w:val="28"/>
        </w:rPr>
      </w:pPr>
      <w:r>
        <w:rPr>
          <w:sz w:val="28"/>
          <w:szCs w:val="28"/>
        </w:rPr>
        <w:t>Ақпараттандыру объектісінде қатысуға арналған өтінішті қабылдау және өңдеу кезінде өтініштің толық және дұрыс толтырылуын тексеруден тұратын форматтық-логикалық бақылау жүзеге асырылады.</w:t>
      </w:r>
    </w:p>
    <w:p w14:paraId="51248507" w14:textId="77777777" w:rsidR="005E764A" w:rsidRDefault="005E764A" w:rsidP="005E764A">
      <w:pPr>
        <w:shd w:val="clear" w:color="auto" w:fill="FFFFFF"/>
        <w:ind w:firstLine="708"/>
        <w:jc w:val="both"/>
        <w:rPr>
          <w:sz w:val="28"/>
          <w:szCs w:val="28"/>
        </w:rPr>
      </w:pPr>
      <w:r>
        <w:rPr>
          <w:sz w:val="28"/>
          <w:szCs w:val="28"/>
        </w:rPr>
        <w:t>Форматты-логикалық бақылау нәтижелері аукционға қатысуға арналған өтінішке енгізіледі.</w:t>
      </w:r>
    </w:p>
    <w:p w14:paraId="01102D0C" w14:textId="77777777" w:rsidR="005E764A" w:rsidRDefault="005E764A" w:rsidP="005E764A">
      <w:pPr>
        <w:shd w:val="clear" w:color="auto" w:fill="FFFFFF"/>
        <w:ind w:firstLine="708"/>
        <w:jc w:val="both"/>
        <w:rPr>
          <w:sz w:val="28"/>
          <w:szCs w:val="28"/>
        </w:rPr>
      </w:pPr>
      <w:r>
        <w:rPr>
          <w:sz w:val="28"/>
          <w:szCs w:val="28"/>
        </w:rPr>
        <w:t>16-2. Аукционға қатысу үшін жарнаның мөлшері республикалық бюджет туралы заңда белгіленген және аукцион өткізу туралы хабарламаны орналастыру күніне қолданыста болатын айлық есептік көрсеткіштің бір 100 (жүз есе) еселенген мөлшерін құрайды.</w:t>
      </w:r>
    </w:p>
    <w:p w14:paraId="649CCE1E" w14:textId="77777777" w:rsidR="005E764A" w:rsidRDefault="005E764A" w:rsidP="005E764A">
      <w:pPr>
        <w:shd w:val="clear" w:color="auto" w:fill="FFFFFF"/>
        <w:ind w:firstLine="708"/>
        <w:jc w:val="both"/>
        <w:rPr>
          <w:sz w:val="28"/>
          <w:szCs w:val="28"/>
        </w:rPr>
      </w:pPr>
      <w:r>
        <w:rPr>
          <w:sz w:val="28"/>
          <w:szCs w:val="28"/>
        </w:rPr>
        <w:t>16-3. Аукционға қатысу жарнасы операторға төленеді және қатысуға өтініш берген адамға қайтаруға жатпайды.</w:t>
      </w:r>
    </w:p>
    <w:p w14:paraId="6E9C4DE8" w14:textId="77777777" w:rsidR="005E764A" w:rsidRDefault="005E764A" w:rsidP="005E764A">
      <w:pPr>
        <w:shd w:val="clear" w:color="auto" w:fill="FFFFFF"/>
        <w:ind w:firstLine="708"/>
        <w:jc w:val="both"/>
        <w:rPr>
          <w:sz w:val="28"/>
          <w:szCs w:val="28"/>
        </w:rPr>
      </w:pPr>
      <w:r>
        <w:rPr>
          <w:sz w:val="28"/>
          <w:szCs w:val="28"/>
        </w:rPr>
        <w:t>Біріңғай оператор ақпараттандыру объектісі аукционға қатысуға өтініш қабылдаған күннен бастап 3 (үш) жұмыс күні ішінде мемлекет кірісіне қатысқаны үшін жарналарды аударады.</w:t>
      </w:r>
    </w:p>
    <w:p w14:paraId="7D65AFFE" w14:textId="77777777" w:rsidR="005E764A" w:rsidRDefault="005E764A" w:rsidP="005E764A">
      <w:pPr>
        <w:shd w:val="clear" w:color="auto" w:fill="FFFFFF"/>
        <w:ind w:firstLine="708"/>
        <w:jc w:val="both"/>
        <w:rPr>
          <w:sz w:val="28"/>
          <w:szCs w:val="28"/>
        </w:rPr>
      </w:pPr>
      <w:r>
        <w:rPr>
          <w:sz w:val="28"/>
          <w:szCs w:val="28"/>
        </w:rPr>
        <w:t>16-4. Кепілдік жарнаны өтініш беруші электрондық әмиянға енгізеді және жеңімпаздың қол қою бонусын төлеу жөніндегі міндеттемесінің орындалуын қамтамасыз ету болып табылады.</w:t>
      </w:r>
    </w:p>
    <w:p w14:paraId="411DA713" w14:textId="77777777" w:rsidR="005E764A" w:rsidRDefault="005E764A" w:rsidP="005E764A">
      <w:pPr>
        <w:shd w:val="clear" w:color="auto" w:fill="FFFFFF"/>
        <w:ind w:firstLine="708"/>
        <w:jc w:val="both"/>
        <w:rPr>
          <w:sz w:val="28"/>
          <w:szCs w:val="28"/>
        </w:rPr>
      </w:pPr>
      <w:r>
        <w:rPr>
          <w:sz w:val="28"/>
          <w:szCs w:val="28"/>
        </w:rPr>
        <w:t>16-5. Кепілдік жарнаның мөлшерін құзыретті орган айқындайды және:</w:t>
      </w:r>
    </w:p>
    <w:p w14:paraId="299F4ADC" w14:textId="77777777" w:rsidR="005E764A" w:rsidRDefault="005E764A" w:rsidP="005E764A">
      <w:pPr>
        <w:shd w:val="clear" w:color="auto" w:fill="FFFFFF"/>
        <w:ind w:firstLine="708"/>
        <w:jc w:val="both"/>
        <w:rPr>
          <w:sz w:val="28"/>
          <w:szCs w:val="28"/>
        </w:rPr>
      </w:pPr>
      <w:r>
        <w:rPr>
          <w:sz w:val="28"/>
          <w:szCs w:val="28"/>
        </w:rPr>
        <w:t>1) көмірсутектерді барлауға және өндіруге жер қойнауын пайдалану құқығы берілген жағдайда – Қазақстан Республикасының салық заңнамасына сәйкес айқындалған қол қою бонусының бастапқы мөлшерінің екі еселенген мөлшеріне тең сома;</w:t>
      </w:r>
    </w:p>
    <w:p w14:paraId="5F07B449" w14:textId="77777777" w:rsidR="005E764A" w:rsidRDefault="005E764A" w:rsidP="005E764A">
      <w:pPr>
        <w:shd w:val="clear" w:color="auto" w:fill="FFFFFF"/>
        <w:ind w:firstLine="708"/>
        <w:jc w:val="both"/>
        <w:rPr>
          <w:sz w:val="28"/>
          <w:szCs w:val="28"/>
        </w:rPr>
      </w:pPr>
      <w:r>
        <w:rPr>
          <w:sz w:val="28"/>
          <w:szCs w:val="28"/>
        </w:rPr>
        <w:t>2) көмірсутектерді өндіруге жер қойнауын пайдалану құқығы берілген жағдайда – Қазақстан Республикасының салық заңнамасына сәйкес айқындалған қол қою бонусының бастапқы мөлшерінің бір еселенген мөлшеріне тең сома.</w:t>
      </w:r>
    </w:p>
    <w:p w14:paraId="459C309B" w14:textId="77777777" w:rsidR="005E764A" w:rsidRDefault="005E764A" w:rsidP="005E764A">
      <w:pPr>
        <w:shd w:val="clear" w:color="auto" w:fill="FFFFFF"/>
        <w:ind w:firstLine="708"/>
        <w:jc w:val="both"/>
        <w:rPr>
          <w:sz w:val="28"/>
          <w:szCs w:val="28"/>
        </w:rPr>
      </w:pPr>
      <w:r>
        <w:rPr>
          <w:sz w:val="28"/>
          <w:szCs w:val="28"/>
        </w:rPr>
        <w:t>16-6. Аукцион жеңімпазының және/немесе аукцион жеңімпазынан кейін қол қою бонусының келесі ең көп мөлшерін ұсынған аукционға қатысушының кепілдік жарналарын олардың ақпараттандыру объектісінде оператордың атына берілген өтініштері бойынша оператор 3 (үш) жұмыс күні ішінде аукцион жеңімпазының қол қою бонусын төлеуі жөніндегі міндеттемесін орындау есебіне бюджетке аударады.</w:t>
      </w:r>
    </w:p>
    <w:p w14:paraId="14018D38" w14:textId="77777777" w:rsidR="005E764A" w:rsidRDefault="005E764A" w:rsidP="005E764A">
      <w:pPr>
        <w:shd w:val="clear" w:color="auto" w:fill="FFFFFF"/>
        <w:ind w:firstLine="708"/>
        <w:jc w:val="both"/>
        <w:rPr>
          <w:sz w:val="28"/>
          <w:szCs w:val="28"/>
        </w:rPr>
      </w:pPr>
      <w:r>
        <w:rPr>
          <w:sz w:val="28"/>
          <w:szCs w:val="28"/>
        </w:rPr>
        <w:lastRenderedPageBreak/>
        <w:t>16-7. Осы Қағидалардың 31-тармағында көзделген талаптардың орындалуы туралы жеңімпаздан кейінгі қол қою бонусының ең үлкен мөлшерін ұсынған қатысушының хабарламасын құзыретті орган бірыңғай платформада қалыптастырады және автоматты түрде қатысушының жеке кабинетінде тізілімнің веб-порталында орналастырады. Осындай хабарлама қалыптастырылғаннан кейін жеңімпаздан кейінгі қол қою бонусының ең үлкен мөлшерін ұсынған қатысушының кепілдік жарнасын қатысушының электрондық әмиянындағы тізілім веб-порталы автоматты түрде ашады.</w:t>
      </w:r>
    </w:p>
    <w:p w14:paraId="1A9347D5" w14:textId="77777777" w:rsidR="005E764A" w:rsidRDefault="005E764A" w:rsidP="005E764A">
      <w:pPr>
        <w:shd w:val="clear" w:color="auto" w:fill="FFFFFF"/>
        <w:ind w:firstLine="708"/>
        <w:jc w:val="both"/>
        <w:rPr>
          <w:sz w:val="28"/>
          <w:szCs w:val="28"/>
        </w:rPr>
      </w:pPr>
      <w:r>
        <w:rPr>
          <w:sz w:val="28"/>
          <w:szCs w:val="28"/>
        </w:rPr>
        <w:t>16-8. Жеңімпаз немесе жеңімпаздан кейін қол қою бонусының ең көп мөлшерін ұсынған қатысушы осы Қағидалардың 31-тармағында көзделген талаптарды орындамаған жағдайда, ол енгізген кепілдік жарна қайтарылмайды, бірақ қол қою бонусын төлеу мерзімі өткен күннен бастап 3 (үш) жұмыс күні ішінде мемлекет кірісіне жүгінеді.»;</w:t>
      </w:r>
    </w:p>
    <w:p w14:paraId="1F37697B" w14:textId="77777777" w:rsidR="005E764A" w:rsidRDefault="005E764A" w:rsidP="005E764A">
      <w:pPr>
        <w:shd w:val="clear" w:color="auto" w:fill="FFFFFF"/>
        <w:ind w:firstLine="708"/>
        <w:jc w:val="both"/>
        <w:rPr>
          <w:sz w:val="28"/>
          <w:szCs w:val="28"/>
        </w:rPr>
      </w:pPr>
      <w:r>
        <w:rPr>
          <w:sz w:val="28"/>
          <w:szCs w:val="28"/>
        </w:rPr>
        <w:t>19-тармақ мынадай редакцияда жазылсын:</w:t>
      </w:r>
    </w:p>
    <w:p w14:paraId="2BD668E1" w14:textId="77777777" w:rsidR="005E764A" w:rsidRDefault="005E764A" w:rsidP="005E764A">
      <w:pPr>
        <w:shd w:val="clear" w:color="auto" w:fill="FFFFFF"/>
        <w:ind w:firstLine="708"/>
        <w:jc w:val="both"/>
        <w:rPr>
          <w:sz w:val="28"/>
          <w:szCs w:val="28"/>
        </w:rPr>
      </w:pPr>
      <w:r>
        <w:rPr>
          <w:sz w:val="28"/>
          <w:szCs w:val="28"/>
        </w:rPr>
        <w:t>«19. Жоғарыда көрсетілген мемлекеттік дерекқорлардан және ақпараттық жүйелерден деректерді автоматты режимде алған жағдайда тізілім веб-порталы мәліметтерді тексеруді жүргізеді.</w:t>
      </w:r>
    </w:p>
    <w:p w14:paraId="5B82475E" w14:textId="77777777" w:rsidR="005E764A" w:rsidRDefault="005E764A" w:rsidP="005E764A">
      <w:pPr>
        <w:shd w:val="clear" w:color="auto" w:fill="FFFFFF"/>
        <w:ind w:firstLine="708"/>
        <w:jc w:val="both"/>
        <w:rPr>
          <w:sz w:val="28"/>
          <w:szCs w:val="28"/>
        </w:rPr>
      </w:pPr>
      <w:r>
        <w:rPr>
          <w:sz w:val="28"/>
          <w:szCs w:val="28"/>
        </w:rPr>
        <w:t>Өтінімді тіркегеннен кейін веб-портал 3 (үш) минут ішінде қатысқаны үшін жарнаның және өтінім берілген объект бойынша кепілдік жарнаның түскені туралы мәліметтердің электрондық әмиянда болуына автоматты тексеру жүргізеді.</w:t>
      </w:r>
    </w:p>
    <w:p w14:paraId="2FF8D3DD" w14:textId="77777777" w:rsidR="005E764A" w:rsidRDefault="005E764A" w:rsidP="005E764A">
      <w:pPr>
        <w:shd w:val="clear" w:color="auto" w:fill="FFFFFF"/>
        <w:ind w:firstLine="708"/>
        <w:jc w:val="both"/>
        <w:rPr>
          <w:sz w:val="28"/>
          <w:szCs w:val="28"/>
        </w:rPr>
      </w:pPr>
      <w:r>
        <w:rPr>
          <w:sz w:val="28"/>
          <w:szCs w:val="28"/>
        </w:rPr>
        <w:t>Электрондық әмиянда қатысқаны үшін жарнаның және кепілдік жарнаның түскені туралы мәліметтер болған жағдайда, тізілімнің веб-порталы қатысқаны үшін жарнаның және кепілдік жарнаның сомасына электрондық әмияндағы ақшаны бұғаттауды жүзеге асырады. Электрондық әмиянда қатысқаны үшін жарнаның және кепілдік жарнаның түскені туралы мәліметтер болмаған кезде тізілімнің веб-порталы өтінімді қабылдамайды.</w:t>
      </w:r>
    </w:p>
    <w:p w14:paraId="77E4A2A5" w14:textId="77777777" w:rsidR="005E764A" w:rsidRDefault="005E764A" w:rsidP="005E764A">
      <w:pPr>
        <w:shd w:val="clear" w:color="auto" w:fill="FFFFFF"/>
        <w:ind w:firstLine="708"/>
        <w:jc w:val="both"/>
        <w:rPr>
          <w:sz w:val="28"/>
          <w:szCs w:val="28"/>
        </w:rPr>
      </w:pPr>
      <w:r>
        <w:rPr>
          <w:sz w:val="28"/>
          <w:szCs w:val="28"/>
        </w:rPr>
        <w:t>Қатысушының осы Қағидалардың 16 және 17-тармақтарында көрсетілген талаптарды сақтамауы тізілім веб-порталының қатысуға өтінімді тіркеуден бас тартуы үшін негіз болып табылады.</w:t>
      </w:r>
    </w:p>
    <w:p w14:paraId="19407A39" w14:textId="77777777" w:rsidR="005E764A" w:rsidRDefault="005E764A" w:rsidP="005E764A">
      <w:pPr>
        <w:shd w:val="clear" w:color="auto" w:fill="FFFFFF"/>
        <w:ind w:firstLine="708"/>
        <w:jc w:val="both"/>
        <w:rPr>
          <w:sz w:val="28"/>
          <w:szCs w:val="28"/>
        </w:rPr>
      </w:pPr>
      <w:r>
        <w:rPr>
          <w:sz w:val="28"/>
          <w:szCs w:val="28"/>
        </w:rPr>
        <w:t>Қатысушыға қатысуға өтінімді тіркеу не мұндай өтінімді тіркеуден бас тарту себептері туралы хабарлама автоматты түрде қатысушының жеке кабинетінде тізілімнің веб-порталында орналастырылады.</w:t>
      </w:r>
    </w:p>
    <w:p w14:paraId="599D8DEF" w14:textId="77777777" w:rsidR="005E764A" w:rsidRDefault="005E764A" w:rsidP="005E764A">
      <w:pPr>
        <w:shd w:val="clear" w:color="auto" w:fill="FFFFFF"/>
        <w:ind w:firstLine="708"/>
        <w:jc w:val="both"/>
        <w:rPr>
          <w:sz w:val="28"/>
          <w:szCs w:val="28"/>
        </w:rPr>
      </w:pPr>
      <w:r>
        <w:rPr>
          <w:sz w:val="28"/>
          <w:szCs w:val="28"/>
        </w:rPr>
        <w:t>Өтінім берушінің немесе өтінім берушіні тікелей немесе жанама бақылайтын немесе оның бақылауындағы адамның қатысуға өтінім берілген күннің алдындағы бес жыл ішінде қол қойылатын бонусты төлемеуі де осындай өтінімді тіркеуден бас тарту үшін негіз болып табылады.»;</w:t>
      </w:r>
    </w:p>
    <w:p w14:paraId="0C5AF0A1" w14:textId="77777777" w:rsidR="005E764A" w:rsidRDefault="005E764A" w:rsidP="005E764A">
      <w:pPr>
        <w:shd w:val="clear" w:color="auto" w:fill="FFFFFF"/>
        <w:ind w:firstLine="708"/>
        <w:jc w:val="both"/>
        <w:rPr>
          <w:sz w:val="28"/>
          <w:szCs w:val="28"/>
        </w:rPr>
      </w:pPr>
      <w:r>
        <w:rPr>
          <w:sz w:val="28"/>
          <w:szCs w:val="28"/>
        </w:rPr>
        <w:t>32-тармақ мынадай редакцияда жазылсын:</w:t>
      </w:r>
    </w:p>
    <w:p w14:paraId="17CE0C0F" w14:textId="77777777" w:rsidR="005E764A" w:rsidRDefault="005E764A" w:rsidP="005E764A">
      <w:pPr>
        <w:shd w:val="clear" w:color="auto" w:fill="FFFFFF"/>
        <w:ind w:firstLine="708"/>
        <w:jc w:val="both"/>
        <w:rPr>
          <w:sz w:val="28"/>
          <w:szCs w:val="28"/>
        </w:rPr>
      </w:pPr>
      <w:r>
        <w:rPr>
          <w:sz w:val="28"/>
          <w:szCs w:val="28"/>
        </w:rPr>
        <w:t xml:space="preserve">«32. Қол қойылатын бонус Қағидаларда белгіленген мерзімде төленбеген жағдайда, әрбір келесі қатысушы (бұдан әрі - келесі қатысушы) ол растаған қол қойылатын бонустың мөлшерін ескере отырып, аукцион қорытындылары тізіліміне сәйкес кезектілік тәртібімен жеңімпаз болып есептеледі. Сондай-ақ, блоктарды (блоктарды) лицензияға олардың берген өтінішіне сәйкес лицензияға қосу басымдығы келесі қатысушыға ауысады. Бұл жағдайда қол қойылатын бонус жеңімпаз мәртебесін жоғалтқан аукционның алдыңғы қатысушысы үшін </w:t>
      </w:r>
      <w:r>
        <w:rPr>
          <w:sz w:val="28"/>
          <w:szCs w:val="28"/>
        </w:rPr>
        <w:lastRenderedPageBreak/>
        <w:t>қол қойылатын бонусты төлеу мерзімі өткен күннен бастап он жұмыс күні ішінде төленуге тиіс.</w:t>
      </w:r>
    </w:p>
    <w:p w14:paraId="56B15E6F" w14:textId="77777777" w:rsidR="005E764A" w:rsidRDefault="005E764A" w:rsidP="005E764A">
      <w:pPr>
        <w:shd w:val="clear" w:color="auto" w:fill="FFFFFF"/>
        <w:ind w:firstLine="708"/>
        <w:jc w:val="both"/>
        <w:rPr>
          <w:sz w:val="28"/>
          <w:szCs w:val="28"/>
        </w:rPr>
      </w:pPr>
      <w:r>
        <w:rPr>
          <w:sz w:val="28"/>
          <w:szCs w:val="28"/>
        </w:rPr>
        <w:t>32-1. Қатысушының оған басымдық пен міндеттемелердің ауысуы туралы хабарламасын құзыретті орган ЖҚПБП-да қалыптастырады және автоматты түрде қатысушының жеке кабинетінде тізілімнің веб-порталында орналастырылады.»;</w:t>
      </w:r>
    </w:p>
    <w:p w14:paraId="6D80B0FF" w14:textId="77777777" w:rsidR="005E764A" w:rsidRDefault="005E764A" w:rsidP="00667E7E">
      <w:pPr>
        <w:shd w:val="clear" w:color="auto" w:fill="FFFFFF"/>
        <w:jc w:val="both"/>
        <w:rPr>
          <w:sz w:val="28"/>
          <w:szCs w:val="28"/>
        </w:rPr>
      </w:pPr>
      <w:r>
        <w:rPr>
          <w:sz w:val="28"/>
          <w:szCs w:val="28"/>
        </w:rPr>
        <w:t xml:space="preserve">  </w:t>
      </w:r>
      <w:r>
        <w:rPr>
          <w:sz w:val="28"/>
          <w:szCs w:val="28"/>
        </w:rPr>
        <w:tab/>
        <w:t>2. Қазақстан Республикасы Индустрия және инфрақұрылымдық даму министрлігінің Цифрландыру және мемлекеттік көрсетілетін қызметтер департаменті Қазақстан Республикасының заңнамасында белгіленген тәртіппен:</w:t>
      </w:r>
    </w:p>
    <w:p w14:paraId="7D131D52" w14:textId="77777777" w:rsidR="005E764A" w:rsidRDefault="005E764A" w:rsidP="00667E7E">
      <w:pPr>
        <w:shd w:val="clear" w:color="auto" w:fill="FFFFFF"/>
        <w:jc w:val="both"/>
        <w:rPr>
          <w:sz w:val="28"/>
          <w:szCs w:val="28"/>
        </w:rPr>
      </w:pPr>
      <w:r>
        <w:rPr>
          <w:sz w:val="28"/>
          <w:szCs w:val="28"/>
        </w:rPr>
        <w:t xml:space="preserve">  </w:t>
      </w:r>
      <w:r>
        <w:rPr>
          <w:sz w:val="28"/>
          <w:szCs w:val="28"/>
        </w:rPr>
        <w:tab/>
        <w:t>1) осы бұйрықты Қазақстан Республикасы Әділет министрлігінде мемлекеттік тіркеуді;</w:t>
      </w:r>
    </w:p>
    <w:p w14:paraId="6158C833" w14:textId="77777777" w:rsidR="005E764A" w:rsidRDefault="005E764A" w:rsidP="00667E7E">
      <w:pPr>
        <w:shd w:val="clear" w:color="auto" w:fill="FFFFFF"/>
        <w:jc w:val="both"/>
        <w:rPr>
          <w:sz w:val="28"/>
          <w:szCs w:val="28"/>
        </w:rPr>
      </w:pPr>
      <w:r>
        <w:rPr>
          <w:sz w:val="28"/>
          <w:szCs w:val="28"/>
        </w:rPr>
        <w:t xml:space="preserve">  </w:t>
      </w:r>
      <w:r>
        <w:rPr>
          <w:sz w:val="28"/>
          <w:szCs w:val="28"/>
        </w:rPr>
        <w:tab/>
        <w:t>2) осы бұйрық ресми жарияланғаннан кейін оны Қазақстан Республикасы Индустрия және инфрақұрылымдық даму министрлігінің интернет-ресурсында орналастыруды қамтамасыз етсін.</w:t>
      </w:r>
    </w:p>
    <w:p w14:paraId="26053EA5" w14:textId="77777777" w:rsidR="005E764A" w:rsidRDefault="005E764A" w:rsidP="00667E7E">
      <w:pPr>
        <w:shd w:val="clear" w:color="auto" w:fill="FFFFFF"/>
        <w:jc w:val="both"/>
        <w:rPr>
          <w:sz w:val="28"/>
          <w:szCs w:val="28"/>
        </w:rPr>
      </w:pPr>
      <w:r>
        <w:rPr>
          <w:sz w:val="28"/>
          <w:szCs w:val="28"/>
        </w:rPr>
        <w:t xml:space="preserve">  </w:t>
      </w:r>
      <w:r>
        <w:rPr>
          <w:sz w:val="28"/>
          <w:szCs w:val="28"/>
        </w:rPr>
        <w:tab/>
        <w:t>3. Осы бұйрықтың орындалуын бақылау жетекшілік ететін Қазақстан Республикасының Индустрия және инфрақұрылымдық даму вице-министріне жүктелсін.</w:t>
      </w:r>
    </w:p>
    <w:p w14:paraId="32410BEB" w14:textId="77777777" w:rsidR="005E764A" w:rsidRDefault="005E764A" w:rsidP="00667E7E">
      <w:pPr>
        <w:shd w:val="clear" w:color="auto" w:fill="FFFFFF"/>
        <w:jc w:val="both"/>
        <w:rPr>
          <w:sz w:val="28"/>
          <w:szCs w:val="28"/>
        </w:rPr>
      </w:pPr>
      <w:r>
        <w:rPr>
          <w:sz w:val="28"/>
          <w:szCs w:val="28"/>
        </w:rPr>
        <w:t xml:space="preserve">  </w:t>
      </w:r>
      <w:r>
        <w:rPr>
          <w:sz w:val="28"/>
          <w:szCs w:val="28"/>
        </w:rPr>
        <w:tab/>
        <w:t>4. Осы бұйрық алғашқы ресми жарияланған күнінен кейін күнтізбелік алпыс күн өткен соң қолданысқа енгізіледі.</w:t>
      </w:r>
    </w:p>
    <w:p w14:paraId="7383285A" w14:textId="09B00D4B" w:rsidR="005F2923" w:rsidRPr="005E764A" w:rsidRDefault="005F2923" w:rsidP="00934587">
      <w:pPr>
        <w:rPr>
          <w:color w:val="3399FF"/>
        </w:rPr>
      </w:pPr>
    </w:p>
    <w:p w14:paraId="41FAAED1" w14:textId="77777777" w:rsidR="005F2923" w:rsidRDefault="005F2923" w:rsidP="00934587">
      <w:pPr>
        <w:rPr>
          <w:color w:val="3399FF"/>
          <w:lang w:val="kk-KZ"/>
        </w:rPr>
      </w:pPr>
    </w:p>
    <w:tbl>
      <w:tblPr>
        <w:tblStyle w:val="TableGrid"/>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8858D2" w14:paraId="76485389" w14:textId="77777777" w:rsidTr="008858D2">
        <w:tc>
          <w:tcPr>
            <w:tcW w:w="3652" w:type="dxa"/>
            <w:hideMark/>
          </w:tcPr>
          <w:p w14:paraId="66EBB244" w14:textId="77777777" w:rsidR="008858D2" w:rsidRDefault="008858D2">
            <w:pPr>
              <w:rPr>
                <w:b/>
                <w:sz w:val="28"/>
                <w:szCs w:val="28"/>
              </w:rPr>
            </w:pPr>
            <w:r>
              <w:rPr>
                <w:b/>
                <w:sz w:val="28"/>
                <w:szCs w:val="28"/>
              </w:rPr>
              <w:t>Лауазымы</w:t>
            </w:r>
          </w:p>
        </w:tc>
        <w:tc>
          <w:tcPr>
            <w:tcW w:w="2126" w:type="dxa"/>
          </w:tcPr>
          <w:p w14:paraId="7B22BB22" w14:textId="77777777" w:rsidR="008858D2" w:rsidRDefault="008858D2">
            <w:pPr>
              <w:rPr>
                <w:b/>
                <w:sz w:val="28"/>
                <w:szCs w:val="28"/>
                <w:lang w:val="kk-KZ"/>
              </w:rPr>
            </w:pPr>
          </w:p>
        </w:tc>
        <w:tc>
          <w:tcPr>
            <w:tcW w:w="3152" w:type="dxa"/>
            <w:hideMark/>
          </w:tcPr>
          <w:p w14:paraId="7E71FEC9" w14:textId="77777777" w:rsidR="008858D2" w:rsidRDefault="00B2298B">
            <w:pPr>
              <w:rPr>
                <w:b/>
                <w:sz w:val="28"/>
                <w:szCs w:val="28"/>
                <w:lang w:val="kk-KZ"/>
              </w:rPr>
            </w:pPr>
            <w:r>
              <w:rPr>
                <w:b/>
                <w:sz w:val="28"/>
                <w:szCs w:val="28"/>
                <w:lang w:val="kk-KZ"/>
              </w:rPr>
              <w:t>Аты-жөні</w:t>
            </w:r>
          </w:p>
        </w:tc>
      </w:tr>
    </w:tbl>
    <w:p w14:paraId="4FB9ABF9" w14:textId="77777777" w:rsidR="00642211" w:rsidRPr="008858D2" w:rsidRDefault="00642211" w:rsidP="006340C9">
      <w:pPr>
        <w:overflowPunct/>
        <w:autoSpaceDE/>
        <w:autoSpaceDN/>
        <w:adjustRightInd/>
        <w:rPr>
          <w:lang w:val="kk-KZ"/>
        </w:rPr>
      </w:pPr>
    </w:p>
    <w:sectPr w:rsidR="00642211" w:rsidRPr="008858D2" w:rsidSect="00642211">
      <w:headerReference w:type="even" r:id="rId8"/>
      <w:headerReference w:type="default" r:id="rId9"/>
      <w:headerReference w:type="first" r:id="rId10"/>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12118" w14:textId="77777777" w:rsidR="00AF079A" w:rsidRDefault="00AF079A">
      <w:r>
        <w:separator/>
      </w:r>
    </w:p>
  </w:endnote>
  <w:endnote w:type="continuationSeparator" w:id="0">
    <w:p w14:paraId="45D25E10" w14:textId="77777777" w:rsidR="00AF079A" w:rsidRDefault="00AF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imes/Kazakh">
    <w:altName w:val="Times New Roman"/>
    <w:panose1 w:val="020B06040202020202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EAB89" w14:textId="77777777" w:rsidR="00AF079A" w:rsidRDefault="00AF079A">
      <w:r>
        <w:separator/>
      </w:r>
    </w:p>
  </w:footnote>
  <w:footnote w:type="continuationSeparator" w:id="0">
    <w:p w14:paraId="69934693" w14:textId="77777777" w:rsidR="00AF079A" w:rsidRDefault="00AF0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48F0B" w14:textId="77777777" w:rsidR="00BE78CA" w:rsidRDefault="00BE78CA" w:rsidP="00E4319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904E32" w14:textId="77777777" w:rsidR="00BE78CA" w:rsidRDefault="00BE78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0705D" w14:textId="77777777" w:rsidR="00BE78CA" w:rsidRDefault="00BE78CA" w:rsidP="00E4319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40C9">
      <w:rPr>
        <w:rStyle w:val="PageNumber"/>
        <w:noProof/>
      </w:rPr>
      <w:t>2</w:t>
    </w:r>
    <w:r>
      <w:rPr>
        <w:rStyle w:val="PageNumber"/>
      </w:rPr>
      <w:fldChar w:fldCharType="end"/>
    </w:r>
  </w:p>
  <w:p w14:paraId="275376A1" w14:textId="77777777" w:rsidR="00BE78CA" w:rsidRDefault="00BE78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51" w:type="dxa"/>
      <w:tblInd w:w="-431" w:type="dxa"/>
      <w:tblLayout w:type="fixed"/>
      <w:tblLook w:val="01E0" w:firstRow="1" w:lastRow="1" w:firstColumn="1" w:lastColumn="1" w:noHBand="0" w:noVBand="0"/>
    </w:tblPr>
    <w:tblGrid>
      <w:gridCol w:w="4362"/>
      <w:gridCol w:w="2126"/>
      <w:gridCol w:w="4263"/>
    </w:tblGrid>
    <w:tr w:rsidR="004B400D" w:rsidRPr="00D100F6" w14:paraId="314D255E" w14:textId="77777777" w:rsidTr="00DC45FB">
      <w:trPr>
        <w:trHeight w:val="1348"/>
      </w:trPr>
      <w:tc>
        <w:tcPr>
          <w:tcW w:w="4362" w:type="dxa"/>
          <w:shd w:val="clear" w:color="auto" w:fill="auto"/>
        </w:tcPr>
        <w:p w14:paraId="7A899FDE" w14:textId="562F6B74" w:rsidR="00DC45FB" w:rsidRDefault="002C3EC7" w:rsidP="005F2923">
          <w:pPr>
            <w:spacing w:line="288" w:lineRule="auto"/>
            <w:ind w:right="459"/>
            <w:jc w:val="center"/>
            <w:rPr>
              <w:b/>
              <w:bCs/>
              <w:color w:val="3399FF"/>
              <w:lang w:val="kk-KZ"/>
            </w:rPr>
          </w:pPr>
          <w:r w:rsidRPr="00A646AF">
            <w:rPr>
              <w:b/>
              <w:bCs/>
              <w:color w:val="3399FF"/>
            </w:rPr>
            <w:t>Қ</w:t>
          </w:r>
          <w:r>
            <w:rPr>
              <w:b/>
              <w:bCs/>
              <w:color w:val="3399FF"/>
            </w:rPr>
            <w:t>АЗАҚСТАН</w:t>
          </w:r>
        </w:p>
        <w:p w14:paraId="0CC7139E" w14:textId="77777777" w:rsidR="00DC45FB" w:rsidRDefault="002C3EC7" w:rsidP="005F2923">
          <w:pPr>
            <w:spacing w:line="288" w:lineRule="auto"/>
            <w:ind w:right="459"/>
            <w:jc w:val="center"/>
            <w:rPr>
              <w:b/>
              <w:bCs/>
              <w:color w:val="3399FF"/>
              <w:lang w:val="kk-KZ"/>
            </w:rPr>
          </w:pPr>
          <w:r w:rsidRPr="005F2923">
            <w:rPr>
              <w:b/>
              <w:bCs/>
              <w:color w:val="3399FF"/>
              <w:lang w:val="kk-KZ"/>
            </w:rPr>
            <w:t>РЕСПУБЛИКАСЫ</w:t>
          </w:r>
          <w:r>
            <w:rPr>
              <w:b/>
              <w:bCs/>
              <w:color w:val="3399FF"/>
              <w:lang w:val="kk-KZ"/>
            </w:rPr>
            <w:t>НЫҢ</w:t>
          </w:r>
        </w:p>
        <w:p w14:paraId="4C485390" w14:textId="5321E3DD" w:rsidR="004B400D" w:rsidRPr="00D100F6" w:rsidRDefault="002C3EC7" w:rsidP="005F2923">
          <w:pPr>
            <w:spacing w:line="288" w:lineRule="auto"/>
            <w:ind w:right="459"/>
            <w:jc w:val="center"/>
            <w:rPr>
              <w:b/>
              <w:color w:val="3A7298"/>
              <w:sz w:val="32"/>
              <w:szCs w:val="32"/>
              <w:lang w:val="kk-KZ"/>
            </w:rPr>
          </w:pPr>
          <w:r w:rsidRPr="00DC45FB">
            <w:rPr>
              <w:b/>
              <w:bCs/>
              <w:color w:val="3399FF"/>
              <w:lang w:val="kk-KZ"/>
            </w:rPr>
            <w:t>ӨНЕРКӘСІ</w:t>
          </w:r>
          <w:r w:rsidR="005F2923">
            <w:rPr>
              <w:b/>
              <w:bCs/>
              <w:color w:val="3399FF"/>
              <w:lang w:val="kk-KZ"/>
            </w:rPr>
            <w:t>П ЖӘНЕ ҚҰРЫЛЫС</w:t>
          </w:r>
          <w:r w:rsidRPr="00DC45FB">
            <w:rPr>
              <w:b/>
              <w:bCs/>
              <w:color w:val="3399FF"/>
              <w:lang w:val="kk-KZ"/>
            </w:rPr>
            <w:t xml:space="preserve"> МИНИСТРЛІГІ</w:t>
          </w:r>
        </w:p>
      </w:tc>
      <w:tc>
        <w:tcPr>
          <w:tcW w:w="2126" w:type="dxa"/>
          <w:shd w:val="clear" w:color="auto" w:fill="auto"/>
        </w:tcPr>
        <w:p w14:paraId="0DBA99E0" w14:textId="77777777" w:rsidR="004B400D" w:rsidRPr="00C723BA" w:rsidRDefault="00C723BA" w:rsidP="00782A16">
          <w:pPr>
            <w:jc w:val="center"/>
            <w:rPr>
              <w:sz w:val="22"/>
              <w:szCs w:val="22"/>
              <w:lang w:val="kk-KZ"/>
            </w:rPr>
          </w:pPr>
          <w:r>
            <w:rPr>
              <w:noProof/>
              <w:sz w:val="22"/>
              <w:szCs w:val="22"/>
            </w:rPr>
            <w:drawing>
              <wp:inline distT="0" distB="0" distL="0" distR="0" wp14:anchorId="7D198B75" wp14:editId="5807FF03">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14:paraId="4AADE2B1" w14:textId="77777777" w:rsidR="002C3EC7" w:rsidRDefault="002C3EC7" w:rsidP="002C3EC7">
          <w:pPr>
            <w:spacing w:line="288" w:lineRule="auto"/>
            <w:jc w:val="center"/>
            <w:rPr>
              <w:b/>
              <w:bCs/>
              <w:color w:val="3399FF"/>
              <w:lang w:val="kk-KZ"/>
            </w:rPr>
          </w:pPr>
          <w:r w:rsidRPr="00A646AF">
            <w:rPr>
              <w:b/>
              <w:bCs/>
              <w:color w:val="3399FF"/>
              <w:lang w:val="kk-KZ"/>
            </w:rPr>
            <w:t xml:space="preserve">МИНИСТЕРСТВО </w:t>
          </w:r>
        </w:p>
        <w:p w14:paraId="72455A22" w14:textId="146F2FFB" w:rsidR="00DC45FB" w:rsidRDefault="002C3EC7" w:rsidP="002C3EC7">
          <w:pPr>
            <w:spacing w:line="288" w:lineRule="auto"/>
            <w:jc w:val="center"/>
            <w:rPr>
              <w:b/>
              <w:bCs/>
              <w:color w:val="3399FF"/>
              <w:lang w:val="kk-KZ"/>
            </w:rPr>
          </w:pPr>
          <w:r w:rsidRPr="00A646AF">
            <w:rPr>
              <w:b/>
              <w:bCs/>
              <w:color w:val="3399FF"/>
              <w:lang w:val="kk-KZ"/>
            </w:rPr>
            <w:t>ПРОМЫШЛЕННОСТИ</w:t>
          </w:r>
          <w:r w:rsidR="005F2923">
            <w:rPr>
              <w:b/>
              <w:bCs/>
              <w:color w:val="3399FF"/>
              <w:lang w:val="kk-KZ"/>
            </w:rPr>
            <w:t xml:space="preserve"> И СТРОИТЕЛЬСТВА</w:t>
          </w:r>
          <w:r w:rsidRPr="00A646AF">
            <w:rPr>
              <w:b/>
              <w:bCs/>
              <w:color w:val="3399FF"/>
              <w:lang w:val="kk-KZ"/>
            </w:rPr>
            <w:t xml:space="preserve"> </w:t>
          </w:r>
        </w:p>
        <w:p w14:paraId="699FC4C8" w14:textId="77777777" w:rsidR="004B400D" w:rsidRPr="00D100F6" w:rsidRDefault="002C3EC7" w:rsidP="002C3EC7">
          <w:pPr>
            <w:spacing w:line="288" w:lineRule="auto"/>
            <w:jc w:val="center"/>
            <w:rPr>
              <w:b/>
              <w:color w:val="3A7298"/>
              <w:sz w:val="29"/>
              <w:szCs w:val="29"/>
              <w:lang w:val="kk-KZ"/>
            </w:rPr>
          </w:pPr>
          <w:r w:rsidRPr="00A646AF">
            <w:rPr>
              <w:b/>
              <w:bCs/>
              <w:color w:val="3399FF"/>
              <w:lang w:val="kk-KZ"/>
            </w:rPr>
            <w:t>РЕСПУБЛИКИ КАЗАХСТАН</w:t>
          </w:r>
        </w:p>
      </w:tc>
    </w:tr>
    <w:tr w:rsidR="00642211" w:rsidRPr="00D100F6" w14:paraId="3E4C6A7D" w14:textId="77777777" w:rsidTr="00DC45FB">
      <w:trPr>
        <w:trHeight w:val="591"/>
      </w:trPr>
      <w:tc>
        <w:tcPr>
          <w:tcW w:w="4362" w:type="dxa"/>
          <w:shd w:val="clear" w:color="auto" w:fill="auto"/>
        </w:tcPr>
        <w:p w14:paraId="779F5286" w14:textId="77777777" w:rsidR="00642211" w:rsidRDefault="00642211" w:rsidP="00642211">
          <w:pPr>
            <w:widowControl w:val="0"/>
            <w:ind w:right="459"/>
            <w:jc w:val="center"/>
            <w:rPr>
              <w:b/>
              <w:bCs/>
              <w:color w:val="3399FF"/>
              <w:sz w:val="22"/>
              <w:szCs w:val="22"/>
            </w:rPr>
          </w:pPr>
        </w:p>
        <w:p w14:paraId="362DD48B" w14:textId="77777777"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14:paraId="173FA7B3" w14:textId="77777777" w:rsidR="00642211" w:rsidRDefault="00642211" w:rsidP="00782A16">
          <w:pPr>
            <w:jc w:val="center"/>
            <w:rPr>
              <w:sz w:val="22"/>
              <w:szCs w:val="22"/>
              <w:lang w:val="kk-KZ"/>
            </w:rPr>
          </w:pPr>
        </w:p>
      </w:tc>
      <w:tc>
        <w:tcPr>
          <w:tcW w:w="4263" w:type="dxa"/>
          <w:shd w:val="clear" w:color="auto" w:fill="auto"/>
        </w:tcPr>
        <w:p w14:paraId="00113148" w14:textId="77777777" w:rsidR="00642211" w:rsidRDefault="00DC45FB" w:rsidP="001A1881">
          <w:pPr>
            <w:spacing w:line="288" w:lineRule="auto"/>
            <w:jc w:val="center"/>
            <w:rPr>
              <w:b/>
              <w:bCs/>
              <w:color w:val="3399FF"/>
              <w:sz w:val="22"/>
              <w:szCs w:val="22"/>
            </w:rPr>
          </w:pPr>
          <w:r w:rsidRPr="00642211">
            <w:rPr>
              <w:noProof/>
              <w:color w:val="3399FF"/>
              <w:sz w:val="22"/>
              <w:szCs w:val="22"/>
            </w:rPr>
            <mc:AlternateContent>
              <mc:Choice Requires="wps">
                <w:drawing>
                  <wp:anchor distT="0" distB="0" distL="114300" distR="114300" simplePos="0" relativeHeight="251657728" behindDoc="0" locked="0" layoutInCell="1" allowOverlap="1" wp14:anchorId="45CF0B81" wp14:editId="32F91F8B">
                    <wp:simplePos x="0" y="0"/>
                    <wp:positionH relativeFrom="column">
                      <wp:posOffset>-3964940</wp:posOffset>
                    </wp:positionH>
                    <wp:positionV relativeFrom="page">
                      <wp:posOffset>67310</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1D5EC"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2.2pt,5.3pt" to="192.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" strokecolor="#39f" strokeweight="1.25pt">
                    <w10:wrap anchory="page"/>
                  </v:line>
                </w:pict>
              </mc:Fallback>
            </mc:AlternateContent>
          </w:r>
        </w:p>
        <w:p w14:paraId="2E9C53ED" w14:textId="77777777"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14:paraId="149E1827" w14:textId="77777777" w:rsidR="00C7780A" w:rsidRDefault="00C7780A" w:rsidP="004B400D">
    <w:pPr>
      <w:pStyle w:val="Header"/>
      <w:rPr>
        <w:color w:val="3A7298"/>
        <w:sz w:val="22"/>
        <w:szCs w:val="22"/>
        <w:lang w:val="kk-KZ"/>
      </w:rPr>
    </w:pPr>
  </w:p>
  <w:p w14:paraId="10114260" w14:textId="77777777" w:rsidR="004B400D" w:rsidRPr="00207569" w:rsidRDefault="004B6D21" w:rsidP="004B400D">
    <w:pPr>
      <w:pStyle w:val="Header"/>
      <w:rPr>
        <w:color w:val="3A7298"/>
        <w:sz w:val="22"/>
        <w:szCs w:val="22"/>
      </w:rPr>
    </w:pPr>
    <w:r>
      <w:rPr>
        <w:b/>
        <w:color w:val="3399FF"/>
        <w:sz w:val="22"/>
        <w:szCs w:val="22"/>
        <w:lang w:val="kk-KZ"/>
      </w:rPr>
      <w:t>20</w:t>
    </w:r>
    <w:r>
      <w:rPr>
        <w:color w:val="3A7298"/>
        <w:sz w:val="22"/>
        <w:szCs w:val="22"/>
        <w:lang w:val="kk-KZ"/>
      </w:rPr>
      <w:t>___</w:t>
    </w:r>
    <w:r w:rsidR="006340C9" w:rsidRPr="0087566C">
      <w:rPr>
        <w:b/>
        <w:color w:val="3399FF"/>
        <w:sz w:val="22"/>
        <w:szCs w:val="22"/>
      </w:rPr>
      <w:t xml:space="preserve">   </w:t>
    </w:r>
    <w:r w:rsidR="006340C9" w:rsidRPr="0087566C">
      <w:rPr>
        <w:b/>
        <w:color w:val="3399FF"/>
        <w:sz w:val="22"/>
        <w:szCs w:val="22"/>
        <w:lang w:val="kk-KZ"/>
      </w:rPr>
      <w:t>жылғы  __________</w:t>
    </w:r>
    <w:r w:rsidR="006340C9">
      <w:rPr>
        <w:b/>
        <w:color w:val="3399FF"/>
        <w:sz w:val="22"/>
        <w:szCs w:val="22"/>
        <w:lang w:val="kk-KZ"/>
      </w:rPr>
      <w:t xml:space="preserve">                                                                    </w:t>
    </w:r>
    <w:r w:rsidR="006340C9" w:rsidRPr="0087566C">
      <w:rPr>
        <w:b/>
        <w:bCs/>
        <w:color w:val="3399FF"/>
        <w:sz w:val="22"/>
        <w:szCs w:val="22"/>
      </w:rPr>
      <w:t>№  ____________________</w:t>
    </w:r>
  </w:p>
  <w:p w14:paraId="012C04D1" w14:textId="77777777" w:rsidR="004B400D" w:rsidRPr="00123C1D" w:rsidRDefault="004B400D" w:rsidP="004B400D">
    <w:pPr>
      <w:rPr>
        <w:color w:val="3A7234"/>
        <w:sz w:val="14"/>
        <w:szCs w:val="14"/>
        <w:lang w:val="kk-KZ"/>
      </w:rPr>
    </w:pPr>
  </w:p>
  <w:p w14:paraId="10C17249" w14:textId="77777777"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16cid:durableId="330718151">
    <w:abstractNumId w:val="1"/>
  </w:num>
  <w:num w:numId="2" w16cid:durableId="7391335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5330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62"/>
    <w:rsid w:val="0002773D"/>
    <w:rsid w:val="00035F55"/>
    <w:rsid w:val="00073119"/>
    <w:rsid w:val="000870F9"/>
    <w:rsid w:val="000922AA"/>
    <w:rsid w:val="000D4DAC"/>
    <w:rsid w:val="000F48E7"/>
    <w:rsid w:val="001319EE"/>
    <w:rsid w:val="00143292"/>
    <w:rsid w:val="001763DE"/>
    <w:rsid w:val="001A1881"/>
    <w:rsid w:val="001B61C1"/>
    <w:rsid w:val="001F4925"/>
    <w:rsid w:val="001F64CB"/>
    <w:rsid w:val="002000F4"/>
    <w:rsid w:val="0022101F"/>
    <w:rsid w:val="0023374B"/>
    <w:rsid w:val="00251F3F"/>
    <w:rsid w:val="002A394A"/>
    <w:rsid w:val="002C0E8B"/>
    <w:rsid w:val="002C3EC7"/>
    <w:rsid w:val="002F11B1"/>
    <w:rsid w:val="00341898"/>
    <w:rsid w:val="00364E0B"/>
    <w:rsid w:val="003B261C"/>
    <w:rsid w:val="003F241E"/>
    <w:rsid w:val="003F26A2"/>
    <w:rsid w:val="00423754"/>
    <w:rsid w:val="00430E89"/>
    <w:rsid w:val="004726FE"/>
    <w:rsid w:val="00486F3C"/>
    <w:rsid w:val="0049623C"/>
    <w:rsid w:val="004B400D"/>
    <w:rsid w:val="004B6D21"/>
    <w:rsid w:val="004C34B8"/>
    <w:rsid w:val="004E49BE"/>
    <w:rsid w:val="004F3375"/>
    <w:rsid w:val="005C5F30"/>
    <w:rsid w:val="005E764A"/>
    <w:rsid w:val="005F2923"/>
    <w:rsid w:val="005F582C"/>
    <w:rsid w:val="00611D0D"/>
    <w:rsid w:val="006340C9"/>
    <w:rsid w:val="00642211"/>
    <w:rsid w:val="00667E7E"/>
    <w:rsid w:val="0067240F"/>
    <w:rsid w:val="006B0963"/>
    <w:rsid w:val="006B6938"/>
    <w:rsid w:val="006E1117"/>
    <w:rsid w:val="007006E3"/>
    <w:rsid w:val="007111E8"/>
    <w:rsid w:val="00720FC6"/>
    <w:rsid w:val="00731B2A"/>
    <w:rsid w:val="00740441"/>
    <w:rsid w:val="007702A5"/>
    <w:rsid w:val="007767CD"/>
    <w:rsid w:val="00782A16"/>
    <w:rsid w:val="007E588D"/>
    <w:rsid w:val="0081000A"/>
    <w:rsid w:val="008436CA"/>
    <w:rsid w:val="00866964"/>
    <w:rsid w:val="00867FA4"/>
    <w:rsid w:val="008858D2"/>
    <w:rsid w:val="00892E1E"/>
    <w:rsid w:val="009139A9"/>
    <w:rsid w:val="00914138"/>
    <w:rsid w:val="00915A4B"/>
    <w:rsid w:val="00934587"/>
    <w:rsid w:val="0094547D"/>
    <w:rsid w:val="00965DB2"/>
    <w:rsid w:val="009924CE"/>
    <w:rsid w:val="009B69F4"/>
    <w:rsid w:val="009C4FD7"/>
    <w:rsid w:val="00A10052"/>
    <w:rsid w:val="00A17FE7"/>
    <w:rsid w:val="00A338BC"/>
    <w:rsid w:val="00A47D62"/>
    <w:rsid w:val="00AA225A"/>
    <w:rsid w:val="00AC76FB"/>
    <w:rsid w:val="00AF079A"/>
    <w:rsid w:val="00B12C86"/>
    <w:rsid w:val="00B2298B"/>
    <w:rsid w:val="00B5615F"/>
    <w:rsid w:val="00B841B2"/>
    <w:rsid w:val="00B86340"/>
    <w:rsid w:val="00BE3CFA"/>
    <w:rsid w:val="00BE78CA"/>
    <w:rsid w:val="00C33D18"/>
    <w:rsid w:val="00C44E63"/>
    <w:rsid w:val="00C723BA"/>
    <w:rsid w:val="00C7780A"/>
    <w:rsid w:val="00CA1875"/>
    <w:rsid w:val="00CC7D90"/>
    <w:rsid w:val="00CD3C51"/>
    <w:rsid w:val="00CE6A1B"/>
    <w:rsid w:val="00D03D0C"/>
    <w:rsid w:val="00D11982"/>
    <w:rsid w:val="00D14F06"/>
    <w:rsid w:val="00DC3588"/>
    <w:rsid w:val="00DC45FB"/>
    <w:rsid w:val="00DD35CD"/>
    <w:rsid w:val="00E43190"/>
    <w:rsid w:val="00E57A5B"/>
    <w:rsid w:val="00E866E0"/>
    <w:rsid w:val="00EB54A3"/>
    <w:rsid w:val="00EC3C11"/>
    <w:rsid w:val="00ED617A"/>
    <w:rsid w:val="00EE1A39"/>
    <w:rsid w:val="00EE69B8"/>
    <w:rsid w:val="00F22932"/>
    <w:rsid w:val="00F525B9"/>
    <w:rsid w:val="00F64017"/>
    <w:rsid w:val="00F93EE0"/>
    <w:rsid w:val="00FD2D92"/>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8725DF"/>
  <w15:docId w15:val="{44B4A029-4937-433D-8A03-B537D66F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D62"/>
    <w:pPr>
      <w:overflowPunct w:val="0"/>
      <w:autoSpaceDE w:val="0"/>
      <w:autoSpaceDN w:val="0"/>
      <w:adjustRightInd w:val="0"/>
    </w:pPr>
  </w:style>
  <w:style w:type="paragraph" w:styleId="Heading2">
    <w:name w:val="heading 2"/>
    <w:basedOn w:val="Normal"/>
    <w:next w:val="Normal"/>
    <w:qFormat/>
    <w:rsid w:val="001763DE"/>
    <w:pPr>
      <w:keepNext/>
      <w:overflowPunct/>
      <w:autoSpaceDE/>
      <w:autoSpaceDN/>
      <w:adjustRightInd/>
      <w:jc w:val="both"/>
      <w:outlineLvl w:val="1"/>
    </w:pPr>
    <w:rPr>
      <w:rFonts w:ascii="Times/Kazakh" w:hAnsi="Times/Kazakh"/>
      <w:b/>
      <w:sz w:val="2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w:basedOn w:val="Normal"/>
    <w:autoRedefine/>
    <w:rsid w:val="00A47D62"/>
    <w:pPr>
      <w:overflowPunct/>
      <w:autoSpaceDE/>
      <w:autoSpaceDN/>
      <w:adjustRightInd/>
      <w:spacing w:after="160" w:line="240" w:lineRule="exact"/>
    </w:pPr>
    <w:rPr>
      <w:rFonts w:eastAsia="SimSun"/>
      <w:b/>
      <w:sz w:val="28"/>
      <w:szCs w:val="24"/>
      <w:lang w:val="en-US" w:eastAsia="en-US"/>
    </w:rPr>
  </w:style>
  <w:style w:type="paragraph" w:styleId="BodyTextIndent">
    <w:name w:val="Body Text Indent"/>
    <w:basedOn w:val="Normal"/>
    <w:rsid w:val="00A47D62"/>
    <w:pPr>
      <w:overflowPunct/>
      <w:autoSpaceDE/>
      <w:autoSpaceDN/>
      <w:adjustRightInd/>
      <w:ind w:firstLine="1122"/>
      <w:jc w:val="both"/>
    </w:pPr>
    <w:rPr>
      <w:sz w:val="24"/>
      <w:szCs w:val="24"/>
      <w:lang w:val="kk-KZ"/>
    </w:rPr>
  </w:style>
  <w:style w:type="paragraph" w:styleId="Title">
    <w:name w:val="Title"/>
    <w:basedOn w:val="Normal"/>
    <w:qFormat/>
    <w:rsid w:val="00A47D62"/>
    <w:pPr>
      <w:overflowPunct/>
      <w:autoSpaceDE/>
      <w:autoSpaceDN/>
      <w:adjustRightInd/>
      <w:jc w:val="center"/>
    </w:pPr>
    <w:rPr>
      <w:sz w:val="28"/>
      <w:szCs w:val="24"/>
    </w:rPr>
  </w:style>
  <w:style w:type="paragraph" w:styleId="Subtitle">
    <w:name w:val="Subtitle"/>
    <w:basedOn w:val="Normal"/>
    <w:link w:val="SubtitleChar"/>
    <w:qFormat/>
    <w:rsid w:val="00A47D62"/>
    <w:pPr>
      <w:overflowPunct/>
      <w:autoSpaceDE/>
      <w:autoSpaceDN/>
      <w:adjustRightInd/>
      <w:ind w:firstLine="709"/>
      <w:jc w:val="both"/>
    </w:pPr>
    <w:rPr>
      <w:sz w:val="28"/>
      <w:szCs w:val="24"/>
    </w:rPr>
  </w:style>
  <w:style w:type="paragraph" w:styleId="NoSpacing">
    <w:name w:val="No Spacing"/>
    <w:qFormat/>
    <w:rsid w:val="00A47D62"/>
    <w:rPr>
      <w:sz w:val="24"/>
      <w:szCs w:val="24"/>
    </w:rPr>
  </w:style>
  <w:style w:type="paragraph" w:customStyle="1" w:styleId="015">
    <w:name w:val="Стиль Слева:  0 см Выступ:  15 см"/>
    <w:basedOn w:val="Normal"/>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SubtitleChar">
    <w:name w:val="Subtitle Char"/>
    <w:link w:val="Subtitle"/>
    <w:rsid w:val="00A47D62"/>
    <w:rPr>
      <w:sz w:val="28"/>
      <w:szCs w:val="24"/>
      <w:lang w:val="ru-RU" w:eastAsia="ru-RU" w:bidi="ar-SA"/>
    </w:rPr>
  </w:style>
  <w:style w:type="table" w:styleId="TableGrid">
    <w:name w:val="Table Grid"/>
    <w:basedOn w:val="TableNormal"/>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Normal"/>
    <w:autoRedefine/>
    <w:rsid w:val="000D4DAC"/>
    <w:pPr>
      <w:overflowPunct/>
      <w:autoSpaceDE/>
      <w:autoSpaceDN/>
      <w:adjustRightInd/>
      <w:spacing w:after="160" w:line="240" w:lineRule="exact"/>
    </w:pPr>
    <w:rPr>
      <w:sz w:val="28"/>
      <w:lang w:val="en-US" w:eastAsia="en-US"/>
    </w:rPr>
  </w:style>
  <w:style w:type="paragraph" w:customStyle="1" w:styleId="a0">
    <w:name w:val="Знак"/>
    <w:basedOn w:val="Normal"/>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BodyTextIndent2">
    <w:name w:val="Body Text Indent 2"/>
    <w:basedOn w:val="Normal"/>
    <w:rsid w:val="001763DE"/>
    <w:pPr>
      <w:spacing w:after="120" w:line="480" w:lineRule="auto"/>
      <w:ind w:left="283"/>
    </w:pPr>
  </w:style>
  <w:style w:type="character" w:styleId="Hyperlink">
    <w:name w:val="Hyperlink"/>
    <w:rsid w:val="0023374B"/>
    <w:rPr>
      <w:rFonts w:ascii="Times New Roman" w:hAnsi="Times New Roman" w:cs="Times New Roman" w:hint="default"/>
      <w:color w:val="333399"/>
      <w:u w:val="single"/>
    </w:rPr>
  </w:style>
  <w:style w:type="paragraph" w:customStyle="1" w:styleId="a1">
    <w:name w:val="Знак Знак Знак"/>
    <w:basedOn w:val="Normal"/>
    <w:autoRedefine/>
    <w:rsid w:val="0023374B"/>
    <w:pPr>
      <w:overflowPunct/>
      <w:autoSpaceDE/>
      <w:autoSpaceDN/>
      <w:adjustRightInd/>
      <w:spacing w:after="160" w:line="240" w:lineRule="exact"/>
    </w:pPr>
    <w:rPr>
      <w:rFonts w:eastAsia="SimSun"/>
      <w:b/>
      <w:sz w:val="28"/>
      <w:szCs w:val="24"/>
      <w:lang w:val="en-US" w:eastAsia="en-US"/>
    </w:rPr>
  </w:style>
  <w:style w:type="paragraph" w:styleId="ListParagraph">
    <w:name w:val="List Paragraph"/>
    <w:basedOn w:val="Normal"/>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NormalWeb">
    <w:name w:val="Normal (Web)"/>
    <w:basedOn w:val="Normal"/>
    <w:rsid w:val="00364E0B"/>
    <w:pPr>
      <w:overflowPunct/>
      <w:autoSpaceDE/>
      <w:autoSpaceDN/>
      <w:adjustRightInd/>
      <w:spacing w:before="100" w:beforeAutospacing="1" w:after="100" w:afterAutospacing="1"/>
    </w:pPr>
    <w:rPr>
      <w:sz w:val="24"/>
      <w:szCs w:val="24"/>
    </w:rPr>
  </w:style>
  <w:style w:type="character" w:styleId="PageNumber">
    <w:name w:val="page number"/>
    <w:basedOn w:val="DefaultParagraphFont"/>
    <w:rsid w:val="00BE78CA"/>
  </w:style>
  <w:style w:type="character" w:styleId="Strong">
    <w:name w:val="Strong"/>
    <w:qFormat/>
    <w:rsid w:val="007111E8"/>
    <w:rPr>
      <w:b/>
      <w:bCs/>
    </w:rPr>
  </w:style>
  <w:style w:type="paragraph" w:styleId="Footer">
    <w:name w:val="footer"/>
    <w:basedOn w:val="Normal"/>
    <w:link w:val="FooterChar"/>
    <w:rsid w:val="004726FE"/>
    <w:pPr>
      <w:tabs>
        <w:tab w:val="center" w:pos="4677"/>
        <w:tab w:val="right" w:pos="9355"/>
      </w:tabs>
    </w:pPr>
  </w:style>
  <w:style w:type="character" w:customStyle="1" w:styleId="FooterChar">
    <w:name w:val="Footer Char"/>
    <w:basedOn w:val="DefaultParagraphFont"/>
    <w:link w:val="Footer"/>
    <w:rsid w:val="004726FE"/>
  </w:style>
  <w:style w:type="paragraph" w:customStyle="1" w:styleId="a2">
    <w:name w:val="Знак"/>
    <w:basedOn w:val="Normal"/>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3">
    <w:name w:val="Знак"/>
    <w:basedOn w:val="Normal"/>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4">
    <w:name w:val="Знак"/>
    <w:basedOn w:val="Normal"/>
    <w:autoRedefine/>
    <w:rsid w:val="001A1881"/>
    <w:pPr>
      <w:overflowPunct/>
      <w:autoSpaceDE/>
      <w:autoSpaceDN/>
      <w:adjustRightInd/>
      <w:spacing w:after="160" w:line="240" w:lineRule="exact"/>
    </w:pPr>
    <w:rPr>
      <w:rFonts w:eastAsia="SimSun"/>
      <w:b/>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dilet.zan.kz/kaz/docs/V180001699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972</Words>
  <Characters>7620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Bulbul Abenova</cp:lastModifiedBy>
  <cp:revision>4</cp:revision>
  <dcterms:created xsi:type="dcterms:W3CDTF">2024-08-20T10:19:00Z</dcterms:created>
  <dcterms:modified xsi:type="dcterms:W3CDTF">2024-08-26T15:26:00Z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-1180942355</vt:i4>
  </property>
</Properties>
</file>