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</w:t>
      </w:r>
      <w:r w:rsidR="00EF4E93">
        <w:rPr>
          <w:color w:val="3399FF"/>
          <w:lang w:val="kk-KZ"/>
        </w:rPr>
        <w:t xml:space="preserve">город</w:t>
      </w:r>
      <w:r w:rsidR="00EF4E93">
        <w:rPr>
          <w:color w:val="3399FF"/>
          <w:lang w:val="kk-KZ"/>
        </w:rPr>
        <w:t xml:space="preserve"> </w:t>
      </w:r>
      <w:r w:rsidR="00DA79A3">
        <w:rPr>
          <w:color w:val="3399FF"/>
          <w:lang w:val="kk-KZ"/>
        </w:rPr>
        <w:t xml:space="preserve">Астана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Pr="00D31102" w:rsidR="00EF4E93">
        <w:rPr>
          <w:color w:val="3399FF"/>
          <w:lang w:val="kk-KZ"/>
        </w:rPr>
        <w:t xml:space="preserve"> </w:t>
      </w:r>
    </w:p>
    <w:p>
      <w:pPr>
        <w:rPr/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 w:rsidR="004A67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="004A67E4">
        <w:rPr>
          <w:b/>
          <w:sz w:val="28"/>
          <w:szCs w:val="28"/>
        </w:rPr>
        <w:t xml:space="preserve">в приказ Министра по инвестициям и развитию Республики Казахстан от 11 мая 2018 года № 316 </w:t>
      </w:r>
      <w:r w:rsidRPr="001A724B" w:rsidR="001A724B">
        <w:rPr>
          <w:b/>
          <w:bCs/>
          <w:sz w:val="28"/>
          <w:szCs w:val="28"/>
        </w:rPr>
        <w:t xml:space="preserve">«</w:t>
      </w:r>
      <w:r w:rsidR="004A67E4">
        <w:rPr>
          <w:b/>
          <w:sz w:val="28"/>
          <w:szCs w:val="28"/>
        </w:rPr>
        <w:t xml:space="preserve">Об утверждении Правил проведения аукциона среди заявителей, имеющих одинаковую приоритетность</w:t>
      </w:r>
      <w:r w:rsidR="001A724B">
        <w:rPr>
          <w:sz w:val="28"/>
          <w:szCs w:val="28"/>
        </w:rPr>
        <w:t xml:space="preserve">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 w:rsidRPr="001A724B">
        <w:rPr>
          <w:b/>
          <w:bCs/>
          <w:sz w:val="28"/>
          <w:szCs w:val="28"/>
        </w:rPr>
        <w:t xml:space="preserve">ПРИКАЗЫВАЮ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Министра по инвестициям и развитию Республики Казахстан от 11 мая 2018 года № 316 </w:t>
      </w:r>
      <w:r w:rsidR="001A724B"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проведения аукциона среди заявителей, имеющих одинаковую приоритетность</w:t>
      </w:r>
      <w:r w:rsidR="001A724B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(зарегистрирован в Реестре государственной регистрации нормативных пра</w:t>
      </w:r>
      <w:r w:rsidR="003227A5">
        <w:rPr>
          <w:sz w:val="28"/>
          <w:szCs w:val="28"/>
        </w:rPr>
        <w:t xml:space="preserve">вовых актов за № 16994) следующие изменения и дополнения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дополнить подпунктом 22), 23), 24) и 25) следующего содержания: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«22) гарантийный взнос – денежная сумма, вносимая заявителем для участия в аукционе, являющаяся обеспечением исполнения обязательства победителя аукциона по уплате подписного бонуса;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взнос за участие – денежная сумма в сорокакратный размере месячного расчетного показателя, установленного законом о республиканском бюджете и действующего на дату размещения извещения о проведении аукциона;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единая платформа недропользователей (далее – единая платформа) – информационный система на веб-портале реестра для автоматизации бизнес-процессов выдачи лицензии;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электронный кошелек – лицевой счет участника в реестре для отражения денег, внесенных им на расчетный счет единого оператора в банке второго уровня.»;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A67E4"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ами</w:t>
      </w:r>
      <w:r w:rsidR="004A67E4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-1, 16-2, 16-3, 16-4, 16-5, 16,6, 16,7</w:t>
      </w:r>
      <w:r w:rsidR="004A6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16,8 следующего содержания к настоящим правилам</w:t>
      </w:r>
      <w:r w:rsidR="004A67E4"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«16-1. Формирование, прием и обработка заявлений на участие от физических и юридических лиц состоит из следующих этапов: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оплата физическим или юридическим лицом гарантийного взноса и взноса за участие;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и подписание на веб-портале реестра физическим или юридическим лицом заявки на участие;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прием и обработка заявки на участие компетентным органом;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отображение текущего статуса обработки заявки на веб-портале реестра.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и подачи заявки на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участие, физические и юридические лица обеспечивают соблюдение условий, предусмотренных пунктом 16 настоящих Правил, а также оплату гарантийного взноса и взноса за участие в аукционе.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и обработке компетентным органом заявки на участие веб-порталом осуществляется форматно-логический контроль, заключающийся в проверке полноты заполнения заявки. Результаты форматно-логического контроля включаются в заявку на участие.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16-2. Размер взноса за участие в аукционе составляет 40 (сорокакратный) размер месячного расчетного показателя, установленного законом о республиканском бюджете и действующего на дату размещения на веб-портале реестра извещения о проведении аукциона.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16-3. Взнос за участие в аукционе оплачивается единому оператору и не подлежит возврату лицу, подавшему заявку.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оператор перечисляет взносы за участие в аукционе в доход государства по месту регистрации участника в течение 3 (трех) рабочих дней со дня принятия веб-порталом реестра заявки.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16-4. Гарантийный взнос вносится заявителем в электронный кошелек и является обеспечением исполнения обязательства победителя по уплате подписного бонуса.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16-5. Размер гарантийного взноса определяется компетентным органом и составляет: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предоставления права недропользования на разведку и добычу твердых полезных ископаемых – сумму, равную двукратному размеру стартового размера подписного бонуса, определенного в соответствии с налоговым законодательством Республики Казахстан;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предоставления права недропользования на добычу твердых полезных ископаемых – сумму, равную однократному размеру стартового размера подписного бонуса, определенного в соответствии с налоговым законодательством Республики Казахстан.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16-6. Гарантийные взносы победителя и/или участника, предложившего следующий после победителя наибольший размер подписного бонуса, по их заявлениям, поданным в адрес единого оператора на веб-портале реестра, перечисляются единым оператором в течение 3 (трех) рабочих дней в бюджет по месту регистрации победителя в счет исполнения обязательства победителя по уплате им подписного бонуса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16-7. Уведомление участника, предложившего следующий после победителя наибольший размер подписного бонуса о выполнении требований, предусмотренных пунктом 31 настоящих Правил, формируется компетентным органом в единой платформе и автоматически размещается в личном кабинете участника на веб-портале реестра. После формирования такого уведомления гарантийный взнос участника, предложившего следующий после победителя </w:t>
      </w:r>
      <w:r>
        <w:rPr>
          <w:sz w:val="28"/>
          <w:szCs w:val="28"/>
        </w:rPr>
        <w:t xml:space="preserve">наибольший размер подписного бонуса автоматически разблокируется веб-порталом реестра в электронном кошельке участника.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16-8. При невыполнении победителем или участником, предложившим следующий после победителя наибольший размер подписного бонуса требований, предусмотренных пунктом 31 настоящих Правил, внесенный им гарантийный взнос не возвращается, а обращается в доход государства в течение 3 (трех) рабочих дней со дня истечения срока оплаты подписного бонуса.»;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19 изложить в следующей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В случае получения данных в автоматическом режиме из вышеуказанных государственных баз данных и информационных систем веб-порталом реестра производится проверка сведений.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заявки веб-порталом в течение 3 (трех) минут производится автоматическая проверка на наличие в электронном кошельке сведений о поступлении взноса за участие и гарантийного взноса по объекту, на который подана заявка.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в электронном кошельке сведений о поступлении взноса за участие и гарантийного взноса, веб-портал реестра осуществляет блокировку денег в электронном кошельке на сумму взноса за участие и гарантийного взноса. При отсутствии в электронном кошельке сведений о поступлении взноса за участие и гарантийного взноса, веб-портал реестра отклоняет заявку.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веб-порталом реестра в регистрации заявки на участие являются несоблюдение участником требований, указанных в пунктах 16 и 17 настоящих Правил.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участника о регистрации заявки на участие либо причинах отказа в регистрации такой заявки автоматически размещается в личном кабинете участника на веб-портале реестра.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подписного бонуса заявителем или лицом, прямо или косвенно контролирующим заявителя или находящимся под его контролем, в течение пяти лет, предшествующих дате подачи заявки на участие, также является основанием для отказа в регистрации такой заявки.»;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32-1</w:t>
      </w:r>
      <w:r w:rsidR="004A67E4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 xml:space="preserve">го</w:t>
      </w:r>
      <w:r w:rsidR="004A6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к настоящим правилам</w:t>
      </w:r>
      <w:r w:rsidR="004A67E4"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«32-1. Уведомление участника о переходе к нему приоритета и обязательств формируется компетентным органом в ЕПН и автоматически размещается в личном кабинете участника на веб-портале реестра.»;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57A4">
        <w:rPr>
          <w:color w:val="000000" w:themeColor="text1"/>
          <w:sz w:val="28"/>
          <w:szCs w:val="28"/>
        </w:rPr>
        <w:t xml:space="preserve">Департаменту </w:t>
      </w:r>
      <w:r w:rsidRPr="009957A4" w:rsidR="009957A4">
        <w:rPr>
          <w:color w:val="000000" w:themeColor="text1"/>
          <w:sz w:val="28"/>
          <w:szCs w:val="28"/>
        </w:rPr>
        <w:t xml:space="preserve">недропользования </w:t>
      </w:r>
      <w:r w:rsidRPr="009957A4">
        <w:rPr>
          <w:color w:val="000000" w:themeColor="text1"/>
          <w:sz w:val="28"/>
          <w:szCs w:val="28"/>
        </w:rPr>
        <w:t xml:space="preserve">Министерства </w:t>
      </w:r>
      <w:r w:rsidRPr="009957A4" w:rsidR="009957A4">
        <w:rPr>
          <w:color w:val="000000" w:themeColor="text1"/>
          <w:sz w:val="28"/>
          <w:szCs w:val="28"/>
        </w:rPr>
        <w:t xml:space="preserve">промышленности и строительства </w:t>
      </w:r>
      <w:r w:rsidRPr="009957A4">
        <w:rPr>
          <w:color w:val="000000" w:themeColor="text1"/>
          <w:sz w:val="28"/>
          <w:szCs w:val="28"/>
        </w:rPr>
        <w:t xml:space="preserve">Республики Казахстан </w:t>
      </w:r>
      <w:r>
        <w:rPr>
          <w:sz w:val="28"/>
          <w:szCs w:val="28"/>
        </w:rPr>
        <w:t xml:space="preserve">в установленном законодательством Республики Казахстан порядке обеспечить: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настоящего приказа на интернет-ресурсе Министерства </w:t>
      </w:r>
      <w:r w:rsidRPr="009957A4" w:rsidR="009957A4">
        <w:rPr>
          <w:color w:val="000000" w:themeColor="text1"/>
          <w:sz w:val="28"/>
          <w:szCs w:val="28"/>
        </w:rPr>
        <w:t xml:space="preserve">промышленности и строительства </w:t>
      </w:r>
      <w:r>
        <w:rPr>
          <w:sz w:val="28"/>
          <w:szCs w:val="28"/>
        </w:rPr>
        <w:t xml:space="preserve">Республики Казахстан после его официального опубликования.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возложить на курирующего вице-</w:t>
      </w:r>
      <w:r w:rsidRPr="009957A4">
        <w:rPr>
          <w:color w:val="000000" w:themeColor="text1"/>
          <w:sz w:val="28"/>
          <w:szCs w:val="28"/>
        </w:rPr>
        <w:t xml:space="preserve">министра </w:t>
      </w:r>
      <w:r w:rsidRPr="009957A4" w:rsidR="009957A4">
        <w:rPr>
          <w:color w:val="000000" w:themeColor="text1"/>
          <w:sz w:val="28"/>
          <w:szCs w:val="28"/>
        </w:rPr>
        <w:t xml:space="preserve">промышленности и строительства </w:t>
      </w:r>
      <w:r w:rsidRPr="009957A4">
        <w:rPr>
          <w:color w:val="000000" w:themeColor="text1"/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Казахстан.</w:t>
      </w:r>
    </w:p>
    <w:p>
      <w:pPr>
        <w:ind w:firstLine="709"/>
        <w:jc w:val="both"/>
        <w:rPr>
          <w:sz w:val="28"/>
          <w:szCs w:val="28"/>
        </w:rPr>
      </w:pPr>
      <w:r w:rsidRPr="00AF2481">
        <w:rPr>
          <w:color w:val="000000"/>
          <w:sz w:val="28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jc w:val="both"/>
        <w:rPr>
          <w:sz w:val="28"/>
          <w:szCs w:val="28"/>
        </w:rPr>
      </w:pPr>
    </w:p>
    <w:p>
      <w:pPr>
        <w:rPr/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/>
      </w:pPr>
    </w:p>
    <w:sectPr w:rsidSect="00EC411A">
      <w:headerReference w:type="even" r:id="rId3"/>
      <w:headerReference w:type="default" r:id="rId4"/>
      <w:headerReference w:type="first" r:id="rId5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73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075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7A5">
      <w:rPr>
        <w:rStyle w:val="PageNumber"/>
        <w:noProof/>
      </w:rPr>
      <w:t xml:space="preserve">4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ӨНЕРКӘСІ</w:t>
          </w:r>
          <w:r w:rsidR="007D1B32">
            <w:rPr>
              <w:b/>
              <w:bCs/>
              <w:color w:val="3399FF"/>
              <w:lang w:val="kk-KZ"/>
            </w:rPr>
            <w:t xml:space="preserve">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ПРОМЫШЛЕННОСТИ</w:t>
          </w:r>
          <w:r w:rsidR="007D1B32"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2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07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78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</w:t>
    </w:r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Ботагоз Акимбекова</lastModifiedBy>
  <dcterms:modified xsi:type="dcterms:W3CDTF">2024-08-28T12:03:00Z</dcterms:modified>
  <revision>33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916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7564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39</TotalTime>
  <Pages>4</Pages>
  <Words>916</Words>
  <Characters>6663</Characters>
  <Application>Microsoft Office Word</Application>
  <DocSecurity>0</DocSecurity>
  <Lines>55</Lines>
  <Paragraphs>15</Paragraphs>
  <Company>АО НИТ</Company>
  <CharactersWithSpaces>7564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Ботагоз Акимбекова</lastModifiedBy>
  <dcterms:modified xsi:type="dcterms:W3CDTF">2024-08-28T12:03:00Z</dcterms:modified>
  <revision>33</revision>
  <dc:title>ЌАЗАЌСТАН</dc:title>
</coreProperties>
</file>