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D1A2E" w14:textId="77777777" w:rsidR="00BD6032" w:rsidRDefault="00BD6032" w:rsidP="00EA0F7E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14:paraId="3D721760" w14:textId="77777777" w:rsidR="00BD6032" w:rsidRPr="00BD6032" w:rsidRDefault="00BD6032" w:rsidP="00BD6032">
      <w:pPr>
        <w:ind w:firstLine="426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kk-KZ"/>
        </w:rPr>
        <w:t>С</w:t>
      </w:r>
      <w:proofErr w:type="spellStart"/>
      <w:r w:rsidRPr="00BD6032">
        <w:rPr>
          <w:rFonts w:ascii="Times New Roman" w:eastAsia="Times New Roman" w:hAnsi="Times New Roman" w:cs="Times New Roman"/>
          <w:b/>
          <w:lang w:val="ru-RU"/>
        </w:rPr>
        <w:t>ыбайлас</w:t>
      </w:r>
      <w:proofErr w:type="spellEnd"/>
      <w:r w:rsidRPr="00BD6032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Pr="00BD6032">
        <w:rPr>
          <w:rFonts w:ascii="Times New Roman" w:eastAsia="Times New Roman" w:hAnsi="Times New Roman" w:cs="Times New Roman"/>
          <w:b/>
          <w:lang w:val="ru-RU"/>
        </w:rPr>
        <w:t>жемқорлық</w:t>
      </w:r>
      <w:proofErr w:type="spellEnd"/>
      <w:r w:rsidRPr="00BD6032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Pr="00BD6032">
        <w:rPr>
          <w:rFonts w:ascii="Times New Roman" w:eastAsia="Times New Roman" w:hAnsi="Times New Roman" w:cs="Times New Roman"/>
          <w:b/>
          <w:lang w:val="ru-RU"/>
        </w:rPr>
        <w:t>тәуекелдерін</w:t>
      </w:r>
      <w:proofErr w:type="spellEnd"/>
      <w:r w:rsidRPr="00BD6032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Pr="00BD6032">
        <w:rPr>
          <w:rFonts w:ascii="Times New Roman" w:eastAsia="Times New Roman" w:hAnsi="Times New Roman" w:cs="Times New Roman"/>
          <w:b/>
          <w:lang w:val="ru-RU"/>
        </w:rPr>
        <w:t>ішкі</w:t>
      </w:r>
      <w:proofErr w:type="spellEnd"/>
      <w:r w:rsidRPr="00BD6032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Pr="00BD6032">
        <w:rPr>
          <w:rFonts w:ascii="Times New Roman" w:eastAsia="Times New Roman" w:hAnsi="Times New Roman" w:cs="Times New Roman"/>
          <w:b/>
          <w:lang w:val="ru-RU"/>
        </w:rPr>
        <w:t>талдау</w:t>
      </w:r>
      <w:proofErr w:type="spellEnd"/>
      <w:r w:rsidRPr="00BD6032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Pr="00BD6032">
        <w:rPr>
          <w:rFonts w:ascii="Times New Roman" w:eastAsia="Times New Roman" w:hAnsi="Times New Roman" w:cs="Times New Roman"/>
          <w:b/>
          <w:lang w:val="ru-RU"/>
        </w:rPr>
        <w:t>қорытындылары</w:t>
      </w:r>
      <w:proofErr w:type="spellEnd"/>
      <w:r w:rsidRPr="00BD6032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Pr="00BD6032">
        <w:rPr>
          <w:rFonts w:ascii="Times New Roman" w:eastAsia="Times New Roman" w:hAnsi="Times New Roman" w:cs="Times New Roman"/>
          <w:b/>
          <w:lang w:val="ru-RU"/>
        </w:rPr>
        <w:t>бойынша</w:t>
      </w:r>
      <w:proofErr w:type="spellEnd"/>
      <w:r w:rsidRPr="00BD6032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Pr="00BD6032">
        <w:rPr>
          <w:rFonts w:ascii="Times New Roman" w:eastAsia="Times New Roman" w:hAnsi="Times New Roman" w:cs="Times New Roman"/>
          <w:b/>
          <w:lang w:val="ru-RU"/>
        </w:rPr>
        <w:t>айқындалған</w:t>
      </w:r>
      <w:proofErr w:type="spellEnd"/>
      <w:r>
        <w:rPr>
          <w:rFonts w:ascii="Times New Roman" w:eastAsia="Times New Roman" w:hAnsi="Times New Roman" w:cs="Times New Roman"/>
          <w:b/>
          <w:lang w:val="kk-KZ"/>
        </w:rPr>
        <w:t xml:space="preserve"> с</w:t>
      </w:r>
      <w:proofErr w:type="spellStart"/>
      <w:r w:rsidRPr="00BD6032">
        <w:rPr>
          <w:rFonts w:ascii="Times New Roman" w:eastAsia="Times New Roman" w:hAnsi="Times New Roman" w:cs="Times New Roman"/>
          <w:b/>
          <w:lang w:val="ru-RU"/>
        </w:rPr>
        <w:t>ыбайлас</w:t>
      </w:r>
      <w:proofErr w:type="spellEnd"/>
      <w:r w:rsidRPr="00BD6032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Pr="00BD6032">
        <w:rPr>
          <w:rFonts w:ascii="Times New Roman" w:eastAsia="Times New Roman" w:hAnsi="Times New Roman" w:cs="Times New Roman"/>
          <w:b/>
          <w:lang w:val="ru-RU"/>
        </w:rPr>
        <w:t>жемқорлық</w:t>
      </w:r>
      <w:proofErr w:type="spellEnd"/>
      <w:r w:rsidRPr="00BD6032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Pr="00BD6032">
        <w:rPr>
          <w:rFonts w:ascii="Times New Roman" w:eastAsia="Times New Roman" w:hAnsi="Times New Roman" w:cs="Times New Roman"/>
          <w:b/>
          <w:lang w:val="ru-RU"/>
        </w:rPr>
        <w:t>тәуекелдеріне</w:t>
      </w:r>
      <w:proofErr w:type="spellEnd"/>
      <w:r w:rsidRPr="00BD60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lang w:val="kk-KZ"/>
        </w:rPr>
        <w:t>шалдыққан</w:t>
      </w:r>
      <w:r w:rsidRPr="00BD6032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Pr="00BD6032">
        <w:rPr>
          <w:rFonts w:ascii="Times New Roman" w:eastAsia="Times New Roman" w:hAnsi="Times New Roman" w:cs="Times New Roman"/>
          <w:b/>
          <w:lang w:val="ru-RU"/>
        </w:rPr>
        <w:t>лауазымдар</w:t>
      </w:r>
      <w:proofErr w:type="spellEnd"/>
      <w:r w:rsidRPr="00BD6032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Pr="00BD6032">
        <w:rPr>
          <w:rFonts w:ascii="Times New Roman" w:eastAsia="Times New Roman" w:hAnsi="Times New Roman" w:cs="Times New Roman"/>
          <w:b/>
          <w:lang w:val="ru-RU"/>
        </w:rPr>
        <w:t>тізбесі</w:t>
      </w:r>
      <w:proofErr w:type="spellEnd"/>
    </w:p>
    <w:p w14:paraId="5CF78E59" w14:textId="77777777" w:rsidR="00EA0F7E" w:rsidRPr="00BD6032" w:rsidRDefault="00EA0F7E" w:rsidP="00EA0F7E">
      <w:pPr>
        <w:ind w:firstLine="426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14:paraId="51EC0572" w14:textId="77777777" w:rsidR="004E14D0" w:rsidRDefault="009278A5" w:rsidP="00EA0F7E">
      <w:pPr>
        <w:ind w:firstLine="426"/>
        <w:jc w:val="center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Қазақстан Республикасы Туризм және спорт министрлігінің </w:t>
      </w:r>
    </w:p>
    <w:p w14:paraId="6E5664F2" w14:textId="6699BA8E" w:rsidR="009278A5" w:rsidRDefault="00321225" w:rsidP="00EA0F7E">
      <w:pPr>
        <w:ind w:firstLine="426"/>
        <w:jc w:val="center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Спорт және дене шынықтыру істері</w:t>
      </w:r>
      <w:r w:rsidR="009278A5">
        <w:rPr>
          <w:rFonts w:ascii="Times New Roman" w:hAnsi="Times New Roman" w:cs="Times New Roman"/>
          <w:color w:val="000000"/>
          <w:lang w:val="kk-KZ"/>
        </w:rPr>
        <w:t xml:space="preserve"> комитеті </w:t>
      </w:r>
    </w:p>
    <w:p w14:paraId="3296D91D" w14:textId="77777777" w:rsidR="004E14D0" w:rsidRPr="0099338D" w:rsidRDefault="004E14D0" w:rsidP="00EA0F7E">
      <w:pPr>
        <w:ind w:firstLine="426"/>
        <w:jc w:val="center"/>
        <w:rPr>
          <w:rFonts w:ascii="Times New Roman" w:hAnsi="Times New Roman" w:cs="Times New Roman"/>
          <w:color w:val="000000"/>
          <w:lang w:val="kk-KZ"/>
        </w:rPr>
      </w:pPr>
    </w:p>
    <w:p w14:paraId="7D71221D" w14:textId="77777777" w:rsidR="00EA0F7E" w:rsidRPr="004E14D0" w:rsidRDefault="00EA0F7E" w:rsidP="00EA0F7E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68"/>
        <w:gridCol w:w="4247"/>
        <w:gridCol w:w="4536"/>
        <w:gridCol w:w="4252"/>
      </w:tblGrid>
      <w:tr w:rsidR="00BD6032" w:rsidRPr="0099338D" w14:paraId="0F88AA68" w14:textId="77777777" w:rsidTr="00EA0F7E">
        <w:trPr>
          <w:trHeight w:val="1299"/>
          <w:jc w:val="center"/>
        </w:trPr>
        <w:tc>
          <w:tcPr>
            <w:tcW w:w="568" w:type="dxa"/>
            <w:vAlign w:val="center"/>
          </w:tcPr>
          <w:p w14:paraId="7836B5CE" w14:textId="77777777" w:rsidR="00BD6032" w:rsidRPr="0099338D" w:rsidRDefault="00BD6032" w:rsidP="00BD6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338D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14:paraId="65E9A907" w14:textId="77777777" w:rsidR="00BD6032" w:rsidRPr="0099338D" w:rsidRDefault="00BD6032" w:rsidP="00BD6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р</w:t>
            </w:r>
            <w:r>
              <w:rPr>
                <w:rFonts w:ascii="Times New Roman" w:hAnsi="Times New Roman" w:cs="Times New Roman"/>
                <w:b/>
                <w:lang w:eastAsia="ru-RU"/>
              </w:rPr>
              <w:t>/с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61DC" w14:textId="77777777" w:rsidR="00BD6032" w:rsidRPr="0099338D" w:rsidRDefault="00BD6032" w:rsidP="00BD6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6E1280">
              <w:rPr>
                <w:rFonts w:ascii="Times New Roman" w:hAnsi="Times New Roman" w:cs="Times New Roman"/>
                <w:b/>
                <w:bCs/>
                <w:lang w:eastAsia="ru-RU"/>
              </w:rPr>
              <w:t>Сыбайл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жемқорлық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тәуекеліне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шалдыққан</w:t>
            </w:r>
            <w:r w:rsidRPr="006E128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6E1280">
              <w:rPr>
                <w:rFonts w:ascii="Times New Roman" w:hAnsi="Times New Roman" w:cs="Times New Roman"/>
                <w:b/>
                <w:bCs/>
                <w:lang w:eastAsia="ru-RU"/>
              </w:rPr>
              <w:t>лауазым</w:t>
            </w:r>
            <w:proofErr w:type="spellEnd"/>
          </w:p>
        </w:tc>
        <w:tc>
          <w:tcPr>
            <w:tcW w:w="4536" w:type="dxa"/>
            <w:vAlign w:val="center"/>
          </w:tcPr>
          <w:p w14:paraId="1FE5197A" w14:textId="77777777" w:rsidR="00BD6032" w:rsidRPr="0099338D" w:rsidRDefault="00BD6032" w:rsidP="00BD60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E1280">
              <w:rPr>
                <w:rFonts w:ascii="Times New Roman" w:eastAsia="Calibri" w:hAnsi="Times New Roman" w:cs="Times New Roman"/>
                <w:b/>
              </w:rPr>
              <w:t>Сыбайлас</w:t>
            </w:r>
            <w:proofErr w:type="spellEnd"/>
            <w:r w:rsidRPr="006E128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E1280">
              <w:rPr>
                <w:rFonts w:ascii="Times New Roman" w:eastAsia="Calibri" w:hAnsi="Times New Roman" w:cs="Times New Roman"/>
                <w:b/>
              </w:rPr>
              <w:t>жемқорлық</w:t>
            </w:r>
            <w:proofErr w:type="spellEnd"/>
            <w:r w:rsidRPr="006E128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E1280">
              <w:rPr>
                <w:rFonts w:ascii="Times New Roman" w:eastAsia="Calibri" w:hAnsi="Times New Roman" w:cs="Times New Roman"/>
                <w:b/>
              </w:rPr>
              <w:t>тәуекелдері</w:t>
            </w:r>
            <w:proofErr w:type="spellEnd"/>
            <w:r w:rsidRPr="006E128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E1280">
              <w:rPr>
                <w:rFonts w:ascii="Times New Roman" w:eastAsia="Calibri" w:hAnsi="Times New Roman" w:cs="Times New Roman"/>
                <w:b/>
              </w:rPr>
              <w:t>бар</w:t>
            </w:r>
            <w:proofErr w:type="spellEnd"/>
            <w:r w:rsidRPr="006E128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E1280">
              <w:rPr>
                <w:rFonts w:ascii="Times New Roman" w:eastAsia="Calibri" w:hAnsi="Times New Roman" w:cs="Times New Roman"/>
                <w:b/>
              </w:rPr>
              <w:t>лауазымдық</w:t>
            </w:r>
            <w:proofErr w:type="spellEnd"/>
            <w:r w:rsidRPr="006E128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E1280">
              <w:rPr>
                <w:rFonts w:ascii="Times New Roman" w:eastAsia="Calibri" w:hAnsi="Times New Roman" w:cs="Times New Roman"/>
                <w:b/>
              </w:rPr>
              <w:t>өкілеттіктер</w:t>
            </w:r>
            <w:proofErr w:type="spellEnd"/>
          </w:p>
        </w:tc>
        <w:tc>
          <w:tcPr>
            <w:tcW w:w="4252" w:type="dxa"/>
          </w:tcPr>
          <w:p w14:paraId="330F2E05" w14:textId="77777777" w:rsidR="00BD6032" w:rsidRPr="0099338D" w:rsidRDefault="00BD6032" w:rsidP="00BD6032">
            <w:pPr>
              <w:keepLines/>
              <w:widowControl w:val="0"/>
              <w:autoSpaceDE w:val="0"/>
              <w:autoSpaceDN w:val="0"/>
              <w:ind w:left="141" w:right="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8654158" w14:textId="77777777" w:rsidR="00BD6032" w:rsidRPr="0099338D" w:rsidRDefault="00BD6032" w:rsidP="00BD6032">
            <w:pPr>
              <w:keepLines/>
              <w:widowControl w:val="0"/>
              <w:autoSpaceDE w:val="0"/>
              <w:autoSpaceDN w:val="0"/>
              <w:ind w:left="141" w:right="83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E1280">
              <w:rPr>
                <w:rFonts w:ascii="Times New Roman" w:eastAsia="Calibri" w:hAnsi="Times New Roman" w:cs="Times New Roman"/>
                <w:b/>
              </w:rPr>
              <w:t>Сыбайлас</w:t>
            </w:r>
            <w:proofErr w:type="spellEnd"/>
            <w:r w:rsidRPr="006E128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E1280">
              <w:rPr>
                <w:rFonts w:ascii="Times New Roman" w:eastAsia="Calibri" w:hAnsi="Times New Roman" w:cs="Times New Roman"/>
                <w:b/>
              </w:rPr>
              <w:t>жемқорлық</w:t>
            </w:r>
            <w:proofErr w:type="spellEnd"/>
            <w:r w:rsidRPr="006E128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E1280">
              <w:rPr>
                <w:rFonts w:ascii="Times New Roman" w:eastAsia="Calibri" w:hAnsi="Times New Roman" w:cs="Times New Roman"/>
                <w:b/>
              </w:rPr>
              <w:t>тәуекелдері</w:t>
            </w:r>
            <w:proofErr w:type="spellEnd"/>
          </w:p>
        </w:tc>
      </w:tr>
      <w:tr w:rsidR="00EA0F7E" w:rsidRPr="00565640" w14:paraId="1C3CF227" w14:textId="77777777" w:rsidTr="00EA0F7E">
        <w:trPr>
          <w:trHeight w:val="527"/>
          <w:jc w:val="center"/>
        </w:trPr>
        <w:tc>
          <w:tcPr>
            <w:tcW w:w="568" w:type="dxa"/>
          </w:tcPr>
          <w:p w14:paraId="08FE1EAB" w14:textId="31B21E7D" w:rsidR="00EA0F7E" w:rsidRPr="00565640" w:rsidRDefault="00565640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3328" w14:textId="57F413C2" w:rsidR="00EA0F7E" w:rsidRPr="00482E2D" w:rsidRDefault="00482E2D" w:rsidP="009278A5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Комитет </w:t>
            </w:r>
            <w:proofErr w:type="spellStart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төрағасы</w:t>
            </w:r>
            <w:proofErr w:type="spellEnd"/>
          </w:p>
        </w:tc>
        <w:tc>
          <w:tcPr>
            <w:tcW w:w="4536" w:type="dxa"/>
          </w:tcPr>
          <w:p w14:paraId="35163F60" w14:textId="04B7D6A1" w:rsidR="00EA0F7E" w:rsidRPr="00482E2D" w:rsidRDefault="00482E2D" w:rsidP="00DF6093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Шешімдер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қабылдау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ұйымдық-шаруашылық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функцияларды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жүзеге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асыру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құқығы</w:t>
            </w:r>
            <w:proofErr w:type="spellEnd"/>
          </w:p>
        </w:tc>
        <w:tc>
          <w:tcPr>
            <w:tcW w:w="4252" w:type="dxa"/>
          </w:tcPr>
          <w:p w14:paraId="318A2868" w14:textId="1829B3C2" w:rsidR="00EA0F7E" w:rsidRPr="002E3E38" w:rsidRDefault="002E3E38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Лауазымды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жеке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өзіне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үшінші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тұлғаларға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игiлiктер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мен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артықшылықтар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алу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немесе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табу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мақсатында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заңсыз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пайдалану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мүмкіндігі</w:t>
            </w:r>
            <w:proofErr w:type="spellEnd"/>
          </w:p>
        </w:tc>
      </w:tr>
      <w:tr w:rsidR="00482E2D" w:rsidRPr="00565640" w14:paraId="2594D5C7" w14:textId="77777777" w:rsidTr="00EA0F7E">
        <w:trPr>
          <w:trHeight w:val="527"/>
          <w:jc w:val="center"/>
        </w:trPr>
        <w:tc>
          <w:tcPr>
            <w:tcW w:w="568" w:type="dxa"/>
          </w:tcPr>
          <w:p w14:paraId="0EDBA768" w14:textId="45D70E8C" w:rsidR="00482E2D" w:rsidRPr="00482E2D" w:rsidRDefault="00565640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FBFA" w14:textId="46C79866" w:rsidR="00482E2D" w:rsidRPr="00482E2D" w:rsidRDefault="00482E2D" w:rsidP="009278A5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Комитет </w:t>
            </w:r>
            <w:proofErr w:type="spellStart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төрағасының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орынбасары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87FE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(3 </w:t>
            </w:r>
            <w:proofErr w:type="spellStart"/>
            <w:r w:rsidR="00287FE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бірлік</w:t>
            </w:r>
            <w:proofErr w:type="spellEnd"/>
            <w:r w:rsidR="00287FE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4536" w:type="dxa"/>
          </w:tcPr>
          <w:p w14:paraId="161C6C55" w14:textId="7A1E0F89" w:rsidR="00482E2D" w:rsidRPr="00482E2D" w:rsidRDefault="00482E2D" w:rsidP="00DF6093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Шешімдер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қабылдау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ұйымдық-шаруашылық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функцияларды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жүзеге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асыру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құқығы</w:t>
            </w:r>
            <w:proofErr w:type="spellEnd"/>
          </w:p>
        </w:tc>
        <w:tc>
          <w:tcPr>
            <w:tcW w:w="4252" w:type="dxa"/>
          </w:tcPr>
          <w:p w14:paraId="5B74A96E" w14:textId="3778BF70" w:rsidR="00482E2D" w:rsidRPr="002E3E38" w:rsidRDefault="002E3E38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Лауазымды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жеке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өзіне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үшінші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тұлғаларға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игiлiктер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мен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артықшылықтар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алу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немесе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табу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мақсатында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заңсыз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пайдалану</w:t>
            </w:r>
            <w:proofErr w:type="spellEnd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мүмкіндігі</w:t>
            </w:r>
            <w:proofErr w:type="spellEnd"/>
          </w:p>
        </w:tc>
      </w:tr>
      <w:tr w:rsidR="00EA0F7E" w:rsidRPr="00565640" w14:paraId="4F91C2E7" w14:textId="77777777" w:rsidTr="00EA0F7E">
        <w:trPr>
          <w:trHeight w:val="527"/>
          <w:jc w:val="center"/>
        </w:trPr>
        <w:tc>
          <w:tcPr>
            <w:tcW w:w="568" w:type="dxa"/>
          </w:tcPr>
          <w:p w14:paraId="692289DF" w14:textId="0AABC7B9" w:rsidR="00EA0F7E" w:rsidRPr="00482E2D" w:rsidRDefault="00565640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68C2" w14:textId="77777777" w:rsidR="00585AE0" w:rsidRPr="008F5364" w:rsidRDefault="00585AE0" w:rsidP="00585AE0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85AE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Ұйымдастырушылық</w:t>
            </w:r>
            <w:r w:rsidRPr="008F536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 w:rsidRPr="00585AE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нормативтік</w:t>
            </w:r>
            <w:proofErr w:type="spellEnd"/>
            <w:r w:rsidRPr="008F536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5AE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қамтамасыз</w:t>
            </w:r>
            <w:proofErr w:type="spellEnd"/>
            <w:r w:rsidRPr="008F536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5AE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ету</w:t>
            </w:r>
            <w:proofErr w:type="spellEnd"/>
            <w:r w:rsidRPr="008F536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5AE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8F536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D1029B1" w14:textId="70A49E36" w:rsidR="00EA0F7E" w:rsidRPr="008F5364" w:rsidRDefault="00585AE0" w:rsidP="00585AE0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85AE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мемлекеттік</w:t>
            </w:r>
            <w:proofErr w:type="spellEnd"/>
            <w:r w:rsidRPr="008F536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5AE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қызметтер</w:t>
            </w:r>
            <w:proofErr w:type="spellEnd"/>
            <w:r w:rsidRPr="008F536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5AE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басқармасының</w:t>
            </w:r>
            <w:proofErr w:type="spellEnd"/>
            <w:r w:rsidRPr="008F536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5AE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басшысы</w:t>
            </w:r>
            <w:proofErr w:type="spellEnd"/>
          </w:p>
        </w:tc>
        <w:tc>
          <w:tcPr>
            <w:tcW w:w="4536" w:type="dxa"/>
          </w:tcPr>
          <w:p w14:paraId="1658D5DF" w14:textId="7DF3356B" w:rsidR="00585AE0" w:rsidRPr="00585AE0" w:rsidRDefault="00565640" w:rsidP="00585AE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</w:t>
            </w:r>
            <w:bookmarkStart w:id="0" w:name="_GoBack"/>
            <w:bookmarkEnd w:id="0"/>
            <w:r w:rsidR="00585AE0" w:rsidRPr="00585A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емлекеттік қызмет көрсету қағидаларына сәйкес Комитет көрсететін мемлекеттік қызметтерді көрсету бойынша жұмысты үйлестіру;</w:t>
            </w:r>
          </w:p>
          <w:p w14:paraId="201C6AE8" w14:textId="665C984A" w:rsidR="00EA0F7E" w:rsidRPr="00585AE0" w:rsidRDefault="00585AE0" w:rsidP="00585AE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85A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мемлекеттік қызмет көрсетудің тиісті мемлекеттік қызметті көрсетудің негізгі талаптарының тізбесі мен көрсету ережелерін сақтау, әкімшілік рәсімдерді сақтау</w:t>
            </w:r>
          </w:p>
        </w:tc>
        <w:tc>
          <w:tcPr>
            <w:tcW w:w="4252" w:type="dxa"/>
          </w:tcPr>
          <w:p w14:paraId="7D3E06A4" w14:textId="2D877263" w:rsidR="00EA0F7E" w:rsidRPr="002E3E38" w:rsidRDefault="002E3E38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Мемлекеттік қызмет көрсету нәтижесін бұрмалау мүмкіндігі </w:t>
            </w:r>
          </w:p>
        </w:tc>
      </w:tr>
      <w:tr w:rsidR="00EA0F7E" w:rsidRPr="00565640" w14:paraId="5ACAD57F" w14:textId="77777777" w:rsidTr="00EA0F7E">
        <w:trPr>
          <w:trHeight w:val="527"/>
          <w:jc w:val="center"/>
        </w:trPr>
        <w:tc>
          <w:tcPr>
            <w:tcW w:w="568" w:type="dxa"/>
          </w:tcPr>
          <w:p w14:paraId="25EF058A" w14:textId="5879AEB3" w:rsidR="00EA0F7E" w:rsidRPr="00585AE0" w:rsidRDefault="00565640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lastRenderedPageBreak/>
              <w:t>4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A046" w14:textId="77777777" w:rsidR="00585AE0" w:rsidRPr="00585AE0" w:rsidRDefault="00585AE0" w:rsidP="00585AE0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85A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Ұйымдастырушылық-нормативтік қамтамасыз ету және </w:t>
            </w:r>
          </w:p>
          <w:p w14:paraId="5DB44F01" w14:textId="13BA0B77" w:rsidR="00EA0F7E" w:rsidRPr="00585AE0" w:rsidRDefault="00585AE0" w:rsidP="00287FEF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85A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мемлекеттік қызметтер басқармасының бас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сарап</w:t>
            </w:r>
            <w:r w:rsidRPr="00585A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шысы</w:t>
            </w:r>
            <w:r w:rsidR="00DC0AA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(4 </w:t>
            </w:r>
            <w:r w:rsidR="00287FE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бірлік</w:t>
            </w:r>
            <w:r w:rsidR="00DC0AA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) </w:t>
            </w:r>
          </w:p>
        </w:tc>
        <w:tc>
          <w:tcPr>
            <w:tcW w:w="4536" w:type="dxa"/>
          </w:tcPr>
          <w:p w14:paraId="19F89A6C" w14:textId="65FE1924" w:rsidR="00585AE0" w:rsidRPr="00585AE0" w:rsidRDefault="00565640" w:rsidP="00585AE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</w:t>
            </w:r>
            <w:r w:rsidR="00585AE0" w:rsidRPr="00585A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емлекеттік қызмет көрсету Ережелеріне сәйкес Комитетпен көрсетілетін мемлекеттік қызметтерді көрсетуді жүзеге асыру, әкімшілік рәсімдерді сақтау;</w:t>
            </w:r>
          </w:p>
          <w:p w14:paraId="6947CB54" w14:textId="00D1EBEC" w:rsidR="00EA0F7E" w:rsidRPr="00585AE0" w:rsidRDefault="00585AE0" w:rsidP="00585AE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85AE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мемлекеттік қызмет көрсетудің тиісті мемлекеттік қызметті көрсетудің негізгі талаптарының тізбесі мен көрсету ережелерін сақтау,  әкімшілік рәсімдерді сақтау</w:t>
            </w:r>
          </w:p>
        </w:tc>
        <w:tc>
          <w:tcPr>
            <w:tcW w:w="4252" w:type="dxa"/>
          </w:tcPr>
          <w:p w14:paraId="025039EC" w14:textId="21ED43B6" w:rsidR="00EA0F7E" w:rsidRPr="002E3E38" w:rsidRDefault="002E3E38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3E3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Мемлекеттік қызмет көрсету нәтижесін бұрмалау мүмкіндігі</w:t>
            </w:r>
          </w:p>
        </w:tc>
      </w:tr>
      <w:tr w:rsidR="008862C7" w:rsidRPr="00565640" w14:paraId="4EC02144" w14:textId="77777777" w:rsidTr="00EA0F7E">
        <w:trPr>
          <w:trHeight w:val="527"/>
          <w:jc w:val="center"/>
        </w:trPr>
        <w:tc>
          <w:tcPr>
            <w:tcW w:w="568" w:type="dxa"/>
          </w:tcPr>
          <w:p w14:paraId="4C3195DF" w14:textId="1A607AF6" w:rsidR="008862C7" w:rsidRPr="00585AE0" w:rsidRDefault="00565640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F6ED8" w14:textId="05E056B8" w:rsidR="008862C7" w:rsidRPr="00701C2A" w:rsidRDefault="00701C2A" w:rsidP="001C0DC2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Спорт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инфрақұрылымын</w:t>
            </w:r>
            <w:proofErr w:type="spellEnd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дамыту</w:t>
            </w:r>
            <w:proofErr w:type="spellEnd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басқармасы</w:t>
            </w:r>
            <w:proofErr w:type="spellEnd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басшысы</w:t>
            </w:r>
            <w:proofErr w:type="spellEnd"/>
          </w:p>
        </w:tc>
        <w:tc>
          <w:tcPr>
            <w:tcW w:w="4536" w:type="dxa"/>
          </w:tcPr>
          <w:p w14:paraId="6CEEE31A" w14:textId="0D4ABB13" w:rsidR="00701C2A" w:rsidRPr="00482E2D" w:rsidRDefault="00701C2A" w:rsidP="00701C2A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Комитеттің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құзыретіне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кіретін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республикалық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маңызы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бар</w:t>
            </w:r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объектілері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мен</w:t>
            </w:r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кешендерінің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құрылыс</w:t>
            </w:r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монтаждау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жұмыстарының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сапалы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орындалуын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қамтамасыз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ету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бойынша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техникалық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қадағалау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жобаны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әзірлеушілердің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авторлық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қадағалаудың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мердігердің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қадағалау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қызметі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бас</w:t>
            </w:r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мердігерлер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органдарының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жүмысын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үйлестіруге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;</w:t>
            </w:r>
          </w:p>
          <w:p w14:paraId="238B5070" w14:textId="6BBD9B5A" w:rsidR="00701C2A" w:rsidRPr="00482E2D" w:rsidRDefault="00701C2A" w:rsidP="00701C2A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Комитеттің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салынып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жатқан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реконструкцияланатын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кеңейтілген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жаңғыртылатын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объектілері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мен</w:t>
            </w:r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кешендерінде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орындалып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жатқан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құрылыс</w:t>
            </w:r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монтаждау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жұмыстарының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көлемі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мен</w:t>
            </w:r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сапасы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бойынша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тұрақты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түрде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мониторингілеуді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ұйымдастыру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өткізуге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14:paraId="3299930F" w14:textId="53C9DC12" w:rsidR="00701C2A" w:rsidRPr="00482E2D" w:rsidRDefault="00701C2A" w:rsidP="00701C2A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Бұзушыларға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заңнамамен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көзделген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шараларды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қолдану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туралы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шешімдер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туралы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сәулет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қала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құрылысы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құрылыс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қызметі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саласында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белгіленген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заңнама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нормаларынан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шарттар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мен</w:t>
            </w:r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шектеулерден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қойылған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заңнамалық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нормалардан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ауытқуға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қателікке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жол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берген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бұзушыларға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заңнамада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көзделген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тәртіппен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шара</w:t>
            </w:r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қолдануға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шешім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C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қабылдауға</w:t>
            </w:r>
            <w:proofErr w:type="spellEnd"/>
            <w:r w:rsidRPr="00482E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;</w:t>
            </w:r>
          </w:p>
          <w:p w14:paraId="735C1E58" w14:textId="19984F41" w:rsidR="008862C7" w:rsidRPr="00482E2D" w:rsidRDefault="008862C7" w:rsidP="00701C2A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14:paraId="01A459C5" w14:textId="77777777" w:rsidR="002E3E38" w:rsidRDefault="002E3E38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Құрылыс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объектілерінің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қабылдануына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ықпал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алу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мүмкіндігі</w:t>
            </w:r>
            <w:proofErr w:type="spellEnd"/>
          </w:p>
          <w:p w14:paraId="300519EB" w14:textId="7B771F5C" w:rsidR="008862C7" w:rsidRPr="002E3E38" w:rsidRDefault="002E3E38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Қолданыстағы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заңнама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талаптарын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бұза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отырып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салынып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жатырған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құрылыс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объектілерінің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мердігерлеріне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шара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қолданбай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жасырып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қалу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мүмкіндігінің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болуы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862C7" w:rsidRPr="00565640" w14:paraId="4CC855AB" w14:textId="77777777" w:rsidTr="00EA0F7E">
        <w:trPr>
          <w:trHeight w:val="527"/>
          <w:jc w:val="center"/>
        </w:trPr>
        <w:tc>
          <w:tcPr>
            <w:tcW w:w="568" w:type="dxa"/>
          </w:tcPr>
          <w:p w14:paraId="65A5BD2B" w14:textId="1EC433EA" w:rsidR="008862C7" w:rsidRPr="00482E2D" w:rsidRDefault="00565640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6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1954" w14:textId="17698417" w:rsidR="008862C7" w:rsidRPr="00F92F1B" w:rsidRDefault="00F92F1B" w:rsidP="00287FEF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Спорт </w:t>
            </w:r>
            <w:proofErr w:type="spellStart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инфрақұрылымын</w:t>
            </w:r>
            <w:proofErr w:type="spellEnd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дамыту</w:t>
            </w:r>
            <w:proofErr w:type="spellEnd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басқармасы</w:t>
            </w:r>
            <w:proofErr w:type="spellEnd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бас </w:t>
            </w:r>
            <w:proofErr w:type="spellStart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сарапшысы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  (2 </w:t>
            </w:r>
            <w:proofErr w:type="spellStart"/>
            <w:r w:rsidR="00287FE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бірлік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536" w:type="dxa"/>
          </w:tcPr>
          <w:p w14:paraId="027364EA" w14:textId="5599E155" w:rsidR="008862C7" w:rsidRPr="00F92F1B" w:rsidRDefault="00F92F1B" w:rsidP="00DF6093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Ведомстволық</w:t>
            </w:r>
            <w:proofErr w:type="spellEnd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бағыныстағы</w:t>
            </w:r>
            <w:proofErr w:type="spellEnd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спорт </w:t>
            </w:r>
            <w:proofErr w:type="spellStart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ұйымдарының</w:t>
            </w:r>
            <w:proofErr w:type="spellEnd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штат </w:t>
            </w:r>
            <w:proofErr w:type="spellStart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кестесін</w:t>
            </w:r>
            <w:proofErr w:type="spellEnd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қарауды</w:t>
            </w:r>
            <w:proofErr w:type="spellEnd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келісуді</w:t>
            </w:r>
            <w:proofErr w:type="spellEnd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қамтамасыз</w:t>
            </w:r>
            <w:proofErr w:type="spellEnd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2F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ету</w:t>
            </w:r>
            <w:proofErr w:type="spellEnd"/>
          </w:p>
        </w:tc>
        <w:tc>
          <w:tcPr>
            <w:tcW w:w="4252" w:type="dxa"/>
          </w:tcPr>
          <w:p w14:paraId="1FF31DBB" w14:textId="6907F0A6" w:rsidR="008862C7" w:rsidRPr="00C01B0E" w:rsidRDefault="00C01B0E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Тиімсіз</w:t>
            </w:r>
            <w:proofErr w:type="spellEnd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штаттық</w:t>
            </w:r>
            <w:proofErr w:type="spellEnd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бірліктер</w:t>
            </w:r>
            <w:proofErr w:type="spellEnd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енгізіліп</w:t>
            </w:r>
            <w:proofErr w:type="spellEnd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нәтижесінде</w:t>
            </w:r>
            <w:proofErr w:type="spellEnd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тиімсіз</w:t>
            </w:r>
            <w:proofErr w:type="spellEnd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қаржы</w:t>
            </w:r>
            <w:proofErr w:type="spellEnd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бөлінуіне</w:t>
            </w:r>
            <w:proofErr w:type="spellEnd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ықпал</w:t>
            </w:r>
            <w:proofErr w:type="spellEnd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ете</w:t>
            </w:r>
            <w:proofErr w:type="spellEnd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алу</w:t>
            </w:r>
            <w:proofErr w:type="spellEnd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мүмкіндігі</w:t>
            </w:r>
            <w:proofErr w:type="spellEnd"/>
            <w:r w:rsidRPr="00C01B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326D3CE9" w14:textId="77777777" w:rsidR="00FC6554" w:rsidRPr="00482E2D" w:rsidRDefault="00FC6554">
      <w:pPr>
        <w:rPr>
          <w:lang w:val="ru-RU"/>
        </w:rPr>
      </w:pPr>
    </w:p>
    <w:sectPr w:rsidR="00FC6554" w:rsidRPr="00482E2D" w:rsidSect="00A76AF0">
      <w:headerReference w:type="default" r:id="rId6"/>
      <w:pgSz w:w="16838" w:h="11906" w:orient="landscape"/>
      <w:pgMar w:top="426" w:right="1134" w:bottom="851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42C1B" w14:textId="77777777" w:rsidR="00105202" w:rsidRDefault="00105202" w:rsidP="00A9311F">
      <w:r>
        <w:separator/>
      </w:r>
    </w:p>
  </w:endnote>
  <w:endnote w:type="continuationSeparator" w:id="0">
    <w:p w14:paraId="456B9C8E" w14:textId="77777777" w:rsidR="00105202" w:rsidRDefault="00105202" w:rsidP="00A9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B8BD2" w14:textId="77777777" w:rsidR="00105202" w:rsidRDefault="00105202" w:rsidP="00A9311F">
      <w:r>
        <w:separator/>
      </w:r>
    </w:p>
  </w:footnote>
  <w:footnote w:type="continuationSeparator" w:id="0">
    <w:p w14:paraId="70F8661C" w14:textId="77777777" w:rsidR="00105202" w:rsidRDefault="00105202" w:rsidP="00A93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2881"/>
      <w:docPartObj>
        <w:docPartGallery w:val="Page Numbers (Top of Page)"/>
        <w:docPartUnique/>
      </w:docPartObj>
    </w:sdtPr>
    <w:sdtEndPr/>
    <w:sdtContent>
      <w:p w14:paraId="2D7BF651" w14:textId="228A3904" w:rsidR="00A9311F" w:rsidRDefault="00A931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640" w:rsidRPr="00565640">
          <w:rPr>
            <w:noProof/>
            <w:lang w:val="ru-RU"/>
          </w:rPr>
          <w:t>2</w:t>
        </w:r>
        <w:r>
          <w:fldChar w:fldCharType="end"/>
        </w:r>
      </w:p>
    </w:sdtContent>
  </w:sdt>
  <w:p w14:paraId="2F19BBBD" w14:textId="77777777" w:rsidR="00A9311F" w:rsidRDefault="00A931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A1"/>
    <w:rsid w:val="00105202"/>
    <w:rsid w:val="00163CB2"/>
    <w:rsid w:val="001C0DC2"/>
    <w:rsid w:val="00287FEF"/>
    <w:rsid w:val="002E3E38"/>
    <w:rsid w:val="002F7F2D"/>
    <w:rsid w:val="00321225"/>
    <w:rsid w:val="00381FEE"/>
    <w:rsid w:val="00482E2D"/>
    <w:rsid w:val="004E14D0"/>
    <w:rsid w:val="00565640"/>
    <w:rsid w:val="00585AE0"/>
    <w:rsid w:val="00590D8D"/>
    <w:rsid w:val="0065039E"/>
    <w:rsid w:val="00682AF5"/>
    <w:rsid w:val="00701C2A"/>
    <w:rsid w:val="008862C7"/>
    <w:rsid w:val="00896CEE"/>
    <w:rsid w:val="008F5364"/>
    <w:rsid w:val="009278A5"/>
    <w:rsid w:val="00A76AF0"/>
    <w:rsid w:val="00A9311F"/>
    <w:rsid w:val="00AB3AA1"/>
    <w:rsid w:val="00BD6032"/>
    <w:rsid w:val="00C01B0E"/>
    <w:rsid w:val="00CB10F6"/>
    <w:rsid w:val="00DC0AA6"/>
    <w:rsid w:val="00E17EE0"/>
    <w:rsid w:val="00E94A33"/>
    <w:rsid w:val="00EA0F7E"/>
    <w:rsid w:val="00F92F1B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AC52"/>
  <w15:chartTrackingRefBased/>
  <w15:docId w15:val="{59E2994F-5AF5-4798-B03A-D17D0566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Айнур Чигирова</cp:lastModifiedBy>
  <cp:revision>29</cp:revision>
  <cp:lastPrinted>2024-09-11T06:29:00Z</cp:lastPrinted>
  <dcterms:created xsi:type="dcterms:W3CDTF">2024-08-28T15:40:00Z</dcterms:created>
  <dcterms:modified xsi:type="dcterms:W3CDTF">2024-09-12T07:11:00Z</dcterms:modified>
</cp:coreProperties>
</file>