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.795275590551114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внесении изменений в приказ Министра по инвестициям и развитию Республики Казахстан от 14 июля 2023 года № 516 "Об утверждении Правил оказания государственной услуги "Выдача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ПРИКАЗЫВАЮ: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Внести в приказ Министра по инвестициям и развитию Республики Казахстан от 14 июля 2023 года № 516 "Об утверждении Правил оказания государственной услуги "Выдача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недропользования" (Зарегистрирован в Министерстве юстиции Республики Казахстан 17 июля 2023 года № 33094.) следующие изменения: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 изложить в следующей редакции: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«2. В настоящих Правилах используются следующие основные понятия: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экспертная комиссия по вопросам недропользования (далее – экспертная комиссия) - является консультативно-совещательным органом при компетентном органе в целях выработки рекомендаций при рассмотрении заявлений на выдачу разрешения на переход права недропользования и (или) объектов, связанных с правом недропользования, а также в иных случаях, предусмотренных настоящим Кодексом. Состав экспертной комиссии и положение о ней утверждаются компетентным органом;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Единая платформа недропользователей (далее – ЕПН) – цифровая платформа, позволяющая улучшить обеспечение устойчивого развития минерально-сырьевой базы Республики Казахстан для экономического роста государства и благосостояния общества;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3) единый оператор в сфере учета государственного имущества – юридическое лицо с участием государства в уставном капитале,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3 изложить в следующей редакции: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«3. Государственная услуга оказывается Министерством промышленности и строительства Республики Казахстан (далее - услугодатель).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4 изложить в следующей редакции: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«4. Для получения государственной услуги физические и (или) юридические лица (далее - услугополучатель) подают посредством ЕПН заявление о выдаче разрешения на переход права недропользования (доли в праве недропользования), удостоверенную электронной цифровой подписью услугополучателя,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 по форме согласно приложению 2 к настоящим Правилам, с приложением документов, указанных в пункте 8 Перечня основных требований к оказанию государственной услуги "Выдача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недропользования" (далее - Перечень основных требований к оказанию государственной услуги) согласно приложению 1 к настоящим Правилам.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информации; перечень документов и сведений, истребуемых у услугополучателя для оказания государственной услуги; основания для отказа в оказании государственной услуги, установленные законами Республики Казахстан изложены в Перечне основных требований к оказанию государственной услуги.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пункт 6 исключить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7 изложить в следующей редакции: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«7. При регистрации  заявления на ЕПН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Заявление с прикрепленными документами регистрируется на ЕПН с присвоением уникального учетного номера, даты и времени (часы, минуты) регистрации.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8 изложить в следующей редакции: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«8. Ответственный исполнитель услугодателя проверяет достоверность представленных документов в соответствие с требованиями в течение 5 (пяти) рабочих дней с момента регистрации заявления.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установления недостоверности  документов представленных услугополучателем, ответственный исполнитель услугодателя в течение срока, указанного в части первой настоящего пункта, направляет мотивированный отказ в дальнейшем рассмотрении заявления.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установления достоверности  документов на соответствие с требованиями, ответственный исполнитель услугодателя в течение срока, указанного в части первой настоящего пункта, выносит их на рассмотрение экспертной комиссии.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10 изложить в следующей редакции: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«10. Экспертная комиссия рассматривает посредством ЕПН заявление и прилагаемые к нему документы в срок не более пятнадцати рабочих дней, а по крупным месторождениям – не более сорока пяти рабочих дней.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В соответствии с пунктом 6 статьи 45 Кодекса, в целях всестороннего и полного рассмотрения заявления услугодатель вправе запросить посредством ЕПН у услугополучателя дополнительные сведения и (или) документы, необходимые для выработки рекомендаций. В случае запроса дополнительных сведений и (или) документов сроки рассмотрения соответствующего заявления приостанавливаются на период до представления таких сведений и (или) документов.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15 изложить в следующей редакции: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«15. При наличии оснований, предусмотренных в пункте 9 Перечня основных требований к оказанию государственной услуги исполнитель услугодателя формирует и направляет уведомление в личный кабинет ЕПН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предоставления возможности выразить услугополучателю позицию по предварительному решению.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Уведомление о заслушивании формируется и направляется в личный кабинет ЕПН не менее чем за 3 (три) рабочих дня до завершения срока оказания государственной услуги согласно статье 73 Административного процедурно-процессуального кодекса Республики Казахстан. Заслушивание проводится не позднее 2 (двух) рабочих дней со дня размещения уведомления.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По результатам заслушивания услугодатель размещает в личном кабинете ЕПН услугополучателя положительный результат либо мотивированный отказ в оказании государственной услуги.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17 изложить в следующей редакции: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«17. Результат оказания государственной услуги направляется в личный кабинет ЕПН услугополучателя либо нарочно в случае обращения через канцелярию услугодателя.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пункт 20 изложить в следующей редакции: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«20. Уполномоченный орган в области твердых полезных ископаемых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направляет единому оператору в сфере учета государственного имущества.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приложении 2 к настоящим Правилам: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Перечень основных требований к оказанию государственной услуги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1 и 2, изложить в следующей редакции: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      </w:t>
      </w:r>
    </w:p>
    <w:tbl>
      <w:tblPr>
        <w:tblStyle w:val="Table1"/>
        <w:tblW w:w="9636.511811023624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3212.170603674541"/>
        <w:gridCol w:w="3212.170603674541"/>
        <w:gridCol w:w="3212.170603674541"/>
        <w:tblGridChange w:id="0">
          <w:tblGrid>
            <w:gridCol w:w="3212.170603674541"/>
            <w:gridCol w:w="3212.170603674541"/>
            <w:gridCol w:w="3212.170603674541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Наименование услугодателя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Министерство 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 и строительства Республики Казахстан.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Способы предоставления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Единая платформа недропользователей (далее – ЕПН).</w:t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ind w:left="0"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4, изложить в следующей редакции: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      </w:t>
      </w:r>
    </w:p>
    <w:tbl>
      <w:tblPr>
        <w:tblStyle w:val="Table2"/>
        <w:tblW w:w="9636.511811023624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3212.170603674541"/>
        <w:gridCol w:w="3212.170603674541"/>
        <w:gridCol w:w="3212.170603674541"/>
        <w:tblGridChange w:id="0">
          <w:tblGrid>
            <w:gridCol w:w="3212.170603674541"/>
            <w:gridCol w:w="3212.170603674541"/>
            <w:gridCol w:w="3212.170603674541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оказания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Электронная (частично автоматизированная)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ind w:left="0"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7, изложить в следующей редакции:</w:t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      </w:t>
      </w:r>
    </w:p>
    <w:tbl>
      <w:tblPr>
        <w:tblStyle w:val="Table3"/>
        <w:tblW w:w="9636.511811023624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3212.170603674541"/>
        <w:gridCol w:w="3212.170603674541"/>
        <w:gridCol w:w="3212.170603674541"/>
        <w:tblGridChange w:id="0">
          <w:tblGrid>
            <w:gridCol w:w="3212.170603674541"/>
            <w:gridCol w:w="3212.170603674541"/>
            <w:gridCol w:w="3212.170603674541"/>
          </w:tblGrid>
        </w:tblGridChange>
      </w:tblGrid>
      <w:tr>
        <w:trPr>
          <w:cantSplit w:val="0"/>
          <w:trHeight w:val="639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График работы услугодателя, Государственной корпорации и объектов информации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днем.);</w:t>
              <w:br w:type="textWrapping"/>
              <w:t xml:space="preserve">2) услугодателя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Трудовым кодексом Республики Казахстан и Законом Республики Казахстан "О праздниках в Республике Казахстан".</w:t>
            </w:r>
          </w:p>
        </w:tc>
      </w:tr>
      <w:tr>
        <w:trPr>
          <w:cantSplit w:val="0"/>
          <w:trHeight w:val="1665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Перечень документов и сведений, необходимых для оказания государственной услуги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Заявление о выдаче разрешения должно содержать:</w:t>
              <w:br w:type="textWrapping"/>
              <w:t xml:space="preserve">1) сведения о лице (организации), имеющем (имеющей) намерение приобрести право недропользования (долю в праве недропользования) и (или) объекты, связанные с правом недропользования:</w:t>
              <w:br w:type="textWrapping"/>
              <w:t xml:space="preserve">для физических лиц – фамилию, имя и отчетсво (при его наличии) приобретателя, место жительства, гражданство, сведения о документах, удостоверяющих личность);</w:t>
              <w:br w:type="textWrapping"/>
              <w:t xml:space="preserve">для юридических лиц – наименование приобретателя, его место нахождения, указание на его государственную принадлежность, сведения о государственной регистрации в качестве юридического лица, сведения о руководителях и их полномочиях, сведения о лицах, организациях и государствах, имеющих возможность прямо или косвенно определять решения, принимаемые заявителем;</w:t>
              <w:br w:type="textWrapping"/>
              <w:t xml:space="preserve">2) указание на приобретаемое право недропользования (долю в праве недропользования) и (или) объекты, связанные с правом недропользования;</w:t>
              <w:br w:type="textWrapping"/>
              <w:t xml:space="preserve">3) основание перехода права недропользования (доли в праве недропользования) и (или) объектов, связанных с правом недропользования;</w:t>
              <w:br w:type="textWrapping"/>
              <w:t xml:space="preserve">4) сведения о финансовых и технических возможностях лица, имеющего намерение приобрести право недропользования (долю в праве недропользования), для проведения операций по разведке и (или) добыче углеводородов, добыче урана, подтверждающие его соответствие требованиям </w:t>
            </w:r>
            <w:hyperlink r:id="rId6">
              <w:r w:rsidDel="00000000" w:rsidR="00000000" w:rsidRPr="00000000">
                <w:rPr>
                  <w:color w:val="073a5e"/>
                  <w:sz w:val="28"/>
                  <w:szCs w:val="28"/>
                  <w:u w:val="single"/>
                  <w:rtl w:val="0"/>
                </w:rPr>
                <w:t xml:space="preserve">Кодекса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Республики Казахстан "О недрах и недропользовании" (далее – Кодекс), предъявляемым при предоставлении такого права недропользования (не требуются при переходе объектов, связанных с правом недропользования);</w:t>
              <w:br w:type="textWrapping"/>
              <w:t xml:space="preserve">5) исключить;</w:t>
              <w:br w:type="textWrapping"/>
              <w:t xml:space="preserve">6) фамилию, имя и отчество (при его наличии) лица, подписавшего заявление от имени заявителя, сведения о документе, удостоверяющем его личность.</w:t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строку, порядковый номер 10, изложить в следующей редакции:</w:t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      </w:t>
      </w:r>
    </w:p>
    <w:tbl>
      <w:tblPr>
        <w:tblStyle w:val="Table4"/>
        <w:tblW w:w="9636.511811023624" w:type="dxa"/>
        <w:jc w:val="left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  <w:insideH w:color="cfcfcf" w:space="0" w:sz="6" w:val="single"/>
          <w:insideV w:color="cfcfcf" w:space="0" w:sz="6" w:val="single"/>
        </w:tblBorders>
        <w:tblLayout w:type="fixed"/>
        <w:tblLook w:val="0600"/>
      </w:tblPr>
      <w:tblGrid>
        <w:gridCol w:w="3212.170603674541"/>
        <w:gridCol w:w="3212.170603674541"/>
        <w:gridCol w:w="3212.170603674541"/>
        <w:tblGridChange w:id="0">
          <w:tblGrid>
            <w:gridCol w:w="3212.170603674541"/>
            <w:gridCol w:w="3212.170603674541"/>
            <w:gridCol w:w="3212.170603674541"/>
          </w:tblGrid>
        </w:tblGridChange>
      </w:tblGrid>
      <w:tr>
        <w:trPr>
          <w:cantSplit w:val="0"/>
          <w:trHeight w:val="325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Адреса оказания государственной услуги размещен на интернет-ресурсе услугодателя – Единая Платформа Недропользователей.</w:t>
              <w:br w:type="textWrapping"/>
              <w:t xml:space="preserve">2. Контактные телефоны справочных служб по вопросам оказания государственной услуги:</w:t>
              <w:br w:type="textWrapping"/>
              <w:t xml:space="preserve">8 (7172) 983-334, единый контакт-центр по вопросам оказания государственных услуг:</w:t>
              <w:br w:type="textWrapping"/>
              <w:t xml:space="preserve">1414, 8 800 080 7777.</w:t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ind w:left="0"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»;</w:t>
      </w:r>
    </w:p>
    <w:p w:rsidR="00000000" w:rsidDel="00000000" w:rsidP="00000000" w:rsidRDefault="00000000" w:rsidRPr="00000000" w14:paraId="00000046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Департаменту недропользования по твердым полезным ископаемым Министерства индустрии и инфраструктурного развития Республики Казахстан обеспечить:</w:t>
      </w:r>
    </w:p>
    <w:p w:rsidR="00000000" w:rsidDel="00000000" w:rsidP="00000000" w:rsidRDefault="00000000" w:rsidRPr="00000000" w14:paraId="00000047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государственную регистрацию настоящего приказа в Министерстве юстиции Республики Казахстан;</w:t>
      </w:r>
    </w:p>
    <w:p w:rsidR="00000000" w:rsidDel="00000000" w:rsidP="00000000" w:rsidRDefault="00000000" w:rsidRPr="00000000" w14:paraId="00000048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размещение настоящего приказа на интернет-ресурсе Министерства индустрии и инфраструктурного развития Республики Казахстан.</w:t>
      </w:r>
    </w:p>
    <w:p w:rsidR="00000000" w:rsidDel="00000000" w:rsidP="00000000" w:rsidRDefault="00000000" w:rsidRPr="00000000" w14:paraId="00000049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 w:rsidR="00000000" w:rsidDel="00000000" w:rsidP="00000000" w:rsidRDefault="00000000" w:rsidRPr="00000000" w14:paraId="0000004A">
      <w:pPr>
        <w:spacing w:after="0" w:line="240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418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/>
  </w:style>
  <w:style w:type="paragraph" w:styleId="Subtitle">
    <w:name w:val="Subtitle"/>
    <w:basedOn w:val="Normal"/>
    <w:next w:val="Normal"/>
    <w:pPr>
      <w:ind w:left="86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ilet.zan.kz/rus/docs/K1700000125#z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