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251 от 12.07.2024</w:t>
      </w:r>
    </w:p>
    <w:tbl>
      <w:tblPr>
        <w:tblpPr w:horzAnchor="margin" w:tblpXSpec="center" w:vertAnchor="margin" w:tblpY="-225" w:leftFromText="180" w:topFromText="0" w:rightFromText="180" w:bottomFromText="0"/>
        <w:tblW w:w="10420" w:type="dxa"/>
        <w:tblLook w:val="01E0" w:firstRow="1" w:lastRow="1" w:firstColumn="1" w:lastColumn="1" w:noHBand="0" w:noVBand="0"/>
      </w:tblPr>
      <w:tblGrid>
        <w:gridCol w:w="4361"/>
        <w:gridCol w:w="1985"/>
        <w:gridCol w:w="4074"/>
      </w:tblGrid>
      <w:tr>
        <w:trPr>
          <w:trHeight w:val="2835"/>
        </w:trPr>
        <w:tc>
          <w:tcPr>
            <w:tcW w:w="43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1F3864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ҚАЗАҚСТАН РЕСПУБЛИКАСЫНЫҢ</w:t>
            </w:r>
            <w:r/>
          </w:p>
          <w:p>
            <w:pPr>
              <w:jc w:val="center"/>
              <w:spacing w:after="0" w:line="264" w:lineRule="auto"/>
              <w:rPr>
                <w:rFonts w:ascii="Times New Roman" w:hAnsi="Times New Roman" w:cs="Times New Roman" w:eastAsia="Times New Roman"/>
                <w:b/>
                <w:color w:val="1F3864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ЭНЕРГЕТИКА </w:t>
            </w:r>
            <w:r/>
          </w:p>
          <w:p>
            <w:pPr>
              <w:jc w:val="center"/>
              <w:spacing w:after="0" w:line="264" w:lineRule="auto"/>
              <w:rPr>
                <w:rFonts w:ascii="Times New Roman" w:hAnsi="Times New Roman" w:cs="Times New Roman" w:eastAsia="Times New Roman"/>
                <w:b/>
                <w:color w:val="1F3864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МИНИСТРЛІГІ</w:t>
            </w:r>
            <w:r/>
          </w:p>
          <w:p>
            <w:pPr>
              <w:ind w:hanging="108"/>
              <w:jc w:val="center"/>
              <w:spacing w:after="0" w:line="264" w:lineRule="auto"/>
              <w:rPr>
                <w:rFonts w:ascii="Times New Roman" w:hAnsi="Times New Roman" w:cs="Times New Roman" w:eastAsia="Times New Roman"/>
                <w:b/>
                <w:color w:val="1F3864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1F3864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1F3864"/>
                <w:sz w:val="28"/>
                <w:szCs w:val="28"/>
                <w:lang w:val="kk-KZ"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1F3864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F3864"/>
                <w:sz w:val="20"/>
                <w:szCs w:val="20"/>
                <w:lang w:val="kk-KZ"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1F3864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1304925</wp:posOffset>
                      </wp:positionV>
                      <wp:extent cx="6516000" cy="0"/>
                      <wp:effectExtent l="0" t="0" r="18415" b="19050"/>
                      <wp:wrapNone/>
                      <wp:docPr id="1" name="Полилиния 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516000" cy="0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10245 w 1024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 fill="norm" stroke="1" extrusionOk="0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4472C4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style="position:absolute;mso-wrap-distance-left:9.0pt;mso-wrap-distance-top:0.0pt;mso-wrap-distance-right:9.0pt;mso-wrap-distance-bottom:0.0pt;z-index:251660288;o:allowoverlap:true;o:allowincell:true;mso-position-horizontal-relative:text;margin-left:-0.8pt;mso-position-horizontal:absolute;mso-position-vertical-relative:page;margin-top:102.8pt;mso-position-vertical:absolute;width:513.1pt;height:0.0pt;" coordsize="100000,100000" path="m0,0l100000,15083333e" filled="f" strokecolor="#1F3963" strokeweight="1.00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color w:val="1F3864" w:themeColor="accent5" w:themeShade="80"/>
                <w:sz w:val="16"/>
                <w:szCs w:val="16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1F3864" w:themeColor="accent5" w:themeShade="80"/>
                <w:sz w:val="28"/>
                <w:szCs w:val="16"/>
                <w:lang w:val="kk-KZ" w:eastAsia="ru-RU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b/>
                <w:color w:val="1F3864" w:themeColor="accent5" w:themeShade="80"/>
                <w:sz w:val="28"/>
                <w:szCs w:val="16"/>
                <w:lang w:eastAsia="ru-RU"/>
              </w:rPr>
              <w:t xml:space="preserve">ҰЙРЫҚ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1F3864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F3864" w:themeColor="accent5" w:themeShade="80"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3972560</wp:posOffset>
                      </wp:positionV>
                      <wp:extent cx="381000" cy="6372860"/>
                      <wp:effectExtent l="0" t="0" r="0" b="8890"/>
                      <wp:wrapNone/>
                      <wp:docPr id="2" name="Надпись 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6372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/>
                                  <w:r/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style="position:absolute;mso-wrap-distance-left:9.0pt;mso-wrap-distance-top:0.0pt;mso-wrap-distance-right:9.0pt;mso-wrap-distance-bottom:0.0pt;z-index:251659264;o:allowoverlap:true;o:allowincell:true;mso-position-horizontal-relative:text;margin-left:347.3pt;mso-position-horizontal:absolute;mso-position-vertical-relative:text;margin-top:312.8pt;mso-position-vertical:absolute;width:30.0pt;height:501.8pt;v-text-anchor:top;" coordsize="100000,100000" path="" fillcolor="#FFFFFF" stroked="f">
                      <v:path textboxrect="0,0,0,0"/>
                      <v:textbox>
                        <w:txbxContent>
                          <w:p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64525" cy="1069177"/>
                      <wp:effectExtent l="0" t="0" r="2540" b="0"/>
                      <wp:docPr id="3" name="Рисунок 1" descr="http://www.akorda.kz/upload/media/files/c7a888ef1b4daeca68627d9e8e9650ad.p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www.akorda.kz/upload/media/files/c7a888ef1b4daeca68627d9e8e9650ad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8099" cy="10928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83.8pt;height:84.2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4074" w:type="dxa"/>
            <w:textDirection w:val="lrTb"/>
            <w:noWrap w:val="false"/>
          </w:tcPr>
          <w:p>
            <w:pPr>
              <w:jc w:val="center"/>
              <w:spacing w:after="0" w:line="264" w:lineRule="auto"/>
              <w:rPr>
                <w:rFonts w:ascii="Times New Roman" w:hAnsi="Times New Roman" w:cs="Times New Roman" w:eastAsia="Times New Roman"/>
                <w:b/>
                <w:color w:val="1F386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 xml:space="preserve">МИНИСТЕРСТВО</w:t>
            </w:r>
            <w:r/>
          </w:p>
          <w:p>
            <w:pPr>
              <w:jc w:val="center"/>
              <w:spacing w:after="0" w:line="264" w:lineRule="auto"/>
              <w:rPr>
                <w:rFonts w:ascii="Times New Roman" w:hAnsi="Times New Roman" w:cs="Times New Roman" w:eastAsia="Times New Roman"/>
                <w:b/>
                <w:color w:val="1F386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 xml:space="preserve">ЭНЕРГЕТИКИ</w:t>
            </w:r>
            <w:r/>
          </w:p>
          <w:p>
            <w:pPr>
              <w:jc w:val="center"/>
              <w:spacing w:after="0" w:line="264" w:lineRule="auto"/>
              <w:rPr>
                <w:rFonts w:ascii="Times New Roman" w:hAnsi="Times New Roman" w:cs="Times New Roman" w:eastAsia="Times New Roman"/>
                <w:b/>
                <w:color w:val="1F386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 xml:space="preserve">РЕСПУБЛИКИ</w:t>
            </w:r>
            <w:r/>
          </w:p>
          <w:p>
            <w:pPr>
              <w:jc w:val="center"/>
              <w:spacing w:after="0" w:line="264" w:lineRule="auto"/>
              <w:rPr>
                <w:rFonts w:ascii="Times New Roman" w:hAnsi="Times New Roman" w:cs="Times New Roman" w:eastAsia="Times New Roman"/>
                <w:b/>
                <w:color w:val="1F386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 xml:space="preserve">КАЗАХСТАН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1F3864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F3864"/>
                <w:sz w:val="20"/>
                <w:szCs w:val="20"/>
                <w:lang w:val="kk-KZ"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color w:val="1F3864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F3864"/>
                <w:sz w:val="20"/>
                <w:szCs w:val="20"/>
                <w:lang w:val="kk-KZ"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1F3864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1F3864"/>
                <w:sz w:val="18"/>
                <w:szCs w:val="18"/>
                <w:lang w:val="kk-KZ" w:eastAsia="ru-RU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 w:eastAsia="Times New Roman"/>
                <w:color w:val="1F3864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color w:val="1F3864"/>
                <w:sz w:val="18"/>
                <w:szCs w:val="18"/>
                <w:lang w:val="kk-KZ" w:eastAsia="ru-RU"/>
              </w:rPr>
            </w:r>
            <w:r/>
          </w:p>
          <w:p>
            <w:pPr>
              <w:ind w:right="-108"/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1F3864"/>
                <w:sz w:val="48"/>
                <w:szCs w:val="29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1F3864" w:themeColor="accent5" w:themeShade="80"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1F3864" w:themeColor="accent5" w:themeShade="80"/>
                <w:sz w:val="16"/>
                <w:szCs w:val="16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1F3864" w:themeColor="accent5" w:themeShade="8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1F3864" w:themeColor="accent5" w:themeShade="80"/>
                <w:sz w:val="28"/>
                <w:szCs w:val="16"/>
                <w:lang w:eastAsia="ru-RU"/>
              </w:rPr>
              <w:t xml:space="preserve">ПРИКАЗ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color w:val="1F3864"/>
                <w:sz w:val="29"/>
                <w:szCs w:val="29"/>
                <w:lang w:val="kk-KZ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1F3864"/>
                <w:sz w:val="29"/>
                <w:szCs w:val="29"/>
                <w:lang w:val="kk-KZ" w:eastAsia="ru-RU"/>
              </w:rPr>
            </w:r>
            <w:r/>
          </w:p>
        </w:tc>
      </w:tr>
    </w:tbl>
    <w:p>
      <w:pPr>
        <w:ind w:left="-426"/>
        <w:spacing w:after="0" w:line="240" w:lineRule="auto"/>
        <w:tabs>
          <w:tab w:val="center" w:pos="4677" w:leader="none"/>
          <w:tab w:val="right" w:pos="10260" w:leader="none"/>
        </w:tabs>
        <w:rPr>
          <w:rFonts w:ascii="Times New Roman" w:hAnsi="Times New Roman" w:cs="Times New Roman" w:eastAsia="Times New Roman"/>
          <w:color w:val="1F3864"/>
          <w:sz w:val="16"/>
          <w:szCs w:val="16"/>
          <w:lang w:eastAsia="ru-RU"/>
        </w:rPr>
      </w:pPr>
      <w:r>
        <w:rPr>
          <w:rFonts w:ascii="Times New Roman" w:hAnsi="Times New Roman" w:cs="Times New Roman" w:eastAsia="Times New Roman"/>
          <w:color w:val="1F3864" w:themeColor="accent5" w:themeShade="80"/>
          <w:sz w:val="16"/>
          <w:szCs w:val="16"/>
          <w:lang w:eastAsia="ru-RU"/>
        </w:rPr>
        <w:t xml:space="preserve">   </w:t>
      </w:r>
      <w:r>
        <w:rPr>
          <w:rFonts w:ascii="Times New Roman" w:hAnsi="Times New Roman" w:cs="Times New Roman" w:eastAsia="Times New Roman"/>
          <w:color w:val="1F3864" w:themeColor="accent5" w:themeShade="80"/>
          <w:sz w:val="16"/>
          <w:szCs w:val="16"/>
          <w:lang w:eastAsia="ru-RU"/>
        </w:rPr>
        <w:t xml:space="preserve">____________№____________________________</w:t>
      </w:r>
      <w:r/>
    </w:p>
    <w:p>
      <w:pPr>
        <w:ind w:left="-426"/>
        <w:spacing w:after="0" w:line="240" w:lineRule="auto"/>
        <w:tabs>
          <w:tab w:val="center" w:pos="4677" w:leader="none"/>
          <w:tab w:val="right" w:pos="10260" w:leader="none"/>
        </w:tabs>
        <w:rPr>
          <w:rFonts w:ascii="Times New Roman" w:hAnsi="Times New Roman" w:cs="Times New Roman" w:eastAsia="Times New Roman"/>
          <w:color w:val="1F3864"/>
          <w:sz w:val="16"/>
          <w:szCs w:val="16"/>
          <w:lang w:eastAsia="ru-RU"/>
        </w:rPr>
      </w:pPr>
      <w:r>
        <w:rPr>
          <w:rFonts w:ascii="Times New Roman" w:hAnsi="Times New Roman" w:cs="Times New Roman" w:eastAsia="Times New Roman"/>
          <w:color w:val="1F3864" w:themeColor="accent5" w:themeShade="80"/>
          <w:sz w:val="16"/>
          <w:szCs w:val="16"/>
          <w:lang w:eastAsia="ru-RU"/>
        </w:rPr>
        <w:t xml:space="preserve">   __________________________________________     </w:t>
      </w:r>
      <w:r/>
    </w:p>
    <w:p>
      <w:pPr>
        <w:spacing w:after="0" w:line="240" w:lineRule="auto"/>
        <w:tabs>
          <w:tab w:val="center" w:pos="4677" w:leader="none"/>
          <w:tab w:val="right" w:pos="10260" w:leader="none"/>
        </w:tabs>
        <w:rPr>
          <w:rFonts w:ascii="Times New Roman" w:hAnsi="Times New Roman" w:cs="Times New Roman" w:eastAsia="Times New Roman"/>
          <w:color w:val="1F3864"/>
          <w:sz w:val="16"/>
          <w:szCs w:val="16"/>
          <w:lang w:eastAsia="ru-RU"/>
        </w:rPr>
      </w:pPr>
      <w:r>
        <w:rPr>
          <w:rFonts w:ascii="Times New Roman" w:hAnsi="Times New Roman" w:cs="Times New Roman" w:eastAsia="Times New Roman"/>
          <w:color w:val="1F3864" w:themeColor="accent5" w:themeShade="80"/>
          <w:sz w:val="16"/>
          <w:szCs w:val="16"/>
          <w:lang w:eastAsia="ru-RU"/>
        </w:rPr>
        <w:t xml:space="preserve">                </w:t>
      </w:r>
      <w:r/>
    </w:p>
    <w:p>
      <w:pPr>
        <w:spacing w:after="0" w:line="240" w:lineRule="auto"/>
        <w:tabs>
          <w:tab w:val="center" w:pos="4677" w:leader="none"/>
          <w:tab w:val="right" w:pos="10260" w:leader="none"/>
        </w:tabs>
        <w:rPr>
          <w:rFonts w:ascii="Times New Roman" w:hAnsi="Times New Roman" w:cs="Times New Roman" w:eastAsia="Times New Roman"/>
          <w:color w:val="1F3864"/>
          <w:sz w:val="16"/>
          <w:szCs w:val="16"/>
          <w:lang w:eastAsia="ru-RU"/>
        </w:rPr>
      </w:pPr>
      <w:r>
        <w:rPr>
          <w:rFonts w:ascii="Times New Roman" w:hAnsi="Times New Roman" w:cs="Times New Roman" w:eastAsia="Times New Roman"/>
          <w:color w:val="1F3864" w:themeColor="accent5" w:themeShade="80"/>
          <w:sz w:val="16"/>
          <w:szCs w:val="16"/>
          <w:lang w:eastAsia="ru-RU"/>
        </w:rPr>
        <w:t xml:space="preserve">               Астана </w:t>
      </w:r>
      <w:r>
        <w:rPr>
          <w:rFonts w:ascii="Times New Roman" w:hAnsi="Times New Roman" w:cs="Times New Roman" w:eastAsia="Times New Roman"/>
          <w:color w:val="1F3864" w:themeColor="accent5" w:themeShade="80"/>
          <w:sz w:val="16"/>
          <w:szCs w:val="16"/>
          <w:lang w:eastAsia="ru-RU"/>
        </w:rPr>
        <w:t xml:space="preserve">қаласы</w:t>
      </w:r>
      <w:r>
        <w:rPr>
          <w:rFonts w:ascii="Times New Roman" w:hAnsi="Times New Roman" w:cs="Times New Roman" w:eastAsia="Times New Roman"/>
          <w:color w:val="1F3864" w:themeColor="accent5" w:themeShade="8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город Астана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right="5384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 w:eastAsia="Times New Roman"/>
          <w:bCs/>
          <w:sz w:val="28"/>
          <w:szCs w:val="28"/>
          <w:lang w:bidi="pa-IN"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bidi="pa-IN" w:eastAsia="ru-RU"/>
        </w:rPr>
      </w:r>
      <w:r/>
    </w:p>
    <w:p>
      <w:pPr>
        <w:contextualSpacing/>
        <w:ind w:right="4392"/>
        <w:jc w:val="both"/>
        <w:spacing w:after="0" w:line="240" w:lineRule="atLeast"/>
        <w:tabs>
          <w:tab w:val="left" w:pos="284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«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Қазақстан Республи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касы Энергетика министрлігінің 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с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алалық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 технологиялық құзырет 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орталықтары туралы» 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Қазақстан Республи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касы 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Энергетика министрінің міндетін атқарушының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br/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2024 жылғы 16 ақпандағы № 68 бұйрығына өзгерістер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 мен толықтырулар енгізу туралы</w:t>
      </w:r>
      <w:r/>
    </w:p>
    <w:p>
      <w:pPr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r>
      <w:r/>
    </w:p>
    <w:p>
      <w:pPr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«Қазақстан Республикасының кейбір заңнамалық актілеріне байланыс, цифрландыру, инвестициялық ахуалды жақсарту және артық заңнамалық регламенттеуді болғызбау мәселелері бойынша өзгерістер мен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br/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толықтырулар енгізу туралы»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Қазақстан Республикасы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ның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br/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2024 жылғы 21 мамырдағы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Заңының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-ба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-тарма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қ 6) тармақша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сына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br/>
        <w:t xml:space="preserve">және 2-бабына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сәйкес,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 БҰЙЫРАМЫН: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Қазақстан Республикасы Энергетика министрлігінің </w:t>
      </w:r>
      <w:r>
        <w:rPr>
          <w:rFonts w:ascii="Times New Roman" w:hAnsi="Times New Roman" w:cs="Times New Roman" w:eastAsia="Times New Roman"/>
          <w:sz w:val="28"/>
          <w:szCs w:val="28"/>
          <w:lang w:val="en-US" w:bidi="pa-IN" w:eastAsia="ru-RU"/>
        </w:rPr>
        <w:t xml:space="preserve">c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алалық технологиялық құзырет орталықтары туралы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Қазақстан Республикасы Энергетика министрінің міндетін атқарушының 2024 жылғы 16 ақпандағы № 68 бұйрығына мынадай өзгерістер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мен толықтырулар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енгізілсін: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кіріспе мынадай редакцияда жазылсын: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Қазақстан Республикасы Кәсіпкерлік кодексінің 241-5-бабының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br/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2 және 4-тармақтарына,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Қазақстан Республикасының Цифрлық даму, инновациялар және аэроғарыш өнеркәсібі министрінің 2022 жылғы 21 сәуірдегі № 133/НҚ бұйрығы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мен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(Нормативтік құқықтық актілерді Мемлекеттік тіркеу тізілімінде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№ 27772 болып тіркел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ген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бекітілген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Технологиялық болжауды жүзеге асырудың, салалық технологиялық құзырет орталықтарының жұмыс істеуінің, технологиялық платформаларды ұйымдастырудың және нысаналы технологиялық бағдарламаларды әзірлеудің әдістемесі мен өлшемшарттары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ның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3 және 5-тарауларына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, сондай-ақ,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Қазақстан Республикасы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Үкіметі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br/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жанындағы Технологиялық саясат жөніндегі кеңес отырысының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br/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2023 жылғы 7 желтоқсандағы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№ 11-03/07-1337 Хаттамасының 3.2-тармағына сәйкес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, БҰЙЫРАМЫН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: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bCs/>
          <w:sz w:val="28"/>
          <w:lang w:val="kk-KZ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көрсетілген бұйрықпен бекітілген 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«Сафи Өтебаев атындағы Атырау мұнай 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және газ университеті» коммерциялық емес акционерлік қоғамы базасындағы Қазақстан Республикасы Энергетика министрлігінің мұнай-газ саласындағы Cалалық технологиял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ық құзырет орталығы туралы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ережеде: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-тармақ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тың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1) тармақша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сы жаңа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редакцияда жазылсын:</w:t>
      </w:r>
      <w:r/>
    </w:p>
    <w:p>
      <w:pPr>
        <w:contextualSpacing/>
        <w:ind w:firstLine="708"/>
        <w:jc w:val="both"/>
        <w:spacing w:after="0" w:line="240" w:lineRule="auto"/>
        <w:tabs>
          <w:tab w:val="left" w:pos="9356" w:leader="none"/>
        </w:tabs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1) 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мұнай-газ саласын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технологиялық болжамдауды жүзеге асыру, нысаналы технологиялық бағдарламаны әзірлеу мен іске асыруға жәрдемдесу, 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мұнай-газ саласын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ың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жеделдетілген технологиялық даму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ы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үшін әлемдік технологиялық трендтерді мониторингтеу, ағымдағы жағдайлар мен 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Қазақстан Республикасы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ның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бәсекелестік артықшылықтары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, сондай-ақ жеке кәсіпкерлік субъектілерінің қажеттілігі мен мүдделілігін айқындау, 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мұнай-газ саласын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ың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кәсіпкерлік субъектілері арасында инновациялық қызметтің үздік практикалары мен тәжірибесін таратуға жәрдемдесу, Қазақстан Республикасына шетелдік инвестицияларды тарту мақсатында халықаралық ынтымақтастықты жүзеге асыру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;</w:t>
      </w:r>
      <w:r/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5-тармақ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мынадай мазмұндағы 11) тармақшамен толықтырылсын:</w:t>
      </w:r>
      <w:r/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11)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технологиялық саясатты іске асыру үшін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Қазақстан Республикасы Энергетика министрі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бекітетін нысаналы технолог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иялық бағдарламаларды әзірлейді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»;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көрсетілген бұйрықпен бекітілген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«Ғ. Дәукеев атындағы Алматы энергетика және байланыс университеті» комме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рциялық емес акционерлік қоғамы және «Энергоинформ» акционерлік қоғамы құрамындағы коммерциялық емес консорциум базасындағы Қазақстан Республикасы Энергетика министрлігінің Электр энергетикасы саласындағы салалық технологиялық құзырет орталығы туралы ереже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де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: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-тармақ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мынадай мазмұндағы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18)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тармақшамен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толықтырылсын: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18) э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лектр энергетикасы саласындағы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технологиялық болжамдауды жүзеге асыру, нысаналы технологиялық бағдарламаны әзірлеу мен іске асыруға жәрдемдесу,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Электр энергетикасы саласын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ың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кәсіпкерлік субъектілері арасында инновациялық қызметтің үздік практикалары мен тәжірибесін таратуға жәрдемдесу, Қазақстан Республикасына шетелдік инвестицияларды тарту мақсатында халықаралық ынтымақтастықты жүзеге асыру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»;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5-тармақ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мынадай мазмұндағы 19) тармақшамен толықтырылсын:</w:t>
      </w:r>
      <w:r/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19)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технологиялық саясатты іске асыру үшін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Қазақстан Республикасы Энергетика министрі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бекітетін нысаналы технолог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иялық бағдарламаларды әзірлейді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»;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көрсетілген бұйрықпен бекітілген </w:t>
      </w:r>
      <w:r>
        <w:rPr>
          <w:rFonts w:ascii="Times New Roman" w:hAnsi="Times New Roman" w:cs="Times New Roman"/>
          <w:bCs/>
          <w:sz w:val="28"/>
          <w:lang w:val="kk-KZ"/>
        </w:rPr>
        <w:t xml:space="preserve">«Ядролық физ</w:t>
      </w:r>
      <w:r>
        <w:rPr>
          <w:rFonts w:ascii="Times New Roman" w:hAnsi="Times New Roman" w:cs="Times New Roman"/>
          <w:bCs/>
          <w:sz w:val="28"/>
          <w:lang w:val="kk-KZ"/>
        </w:rPr>
        <w:t xml:space="preserve">ика институты» шаруашылық жүргізу құқығындағы республикалық мемлекеттік кәсіпорны негізінде Қазақстан Республикасы Энергетика министрлігінің Баламалы және ядролық энергетика және технологиялар саласындағы салалық технологиялық құзырет орталығы туралы ереже</w:t>
      </w:r>
      <w:r>
        <w:rPr>
          <w:rFonts w:ascii="Times New Roman" w:hAnsi="Times New Roman" w:cs="Times New Roman"/>
          <w:bCs/>
          <w:sz w:val="28"/>
          <w:lang w:val="kk-KZ"/>
        </w:rPr>
        <w:t xml:space="preserve">де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-тармақт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ың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1) тармақша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сы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жаңа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редакцияда жазылсын:</w:t>
      </w:r>
      <w:r/>
    </w:p>
    <w:p>
      <w:pPr>
        <w:contextualSpacing/>
        <w:ind w:firstLine="708"/>
        <w:jc w:val="both"/>
        <w:spacing w:after="0" w:line="240" w:lineRule="auto"/>
        <w:tabs>
          <w:tab w:val="left" w:pos="9356" w:leader="none"/>
        </w:tabs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«1) 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б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аламалы және ядролық энергетика және технологиялар саласын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технологиялық болжамдауды жүзеге асыру, нысаналы технологиялық бағдарламаны әзірлеу мен іске асыруға жәрдемдесу, 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б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аламалы және ядролық энергетика және технологиялар саласын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ың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жеделдетілген технологиялық даму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ы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үшін әлемдік технологиялық трендтерді мониторингтеу, ағымдағы жағдайлар мен 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Қазақстан Республикасы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ның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бәсекелестік артықшылықтары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, сондай-ақ жеке кәсіпкерлік субъектілерінің қажеттілігі мен мүдделілігін айқындау, 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б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аламалы және ядролық энергетика және технологиялар саласын</w:t>
      </w:r>
      <w:r>
        <w:rPr>
          <w:rFonts w:ascii="Times New Roman" w:hAnsi="Times New Roman" w:cs="Times New Roman" w:eastAsia="Times New Roman"/>
          <w:bCs/>
          <w:sz w:val="28"/>
          <w:lang w:val="kk-KZ"/>
        </w:rPr>
        <w:t xml:space="preserve">ың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кәсіпкерлік субъектілері арасында инновациялық қызметтің үздік практикалары мен тәжірибесін таратуға жәрдемдесу, Қазақстан Республикасына шетелдік инвестицияларды тарту мақсатында халықаралық ынтымақтастықты жүзеге асыру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5-тармақ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мынадай мазмұндағы 11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) тармақшамен толықтырылсын: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11)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технологиялық саясатты іске асыру үшін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Қазақстан Республикасы Энергетика министрі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бекітетін нысаналы технолог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иялық бағдарламаларды әзірлейді.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2.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Қазақстан Республикасы Энергетика министрлігінің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Ц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ифрландыру департаменті заңнамада белгіленген тәртіппен 3 (үш) жұмыс күні ішінде:</w:t>
      </w:r>
      <w:r/>
    </w:p>
    <w:p>
      <w:pPr>
        <w:pStyle w:val="672"/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сы бұйрық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ты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Қазақстан Республ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икасы Энергетика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министрлігінің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интернет-ресурсында орналастырылсын;</w:t>
      </w:r>
      <w:r/>
    </w:p>
    <w:p>
      <w:pPr>
        <w:pStyle w:val="672"/>
        <w:numPr>
          <w:ilvl w:val="0"/>
          <w:numId w:val="3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</w:t>
      </w:r>
      <w:r>
        <w:rPr>
          <w:rFonts w:ascii="Times New Roman" w:hAnsi="Times New Roman"/>
          <w:sz w:val="28"/>
          <w:szCs w:val="28"/>
          <w:lang w:val="kk-KZ"/>
        </w:rPr>
        <w:t xml:space="preserve">сы бұйрық</w:t>
      </w:r>
      <w:r>
        <w:rPr>
          <w:rFonts w:ascii="Times New Roman" w:hAnsi="Times New Roman"/>
          <w:sz w:val="28"/>
          <w:szCs w:val="28"/>
          <w:lang w:val="kk-KZ"/>
        </w:rPr>
        <w:t xml:space="preserve">ты</w:t>
      </w:r>
      <w:r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 Энергетика министрлігінің құрылымдық бөлімшелерінің, ведомстволарының, аумақтық органдарының және ведомстволық бағынысты ұйымдарының назарына жеткізсін.</w:t>
      </w:r>
      <w:r/>
    </w:p>
    <w:p>
      <w:pPr>
        <w:contextualSpacing/>
        <w:ind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3.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 О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сы бұйрықтың орындалуын бақылау жетекшілік ететін Қазақстан Республикасының 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э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нергетика вице-министріне жүктелсін.</w:t>
      </w:r>
      <w:r/>
    </w:p>
    <w:p>
      <w:pPr>
        <w:contextualSpacing/>
        <w:ind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  <w:tab/>
        <w:t xml:space="preserve">Осы бұйрық 2024 жылғы 22 шілдеден бастап күшіне енеді.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val="kk-KZ" w:bidi="pa-IN" w:eastAsia="ru-RU"/>
        </w:rPr>
      </w:r>
      <w:r/>
    </w:p>
    <w:p>
      <w:pPr>
        <w:ind w:firstLine="709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Қазақстан Республикасы</w:t>
      </w:r>
      <w:r/>
    </w:p>
    <w:p>
      <w:pPr>
        <w:ind w:firstLine="709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Э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нергетика министрі              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   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    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   </w:t>
      </w:r>
      <w:r>
        <w:rPr>
          <w:rFonts w:ascii="Times New Roman" w:hAnsi="Times New Roman" w:cs="Times New Roman" w:eastAsia="Times New Roman"/>
          <w:b/>
          <w:sz w:val="28"/>
          <w:szCs w:val="28"/>
          <w:lang w:val="kk-KZ" w:bidi="pa-IN" w:eastAsia="ru-RU"/>
        </w:rPr>
        <w:t xml:space="preserve">А. </w:t>
      </w:r>
      <w:r>
        <w:rPr>
          <w:rFonts w:ascii="Times New Roman" w:hAnsi="Times New Roman" w:cs="Times New Roman" w:eastAsia="Times New Roman"/>
          <w:b/>
          <w:sz w:val="28"/>
          <w:szCs w:val="28"/>
          <w:lang w:bidi="pa-IN" w:eastAsia="ru-RU"/>
        </w:rPr>
        <w:t xml:space="preserve">Сәтқ</w:t>
      </w:r>
      <w:r>
        <w:rPr>
          <w:rFonts w:ascii="Times New Roman" w:hAnsi="Times New Roman" w:cs="Times New Roman" w:eastAsia="Times New Roman"/>
          <w:b/>
          <w:sz w:val="28"/>
          <w:szCs w:val="28"/>
          <w:lang w:bidi="pa-IN" w:eastAsia="ru-RU"/>
        </w:rPr>
        <w:t xml:space="preserve">алиев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418" w:header="709" w:footer="709" w:gutter="0"/>
      <w:cols w:num="1" w:sep="0" w:space="708" w:equalWidth="1"/>
      <w:docGrid w:linePitch="360"/>
      <w:titlePg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12.07.2024 17:46 Арынбек Нұржігіт Сәрсенбайұлы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12.07.2024 17:52 Анасова Гулзина Шолпановна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12.07.2024 17:57 Туртбаев Алмат Мирамович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12.07.2024 17:59 Зейноллов Диас Асылбекович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12.07.2024 18:04 Боранбай Кумусай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12.07.2024 18:10 Жомарт Қуаныш Жақсылықұлы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12.07.2024 18:28 Ильяс Бакытжан Нассенулы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12.07.2024 19:25 Саткалиев Алмасадам Маиданович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16.07.2024 10:54.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16.07.2024 10:54.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96199345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67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67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энергетики Республики Казахстан - Бакытова А.Б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14" w:hanging="405"/>
      </w:pPr>
      <w:rPr>
        <w:rFonts w:ascii="Times New Roman" w:hAnsi="Times New Roman" w:eastAsiaTheme="minorHAnsi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6"/>
    <w:next w:val="66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6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6"/>
    <w:next w:val="66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6"/>
    <w:next w:val="66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6"/>
    <w:next w:val="66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6"/>
    <w:next w:val="66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6"/>
    <w:next w:val="66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6"/>
    <w:next w:val="66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6"/>
    <w:next w:val="66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6"/>
    <w:next w:val="66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6"/>
    <w:next w:val="66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7"/>
    <w:link w:val="32"/>
    <w:uiPriority w:val="10"/>
    <w:rPr>
      <w:sz w:val="48"/>
      <w:szCs w:val="48"/>
    </w:rPr>
  </w:style>
  <w:style w:type="paragraph" w:styleId="34">
    <w:name w:val="Subtitle"/>
    <w:basedOn w:val="666"/>
    <w:next w:val="66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7"/>
    <w:link w:val="34"/>
    <w:uiPriority w:val="11"/>
    <w:rPr>
      <w:sz w:val="24"/>
      <w:szCs w:val="24"/>
    </w:rPr>
  </w:style>
  <w:style w:type="paragraph" w:styleId="36">
    <w:name w:val="Quote"/>
    <w:basedOn w:val="666"/>
    <w:next w:val="66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6"/>
    <w:next w:val="66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7"/>
    <w:link w:val="673"/>
    <w:uiPriority w:val="99"/>
  </w:style>
  <w:style w:type="character" w:styleId="43">
    <w:name w:val="Footer Char"/>
    <w:basedOn w:val="667"/>
    <w:link w:val="675"/>
    <w:uiPriority w:val="99"/>
  </w:style>
  <w:style w:type="paragraph" w:styleId="44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75"/>
    <w:uiPriority w:val="99"/>
  </w:style>
  <w:style w:type="table" w:styleId="46">
    <w:name w:val="Table Grid"/>
    <w:basedOn w:val="6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6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7"/>
    <w:uiPriority w:val="99"/>
    <w:unhideWhenUsed/>
    <w:rPr>
      <w:vertAlign w:val="superscript"/>
    </w:rPr>
  </w:style>
  <w:style w:type="paragraph" w:styleId="176">
    <w:name w:val="endnote text"/>
    <w:basedOn w:val="66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7"/>
    <w:uiPriority w:val="99"/>
    <w:semiHidden/>
    <w:unhideWhenUsed/>
    <w:rPr>
      <w:vertAlign w:val="superscript"/>
    </w:rPr>
  </w:style>
  <w:style w:type="paragraph" w:styleId="179">
    <w:name w:val="toc 1"/>
    <w:basedOn w:val="666"/>
    <w:next w:val="66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6"/>
    <w:next w:val="66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6"/>
    <w:next w:val="66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6"/>
    <w:next w:val="66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6"/>
    <w:next w:val="66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6"/>
    <w:next w:val="66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6"/>
    <w:next w:val="66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6"/>
    <w:next w:val="66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6"/>
    <w:next w:val="66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6"/>
    <w:next w:val="666"/>
    <w:uiPriority w:val="99"/>
    <w:unhideWhenUsed/>
    <w:pPr>
      <w:spacing w:after="0" w:afterAutospacing="0"/>
    </w:pPr>
  </w:style>
  <w:style w:type="paragraph" w:styleId="666" w:default="1">
    <w:name w:val="Normal"/>
    <w:qFormat/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paragraph" w:styleId="670">
    <w:name w:val="Balloon Text"/>
    <w:basedOn w:val="666"/>
    <w:link w:val="67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1" w:customStyle="1">
    <w:name w:val="Текст выноски Знак"/>
    <w:basedOn w:val="667"/>
    <w:link w:val="670"/>
    <w:uiPriority w:val="99"/>
    <w:semiHidden/>
    <w:rPr>
      <w:rFonts w:ascii="Segoe UI" w:hAnsi="Segoe UI" w:cs="Segoe UI"/>
      <w:sz w:val="18"/>
      <w:szCs w:val="18"/>
    </w:rPr>
  </w:style>
  <w:style w:type="paragraph" w:styleId="672">
    <w:name w:val="List Paragraph"/>
    <w:basedOn w:val="666"/>
    <w:uiPriority w:val="34"/>
    <w:qFormat/>
    <w:pPr>
      <w:contextualSpacing/>
      <w:ind w:left="720"/>
    </w:pPr>
  </w:style>
  <w:style w:type="paragraph" w:styleId="673">
    <w:name w:val="Header"/>
    <w:basedOn w:val="666"/>
    <w:link w:val="6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4" w:customStyle="1">
    <w:name w:val="Верхний колонтитул Знак"/>
    <w:basedOn w:val="667"/>
    <w:link w:val="673"/>
    <w:uiPriority w:val="99"/>
  </w:style>
  <w:style w:type="paragraph" w:styleId="675">
    <w:name w:val="Footer"/>
    <w:basedOn w:val="666"/>
    <w:link w:val="6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6" w:customStyle="1">
    <w:name w:val="Нижний колонтитул Знак"/>
    <w:basedOn w:val="667"/>
    <w:link w:val="675"/>
    <w:uiPriority w:val="99"/>
  </w:style>
  <w:style w:type="character" w:styleId="677">
    <w:name w:val="annotation reference"/>
    <w:basedOn w:val="667"/>
    <w:uiPriority w:val="99"/>
    <w:semiHidden/>
    <w:unhideWhenUsed/>
    <w:rPr>
      <w:sz w:val="16"/>
      <w:szCs w:val="16"/>
    </w:rPr>
  </w:style>
  <w:style w:type="paragraph" w:styleId="678">
    <w:name w:val="annotation text"/>
    <w:basedOn w:val="666"/>
    <w:link w:val="67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9" w:customStyle="1">
    <w:name w:val="Текст примечания Знак"/>
    <w:basedOn w:val="667"/>
    <w:link w:val="678"/>
    <w:uiPriority w:val="99"/>
    <w:semiHidden/>
    <w:rPr>
      <w:sz w:val="20"/>
      <w:szCs w:val="20"/>
    </w:rPr>
  </w:style>
  <w:style w:type="paragraph" w:styleId="680">
    <w:name w:val="annotation subject"/>
    <w:basedOn w:val="678"/>
    <w:next w:val="678"/>
    <w:link w:val="681"/>
    <w:uiPriority w:val="99"/>
    <w:semiHidden/>
    <w:unhideWhenUsed/>
    <w:rPr>
      <w:b/>
      <w:bCs/>
    </w:rPr>
  </w:style>
  <w:style w:type="character" w:styleId="681" w:customStyle="1">
    <w:name w:val="Тема примечания Знак"/>
    <w:basedOn w:val="679"/>
    <w:link w:val="680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image" Target="media/image1.png"/><Relationship Id="rId926" Type="http://schemas.openxmlformats.org/officeDocument/2006/relationships/image" Target="media/image926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Калибай</dc:creator>
  <cp:keywords/>
  <dc:description/>
  <cp:lastModifiedBy>Бакытова Айгерим Бериковна</cp:lastModifiedBy>
  <cp:revision>10</cp:revision>
  <dcterms:created xsi:type="dcterms:W3CDTF">2024-07-11T10:52:00Z</dcterms:created>
  <dcterms:modified xsi:type="dcterms:W3CDTF">2024-07-12T12:55:30Z</dcterms:modified>
</cp:coreProperties>
</file>