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8" w:rsidRDefault="00E51328">
      <w:pPr>
        <w:spacing w:after="0"/>
        <w:jc w:val="right"/>
        <w:rPr>
          <w:rFonts w:eastAsia="Times New Roman" w:cs="Times New Roman"/>
          <w:i/>
          <w:sz w:val="22"/>
          <w:lang w:val="kk-KZ" w:eastAsia="ru-RU"/>
        </w:rPr>
      </w:pPr>
    </w:p>
    <w:p w:rsidR="00E51328" w:rsidRDefault="004649AE">
      <w:pPr>
        <w:spacing w:after="0"/>
        <w:jc w:val="center"/>
        <w:rPr>
          <w:rFonts w:eastAsia="Times New Roman" w:cs="Times New Roman"/>
          <w:b/>
          <w:sz w:val="22"/>
          <w:lang w:val="kk-KZ" w:eastAsia="ru-RU"/>
        </w:rPr>
      </w:pPr>
      <w:r>
        <w:rPr>
          <w:rFonts w:eastAsia="Times New Roman" w:cs="Times New Roman"/>
          <w:b/>
          <w:sz w:val="22"/>
          <w:lang w:val="kk-KZ" w:eastAsia="ru-RU"/>
        </w:rPr>
        <w:t xml:space="preserve">Мемлекеттік ақпараттық саясаттың 2024 жылға арналған тақырыптық бағыттарының тізбесі </w:t>
      </w:r>
    </w:p>
    <w:p w:rsidR="00E51328" w:rsidRDefault="004649AE">
      <w:pPr>
        <w:spacing w:after="0"/>
        <w:jc w:val="center"/>
        <w:rPr>
          <w:rFonts w:eastAsia="Times New Roman" w:cs="Times New Roman"/>
          <w:b/>
          <w:sz w:val="22"/>
          <w:lang w:val="kk-KZ" w:eastAsia="ru-RU"/>
        </w:rPr>
      </w:pPr>
      <w:r>
        <w:rPr>
          <w:rFonts w:eastAsia="Times New Roman" w:cs="Times New Roman"/>
          <w:b/>
          <w:sz w:val="22"/>
          <w:lang w:val="kk-KZ" w:eastAsia="ru-RU"/>
        </w:rPr>
        <w:t>(БҚО)</w:t>
      </w:r>
    </w:p>
    <w:p w:rsidR="00E51328" w:rsidRDefault="00E51328">
      <w:pPr>
        <w:spacing w:after="0"/>
        <w:jc w:val="center"/>
        <w:rPr>
          <w:rFonts w:cs="Times New Roman"/>
          <w:sz w:val="22"/>
          <w:lang w:val="kk-KZ"/>
        </w:rPr>
      </w:pPr>
    </w:p>
    <w:tbl>
      <w:tblPr>
        <w:tblW w:w="10065" w:type="dxa"/>
        <w:tblInd w:w="109" w:type="dxa"/>
        <w:tblLayout w:type="fixed"/>
        <w:tblLook w:val="04A0" w:firstRow="1" w:lastRow="0" w:firstColumn="1" w:lastColumn="0" w:noHBand="0" w:noVBand="1"/>
      </w:tblPr>
      <w:tblGrid>
        <w:gridCol w:w="491"/>
        <w:gridCol w:w="2796"/>
        <w:gridCol w:w="488"/>
        <w:gridCol w:w="4447"/>
        <w:gridCol w:w="1843"/>
      </w:tblGrid>
      <w:tr w:rsidR="00E51328">
        <w:trPr>
          <w:trHeight w:val="22"/>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т.</w:t>
            </w:r>
          </w:p>
        </w:tc>
        <w:tc>
          <w:tcPr>
            <w:tcW w:w="2796"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eastAsia="ru-RU"/>
              </w:rPr>
            </w:pPr>
            <w:r>
              <w:rPr>
                <w:rFonts w:eastAsia="Times New Roman" w:cs="Times New Roman"/>
                <w:b/>
                <w:sz w:val="22"/>
                <w:lang w:val="kk-KZ" w:eastAsia="ru-RU"/>
              </w:rPr>
              <w:t>Бағыт</w:t>
            </w:r>
          </w:p>
        </w:tc>
        <w:tc>
          <w:tcPr>
            <w:tcW w:w="488"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тт.</w:t>
            </w:r>
          </w:p>
        </w:tc>
        <w:tc>
          <w:tcPr>
            <w:tcW w:w="4447"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Атауы</w:t>
            </w:r>
          </w:p>
        </w:tc>
        <w:tc>
          <w:tcPr>
            <w:tcW w:w="1843" w:type="dxa"/>
            <w:tcBorders>
              <w:top w:val="single" w:sz="4" w:space="0" w:color="000000"/>
              <w:left w:val="single" w:sz="4" w:space="0" w:color="000000"/>
              <w:bottom w:val="single" w:sz="4" w:space="0" w:color="000000"/>
              <w:right w:val="single" w:sz="4" w:space="0" w:color="000000"/>
            </w:tcBorders>
          </w:tcPr>
          <w:p w:rsidR="00E51328" w:rsidRDefault="004649AE">
            <w:pPr>
              <w:widowControl w:val="0"/>
              <w:spacing w:after="0"/>
              <w:jc w:val="center"/>
              <w:rPr>
                <w:rFonts w:eastAsia="Times New Roman" w:cs="Times New Roman"/>
                <w:b/>
                <w:sz w:val="22"/>
                <w:lang w:val="kk-KZ" w:eastAsia="ru-RU"/>
              </w:rPr>
            </w:pPr>
            <w:r>
              <w:rPr>
                <w:rFonts w:eastAsia="Times New Roman" w:cs="Times New Roman"/>
                <w:b/>
                <w:sz w:val="22"/>
                <w:lang w:val="kk-KZ" w:eastAsia="ru-RU"/>
              </w:rPr>
              <w:t>Көлемі</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eastAsia="ru-RU"/>
              </w:rPr>
              <w:t>1</w:t>
            </w:r>
            <w:r>
              <w:rPr>
                <w:rFonts w:eastAsia="Times New Roman" w:cs="Times New Roman"/>
                <w:b/>
                <w:sz w:val="22"/>
                <w:lang w:val="kk-KZ" w:eastAsia="ru-RU"/>
              </w:rPr>
              <w:t>.</w:t>
            </w:r>
          </w:p>
          <w:p w:rsidR="00177BB4" w:rsidRDefault="00177BB4">
            <w:pPr>
              <w:widowControl w:val="0"/>
              <w:spacing w:after="0"/>
              <w:jc w:val="center"/>
              <w:rPr>
                <w:rFonts w:eastAsia="Times New Roman" w:cs="Times New Roman"/>
                <w:b/>
                <w:sz w:val="22"/>
                <w:lang w:eastAsia="ru-RU"/>
              </w:rPr>
            </w:pP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12"/>
                <w:lang w:val="kk-KZ" w:eastAsia="ru-RU"/>
              </w:rPr>
            </w:pPr>
          </w:p>
          <w:p w:rsidR="00177BB4" w:rsidRDefault="00177BB4">
            <w:pPr>
              <w:widowControl w:val="0"/>
              <w:spacing w:after="0"/>
              <w:jc w:val="center"/>
              <w:rPr>
                <w:rFonts w:eastAsia="Times New Roman" w:cs="Times New Roman"/>
                <w:b/>
                <w:bCs/>
                <w:sz w:val="1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Қоғамдық-саяси даму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rsidP="000E4942">
            <w:pPr>
              <w:widowControl w:val="0"/>
              <w:spacing w:after="0"/>
              <w:jc w:val="both"/>
              <w:rPr>
                <w:rFonts w:eastAsia="Times New Roman" w:cs="Times New Roman"/>
                <w:sz w:val="22"/>
                <w:lang w:val="kk-KZ" w:eastAsia="ru-RU"/>
              </w:rPr>
            </w:pPr>
            <w:r>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70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bCs/>
                <w:sz w:val="22"/>
                <w:lang w:val="kk-KZ" w:eastAsia="ru-RU"/>
              </w:rPr>
            </w:pPr>
            <w:r>
              <w:rPr>
                <w:rFonts w:eastAsia="Times New Roman" w:cs="Times New Roman"/>
                <w:bCs/>
                <w:sz w:val="22"/>
                <w:lang w:val="kk-KZ" w:eastAsia="ru-RU"/>
              </w:rPr>
              <w:t>Әділетті Қазақстан құруды, «</w:t>
            </w:r>
            <w:r>
              <w:rPr>
                <w:rFonts w:eastAsia="Times New Roman" w:cs="Times New Roman"/>
                <w:sz w:val="22"/>
                <w:lang w:val="kk-KZ" w:eastAsia="ru-RU"/>
              </w:rPr>
              <w:t>Халық үніне құлақ асатын мемлекет</w:t>
            </w:r>
            <w:r>
              <w:rPr>
                <w:rFonts w:eastAsia="Times New Roman" w:cs="Times New Roman"/>
                <w:bCs/>
                <w:sz w:val="22"/>
                <w:lang w:val="kk-KZ" w:eastAsia="ru-RU"/>
              </w:rPr>
              <w:t>»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 мемлекеттік және орыс тілдерінде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40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Партиялық жүйенің, азаматтық қоғамның, қоғамдық бірлестіктердің, қоғамдық кеңестердің және кәсіподақ ұйымдарының, Ұлттық құрылтайдың даму процессін мемлекеттік және орыс тілдерінде ақпараттық  сүйемелдеу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сүйемелдеу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5)</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bCs/>
                <w:sz w:val="22"/>
                <w:lang w:val="kk-KZ" w:eastAsia="ru-RU"/>
              </w:rPr>
            </w:pPr>
            <w:r>
              <w:rPr>
                <w:rFonts w:eastAsia="Times New Roman" w:cs="Times New Roman"/>
                <w:bCs/>
                <w:sz w:val="22"/>
                <w:lang w:val="kk-KZ" w:eastAsia="ru-RU"/>
              </w:rPr>
              <w:t>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мемлекеттік және орыс тілдерінде ақпараттық  сүйемелдеу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bCs/>
                <w:sz w:val="22"/>
                <w:lang w:val="kk-KZ" w:eastAsia="ru-RU"/>
              </w:rPr>
            </w:pPr>
          </w:p>
          <w:p w:rsidR="00177BB4" w:rsidRPr="00177BB4" w:rsidRDefault="00177BB4">
            <w:pPr>
              <w:widowControl w:val="0"/>
              <w:spacing w:after="0"/>
              <w:jc w:val="center"/>
              <w:rPr>
                <w:rFonts w:eastAsia="Times New Roman" w:cs="Times New Roman"/>
                <w:bCs/>
                <w:sz w:val="22"/>
                <w:lang w:val="kk-KZ" w:eastAsia="ru-RU"/>
              </w:rPr>
            </w:pPr>
          </w:p>
          <w:p w:rsidR="00177BB4" w:rsidRDefault="00177BB4">
            <w:pPr>
              <w:widowControl w:val="0"/>
              <w:spacing w:after="0"/>
              <w:jc w:val="center"/>
              <w:rPr>
                <w:rFonts w:eastAsia="Times New Roman" w:cs="Times New Roman"/>
                <w:bCs/>
                <w:sz w:val="22"/>
                <w:lang w:eastAsia="ru-RU"/>
              </w:rPr>
            </w:pPr>
            <w:r>
              <w:rPr>
                <w:rFonts w:eastAsia="Times New Roman" w:cs="Times New Roman"/>
                <w:bCs/>
                <w:sz w:val="22"/>
                <w:lang w:eastAsia="ru-RU"/>
              </w:rPr>
              <w:t>20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2.</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Әлеуметтік-демографиялық даму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lastRenderedPageBreak/>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демографиялық саясатты мемлекеттік және орыс тілдерінде ақпараттық  сүйемелдеу және іске асыруды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Еңбек саласындағы саясатты дамытуды, «Еңбек адамы» бейнесін танымал етуді, </w:t>
            </w:r>
            <w:r>
              <w:rPr>
                <w:rFonts w:eastAsia="Times New Roman" w:cs="Times New Roman"/>
                <w:sz w:val="22"/>
                <w:lang w:val="kk-KZ" w:eastAsia="ru-RU"/>
              </w:rPr>
              <w:lastRenderedPageBreak/>
              <w:t xml:space="preserve">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сүйемелдеу</w:t>
            </w:r>
            <w:r>
              <w:rPr>
                <w:rFonts w:eastAsia="Times New Roman" w:cs="Times New Roman"/>
                <w:bCs/>
                <w:sz w:val="22"/>
                <w:lang w:val="kk-KZ" w:eastAsia="ru-RU"/>
              </w:rPr>
              <w:t xml:space="preserve"> </w:t>
            </w:r>
            <w:r>
              <w:rPr>
                <w:rFonts w:eastAsia="Times New Roman" w:cs="Times New Roman"/>
                <w:sz w:val="22"/>
                <w:lang w:val="kk-KZ" w:eastAsia="ru-RU"/>
              </w:rPr>
              <w:t>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lastRenderedPageBreak/>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Патерналистік көңіл-күй мен масылдықты төмендету, қоғамда ынтымақтастық рухын қалыптастыру және ерекше қажеттіліктері бар адамдарға құрметпен қарау, мүмкіндігі шектеулі адамдардың құқықтарын қорғау, қоғамдағы инклюзияны, барлық азаматтардың өзара құрмет және теңдік құндылықтарын жалғастыру және бекіту жөніндегі шараларды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сүйемелдеу</w:t>
            </w:r>
            <w:r>
              <w:rPr>
                <w:rFonts w:eastAsia="Times New Roman" w:cs="Times New Roman"/>
                <w:bCs/>
                <w:sz w:val="22"/>
                <w:lang w:val="kk-KZ" w:eastAsia="ru-RU"/>
              </w:rPr>
              <w:t xml:space="preserve"> </w:t>
            </w:r>
            <w:r>
              <w:rPr>
                <w:rFonts w:eastAsia="Times New Roman" w:cs="Times New Roman"/>
                <w:sz w:val="22"/>
                <w:lang w:val="kk-KZ" w:eastAsia="ru-RU"/>
              </w:rPr>
              <w:t>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 xml:space="preserve">20 мин </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Құқықтық саясаттың іске асырылу барысын, құқықтық қамтамасыз ету бойынша тиісті бөлімдердің жұмысын, халықтың құқықтық мәдениетін, толеранттылығы мен құқықтық санасын қалыптастыру, мемлекеттік органдар қабылдайтын заң жобалары мен шешімдерінің ашықтығын қамтамасыз ету, бюрократиясыздандыруды, мемлекеттiк аппараттың, заңнамалық және нормативтiк құқықтық актiлердiң, сот жүйесiнiң қызметiн, сот жүйесiндегi мазмұндық реформалардың, адамның құқықтары мен бостандықтарының сот арқылы қорғалуын жүзеге асыруды мемлекеттік және орыс тілдерінде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 xml:space="preserve">60 мин </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5)</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насихаттауды, Президенттік кадр резервін, қайырымдылық және волонтерлік қызметті мемлекеттік және орыс тілдерінде  ақпараттық сүйемелдеу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40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rPr>
                <w:rFonts w:eastAsia="Times New Roman" w:cs="Times New Roman"/>
                <w:b/>
                <w:sz w:val="22"/>
                <w:lang w:val="kk-KZ" w:eastAsia="ru-RU"/>
              </w:rPr>
            </w:pPr>
            <w:r>
              <w:rPr>
                <w:rFonts w:eastAsia="Times New Roman" w:cs="Times New Roman"/>
                <w:b/>
                <w:sz w:val="22"/>
                <w:lang w:eastAsia="ru-RU"/>
              </w:rPr>
              <w:t>3</w:t>
            </w:r>
            <w:r>
              <w:rPr>
                <w:rFonts w:eastAsia="Times New Roman" w:cs="Times New Roman"/>
                <w:b/>
                <w:sz w:val="22"/>
                <w:lang w:val="kk-KZ" w:eastAsia="ru-RU"/>
              </w:rPr>
              <w:t>.</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
                <w:lang w:val="kk-KZ" w:eastAsia="ru-RU"/>
              </w:rPr>
            </w:pPr>
          </w:p>
          <w:p w:rsidR="00177BB4" w:rsidRDefault="00177BB4">
            <w:pPr>
              <w:widowControl w:val="0"/>
              <w:spacing w:after="0"/>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Сыртқы саясатты жүзеге асыру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Қазақстанның жаһандық бастамаларын, оның ішінде бітімгершілік бастамаларын, Қазақстан Республикасының екіжақты қарым-қатынастар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асыруға ақпараттық қолдау көрсету, сондай-ақ әлемдегі оқиғаларды </w:t>
            </w:r>
            <w:r>
              <w:rPr>
                <w:rFonts w:eastAsia="Times New Roman" w:cs="Times New Roman"/>
                <w:bCs/>
                <w:sz w:val="22"/>
                <w:lang w:val="kk-KZ" w:eastAsia="ru-RU"/>
              </w:rPr>
              <w:t xml:space="preserve">мемлекеттік және орыс тілдерінде </w:t>
            </w:r>
            <w:r>
              <w:rPr>
                <w:rFonts w:eastAsia="Times New Roman" w:cs="Times New Roman"/>
                <w:sz w:val="22"/>
                <w:lang w:val="kk-KZ" w:eastAsia="ru-RU"/>
              </w:rPr>
              <w:t>жариялау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eastAsia="ru-RU"/>
              </w:rPr>
            </w:pPr>
            <w:r>
              <w:rPr>
                <w:rFonts w:eastAsia="Times New Roman" w:cs="Times New Roman"/>
                <w:bCs/>
                <w:sz w:val="22"/>
                <w:lang w:val="kk-KZ" w:eastAsia="ru-RU"/>
              </w:rPr>
              <w:t>2</w:t>
            </w:r>
            <w:r>
              <w:rPr>
                <w:rFonts w:eastAsia="Times New Roman" w:cs="Times New Roman"/>
                <w:bCs/>
                <w:sz w:val="22"/>
                <w:lang w:eastAsia="ru-RU"/>
              </w:rPr>
              <w:t>)</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 xml:space="preserve">Теле-, радиоарналар үшін, оның ішінде халықаралық ынтымақтастық шеңберінде сатып алынған шетелдік аудиовизуалды материалдарды мемлекеттік және орыс </w:t>
            </w:r>
            <w:r>
              <w:rPr>
                <w:rFonts w:eastAsia="Times New Roman" w:cs="Times New Roman"/>
                <w:bCs/>
                <w:sz w:val="22"/>
                <w:lang w:val="kk-KZ" w:eastAsia="ru-RU"/>
              </w:rPr>
              <w:lastRenderedPageBreak/>
              <w:t>тілдерінде ақпараттық  сүйемелдеу және жария ету</w:t>
            </w:r>
          </w:p>
        </w:tc>
        <w:tc>
          <w:tcPr>
            <w:tcW w:w="1843"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eastAsia="ru-RU"/>
              </w:rPr>
            </w:pPr>
          </w:p>
          <w:p w:rsidR="00177BB4" w:rsidRDefault="00177BB4">
            <w:pPr>
              <w:widowControl w:val="0"/>
              <w:spacing w:after="0"/>
              <w:jc w:val="center"/>
              <w:rPr>
                <w:rFonts w:eastAsia="Times New Roman" w:cs="Times New Roman"/>
                <w:bCs/>
                <w:sz w:val="22"/>
                <w:lang w:eastAsia="ru-RU"/>
              </w:rPr>
            </w:pPr>
            <w:r>
              <w:rPr>
                <w:rFonts w:eastAsia="Times New Roman" w:cs="Times New Roman"/>
                <w:bCs/>
                <w:sz w:val="22"/>
                <w:lang w:eastAsia="ru-RU"/>
              </w:rPr>
              <w:t>10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lastRenderedPageBreak/>
              <w:t>4.</w:t>
            </w:r>
          </w:p>
          <w:p w:rsidR="00177BB4" w:rsidRDefault="00177BB4">
            <w:pPr>
              <w:widowControl w:val="0"/>
              <w:spacing w:after="0"/>
              <w:jc w:val="center"/>
              <w:rPr>
                <w:rFonts w:eastAsia="Times New Roman" w:cs="Times New Roman"/>
                <w:b/>
                <w:sz w:val="22"/>
                <w:lang w:val="kk-KZ" w:eastAsia="ru-RU"/>
              </w:rPr>
            </w:pP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Қауіпсіздік саясатын жүзеге асыру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саланы кеңінен насихаттау шаралары әскери мамандық және құқық қорғау органдарының кәсібі, қоғамдағы әскери қызметтің беделін арттыруды мемлекеттік және орыс тілдерінде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 xml:space="preserve">20 мин </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60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bCs/>
                <w:sz w:val="22"/>
                <w:lang w:val="kk-KZ" w:eastAsia="ru-RU"/>
              </w:rPr>
              <w:t>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күрес жөніндегі шараларды мемлекеттік және орыс тілдерінде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5.</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Құқықтық сананың деңгейін арттыру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Алкогольге және шылым шегуге қарсы шараларды, сыбайлас жемқорлыққа қарсы сананы дамыту жөніндегі іс-шараларды және «Қауіпсіз ел» ұлттық жобасын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84"/>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Заңдылық пен әділеттілікті, құқық бұзушылыққа «нөлдік төзімділік» саясатын, «Заң және тәртіп» консолидациялық жобаны, «Қауіпсіз қоғам» жобасын, құқық қорғау және арнайы органдарға деген сенімді арттыру, заңдылық пен құқық тәртібін және кез келген бұзушылықтарға қарсы қоғамды қалыптастыруды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84"/>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Жалған ақпарат пен халықтың бұқаралық санасын манипуляциялауға қарсы тұру, қаржылық пирамидалармен, интернет-алаяқтықпен күресу, қоғамдағы суицидтік сезімдердің алдын алуға бағытталған шараларды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қолдау және </w:t>
            </w:r>
            <w:r>
              <w:rPr>
                <w:rFonts w:eastAsia="Times New Roman" w:cs="Times New Roman"/>
                <w:sz w:val="22"/>
                <w:lang w:val="kk-KZ" w:eastAsia="ru-RU"/>
              </w:rPr>
              <w:lastRenderedPageBreak/>
              <w:t>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84"/>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bCs/>
                <w:sz w:val="22"/>
                <w:lang w:val="kk-KZ" w:eastAsia="ru-RU"/>
              </w:rPr>
            </w:pPr>
            <w:r>
              <w:rPr>
                <w:rFonts w:eastAsia="Times New Roman" w:cs="Times New Roman"/>
                <w:bCs/>
                <w:sz w:val="22"/>
                <w:lang w:val="kk-KZ" w:eastAsia="ru-RU"/>
              </w:rPr>
              <w:t>Құмар ойындардың алдын алу және құмар ойындарға тәуелділікпен күресу шараларын мемлекеттік және орыс тілдерінде ақпараттық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bCs/>
                <w:sz w:val="22"/>
                <w:lang w:val="kk-KZ" w:eastAsia="ru-RU"/>
              </w:rPr>
            </w:pPr>
          </w:p>
          <w:p w:rsidR="00177BB4" w:rsidRDefault="00177BB4">
            <w:pPr>
              <w:widowControl w:val="0"/>
              <w:spacing w:after="0"/>
              <w:jc w:val="center"/>
              <w:rPr>
                <w:rFonts w:eastAsia="Times New Roman" w:cs="Times New Roman"/>
                <w:bCs/>
                <w:sz w:val="22"/>
                <w:lang w:eastAsia="ru-RU"/>
              </w:rPr>
            </w:pPr>
            <w:r>
              <w:rPr>
                <w:rFonts w:eastAsia="Times New Roman" w:cs="Times New Roman"/>
                <w:bCs/>
                <w:sz w:val="22"/>
                <w:lang w:eastAsia="ru-RU"/>
              </w:rPr>
              <w:t>10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6.</w:t>
            </w:r>
          </w:p>
          <w:p w:rsidR="00177BB4" w:rsidRDefault="00177BB4">
            <w:pPr>
              <w:widowControl w:val="0"/>
              <w:spacing w:after="0"/>
              <w:jc w:val="center"/>
              <w:rPr>
                <w:rFonts w:eastAsia="Times New Roman" w:cs="Times New Roman"/>
                <w:b/>
                <w:sz w:val="22"/>
                <w:lang w:val="kk-KZ" w:eastAsia="ru-RU"/>
              </w:rPr>
            </w:pP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Бұқаралық спортты және мәдениетті дамыту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Дене шынықтыру және спорт, өнер, мәдениет, ішкі туризмді, тарихи мұра объектілерін, креативті индустрияны дамыту саласындағы қызметті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70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Қазақ жазушыларының әдеби шығармаларын, әдеби аудармаларды, ғылыми, танымдық, тарихи-мәдени және ойын-сауық өнертабыстарын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 xml:space="preserve">40 мин </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Балалар мен жасөспірімдердің шығармашылығын (өлеңдер, әңгімелер, ертегілер, суреттер, қолөнер, анимациялық жобалар және т.б.), балаларға арналған контентті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 xml:space="preserve">40 мин </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7.</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ғылымды дамыту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Білім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 қызметін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Ғылымды танымал ету және отандық ғалымдардың ғылыми жетістіктерін халық арасында насихаттау, жас ғалымдар мен зерттеушілерді мемлекеттік қолдау шараларын жүзеге асыру, жоғары білімді, өңірлік университеттерді дамыту және облыстағы ғылым саласындағы университетаралық ынтымақтастықты нығайтуды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8.</w:t>
            </w:r>
          </w:p>
        </w:tc>
        <w:tc>
          <w:tcPr>
            <w:tcW w:w="2796"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lastRenderedPageBreak/>
              <w:t>Денсаулық сақтау саласын дамыту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lastRenderedPageBreak/>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Денсаулық сақтау саласындағы іс-шараларды ақпараттық қамтамасыз ету және </w:t>
            </w:r>
            <w:r>
              <w:rPr>
                <w:rFonts w:eastAsia="Times New Roman" w:cs="Times New Roman"/>
                <w:sz w:val="22"/>
                <w:lang w:val="kk-KZ" w:eastAsia="ru-RU"/>
              </w:rPr>
              <w:lastRenderedPageBreak/>
              <w:t xml:space="preserve">түсіндіру, медицина қызметкерлерінің кәсібін насихаттау, «Дені сау ұлт» әрбір азамат үшін сапалы және қолжетімді денсаулық сақтау» ұлттық жобасын, ауылдық жерлерде денсаулық сақтау жүйесін жетілдіруді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lastRenderedPageBreak/>
              <w:t>20 мин</w:t>
            </w:r>
          </w:p>
        </w:tc>
      </w:tr>
      <w:tr w:rsidR="00177BB4" w:rsidRPr="000E4942">
        <w:trPr>
          <w:trHeight w:val="22"/>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lastRenderedPageBreak/>
              <w:t>9.</w:t>
            </w:r>
          </w:p>
        </w:tc>
        <w:tc>
          <w:tcPr>
            <w:tcW w:w="2796"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Цифрландыру және инновацияны енгізу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Цифрландыруды дамыту, инновацияларды енгізу, инновациялық инфрақұрылымды құру, ғарыш саласын дамыту, «Қазақстан киберқалқаны» жобасы, электронды үкімет және финтех, ІТ-технологияларды ақпараттық қолдау және түсіндіру, елдің киберқауіпсіздігін нығайту, жасанды интеллект технологияларын қолдану/ енгізуді</w:t>
            </w:r>
            <w:r>
              <w:rPr>
                <w:rFonts w:eastAsia="Times New Roman" w:cs="Times New Roman"/>
                <w:bCs/>
                <w:sz w:val="22"/>
                <w:lang w:val="kk-KZ" w:eastAsia="ru-RU"/>
              </w:rPr>
              <w:t xml:space="preserve"> 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10.</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p>
          <w:p w:rsidR="00177BB4" w:rsidRDefault="00177BB4">
            <w:pPr>
              <w:widowControl w:val="0"/>
              <w:spacing w:after="0"/>
              <w:jc w:val="center"/>
              <w:rPr>
                <w:rFonts w:eastAsia="Times New Roman" w:cs="Times New Roman"/>
                <w:b/>
                <w:bCs/>
                <w:sz w:val="22"/>
                <w:lang w:val="kk-KZ" w:eastAsia="ru-RU"/>
              </w:rPr>
            </w:pPr>
            <w:r>
              <w:rPr>
                <w:rFonts w:eastAsia="Times New Roman" w:cs="Times New Roman"/>
                <w:b/>
                <w:bCs/>
                <w:sz w:val="22"/>
                <w:lang w:val="kk-KZ" w:eastAsia="ru-RU"/>
              </w:rPr>
              <w:t>Экономика мен қаржы секторын дамыту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 халықтың қаржылық сауаттылығын және мемлекеттік қаржыны басқаруды, экономиканы мемлекетсіздендіру, жекешелендіруді жеделдету, активтерді басқарудың ашықтығы мен тиімділігін арттыру, салық саясаты, мемлекеттік сатып алудың жаңа жүйесін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bCs/>
                <w:sz w:val="22"/>
                <w:lang w:val="kk-KZ" w:eastAsia="ru-RU"/>
              </w:rPr>
            </w:pPr>
            <w:r>
              <w:rPr>
                <w:rFonts w:eastAsia="Times New Roman" w:cs="Times New Roman"/>
                <w:bCs/>
                <w:sz w:val="22"/>
                <w:lang w:val="kk-KZ" w:eastAsia="ru-RU"/>
              </w:rPr>
              <w:t xml:space="preserve">Отандық кәсіпкерлікті дамытуды, ішкі нарықты қорғау, бәсекелестік, мемлекеттік-жекеменшік әріптестікті жүзеге асыру, қазақстандық қамту үлесін арттыру, «Қазақстандықтардың әл-ауқатын арттыруға бағытталған тұрақты экономикалық өсу» кәсіпкерлікті дамытудың ұлттық жобаларын 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bCs/>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Экономиканың дамуын, экономикалық өзін-өзі қамтамасыз ету, экономиканы әртараптандыру, инвестиция тарту, сауда-экономикалық ынтымақтастық, қазақстандық өнімнің сапасын арттыру, ұлттық экспорттаушыларды мемлекеттік қолдау, шекаралық сауданы дамыту, баға белгілеу, тұтынушылардың құқықтарын қорғауды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11.</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lastRenderedPageBreak/>
              <w:t>Нақты секторды дамыту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sz w:val="22"/>
                <w:lang w:val="kk-KZ" w:eastAsia="ru-RU"/>
              </w:rPr>
            </w:pPr>
            <w:r>
              <w:rPr>
                <w:rFonts w:eastAsia="Times New Roman" w:cs="Times New Roman"/>
                <w:sz w:val="22"/>
                <w:lang w:val="kk-KZ" w:eastAsia="ru-RU"/>
              </w:rPr>
              <w:lastRenderedPageBreak/>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w:t>
            </w:r>
            <w:r>
              <w:rPr>
                <w:rFonts w:eastAsia="Times New Roman" w:cs="Times New Roman"/>
                <w:sz w:val="22"/>
                <w:lang w:val="kk-KZ" w:eastAsia="ru-RU"/>
              </w:rPr>
              <w:lastRenderedPageBreak/>
              <w:t xml:space="preserve">тұрғын үй саясаты, көлік-логистика саласы, ауыз сумен қамтамасыз етуді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sz w:val="22"/>
                <w:lang w:val="kk-KZ" w:eastAsia="ru-RU"/>
              </w:rPr>
            </w:pPr>
            <w:r>
              <w:rPr>
                <w:rFonts w:eastAsia="Times New Roman" w:cs="Times New Roman"/>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bCs/>
                <w:sz w:val="22"/>
                <w:lang w:val="kk-KZ" w:eastAsia="ru-RU"/>
              </w:rPr>
            </w:pPr>
          </w:p>
          <w:p w:rsidR="00177BB4" w:rsidRPr="00177BB4" w:rsidRDefault="00177BB4">
            <w:pPr>
              <w:widowControl w:val="0"/>
              <w:spacing w:after="0"/>
              <w:jc w:val="center"/>
              <w:rPr>
                <w:rFonts w:eastAsia="Times New Roman" w:cs="Times New Roman"/>
                <w:bCs/>
                <w:sz w:val="22"/>
                <w:lang w:val="kk-KZ" w:eastAsia="ru-RU"/>
              </w:rPr>
            </w:pPr>
          </w:p>
          <w:p w:rsidR="00177BB4" w:rsidRDefault="00177BB4">
            <w:pPr>
              <w:widowControl w:val="0"/>
              <w:spacing w:after="0"/>
              <w:jc w:val="center"/>
              <w:rPr>
                <w:rFonts w:eastAsia="Times New Roman" w:cs="Times New Roman"/>
                <w:bCs/>
                <w:sz w:val="22"/>
                <w:lang w:eastAsia="ru-RU"/>
              </w:rPr>
            </w:pPr>
            <w:r>
              <w:rPr>
                <w:rFonts w:eastAsia="Times New Roman" w:cs="Times New Roman"/>
                <w:bCs/>
                <w:sz w:val="22"/>
                <w:lang w:eastAsia="ru-RU"/>
              </w:rPr>
              <w:t xml:space="preserve">20 мин </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12.</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Агроөнеркәсіптік секторды және экожүйені дамыту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sz w:val="22"/>
                <w:lang w:val="kk-KZ" w:eastAsia="ru-RU"/>
              </w:rPr>
            </w:pPr>
            <w:r>
              <w:rPr>
                <w:rFonts w:eastAsia="Times New Roman" w:cs="Times New Roman"/>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Энергия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туризмді насихаттауды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r>
              <w:rPr>
                <w:rFonts w:eastAsia="Times New Roman" w:cs="Times New Roman"/>
                <w:sz w:val="22"/>
                <w:lang w:eastAsia="ru-RU"/>
              </w:rPr>
              <w:t>20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sz w:val="22"/>
                <w:lang w:val="kk-KZ" w:eastAsia="ru-RU"/>
              </w:rPr>
            </w:pPr>
            <w:r>
              <w:rPr>
                <w:rFonts w:eastAsia="Times New Roman" w:cs="Times New Roman"/>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Агроөнеркәсіп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Pr="00177BB4" w:rsidRDefault="00177BB4">
            <w:pPr>
              <w:widowControl w:val="0"/>
              <w:spacing w:after="0"/>
              <w:jc w:val="center"/>
              <w:rPr>
                <w:rFonts w:eastAsia="Times New Roman" w:cs="Times New Roman"/>
                <w:sz w:val="22"/>
                <w:lang w:val="kk-KZ" w:eastAsia="ru-RU"/>
              </w:rPr>
            </w:pPr>
          </w:p>
          <w:p w:rsidR="00177BB4" w:rsidRDefault="00177BB4">
            <w:pPr>
              <w:widowControl w:val="0"/>
              <w:spacing w:after="0"/>
              <w:jc w:val="center"/>
              <w:rPr>
                <w:rFonts w:eastAsia="Times New Roman" w:cs="Times New Roman"/>
                <w:sz w:val="22"/>
                <w:lang w:eastAsia="ru-RU"/>
              </w:rPr>
            </w:pPr>
            <w:bookmarkStart w:id="0" w:name="_GoBack"/>
            <w:bookmarkEnd w:id="0"/>
            <w:r>
              <w:rPr>
                <w:rFonts w:eastAsia="Times New Roman" w:cs="Times New Roman"/>
                <w:sz w:val="22"/>
                <w:lang w:eastAsia="ru-RU"/>
              </w:rPr>
              <w:t>20 мин</w:t>
            </w:r>
          </w:p>
        </w:tc>
      </w:tr>
      <w:tr w:rsidR="00177BB4" w:rsidRPr="000E4942">
        <w:trPr>
          <w:trHeight w:val="22"/>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13.</w:t>
            </w:r>
          </w:p>
        </w:tc>
        <w:tc>
          <w:tcPr>
            <w:tcW w:w="2796" w:type="dxa"/>
            <w:vMerge w:val="restart"/>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p>
          <w:p w:rsidR="00177BB4" w:rsidRDefault="00177BB4">
            <w:pPr>
              <w:widowControl w:val="0"/>
              <w:spacing w:after="0"/>
              <w:jc w:val="center"/>
              <w:rPr>
                <w:rFonts w:eastAsia="Times New Roman" w:cs="Times New Roman"/>
                <w:b/>
                <w:sz w:val="22"/>
                <w:lang w:val="kk-KZ" w:eastAsia="ru-RU"/>
              </w:rPr>
            </w:pPr>
            <w:r>
              <w:rPr>
                <w:rFonts w:eastAsia="Times New Roman" w:cs="Times New Roman"/>
                <w:b/>
                <w:sz w:val="22"/>
                <w:lang w:val="kk-KZ" w:eastAsia="ru-RU"/>
              </w:rPr>
              <w:t>Рухани құндылықтарды дамыту және патриоттық тәрбие беру</w:t>
            </w: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sz w:val="22"/>
                <w:lang w:val="kk-KZ" w:eastAsia="ru-RU"/>
              </w:rPr>
            </w:pPr>
            <w:r>
              <w:rPr>
                <w:rFonts w:eastAsia="Times New Roman" w:cs="Times New Roman"/>
                <w:sz w:val="22"/>
                <w:lang w:val="kk-KZ" w:eastAsia="ru-RU"/>
              </w:rPr>
              <w:t>1)</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Қазақ халқының рухани құндылықтарының дамуы мен ел тарихын, салт-дәстүрі мен әдет-ғұрпын, қазақ халқының болмысын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bCs/>
                <w:sz w:val="22"/>
                <w:lang w:val="kk-KZ" w:eastAsia="ru-RU"/>
              </w:rPr>
            </w:pPr>
          </w:p>
          <w:p w:rsidR="00177BB4" w:rsidRDefault="00177BB4">
            <w:pPr>
              <w:widowControl w:val="0"/>
              <w:spacing w:after="0"/>
              <w:jc w:val="center"/>
              <w:rPr>
                <w:rFonts w:eastAsia="Times New Roman" w:cs="Times New Roman"/>
                <w:bCs/>
                <w:sz w:val="22"/>
                <w:lang w:eastAsia="ru-RU"/>
              </w:rPr>
            </w:pPr>
            <w:r>
              <w:rPr>
                <w:rFonts w:eastAsia="Times New Roman" w:cs="Times New Roman"/>
                <w:bCs/>
                <w:sz w:val="22"/>
                <w:lang w:eastAsia="ru-RU"/>
              </w:rPr>
              <w:t>40 мин</w:t>
            </w:r>
          </w:p>
        </w:tc>
      </w:tr>
      <w:tr w:rsidR="00177BB4" w:rsidRPr="000E4942">
        <w:trPr>
          <w:trHeight w:val="22"/>
        </w:trPr>
        <w:tc>
          <w:tcPr>
            <w:tcW w:w="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BB4" w:rsidRDefault="00177BB4">
            <w:pPr>
              <w:widowControl w:val="0"/>
              <w:spacing w:after="0"/>
              <w:jc w:val="center"/>
              <w:rPr>
                <w:rFonts w:eastAsia="Times New Roman" w:cs="Times New Roman"/>
                <w:sz w:val="22"/>
                <w:lang w:val="kk-KZ" w:eastAsia="ru-RU"/>
              </w:rPr>
            </w:pPr>
          </w:p>
        </w:tc>
        <w:tc>
          <w:tcPr>
            <w:tcW w:w="2796" w:type="dxa"/>
            <w:vMerge/>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p>
        </w:tc>
        <w:tc>
          <w:tcPr>
            <w:tcW w:w="488"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center"/>
              <w:rPr>
                <w:rFonts w:eastAsia="Times New Roman" w:cs="Times New Roman"/>
                <w:sz w:val="22"/>
                <w:lang w:val="kk-KZ" w:eastAsia="ru-RU"/>
              </w:rPr>
            </w:pPr>
            <w:r>
              <w:rPr>
                <w:rFonts w:eastAsia="Times New Roman" w:cs="Times New Roman"/>
                <w:sz w:val="22"/>
                <w:lang w:val="kk-KZ" w:eastAsia="ru-RU"/>
              </w:rPr>
              <w:t>2)</w:t>
            </w:r>
          </w:p>
        </w:tc>
        <w:tc>
          <w:tcPr>
            <w:tcW w:w="4447" w:type="dxa"/>
            <w:tcBorders>
              <w:top w:val="single" w:sz="4" w:space="0" w:color="000000"/>
              <w:left w:val="single" w:sz="4" w:space="0" w:color="000000"/>
              <w:bottom w:val="single" w:sz="4" w:space="0" w:color="000000"/>
              <w:right w:val="single" w:sz="4" w:space="0" w:color="000000"/>
            </w:tcBorders>
          </w:tcPr>
          <w:p w:rsidR="00177BB4" w:rsidRDefault="00177BB4">
            <w:pPr>
              <w:widowControl w:val="0"/>
              <w:spacing w:after="0"/>
              <w:jc w:val="both"/>
              <w:rPr>
                <w:rFonts w:eastAsia="Times New Roman" w:cs="Times New Roman"/>
                <w:sz w:val="22"/>
                <w:lang w:val="kk-KZ" w:eastAsia="ru-RU"/>
              </w:rPr>
            </w:pPr>
            <w:r>
              <w:rPr>
                <w:rFonts w:eastAsia="Times New Roman" w:cs="Times New Roman"/>
                <w:sz w:val="22"/>
                <w:lang w:val="kk-KZ" w:eastAsia="ru-RU"/>
              </w:rPr>
              <w:t xml:space="preserve">Қазақстандықтардың патриоттық сезімін арттыру, бірлік пен тұрақтылық, әділдік пен ынтымақ, сенім мен жауапкершілік құндылықтарын насихаттау, Қазақстан Республикасының мемлекеттік рәміздеріне ұқыпты және құрметпен қарауды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қолдау және түсіндіру</w:t>
            </w:r>
          </w:p>
        </w:tc>
        <w:tc>
          <w:tcPr>
            <w:tcW w:w="1843" w:type="dxa"/>
            <w:tcBorders>
              <w:top w:val="single" w:sz="4" w:space="0" w:color="000000"/>
              <w:left w:val="single" w:sz="4" w:space="0" w:color="000000"/>
              <w:bottom w:val="single" w:sz="4" w:space="0" w:color="000000"/>
              <w:right w:val="single" w:sz="4" w:space="0" w:color="000000"/>
            </w:tcBorders>
          </w:tcPr>
          <w:p w:rsidR="00177BB4" w:rsidRPr="00177BB4" w:rsidRDefault="00177BB4">
            <w:pPr>
              <w:widowControl w:val="0"/>
              <w:spacing w:after="0"/>
              <w:jc w:val="center"/>
              <w:rPr>
                <w:rFonts w:eastAsia="Times New Roman" w:cs="Times New Roman"/>
                <w:bCs/>
                <w:sz w:val="22"/>
                <w:lang w:val="kk-KZ" w:eastAsia="ru-RU"/>
              </w:rPr>
            </w:pPr>
          </w:p>
          <w:p w:rsidR="00177BB4" w:rsidRPr="00177BB4" w:rsidRDefault="00177BB4">
            <w:pPr>
              <w:widowControl w:val="0"/>
              <w:spacing w:after="0"/>
              <w:jc w:val="center"/>
              <w:rPr>
                <w:rFonts w:eastAsia="Times New Roman" w:cs="Times New Roman"/>
                <w:bCs/>
                <w:sz w:val="22"/>
                <w:lang w:val="kk-KZ" w:eastAsia="ru-RU"/>
              </w:rPr>
            </w:pPr>
          </w:p>
          <w:p w:rsidR="00177BB4" w:rsidRDefault="00177BB4">
            <w:pPr>
              <w:widowControl w:val="0"/>
              <w:spacing w:after="0"/>
              <w:jc w:val="center"/>
              <w:rPr>
                <w:rFonts w:eastAsia="Times New Roman" w:cs="Times New Roman"/>
                <w:bCs/>
                <w:sz w:val="22"/>
                <w:lang w:eastAsia="ru-RU"/>
              </w:rPr>
            </w:pPr>
            <w:r>
              <w:rPr>
                <w:rFonts w:eastAsia="Times New Roman" w:cs="Times New Roman"/>
                <w:bCs/>
                <w:sz w:val="22"/>
                <w:lang w:eastAsia="ru-RU"/>
              </w:rPr>
              <w:t>40 мин</w:t>
            </w:r>
          </w:p>
        </w:tc>
      </w:tr>
    </w:tbl>
    <w:p w:rsidR="00E51328" w:rsidRDefault="00E51328">
      <w:pPr>
        <w:spacing w:after="0"/>
        <w:jc w:val="both"/>
        <w:rPr>
          <w:rFonts w:cs="Times New Roman"/>
          <w:sz w:val="22"/>
          <w:lang w:val="kk-KZ"/>
        </w:rPr>
      </w:pPr>
    </w:p>
    <w:sectPr w:rsidR="00E51328" w:rsidSect="00E51328">
      <w:footerReference w:type="default" r:id="rId8"/>
      <w:pgSz w:w="11906" w:h="16838"/>
      <w:pgMar w:top="1134" w:right="850" w:bottom="1134" w:left="1701" w:header="0"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E4" w:rsidRDefault="00EC45E4" w:rsidP="00E51328">
      <w:pPr>
        <w:spacing w:after="0"/>
      </w:pPr>
      <w:r>
        <w:separator/>
      </w:r>
    </w:p>
  </w:endnote>
  <w:endnote w:type="continuationSeparator" w:id="0">
    <w:p w:rsidR="00EC45E4" w:rsidRDefault="00EC45E4" w:rsidP="00E51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6106"/>
      <w:docPartObj>
        <w:docPartGallery w:val="Page Numbers (Bottom of Page)"/>
        <w:docPartUnique/>
      </w:docPartObj>
    </w:sdtPr>
    <w:sdtEndPr/>
    <w:sdtContent>
      <w:p w:rsidR="00E51328" w:rsidRDefault="00C663C5">
        <w:pPr>
          <w:pStyle w:val="11"/>
          <w:jc w:val="center"/>
        </w:pPr>
        <w:r>
          <w:fldChar w:fldCharType="begin"/>
        </w:r>
        <w:r w:rsidR="004649AE">
          <w:instrText>PAGE</w:instrText>
        </w:r>
        <w:r>
          <w:fldChar w:fldCharType="separate"/>
        </w:r>
        <w:r w:rsidR="00177BB4">
          <w:rPr>
            <w:noProof/>
          </w:rPr>
          <w:t>6</w:t>
        </w:r>
        <w:r>
          <w:fldChar w:fldCharType="end"/>
        </w:r>
      </w:p>
    </w:sdtContent>
  </w:sdt>
  <w:p w:rsidR="00E51328" w:rsidRDefault="00E51328">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E4" w:rsidRDefault="00EC45E4" w:rsidP="00E51328">
      <w:pPr>
        <w:spacing w:after="0"/>
      </w:pPr>
      <w:r>
        <w:separator/>
      </w:r>
    </w:p>
  </w:footnote>
  <w:footnote w:type="continuationSeparator" w:id="0">
    <w:p w:rsidR="00EC45E4" w:rsidRDefault="00EC45E4" w:rsidP="00E513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51328"/>
    <w:rsid w:val="00077A0F"/>
    <w:rsid w:val="000E4942"/>
    <w:rsid w:val="00173A93"/>
    <w:rsid w:val="00177BB4"/>
    <w:rsid w:val="002B04E4"/>
    <w:rsid w:val="004649AE"/>
    <w:rsid w:val="00557004"/>
    <w:rsid w:val="00C663C5"/>
    <w:rsid w:val="00D7534A"/>
    <w:rsid w:val="00DD1E62"/>
    <w:rsid w:val="00E51328"/>
    <w:rsid w:val="00EC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53B8C"/>
    <w:rPr>
      <w:rFonts w:ascii="Segoe UI" w:hAnsi="Segoe UI" w:cs="Segoe UI"/>
      <w:sz w:val="18"/>
      <w:szCs w:val="18"/>
    </w:rPr>
  </w:style>
  <w:style w:type="character" w:customStyle="1" w:styleId="a4">
    <w:name w:val="Верхний колонтитул Знак"/>
    <w:basedOn w:val="a0"/>
    <w:uiPriority w:val="99"/>
    <w:qFormat/>
    <w:rsid w:val="00375F26"/>
    <w:rPr>
      <w:rFonts w:ascii="Times New Roman" w:hAnsi="Times New Roman"/>
      <w:sz w:val="28"/>
    </w:rPr>
  </w:style>
  <w:style w:type="character" w:customStyle="1" w:styleId="a5">
    <w:name w:val="Нижний колонтитул Знак"/>
    <w:basedOn w:val="a0"/>
    <w:uiPriority w:val="99"/>
    <w:qFormat/>
    <w:rsid w:val="00375F26"/>
    <w:rPr>
      <w:rFonts w:ascii="Times New Roman" w:hAnsi="Times New Roman"/>
      <w:sz w:val="28"/>
    </w:rPr>
  </w:style>
  <w:style w:type="character" w:styleId="a6">
    <w:name w:val="Strong"/>
    <w:basedOn w:val="a0"/>
    <w:uiPriority w:val="22"/>
    <w:qFormat/>
    <w:rsid w:val="00D80E3E"/>
    <w:rPr>
      <w:b/>
      <w:bCs/>
    </w:rPr>
  </w:style>
  <w:style w:type="paragraph" w:customStyle="1" w:styleId="a7">
    <w:name w:val="Заголовок"/>
    <w:basedOn w:val="a"/>
    <w:next w:val="a8"/>
    <w:qFormat/>
    <w:rsid w:val="00E51328"/>
    <w:pPr>
      <w:keepNext/>
      <w:spacing w:before="240" w:after="120"/>
    </w:pPr>
    <w:rPr>
      <w:rFonts w:ascii="Liberation Sans" w:eastAsia="Microsoft YaHei" w:hAnsi="Liberation Sans" w:cs="Arial"/>
      <w:szCs w:val="28"/>
    </w:rPr>
  </w:style>
  <w:style w:type="paragraph" w:styleId="a8">
    <w:name w:val="Body Text"/>
    <w:basedOn w:val="a"/>
    <w:rsid w:val="00E51328"/>
    <w:pPr>
      <w:spacing w:after="140" w:line="276" w:lineRule="auto"/>
    </w:pPr>
  </w:style>
  <w:style w:type="paragraph" w:styleId="a9">
    <w:name w:val="List"/>
    <w:basedOn w:val="a8"/>
    <w:rsid w:val="00E51328"/>
    <w:rPr>
      <w:rFonts w:cs="Arial"/>
    </w:rPr>
  </w:style>
  <w:style w:type="paragraph" w:customStyle="1" w:styleId="1">
    <w:name w:val="Название объекта1"/>
    <w:basedOn w:val="a"/>
    <w:qFormat/>
    <w:rsid w:val="00E51328"/>
    <w:pPr>
      <w:suppressLineNumbers/>
      <w:spacing w:before="120" w:after="120"/>
    </w:pPr>
    <w:rPr>
      <w:rFonts w:cs="Arial"/>
      <w:i/>
      <w:iCs/>
      <w:sz w:val="24"/>
      <w:szCs w:val="24"/>
    </w:rPr>
  </w:style>
  <w:style w:type="paragraph" w:styleId="aa">
    <w:name w:val="index heading"/>
    <w:basedOn w:val="a"/>
    <w:qFormat/>
    <w:rsid w:val="00E51328"/>
    <w:pPr>
      <w:suppressLineNumbers/>
    </w:pPr>
    <w:rPr>
      <w:rFonts w:cs="Arial"/>
    </w:rPr>
  </w:style>
  <w:style w:type="paragraph" w:styleId="ab">
    <w:name w:val="Balloon Text"/>
    <w:basedOn w:val="a"/>
    <w:uiPriority w:val="99"/>
    <w:semiHidden/>
    <w:unhideWhenUsed/>
    <w:qFormat/>
    <w:rsid w:val="00153B8C"/>
    <w:pPr>
      <w:spacing w:after="0"/>
    </w:pPr>
    <w:rPr>
      <w:rFonts w:ascii="Segoe UI" w:hAnsi="Segoe UI" w:cs="Segoe UI"/>
      <w:sz w:val="18"/>
      <w:szCs w:val="18"/>
    </w:rPr>
  </w:style>
  <w:style w:type="paragraph" w:customStyle="1" w:styleId="ac">
    <w:name w:val="Верхний и нижний колонтитулы"/>
    <w:basedOn w:val="a"/>
    <w:qFormat/>
    <w:rsid w:val="00E51328"/>
  </w:style>
  <w:style w:type="paragraph" w:customStyle="1" w:styleId="10">
    <w:name w:val="Верхний колонтитул1"/>
    <w:basedOn w:val="a"/>
    <w:uiPriority w:val="99"/>
    <w:unhideWhenUsed/>
    <w:rsid w:val="00375F26"/>
    <w:pPr>
      <w:tabs>
        <w:tab w:val="center" w:pos="4677"/>
        <w:tab w:val="right" w:pos="9355"/>
      </w:tabs>
      <w:spacing w:after="0"/>
    </w:pPr>
  </w:style>
  <w:style w:type="paragraph" w:customStyle="1" w:styleId="11">
    <w:name w:val="Нижний колонтитул1"/>
    <w:basedOn w:val="a"/>
    <w:uiPriority w:val="99"/>
    <w:unhideWhenUsed/>
    <w:rsid w:val="00375F26"/>
    <w:pPr>
      <w:tabs>
        <w:tab w:val="center" w:pos="4677"/>
        <w:tab w:val="right" w:pos="9355"/>
      </w:tabs>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E800-AE9D-456C-B96D-887B532F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1867</Words>
  <Characters>10646</Characters>
  <Application>Microsoft Office Word</Application>
  <DocSecurity>0</DocSecurity>
  <Lines>88</Lines>
  <Paragraphs>24</Paragraphs>
  <ScaleCrop>false</ScaleCrop>
  <Company>Krokoz™</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Newsred03</cp:lastModifiedBy>
  <cp:revision>7</cp:revision>
  <cp:lastPrinted>2024-01-10T09:23:00Z</cp:lastPrinted>
  <dcterms:created xsi:type="dcterms:W3CDTF">2024-01-11T11:19:00Z</dcterms:created>
  <dcterms:modified xsi:type="dcterms:W3CDTF">2024-05-20T08:03:00Z</dcterms:modified>
  <dc:language>ru-RU</dc:language>
</cp:coreProperties>
</file>