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3083" w14:textId="77777777" w:rsidR="00531FF4" w:rsidRPr="003A29A6" w:rsidRDefault="007A4009">
      <w:pPr>
        <w:ind w:left="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A29A6">
        <w:rPr>
          <w:rFonts w:ascii="Times New Roman" w:hAnsi="Times New Roman"/>
          <w:b/>
          <w:spacing w:val="9"/>
          <w:sz w:val="28"/>
          <w:szCs w:val="28"/>
          <w:lang w:val="ru-RU"/>
        </w:rPr>
        <w:t>Заявление</w:t>
      </w:r>
      <w:r w:rsidRPr="003A29A6">
        <w:rPr>
          <w:rFonts w:ascii="Times New Roman" w:hAnsi="Times New Roman"/>
          <w:b/>
          <w:spacing w:val="53"/>
          <w:sz w:val="28"/>
          <w:szCs w:val="28"/>
          <w:lang w:val="ru-RU"/>
        </w:rPr>
        <w:t xml:space="preserve"> </w:t>
      </w:r>
      <w:r w:rsidRPr="003A29A6">
        <w:rPr>
          <w:rFonts w:ascii="Times New Roman" w:hAnsi="Times New Roman"/>
          <w:b/>
          <w:sz w:val="28"/>
          <w:szCs w:val="28"/>
          <w:lang w:val="ru-RU"/>
        </w:rPr>
        <w:t>о</w:t>
      </w:r>
      <w:r w:rsidRPr="003A29A6">
        <w:rPr>
          <w:rFonts w:ascii="Times New Roman" w:hAnsi="Times New Roman"/>
          <w:b/>
          <w:spacing w:val="33"/>
          <w:sz w:val="28"/>
          <w:szCs w:val="28"/>
          <w:lang w:val="ru-RU"/>
        </w:rPr>
        <w:t xml:space="preserve"> </w:t>
      </w:r>
      <w:r w:rsidRPr="003A29A6">
        <w:rPr>
          <w:rFonts w:ascii="Times New Roman" w:hAnsi="Times New Roman"/>
          <w:b/>
          <w:spacing w:val="9"/>
          <w:sz w:val="28"/>
          <w:szCs w:val="28"/>
          <w:lang w:val="ru-RU"/>
        </w:rPr>
        <w:t>намечаемой</w:t>
      </w:r>
      <w:r w:rsidRPr="003A29A6">
        <w:rPr>
          <w:rFonts w:ascii="Times New Roman" w:hAnsi="Times New Roman"/>
          <w:b/>
          <w:spacing w:val="44"/>
          <w:sz w:val="28"/>
          <w:szCs w:val="28"/>
          <w:lang w:val="ru-RU"/>
        </w:rPr>
        <w:t xml:space="preserve"> </w:t>
      </w:r>
      <w:r w:rsidRPr="003A29A6">
        <w:rPr>
          <w:rFonts w:ascii="Times New Roman" w:hAnsi="Times New Roman"/>
          <w:b/>
          <w:spacing w:val="5"/>
          <w:sz w:val="28"/>
          <w:szCs w:val="28"/>
          <w:lang w:val="ru-RU"/>
        </w:rPr>
        <w:t>деятельности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98"/>
      </w:tblGrid>
      <w:tr w:rsidR="00D516F3" w:rsidRPr="00483553" w14:paraId="539F1AB7" w14:textId="77777777" w:rsidTr="001C5F9F">
        <w:tc>
          <w:tcPr>
            <w:tcW w:w="5000" w:type="pct"/>
            <w:shd w:val="clear" w:color="auto" w:fill="17365D" w:themeFill="text2" w:themeFillShade="BF"/>
          </w:tcPr>
          <w:p w14:paraId="0C1D1AF0" w14:textId="77777777" w:rsidR="00D516F3" w:rsidRPr="003A29A6" w:rsidRDefault="00FC4538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1. </w:t>
            </w:r>
            <w:r w:rsidR="00D516F3" w:rsidRPr="003A29A6">
              <w:rPr>
                <w:rFonts w:cs="Times New Roman"/>
                <w:sz w:val="28"/>
                <w:szCs w:val="28"/>
                <w:lang w:val="ru-RU"/>
              </w:rPr>
              <w:t>Сведения</w:t>
            </w:r>
            <w:r w:rsidR="00D516F3"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="00D516F3" w:rsidRPr="003A29A6">
              <w:rPr>
                <w:rFonts w:cs="Times New Roman"/>
                <w:sz w:val="28"/>
                <w:szCs w:val="28"/>
                <w:lang w:val="ru-RU"/>
              </w:rPr>
              <w:t>об</w:t>
            </w:r>
            <w:r w:rsidR="00D516F3" w:rsidRPr="003A29A6">
              <w:rPr>
                <w:rFonts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="00D516F3" w:rsidRPr="003A29A6">
              <w:rPr>
                <w:rFonts w:cs="Times New Roman"/>
                <w:sz w:val="28"/>
                <w:szCs w:val="28"/>
                <w:lang w:val="ru-RU"/>
              </w:rPr>
              <w:t>инициаторе</w:t>
            </w:r>
            <w:r w:rsidR="00D516F3" w:rsidRPr="003A29A6">
              <w:rPr>
                <w:rFonts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="00D516F3" w:rsidRPr="003A29A6">
              <w:rPr>
                <w:rFonts w:cs="Times New Roman"/>
                <w:sz w:val="28"/>
                <w:szCs w:val="28"/>
                <w:lang w:val="ru-RU"/>
              </w:rPr>
              <w:t>намечаемой</w:t>
            </w:r>
            <w:r w:rsidR="003A29A6">
              <w:rPr>
                <w:rFonts w:cs="Times New Roman"/>
                <w:spacing w:val="-13"/>
                <w:sz w:val="28"/>
                <w:szCs w:val="28"/>
                <w:lang w:val="ru-RU"/>
              </w:rPr>
              <w:t xml:space="preserve"> д</w:t>
            </w:r>
            <w:r w:rsidR="00D516F3" w:rsidRPr="003A29A6">
              <w:rPr>
                <w:rFonts w:cs="Times New Roman"/>
                <w:sz w:val="28"/>
                <w:szCs w:val="28"/>
                <w:lang w:val="ru-RU"/>
              </w:rPr>
              <w:t>еятельности:</w:t>
            </w:r>
            <w:r w:rsidR="00D516F3" w:rsidRPr="003A29A6">
              <w:rPr>
                <w:rFonts w:cs="Times New Roman"/>
                <w:w w:val="99"/>
                <w:sz w:val="28"/>
                <w:szCs w:val="28"/>
                <w:lang w:val="ru-RU"/>
              </w:rPr>
              <w:t xml:space="preserve"> </w:t>
            </w:r>
          </w:p>
        </w:tc>
      </w:tr>
      <w:tr w:rsidR="00D516F3" w:rsidRPr="00483553" w14:paraId="090B75A7" w14:textId="77777777" w:rsidTr="001C5F9F">
        <w:tc>
          <w:tcPr>
            <w:tcW w:w="5000" w:type="pct"/>
            <w:shd w:val="clear" w:color="auto" w:fill="8DB3E2" w:themeFill="text2" w:themeFillTint="66"/>
          </w:tcPr>
          <w:p w14:paraId="19D0BACB" w14:textId="77777777" w:rsidR="00D516F3" w:rsidRPr="003A29A6" w:rsidRDefault="00D516F3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3A29A6">
              <w:rPr>
                <w:rFonts w:cs="Times New Roman"/>
                <w:sz w:val="28"/>
                <w:szCs w:val="28"/>
                <w:lang w:val="ru-RU"/>
              </w:rPr>
              <w:t>для</w:t>
            </w:r>
            <w:r w:rsidRPr="003A29A6">
              <w:rPr>
                <w:rFonts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физического</w:t>
            </w:r>
            <w:r w:rsidRPr="003A29A6">
              <w:rPr>
                <w:rFonts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лица:</w:t>
            </w:r>
          </w:p>
          <w:p w14:paraId="779ACF31" w14:textId="77777777" w:rsidR="00D516F3" w:rsidRPr="003A29A6" w:rsidRDefault="00D516F3" w:rsidP="00862671">
            <w:pPr>
              <w:pStyle w:val="a3"/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3A29A6">
              <w:rPr>
                <w:rFonts w:cs="Times New Roman"/>
                <w:sz w:val="28"/>
                <w:szCs w:val="28"/>
                <w:lang w:val="ru-RU"/>
              </w:rPr>
              <w:t>фамилия,</w:t>
            </w:r>
            <w:r w:rsidRPr="003A29A6">
              <w:rPr>
                <w:rFonts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имя,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отчество</w:t>
            </w:r>
            <w:r w:rsidRPr="003A29A6">
              <w:rPr>
                <w:rFonts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(если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оно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указано</w:t>
            </w:r>
            <w:r w:rsidRPr="003A29A6">
              <w:rPr>
                <w:rFonts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в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документе,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удостоверяющем</w:t>
            </w:r>
            <w:r w:rsidRPr="003A29A6">
              <w:rPr>
                <w:rFonts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личность),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адрес</w:t>
            </w:r>
            <w:r w:rsidRPr="003A29A6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места</w:t>
            </w:r>
            <w:r w:rsidRPr="003A29A6">
              <w:rPr>
                <w:rFonts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жительства,</w:t>
            </w:r>
            <w:r w:rsidRPr="003A29A6">
              <w:rPr>
                <w:rFonts w:cs="Times New Roman"/>
                <w:w w:val="99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индивидуальный</w:t>
            </w:r>
            <w:r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идентификационный</w:t>
            </w:r>
            <w:r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номер,</w:t>
            </w:r>
            <w:r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телефон,</w:t>
            </w:r>
            <w:r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адрес</w:t>
            </w:r>
            <w:r w:rsidR="003A29A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электронной</w:t>
            </w:r>
            <w:r w:rsidRPr="003A29A6">
              <w:rPr>
                <w:rFonts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A29A6">
              <w:rPr>
                <w:rFonts w:cs="Times New Roman"/>
                <w:sz w:val="28"/>
                <w:szCs w:val="28"/>
                <w:lang w:val="ru-RU"/>
              </w:rPr>
              <w:t>почты;</w:t>
            </w:r>
          </w:p>
        </w:tc>
      </w:tr>
      <w:tr w:rsidR="00D516F3" w:rsidRPr="00FE67D7" w14:paraId="6BE54A8F" w14:textId="77777777" w:rsidTr="00171438">
        <w:tc>
          <w:tcPr>
            <w:tcW w:w="5000" w:type="pct"/>
          </w:tcPr>
          <w:p w14:paraId="17AD3C0C" w14:textId="77777777" w:rsidR="00D516F3" w:rsidRPr="003A29A6" w:rsidRDefault="00404AB8" w:rsidP="00862671">
            <w:pPr>
              <w:pStyle w:val="a3"/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–</w:t>
            </w:r>
          </w:p>
        </w:tc>
      </w:tr>
      <w:tr w:rsidR="00D516F3" w:rsidRPr="00483553" w14:paraId="663A7334" w14:textId="77777777" w:rsidTr="001C5F9F">
        <w:tc>
          <w:tcPr>
            <w:tcW w:w="5000" w:type="pct"/>
            <w:shd w:val="clear" w:color="auto" w:fill="8DB3E2" w:themeFill="text2" w:themeFillTint="66"/>
          </w:tcPr>
          <w:p w14:paraId="566A449D" w14:textId="77777777" w:rsidR="00D516F3" w:rsidRPr="003A29A6" w:rsidRDefault="00D516F3" w:rsidP="00862671">
            <w:pPr>
              <w:pStyle w:val="a3"/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3A29A6">
              <w:rPr>
                <w:rFonts w:cs="Times New Roman"/>
                <w:sz w:val="28"/>
                <w:szCs w:val="28"/>
                <w:lang w:val="ru-RU"/>
              </w:rPr>
              <w:t>для юридического лица:</w:t>
            </w:r>
          </w:p>
          <w:p w14:paraId="45D70DD5" w14:textId="77777777" w:rsidR="00D516F3" w:rsidRPr="003A29A6" w:rsidRDefault="00D516F3" w:rsidP="00862671">
            <w:pPr>
              <w:pStyle w:val="a3"/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3A29A6">
              <w:rPr>
                <w:rFonts w:cs="Times New Roman"/>
                <w:sz w:val="28"/>
                <w:szCs w:val="28"/>
                <w:lang w:val="ru-RU"/>
              </w:rPr>
              <w:t>наименование, адрес места нахождения, бизнес-идентификационный номер, данные о первом руководителе, телефон, адрес электронной почты.</w:t>
            </w:r>
          </w:p>
        </w:tc>
      </w:tr>
      <w:tr w:rsidR="00D516F3" w:rsidRPr="00C0217C" w14:paraId="3A4A30EA" w14:textId="77777777" w:rsidTr="00171438">
        <w:tc>
          <w:tcPr>
            <w:tcW w:w="5000" w:type="pct"/>
          </w:tcPr>
          <w:p w14:paraId="6B626F06" w14:textId="0812E682" w:rsidR="00085364" w:rsidRPr="00C0217C" w:rsidRDefault="00483553" w:rsidP="00483553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83553">
              <w:rPr>
                <w:rFonts w:cs="Times New Roman"/>
                <w:sz w:val="28"/>
                <w:szCs w:val="28"/>
                <w:lang w:val="ru-RU"/>
              </w:rPr>
              <w:t>Наименование: ГУ «Отдел строительства г. Усть-Каменогорска».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83553">
              <w:rPr>
                <w:rFonts w:cs="Times New Roman"/>
                <w:sz w:val="28"/>
                <w:szCs w:val="28"/>
                <w:lang w:val="ru-RU"/>
              </w:rPr>
              <w:t>Адрес места нахождения: Республика Казахстан, г. Усть-Каменогорск, улица Казахстан, 27.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83553">
              <w:rPr>
                <w:rFonts w:cs="Times New Roman"/>
                <w:sz w:val="28"/>
                <w:szCs w:val="28"/>
                <w:lang w:val="ru-RU"/>
              </w:rPr>
              <w:t>Бизнес-идентификационный номер: 060140009176.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83553">
              <w:rPr>
                <w:rFonts w:cs="Times New Roman"/>
                <w:sz w:val="28"/>
                <w:szCs w:val="28"/>
                <w:lang w:val="ru-RU"/>
              </w:rPr>
              <w:t>Данные о первом руководителе: Танекенов К. А.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83553">
              <w:rPr>
                <w:rFonts w:cs="Times New Roman"/>
                <w:sz w:val="28"/>
                <w:szCs w:val="28"/>
                <w:lang w:val="ru-RU"/>
              </w:rPr>
              <w:t>Телефон: 8 (7132) 55-24-06</w:t>
            </w:r>
          </w:p>
        </w:tc>
      </w:tr>
      <w:tr w:rsidR="00D516F3" w:rsidRPr="003A29A6" w14:paraId="7387F6EA" w14:textId="77777777" w:rsidTr="001C5F9F">
        <w:tc>
          <w:tcPr>
            <w:tcW w:w="5000" w:type="pct"/>
            <w:shd w:val="clear" w:color="auto" w:fill="17365D" w:themeFill="text2" w:themeFillShade="BF"/>
          </w:tcPr>
          <w:p w14:paraId="4B436509" w14:textId="77777777" w:rsidR="00D516F3" w:rsidRPr="003A29A6" w:rsidRDefault="00F12584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="00C3210B" w:rsidRPr="00C3210B">
              <w:rPr>
                <w:rFonts w:cs="Times New Roman"/>
                <w:sz w:val="28"/>
                <w:szCs w:val="28"/>
                <w:lang w:val="ru-RU"/>
              </w:rPr>
              <w:t xml:space="preserve">. Общее описание видов намечаемой деятельности, и их классификация согласно приложению 1 Экологического кодекса Республики Казахстан (далее - Кодекс) </w:t>
            </w:r>
          </w:p>
        </w:tc>
      </w:tr>
      <w:tr w:rsidR="00D516F3" w:rsidRPr="00483553" w14:paraId="3ADD257D" w14:textId="77777777" w:rsidTr="00171438">
        <w:tc>
          <w:tcPr>
            <w:tcW w:w="5000" w:type="pct"/>
          </w:tcPr>
          <w:p w14:paraId="42185762" w14:textId="5E7D7056" w:rsidR="00D516F3" w:rsidRPr="003A29A6" w:rsidRDefault="00841A3A" w:rsidP="00841A3A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841A3A">
              <w:rPr>
                <w:rFonts w:cs="Times New Roman"/>
                <w:sz w:val="28"/>
                <w:szCs w:val="28"/>
                <w:lang w:val="ru-RU"/>
              </w:rPr>
              <w:t>Намечаемая деятельность – это строительство сети автомобильных дорог, 18 жилого района в г. Усть-Каменогорске Восточно-Казахстанской области протяженностью 4,526 км.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841A3A">
              <w:rPr>
                <w:rFonts w:cs="Times New Roman"/>
                <w:sz w:val="28"/>
                <w:szCs w:val="28"/>
                <w:lang w:val="ru-RU"/>
              </w:rPr>
              <w:t>Намечаемая деятельность соответствует п. 7.2 Раздела 2 Приложении 1 Экологического кодекса Республики Казахстан от 2 января 2021 года № 400-VI («строительство автомобильных дорог протяженностью 1 км и более и (или) с пропускной способностью 1 тыс. автомобилей в час и более»), таким образом, проведение процедуры скрининга воздействий намечаемой деятельности является обязательным</w:t>
            </w:r>
            <w:r w:rsidR="00C0217C" w:rsidRPr="00C0217C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</w:tr>
      <w:tr w:rsidR="00C3210B" w:rsidRPr="00483553" w14:paraId="3E866111" w14:textId="77777777" w:rsidTr="001C5F9F">
        <w:trPr>
          <w:trHeight w:val="336"/>
        </w:trPr>
        <w:tc>
          <w:tcPr>
            <w:tcW w:w="5000" w:type="pct"/>
            <w:shd w:val="clear" w:color="auto" w:fill="17365D" w:themeFill="text2" w:themeFillShade="BF"/>
          </w:tcPr>
          <w:p w14:paraId="50F412E9" w14:textId="77777777" w:rsidR="00C3210B" w:rsidRPr="003A29A6" w:rsidRDefault="00F12584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="00C3210B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C3210B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2584">
              <w:rPr>
                <w:rFonts w:cs="Times New Roman"/>
                <w:sz w:val="28"/>
                <w:szCs w:val="28"/>
                <w:lang w:val="ru-RU"/>
              </w:rPr>
              <w:t>В случаях внесения в виды деятельности существенных изменений</w:t>
            </w:r>
            <w:r w:rsidR="00C3210B" w:rsidRPr="00C3210B">
              <w:rPr>
                <w:rFonts w:cs="Times New Roman"/>
                <w:sz w:val="28"/>
                <w:szCs w:val="28"/>
                <w:lang w:val="ru-RU"/>
              </w:rPr>
              <w:t>:</w:t>
            </w:r>
          </w:p>
        </w:tc>
      </w:tr>
      <w:tr w:rsidR="00F12584" w:rsidRPr="00483553" w14:paraId="63F44D1E" w14:textId="77777777" w:rsidTr="001C5F9F">
        <w:trPr>
          <w:trHeight w:val="939"/>
        </w:trPr>
        <w:tc>
          <w:tcPr>
            <w:tcW w:w="5000" w:type="pct"/>
            <w:shd w:val="clear" w:color="auto" w:fill="8DB3E2" w:themeFill="text2" w:themeFillTint="66"/>
          </w:tcPr>
          <w:p w14:paraId="44469CA5" w14:textId="77777777" w:rsidR="00F12584" w:rsidRDefault="00F12584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F12584">
              <w:rPr>
                <w:rFonts w:cs="Times New Roman"/>
                <w:sz w:val="28"/>
                <w:szCs w:val="28"/>
                <w:lang w:val="ru-RU"/>
              </w:rPr>
              <w:t>описание существенных изменений в виды деятельности и (или) деятельность объектов, в отношении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2584">
              <w:rPr>
                <w:rFonts w:cs="Times New Roman"/>
                <w:sz w:val="28"/>
                <w:szCs w:val="28"/>
                <w:lang w:val="ru-RU"/>
              </w:rPr>
              <w:t>которых ранее была проведена оценка воздействия на окружающую среду (подпункт 3) пункта 1 статьи 65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2584">
              <w:rPr>
                <w:rFonts w:cs="Times New Roman"/>
                <w:sz w:val="28"/>
                <w:szCs w:val="28"/>
                <w:lang w:val="ru-RU"/>
              </w:rPr>
              <w:t>Кодекса)</w:t>
            </w:r>
          </w:p>
        </w:tc>
      </w:tr>
      <w:tr w:rsidR="00BB6AD2" w:rsidRPr="00483553" w14:paraId="4EDEE971" w14:textId="77777777" w:rsidTr="00171438">
        <w:tc>
          <w:tcPr>
            <w:tcW w:w="5000" w:type="pct"/>
          </w:tcPr>
          <w:p w14:paraId="2E3F564F" w14:textId="77777777" w:rsidR="00BB6AD2" w:rsidRPr="003A29A6" w:rsidRDefault="008663EA" w:rsidP="00C0217C">
            <w:pPr>
              <w:pStyle w:val="a3"/>
              <w:tabs>
                <w:tab w:val="left" w:pos="-5103"/>
                <w:tab w:val="left" w:pos="-2127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8663EA">
              <w:rPr>
                <w:rFonts w:cs="Times New Roman"/>
                <w:sz w:val="28"/>
                <w:szCs w:val="28"/>
                <w:lang w:val="ru-RU"/>
              </w:rPr>
              <w:t xml:space="preserve">Оценка воздействия на окружающую среду в отношении </w:t>
            </w:r>
            <w:r w:rsidR="00C0217C">
              <w:rPr>
                <w:rFonts w:cs="Times New Roman"/>
                <w:sz w:val="28"/>
                <w:szCs w:val="28"/>
                <w:lang w:val="ru-RU"/>
              </w:rPr>
              <w:t>намечаемой деятельности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ранее не проводилась</w:t>
            </w:r>
          </w:p>
        </w:tc>
      </w:tr>
      <w:tr w:rsidR="00BB6AD2" w:rsidRPr="00483553" w14:paraId="393B98A9" w14:textId="77777777" w:rsidTr="001C5F9F">
        <w:trPr>
          <w:trHeight w:val="688"/>
        </w:trPr>
        <w:tc>
          <w:tcPr>
            <w:tcW w:w="5000" w:type="pct"/>
            <w:shd w:val="clear" w:color="auto" w:fill="8DB3E2" w:themeFill="text2" w:themeFillTint="66"/>
          </w:tcPr>
          <w:p w14:paraId="58AE7E99" w14:textId="77777777" w:rsidR="00BB6AD2" w:rsidRDefault="006C7579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писание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существенных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изменений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виды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деятельности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(или)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деятельность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объектов,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отношении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которых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ранее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было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выдано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заключение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результатах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скрининга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воздействий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намечаемой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деятельности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с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выводом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об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отсутствии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необходимости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проведения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оценки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воздействия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на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окружающую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среду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(подпункт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4)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6C7579">
              <w:rPr>
                <w:rFonts w:cs="Times New Roman"/>
                <w:sz w:val="28"/>
                <w:szCs w:val="28"/>
                <w:lang w:val="ru-RU"/>
              </w:rPr>
              <w:t>пункта 1 статьи 65 Кодекса)</w:t>
            </w:r>
          </w:p>
        </w:tc>
      </w:tr>
      <w:tr w:rsidR="00C3210B" w:rsidRPr="00483553" w14:paraId="79D55E44" w14:textId="77777777" w:rsidTr="00171438">
        <w:tc>
          <w:tcPr>
            <w:tcW w:w="5000" w:type="pct"/>
          </w:tcPr>
          <w:p w14:paraId="3E5C6682" w14:textId="77777777" w:rsidR="00C3210B" w:rsidRPr="003A29A6" w:rsidRDefault="006D35F5" w:rsidP="00C0217C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6D35F5">
              <w:rPr>
                <w:rFonts w:cs="Times New Roman"/>
                <w:sz w:val="28"/>
                <w:szCs w:val="28"/>
                <w:lang w:val="ru-RU"/>
              </w:rPr>
              <w:t xml:space="preserve">Ранее процедура скрининга воздействия на окружающую среду </w:t>
            </w:r>
            <w:r w:rsidR="00C0217C" w:rsidRPr="008663EA">
              <w:rPr>
                <w:rFonts w:cs="Times New Roman"/>
                <w:sz w:val="28"/>
                <w:szCs w:val="28"/>
                <w:lang w:val="ru-RU"/>
              </w:rPr>
              <w:t xml:space="preserve">в отношении </w:t>
            </w:r>
            <w:r w:rsidR="00C0217C">
              <w:rPr>
                <w:rFonts w:cs="Times New Roman"/>
                <w:sz w:val="28"/>
                <w:szCs w:val="28"/>
                <w:lang w:val="ru-RU"/>
              </w:rPr>
              <w:t>намечаемой деятельности не проводилась</w:t>
            </w:r>
          </w:p>
        </w:tc>
      </w:tr>
      <w:tr w:rsidR="00BB6AD2" w:rsidRPr="00483553" w14:paraId="3597695F" w14:textId="77777777" w:rsidTr="001C5F9F">
        <w:tc>
          <w:tcPr>
            <w:tcW w:w="5000" w:type="pct"/>
            <w:shd w:val="clear" w:color="auto" w:fill="17365D" w:themeFill="text2" w:themeFillShade="BF"/>
          </w:tcPr>
          <w:p w14:paraId="098E5D21" w14:textId="77777777" w:rsidR="00BB6AD2" w:rsidRPr="003A29A6" w:rsidRDefault="001E6FA3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BB6AD2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Сведения о предполагаемом месте осуществления намечаемой деятельности, обоснование выбора места и возможностях выбора других мест.</w:t>
            </w:r>
          </w:p>
        </w:tc>
      </w:tr>
      <w:tr w:rsidR="00BB6AD2" w:rsidRPr="00483553" w14:paraId="295D02BE" w14:textId="77777777" w:rsidTr="00171438">
        <w:tc>
          <w:tcPr>
            <w:tcW w:w="5000" w:type="pct"/>
          </w:tcPr>
          <w:p w14:paraId="0CB225B3" w14:textId="4FCAE8D4" w:rsidR="00BB6AD2" w:rsidRPr="003A29A6" w:rsidRDefault="00841A3A" w:rsidP="00841A3A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841A3A">
              <w:rPr>
                <w:rFonts w:cs="Times New Roman"/>
                <w:sz w:val="28"/>
                <w:szCs w:val="28"/>
                <w:lang w:val="ru-RU"/>
              </w:rPr>
              <w:t xml:space="preserve">Работы по проекту проводятся в городе Усть-Каменогорске Восточно-Казахстанской области Республики Казахстан, на левом берегу р. Иртыш в 18 </w:t>
            </w:r>
            <w:r w:rsidRPr="00841A3A">
              <w:rPr>
                <w:rFonts w:cs="Times New Roman"/>
                <w:sz w:val="28"/>
                <w:szCs w:val="28"/>
                <w:lang w:val="ru-RU"/>
              </w:rPr>
              <w:lastRenderedPageBreak/>
              <w:t>жилом районе. Район застроен частными жилыми домами и административными зданиями. Вся трасса строительства проходит по территории, прилегающей к жилым домам, расстояние от участка строительства до жилой зоны – 5 м и более. Ближайший водный объект – ручей Чечек – протекает на расстоянии 70 м от участка строительства. Согласно Постановлению Восточно-Казахстанского областного акимата от 06 октября 2014 года № 266 «Об установлении водо-охранных зон и водоохранных полос малых рек и ручьев в городе Усть-Каменогорске Восточно-Казахстанской области и режима их хозяйственного использования», работы проводятся в водоохранной зоне ручья Чечек, вне его водоохранной полосы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Pr="00841A3A">
              <w:rPr>
                <w:rFonts w:cs="Times New Roman"/>
                <w:sz w:val="28"/>
                <w:szCs w:val="28"/>
                <w:lang w:val="ru-RU"/>
              </w:rPr>
              <w:t>Лесов и сельскохозяйственных угодий, а также зон отдыха и санаториев, непосредственно примыкающих к территории строительных работ, не имеется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Pr="00841A3A">
              <w:rPr>
                <w:rFonts w:cs="Times New Roman"/>
                <w:sz w:val="28"/>
                <w:szCs w:val="28"/>
                <w:lang w:val="ru-RU"/>
              </w:rPr>
              <w:t>Выбор места осуществления намечаемой деятельности обусловлен необходимостью благоустройства территории 18 района в городе Усть-Каменогорске</w:t>
            </w:r>
          </w:p>
        </w:tc>
      </w:tr>
      <w:tr w:rsidR="00BB6AD2" w:rsidRPr="00483553" w14:paraId="3E0E29C2" w14:textId="77777777" w:rsidTr="001C5F9F">
        <w:tc>
          <w:tcPr>
            <w:tcW w:w="5000" w:type="pct"/>
            <w:shd w:val="clear" w:color="auto" w:fill="17365D" w:themeFill="text2" w:themeFillShade="BF"/>
          </w:tcPr>
          <w:p w14:paraId="703F0E22" w14:textId="77777777" w:rsidR="00BB6AD2" w:rsidRPr="00BB6AD2" w:rsidRDefault="003E1FFB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5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BB6AD2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Общие предполагаемые технические характеристики намечаемой деятельности, включая мощность (производительность) объекта, его предполагаемые размеры, характеристику продукции.</w:t>
            </w:r>
          </w:p>
        </w:tc>
      </w:tr>
      <w:tr w:rsidR="00BB6AD2" w:rsidRPr="00F14A26" w14:paraId="77B0573B" w14:textId="77777777" w:rsidTr="00171438">
        <w:tc>
          <w:tcPr>
            <w:tcW w:w="5000" w:type="pct"/>
          </w:tcPr>
          <w:p w14:paraId="4064D79C" w14:textId="469F346D" w:rsidR="00BB6AD2" w:rsidRPr="00BC7D80" w:rsidRDefault="00F14A26" w:rsidP="001752D5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F14A26">
              <w:rPr>
                <w:color w:val="000000"/>
                <w:spacing w:val="2"/>
                <w:sz w:val="28"/>
                <w:szCs w:val="28"/>
              </w:rPr>
              <w:t>Намечаемая деятельность – это строительство основного проезда жилого района (трасса 3, трасса 5, ул. Майлина, ул. Алтынсарина) и улиц в жилой застройке (ул. Медеу, ул. Шарипова, трасса 2, трасса 1, ул. Гребенщикова). Суммарная протяженность строительства участков дороги – 4,526 км. Ширина проезжей части 6-7 м. Расчетная скорость 30-40 км/ч, 2 полосы движения</w:t>
            </w:r>
          </w:p>
        </w:tc>
      </w:tr>
      <w:tr w:rsidR="00BB6AD2" w:rsidRPr="00483553" w14:paraId="4279EB4A" w14:textId="77777777" w:rsidTr="001C5F9F">
        <w:tc>
          <w:tcPr>
            <w:tcW w:w="5000" w:type="pct"/>
            <w:shd w:val="clear" w:color="auto" w:fill="17365D" w:themeFill="text2" w:themeFillShade="BF"/>
          </w:tcPr>
          <w:p w14:paraId="430F714A" w14:textId="77777777" w:rsidR="00BB6AD2" w:rsidRPr="00BB6AD2" w:rsidRDefault="005B3146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BB6AD2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Краткое описани</w:t>
            </w:r>
            <w:r w:rsidR="00BB6AD2" w:rsidRPr="00D05CB1"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 xml:space="preserve"> предполагаемых технических и технологических решений для намечаемой деятельности.</w:t>
            </w:r>
          </w:p>
        </w:tc>
      </w:tr>
      <w:tr w:rsidR="00BB6AD2" w:rsidRPr="00483553" w14:paraId="0A4B9707" w14:textId="77777777" w:rsidTr="00171438">
        <w:tc>
          <w:tcPr>
            <w:tcW w:w="5000" w:type="pct"/>
          </w:tcPr>
          <w:p w14:paraId="5A4453B1" w14:textId="61668FAF" w:rsidR="009D01C5" w:rsidRPr="0055364D" w:rsidRDefault="00F14A26" w:rsidP="00F14A26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Н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 xml:space="preserve">а сегодняшний день проезды в жилом районе представлены естественным накатом по грунту. Тротуары отсутствуют.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Проектом предусматривается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строительство сети дорог в 18 жилом районе города Усть-Каменогорска, суммарная длина улицы в жилой застройке – 3158,971 м, основной проезд – 1308,22 м. Расчетная скорость движения – 40 км/ч, 2 полосы движения.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Длина улиц: ул. Медеу – 892,191 м, ул. Шарипова – 856,991 м, трасса 2 –781,504 м, трасса 1 – 332,088 м, ул. Гребенщикова – 327,068 м, трасса 3 – 255,63 м, ул. Майлина – 244,985 м, ул. Алтынсарина – 256,22 м, трасса 5 – 579,319 м. Конструкция дорожной одежды: асфальтобетон плотный, смеси щебёночные, георешетка, природная песчано-гравийная смесь, геотекстиль Robutec.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Для организации безопасного движения, в проекте предусматривается нанесение разметки на основной дороге и съездах, установка дорожных знаков, устройство шумовых полос.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 xml:space="preserve">По окончании строительства проводится рекультивация земель в два этапа: техническая и биологическая рекультивация. При технической рекультивации производится надвижка плодородного слоя с разравниванием на откосы автомобильной дороги. При биологической рекультивации производят засев трав. После рекультивации подрядчик передаёт по акту временно занимаемые земли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lastRenderedPageBreak/>
              <w:t>владельцам.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Для обеспечения бытовых и санитарных нужд работников в период строительства на строительной площадке будут установлены передвижные помещения. В них предусматриваются помещения для отдыха и обогрева рабочих, обеспечивается горячее питание посредством выездного обслуживания. Электроснабжение на период строительства будет организованно от существующих сетей района проведения строительных работ.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Питьевая вода привозная, отведение бытовых стоков – в биотуалет с последующим вывозом стоков специализированной организацией по договору, который заключается до начала строительных работ.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Предусмотрена организация площадки с твердым покрытием с установкой закрывающихся мусоросборников для очистки, сбора и удаления отходов, образующихся в период строительства. Вывоз отходов осуществляется специализированными организациями, имеющими лицензию на прием отходов, по договору, который заключается до начала строительных работ.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В период строительства на территории проведения работ не предусматривается заправка автотранспорта и временное хранение ГСМ. Заправка осуществляется на городских АЗС</w:t>
            </w:r>
          </w:p>
        </w:tc>
      </w:tr>
      <w:tr w:rsidR="00BB6AD2" w:rsidRPr="00483553" w14:paraId="0812ECF7" w14:textId="77777777" w:rsidTr="001C5F9F">
        <w:tc>
          <w:tcPr>
            <w:tcW w:w="5000" w:type="pct"/>
            <w:shd w:val="clear" w:color="auto" w:fill="17365D" w:themeFill="text2" w:themeFillShade="BF"/>
          </w:tcPr>
          <w:p w14:paraId="10EDA656" w14:textId="77777777" w:rsidR="00BB6AD2" w:rsidRPr="00BB6AD2" w:rsidRDefault="005B3146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7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BB6AD2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Предположительные сроки начала реализации намечаемой деятельности и ее завершения.</w:t>
            </w:r>
          </w:p>
        </w:tc>
      </w:tr>
      <w:tr w:rsidR="00BB6AD2" w:rsidRPr="00F14A26" w14:paraId="3F0F7951" w14:textId="77777777" w:rsidTr="00171438">
        <w:tc>
          <w:tcPr>
            <w:tcW w:w="5000" w:type="pct"/>
          </w:tcPr>
          <w:p w14:paraId="59196A4A" w14:textId="4EB9686A" w:rsidR="00BB6AD2" w:rsidRPr="0070433A" w:rsidRDefault="00B65509" w:rsidP="007043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55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Начало реализации проекта – 2024 год. Работы проводятся </w:t>
            </w:r>
            <w:r w:rsidR="00F14A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655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месяц</w:t>
            </w:r>
            <w:r w:rsidR="00F14A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ев</w:t>
            </w:r>
            <w:r w:rsidR="007C377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 Начало эксплуатации 202</w:t>
            </w:r>
            <w:r w:rsidR="00F14A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="007C377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BB6AD2" w:rsidRPr="00483553" w14:paraId="5DE39B81" w14:textId="77777777" w:rsidTr="001C5F9F">
        <w:tc>
          <w:tcPr>
            <w:tcW w:w="5000" w:type="pct"/>
            <w:shd w:val="clear" w:color="auto" w:fill="17365D" w:themeFill="text2" w:themeFillShade="BF"/>
          </w:tcPr>
          <w:p w14:paraId="4FADE97F" w14:textId="77777777" w:rsidR="00BB6AD2" w:rsidRPr="00BB6AD2" w:rsidRDefault="005B3146" w:rsidP="00D05CB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BB6AD2"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Описание видов ресурсов, необходимых для осуществления деятельности,</w:t>
            </w:r>
            <w:r w:rsidR="00504E92">
              <w:rPr>
                <w:rFonts w:cs="Times New Roman"/>
                <w:sz w:val="28"/>
                <w:szCs w:val="28"/>
                <w:lang w:val="ru-RU"/>
              </w:rPr>
              <w:t xml:space="preserve"> включая строительство, эксплуатацию и постутилизацию объектов (с указанием предполагаемых качественных и максимальных количественных характеристик, а также операций, для которых предполагается их использование)</w:t>
            </w:r>
          </w:p>
        </w:tc>
      </w:tr>
      <w:tr w:rsidR="00504E92" w:rsidRPr="00483553" w14:paraId="26036F35" w14:textId="77777777" w:rsidTr="001C5F9F">
        <w:tc>
          <w:tcPr>
            <w:tcW w:w="5000" w:type="pct"/>
            <w:shd w:val="clear" w:color="auto" w:fill="8DB3E2" w:themeFill="text2" w:themeFillTint="66"/>
          </w:tcPr>
          <w:p w14:paraId="7FD1930E" w14:textId="77777777" w:rsidR="00504E92" w:rsidRDefault="005B3146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1)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>земельных участков, их площадей, целевого назначения, предполагаемых сроков использования</w:t>
            </w:r>
          </w:p>
        </w:tc>
      </w:tr>
      <w:tr w:rsidR="00BB6AD2" w:rsidRPr="00483553" w14:paraId="36CD79C7" w14:textId="77777777" w:rsidTr="00171438">
        <w:tc>
          <w:tcPr>
            <w:tcW w:w="5000" w:type="pct"/>
          </w:tcPr>
          <w:p w14:paraId="6CCE061D" w14:textId="0D8CF310" w:rsidR="00BB6AD2" w:rsidRPr="00832779" w:rsidRDefault="00F14A26" w:rsidP="00F14A26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highlight w:val="yellow"/>
                <w:lang w:val="ru-RU"/>
              </w:rPr>
            </w:pPr>
            <w:r w:rsidRPr="00F14A26">
              <w:rPr>
                <w:rFonts w:cs="Times New Roman"/>
                <w:sz w:val="28"/>
                <w:szCs w:val="28"/>
                <w:lang w:val="ru-RU"/>
              </w:rPr>
              <w:t>Работы ведутся на земельных участках, прилегающих к частным жилым домам и административным зданиям.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14A26">
              <w:rPr>
                <w:rFonts w:cs="Times New Roman"/>
                <w:sz w:val="28"/>
                <w:szCs w:val="28"/>
                <w:lang w:val="ru-RU"/>
              </w:rPr>
              <w:t>На участке строительства плодородный слой почвы снимается до начала строительства в количестве 15169,6 м³ и вывозится в отвал по согласованию со службой ЖКХ. По окончании строительных работ производится благоустройство территории, при этом используется собственный плодородный слой почвы из отвала</w:t>
            </w:r>
          </w:p>
        </w:tc>
      </w:tr>
      <w:tr w:rsidR="00D719F1" w:rsidRPr="003A29A6" w14:paraId="4C2010ED" w14:textId="77777777" w:rsidTr="001C5F9F">
        <w:trPr>
          <w:trHeight w:val="313"/>
        </w:trPr>
        <w:tc>
          <w:tcPr>
            <w:tcW w:w="5000" w:type="pct"/>
            <w:shd w:val="clear" w:color="auto" w:fill="8DB3E2" w:themeFill="text2" w:themeFillTint="66"/>
          </w:tcPr>
          <w:p w14:paraId="03C588DC" w14:textId="77777777" w:rsidR="00D719F1" w:rsidRDefault="004F6508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2)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>водных ресурсов с указанием:</w:t>
            </w:r>
            <w:r w:rsidR="00D719F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4F6508" w:rsidRPr="00483553" w14:paraId="095C6F92" w14:textId="77777777" w:rsidTr="001C5F9F">
        <w:trPr>
          <w:trHeight w:val="1928"/>
        </w:trPr>
        <w:tc>
          <w:tcPr>
            <w:tcW w:w="5000" w:type="pct"/>
            <w:shd w:val="clear" w:color="auto" w:fill="C6D9F1" w:themeFill="text2" w:themeFillTint="33"/>
          </w:tcPr>
          <w:p w14:paraId="05362600" w14:textId="77777777" w:rsidR="004F6508" w:rsidRDefault="004F6508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t>предполагаемого источника водоснабжения (системы централизованного водоснабжения, водные объекты, используемые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для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нецентрализованного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водоснабжения,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привозная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вода),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сведений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наличии водоохранных зон и полос, при их отсутствии – вывод о необходимости их установления в соответствии с законодательством Республики Казахстан, а при наличии – об  установленных дл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я них </w:t>
            </w:r>
            <w:r w:rsidRPr="00D719F1">
              <w:rPr>
                <w:rFonts w:cs="Times New Roman"/>
                <w:sz w:val="28"/>
                <w:szCs w:val="28"/>
                <w:lang w:val="ru-RU"/>
              </w:rPr>
              <w:t>запретах  и ограничениях, касающихся намечаемой деятельности</w:t>
            </w:r>
          </w:p>
        </w:tc>
      </w:tr>
      <w:tr w:rsidR="00D719F1" w:rsidRPr="00483553" w14:paraId="03566BCC" w14:textId="77777777" w:rsidTr="00623FDD">
        <w:trPr>
          <w:trHeight w:val="184"/>
        </w:trPr>
        <w:tc>
          <w:tcPr>
            <w:tcW w:w="5000" w:type="pct"/>
          </w:tcPr>
          <w:p w14:paraId="3A30F5E7" w14:textId="73555C04" w:rsidR="00D719F1" w:rsidRPr="00D778C0" w:rsidRDefault="00B65509" w:rsidP="00B65509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период эксплуатации водоснабжение не требуется. В период строительства и</w:t>
            </w:r>
            <w:r w:rsidR="00687A1A" w:rsidRPr="00D778C0">
              <w:rPr>
                <w:rFonts w:cs="Times New Roman"/>
                <w:sz w:val="28"/>
                <w:szCs w:val="28"/>
                <w:lang w:val="ru-RU"/>
              </w:rPr>
              <w:t xml:space="preserve">сточник водоснабжения – </w:t>
            </w:r>
            <w:r w:rsidR="00671EF0">
              <w:rPr>
                <w:rFonts w:cs="Times New Roman"/>
                <w:sz w:val="28"/>
                <w:szCs w:val="28"/>
                <w:lang w:val="ru-RU"/>
              </w:rPr>
              <w:t>привозная вода</w:t>
            </w:r>
            <w:r w:rsidR="00B7399C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687A1A" w:rsidRPr="00D778C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623FDD">
              <w:rPr>
                <w:rFonts w:cs="Times New Roman"/>
                <w:sz w:val="28"/>
                <w:szCs w:val="28"/>
                <w:lang w:val="ru-RU"/>
              </w:rPr>
              <w:t xml:space="preserve">Намечаемая деятельность </w:t>
            </w:r>
            <w:r w:rsidR="00623FDD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осуществляется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в </w:t>
            </w:r>
            <w:r w:rsidR="00623FDD">
              <w:rPr>
                <w:rFonts w:cs="Times New Roman"/>
                <w:sz w:val="28"/>
                <w:szCs w:val="28"/>
                <w:lang w:val="ru-RU"/>
              </w:rPr>
              <w:t>водоохранн</w:t>
            </w:r>
            <w:r>
              <w:rPr>
                <w:rFonts w:cs="Times New Roman"/>
                <w:sz w:val="28"/>
                <w:szCs w:val="28"/>
                <w:lang w:val="ru-RU"/>
              </w:rPr>
              <w:t>ой</w:t>
            </w:r>
            <w:r w:rsidR="00623FDD">
              <w:rPr>
                <w:rFonts w:cs="Times New Roman"/>
                <w:sz w:val="28"/>
                <w:szCs w:val="28"/>
                <w:lang w:val="ru-RU"/>
              </w:rPr>
              <w:t xml:space="preserve"> зон</w:t>
            </w:r>
            <w:r>
              <w:rPr>
                <w:rFonts w:cs="Times New Roman"/>
                <w:sz w:val="28"/>
                <w:szCs w:val="28"/>
                <w:lang w:val="ru-RU"/>
              </w:rPr>
              <w:t>е ручья Чечек, вне его водоохранной полосы</w:t>
            </w:r>
          </w:p>
        </w:tc>
      </w:tr>
      <w:tr w:rsidR="004F6508" w:rsidRPr="00483553" w14:paraId="2909081C" w14:textId="77777777" w:rsidTr="001C5F9F">
        <w:trPr>
          <w:trHeight w:val="332"/>
        </w:trPr>
        <w:tc>
          <w:tcPr>
            <w:tcW w:w="5000" w:type="pct"/>
            <w:shd w:val="clear" w:color="auto" w:fill="C6D9F1" w:themeFill="text2" w:themeFillTint="33"/>
          </w:tcPr>
          <w:p w14:paraId="25723286" w14:textId="77777777" w:rsidR="004F6508" w:rsidRPr="00D719F1" w:rsidRDefault="004F6508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lastRenderedPageBreak/>
              <w:t>видов  водопользования  (общее,  специальное,  обособленное),  качества  необходимой</w:t>
            </w:r>
            <w:r w:rsidR="0064577E" w:rsidRPr="00D719F1">
              <w:rPr>
                <w:rFonts w:cs="Times New Roman"/>
                <w:sz w:val="28"/>
                <w:szCs w:val="28"/>
                <w:lang w:val="ru-RU"/>
              </w:rPr>
              <w:t xml:space="preserve"> воды  (питьевая, непитьевая)</w:t>
            </w:r>
          </w:p>
        </w:tc>
      </w:tr>
      <w:tr w:rsidR="004F6508" w:rsidRPr="005A751E" w14:paraId="5311683E" w14:textId="77777777" w:rsidTr="00C72621">
        <w:trPr>
          <w:trHeight w:val="60"/>
        </w:trPr>
        <w:tc>
          <w:tcPr>
            <w:tcW w:w="5000" w:type="pct"/>
          </w:tcPr>
          <w:p w14:paraId="5A88F44F" w14:textId="77777777" w:rsidR="004F6508" w:rsidRPr="00C72621" w:rsidRDefault="004F6508" w:rsidP="00476B5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Вид  </w:t>
            </w:r>
            <w:r w:rsidR="00C72621" w:rsidRPr="00C72621">
              <w:rPr>
                <w:rFonts w:cs="Times New Roman"/>
                <w:sz w:val="28"/>
                <w:szCs w:val="28"/>
                <w:lang w:val="ru-RU"/>
              </w:rPr>
              <w:t>водо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пользования </w:t>
            </w:r>
            <w:r w:rsidR="00C72621" w:rsidRPr="00C72621">
              <w:rPr>
                <w:rFonts w:cs="Times New Roman"/>
                <w:sz w:val="28"/>
                <w:szCs w:val="28"/>
                <w:lang w:val="ru-RU"/>
              </w:rPr>
              <w:t>–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 общее</w:t>
            </w:r>
            <w:r w:rsidR="00C72621" w:rsidRPr="00C72621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C72621" w:rsidRPr="00C72621">
              <w:rPr>
                <w:rFonts w:cs="Times New Roman"/>
                <w:sz w:val="28"/>
                <w:szCs w:val="28"/>
                <w:lang w:val="ru-RU"/>
              </w:rPr>
              <w:t>Для хоз.-питьевых нужд требуется вода питьевого качества</w:t>
            </w:r>
            <w:r w:rsidR="00904EF3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7556C6">
              <w:rPr>
                <w:rFonts w:cs="Times New Roman"/>
                <w:sz w:val="28"/>
                <w:szCs w:val="28"/>
                <w:lang w:val="ru-RU"/>
              </w:rPr>
              <w:t xml:space="preserve"> Вода дл</w:t>
            </w:r>
            <w:r w:rsidR="00663AB0">
              <w:rPr>
                <w:rFonts w:cs="Times New Roman"/>
                <w:sz w:val="28"/>
                <w:szCs w:val="28"/>
                <w:lang w:val="ru-RU"/>
              </w:rPr>
              <w:t>я техн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>олог</w:t>
            </w:r>
            <w:r w:rsidR="00663AB0">
              <w:rPr>
                <w:rFonts w:cs="Times New Roman"/>
                <w:sz w:val="28"/>
                <w:szCs w:val="28"/>
                <w:lang w:val="ru-RU"/>
              </w:rPr>
              <w:t xml:space="preserve">ических нужд 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>технического качества</w:t>
            </w:r>
          </w:p>
        </w:tc>
      </w:tr>
      <w:tr w:rsidR="00AD4FC3" w:rsidRPr="00483553" w14:paraId="69269878" w14:textId="77777777" w:rsidTr="001C5F9F">
        <w:trPr>
          <w:trHeight w:val="352"/>
        </w:trPr>
        <w:tc>
          <w:tcPr>
            <w:tcW w:w="5000" w:type="pct"/>
            <w:shd w:val="clear" w:color="auto" w:fill="C6D9F1" w:themeFill="text2" w:themeFillTint="33"/>
          </w:tcPr>
          <w:p w14:paraId="5DD901CA" w14:textId="77777777" w:rsidR="00AD4FC3" w:rsidRPr="00D719F1" w:rsidRDefault="00AD4FC3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t xml:space="preserve">операций, для которых планируется использование водных ресурсов </w:t>
            </w:r>
          </w:p>
        </w:tc>
      </w:tr>
      <w:tr w:rsidR="00AD4FC3" w:rsidRPr="00483553" w14:paraId="7FFB1B67" w14:textId="77777777" w:rsidTr="007801BD">
        <w:trPr>
          <w:trHeight w:val="60"/>
        </w:trPr>
        <w:tc>
          <w:tcPr>
            <w:tcW w:w="5000" w:type="pct"/>
          </w:tcPr>
          <w:p w14:paraId="08B417A0" w14:textId="57AEC56A" w:rsidR="00AD4FC3" w:rsidRPr="00C72621" w:rsidRDefault="00AD4FC3" w:rsidP="009A2FD8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C72621"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C72621">
              <w:rPr>
                <w:rFonts w:cs="Times New Roman"/>
                <w:sz w:val="28"/>
                <w:szCs w:val="28"/>
                <w:lang w:val="ru-RU"/>
              </w:rPr>
              <w:t xml:space="preserve">) 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Питьевая вода </w:t>
            </w:r>
            <w:r w:rsidR="007801BD">
              <w:rPr>
                <w:rFonts w:cs="Times New Roman"/>
                <w:sz w:val="28"/>
                <w:szCs w:val="28"/>
                <w:lang w:val="ru-RU"/>
              </w:rPr>
              <w:t xml:space="preserve">в период строительства 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>на хозяйственно-бытовые нужды рабочих</w:t>
            </w:r>
            <w:r w:rsidR="00904EF3">
              <w:rPr>
                <w:rFonts w:cs="Times New Roman"/>
                <w:sz w:val="28"/>
                <w:szCs w:val="28"/>
                <w:lang w:val="ru-RU"/>
              </w:rPr>
              <w:t xml:space="preserve"> –</w:t>
            </w:r>
            <w:r w:rsidR="00AF405F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F14A26">
              <w:rPr>
                <w:rFonts w:cs="Times New Roman"/>
                <w:sz w:val="28"/>
                <w:szCs w:val="28"/>
                <w:lang w:val="ru-RU"/>
              </w:rPr>
              <w:t>240</w:t>
            </w:r>
            <w:r w:rsidR="00904EF3">
              <w:rPr>
                <w:rFonts w:cs="Times New Roman"/>
                <w:sz w:val="28"/>
                <w:szCs w:val="28"/>
                <w:lang w:val="ru-RU"/>
              </w:rPr>
              <w:t xml:space="preserve"> м</w:t>
            </w:r>
            <w:r w:rsidR="00904EF3" w:rsidRPr="00904EF3">
              <w:rPr>
                <w:rFonts w:cs="Times New Roman"/>
                <w:sz w:val="28"/>
                <w:szCs w:val="28"/>
                <w:lang w:val="ru-RU"/>
              </w:rPr>
              <w:t>³</w:t>
            </w:r>
            <w:r w:rsidR="00904EF3">
              <w:rPr>
                <w:rFonts w:cs="Times New Roman"/>
                <w:sz w:val="28"/>
                <w:szCs w:val="28"/>
                <w:lang w:val="ru-RU"/>
              </w:rPr>
              <w:t>/год</w:t>
            </w:r>
            <w:r w:rsidRPr="00C72621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="00C72621">
              <w:rPr>
                <w:rFonts w:cs="Times New Roman"/>
                <w:sz w:val="28"/>
                <w:szCs w:val="28"/>
                <w:lang w:val="ru-RU"/>
              </w:rPr>
              <w:t>2)</w:t>
            </w:r>
            <w:r w:rsidR="00C72621" w:rsidRPr="00C7262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>Техническая</w:t>
            </w:r>
            <w:r w:rsidR="00476B51" w:rsidRPr="00C72621">
              <w:rPr>
                <w:rFonts w:cs="Times New Roman"/>
                <w:sz w:val="28"/>
                <w:szCs w:val="28"/>
                <w:lang w:val="ru-RU"/>
              </w:rPr>
              <w:t xml:space="preserve"> вода 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 xml:space="preserve">в период строительства </w:t>
            </w:r>
            <w:r w:rsidR="00476B51" w:rsidRPr="00C72621">
              <w:rPr>
                <w:rFonts w:cs="Times New Roman"/>
                <w:sz w:val="28"/>
                <w:szCs w:val="28"/>
                <w:lang w:val="ru-RU"/>
              </w:rPr>
              <w:t xml:space="preserve">на 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 xml:space="preserve">технологические нужды (уплотнение грунта) – </w:t>
            </w:r>
            <w:r w:rsidR="00F14A26" w:rsidRPr="00F14A26">
              <w:rPr>
                <w:rFonts w:cs="Times New Roman"/>
                <w:sz w:val="28"/>
                <w:szCs w:val="28"/>
                <w:lang w:val="ru-RU"/>
              </w:rPr>
              <w:t xml:space="preserve">3044,85 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>м</w:t>
            </w:r>
            <w:r w:rsidR="00476B51" w:rsidRPr="00904EF3">
              <w:rPr>
                <w:rFonts w:cs="Times New Roman"/>
                <w:sz w:val="28"/>
                <w:szCs w:val="28"/>
                <w:lang w:val="ru-RU"/>
              </w:rPr>
              <w:t>³</w:t>
            </w:r>
            <w:r w:rsidR="00476B51">
              <w:rPr>
                <w:rFonts w:cs="Times New Roman"/>
                <w:sz w:val="28"/>
                <w:szCs w:val="28"/>
                <w:lang w:val="ru-RU"/>
              </w:rPr>
              <w:t>/год</w:t>
            </w:r>
            <w:r w:rsidR="00476B51" w:rsidRPr="00C72621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</w:tr>
      <w:tr w:rsidR="00D719F1" w:rsidRPr="00483553" w14:paraId="3337D26C" w14:textId="77777777" w:rsidTr="001C5F9F">
        <w:tc>
          <w:tcPr>
            <w:tcW w:w="5000" w:type="pct"/>
            <w:shd w:val="clear" w:color="auto" w:fill="8DB3E2" w:themeFill="text2" w:themeFillTint="66"/>
          </w:tcPr>
          <w:p w14:paraId="5F574D28" w14:textId="77777777" w:rsidR="00D719F1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3)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 xml:space="preserve">участков </w:t>
            </w:r>
            <w:r w:rsidR="00D719F1">
              <w:rPr>
                <w:rFonts w:cs="Times New Roman"/>
                <w:sz w:val="28"/>
                <w:szCs w:val="28"/>
                <w:lang w:val="ru-RU"/>
              </w:rPr>
              <w:t xml:space="preserve">недр с указанием вида и сроков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>права  недропользования,  их  географические координаты (если они известны)</w:t>
            </w:r>
          </w:p>
        </w:tc>
      </w:tr>
      <w:tr w:rsidR="00D719F1" w:rsidRPr="00832779" w14:paraId="5AF5DDEF" w14:textId="77777777" w:rsidTr="00171438">
        <w:tc>
          <w:tcPr>
            <w:tcW w:w="5000" w:type="pct"/>
          </w:tcPr>
          <w:p w14:paraId="7F90395F" w14:textId="77777777" w:rsidR="00D719F1" w:rsidRPr="00510D58" w:rsidRDefault="00D719F1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>Не предусмотрено проектом</w:t>
            </w:r>
          </w:p>
        </w:tc>
      </w:tr>
      <w:tr w:rsidR="00D719F1" w:rsidRPr="00483553" w14:paraId="06521D4C" w14:textId="77777777" w:rsidTr="001C5F9F">
        <w:tc>
          <w:tcPr>
            <w:tcW w:w="5000" w:type="pct"/>
            <w:shd w:val="clear" w:color="auto" w:fill="8DB3E2" w:themeFill="text2" w:themeFillTint="66"/>
          </w:tcPr>
          <w:p w14:paraId="254FED5F" w14:textId="77777777" w:rsidR="00D719F1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4)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>растительных ресурсов с указанием их видов, объемов, источников приобретения (в том числе мест их заготовки, если планируется их сбор в окружающей среде) и сроков использования, а также сведений о наличии или отсутствии зеленых насаждений в предполагаемом месте осуществления намечаемой деятельности, необходимости их вырубки или переноса, количестве зеленых насаждений, подлежащих вырубке или переносу, а также запланированных к посадке в порядке компенсации</w:t>
            </w:r>
          </w:p>
        </w:tc>
      </w:tr>
      <w:tr w:rsidR="00D719F1" w:rsidRPr="00FE67D7" w14:paraId="3F2D7CE3" w14:textId="77777777" w:rsidTr="00171438">
        <w:tc>
          <w:tcPr>
            <w:tcW w:w="5000" w:type="pct"/>
          </w:tcPr>
          <w:p w14:paraId="173AA08A" w14:textId="77777777" w:rsidR="00D719F1" w:rsidRPr="00832779" w:rsidRDefault="00510D58" w:rsidP="00510D58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highlight w:val="yellow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>Зеленые насаждения на участк</w:t>
            </w:r>
            <w:r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 проведения работ отсутствуют, снос не предусмотрен. Необходимость в растительности на пери</w:t>
            </w:r>
            <w:r w:rsidR="00404AB8">
              <w:rPr>
                <w:rFonts w:cs="Times New Roman"/>
                <w:sz w:val="28"/>
                <w:szCs w:val="28"/>
                <w:lang w:val="ru-RU"/>
              </w:rPr>
              <w:t>од проведения работ отсутствует</w:t>
            </w:r>
          </w:p>
        </w:tc>
      </w:tr>
      <w:tr w:rsidR="00D719F1" w:rsidRPr="00483553" w14:paraId="254F6D40" w14:textId="77777777" w:rsidTr="001C5F9F">
        <w:trPr>
          <w:trHeight w:val="676"/>
        </w:trPr>
        <w:tc>
          <w:tcPr>
            <w:tcW w:w="5000" w:type="pct"/>
            <w:shd w:val="clear" w:color="auto" w:fill="8DB3E2" w:themeFill="text2" w:themeFillTint="66"/>
          </w:tcPr>
          <w:p w14:paraId="4F1CF77E" w14:textId="77777777" w:rsidR="00D719F1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5) 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 xml:space="preserve">видов  объектов  животного  мира,  их  частей,  дериватов,  полезных  свойств  и  продуктов жизнедеятельности животных с указанием: </w:t>
            </w:r>
          </w:p>
        </w:tc>
      </w:tr>
      <w:tr w:rsidR="00D214DA" w:rsidRPr="003A29A6" w14:paraId="038BE2D1" w14:textId="77777777" w:rsidTr="001C5F9F">
        <w:trPr>
          <w:trHeight w:val="288"/>
        </w:trPr>
        <w:tc>
          <w:tcPr>
            <w:tcW w:w="5000" w:type="pct"/>
            <w:shd w:val="clear" w:color="auto" w:fill="C6D9F1" w:themeFill="text2" w:themeFillTint="33"/>
          </w:tcPr>
          <w:p w14:paraId="731EE6DF" w14:textId="77777777" w:rsidR="00D214DA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t>объемов пользования животным миром</w:t>
            </w:r>
          </w:p>
        </w:tc>
      </w:tr>
      <w:tr w:rsidR="00D719F1" w:rsidRPr="00483553" w14:paraId="2C8426C0" w14:textId="77777777" w:rsidTr="00171438">
        <w:tc>
          <w:tcPr>
            <w:tcW w:w="5000" w:type="pct"/>
          </w:tcPr>
          <w:p w14:paraId="28890B53" w14:textId="77777777" w:rsidR="00D719F1" w:rsidRPr="00510D58" w:rsidRDefault="00D719F1" w:rsidP="004A215E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В процессе </w:t>
            </w:r>
            <w:r w:rsidR="004A215E">
              <w:rPr>
                <w:rFonts w:cs="Times New Roman"/>
                <w:sz w:val="28"/>
                <w:szCs w:val="28"/>
                <w:lang w:val="ru-RU"/>
              </w:rPr>
              <w:t>строительства</w:t>
            </w: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 и эксплуатации пользование животным миром и дериватами не предусмотрено</w:t>
            </w:r>
          </w:p>
        </w:tc>
      </w:tr>
      <w:tr w:rsidR="00D719F1" w:rsidRPr="00483553" w14:paraId="03645A46" w14:textId="77777777" w:rsidTr="001C5F9F">
        <w:tc>
          <w:tcPr>
            <w:tcW w:w="5000" w:type="pct"/>
            <w:shd w:val="clear" w:color="auto" w:fill="C6D9F1" w:themeFill="text2" w:themeFillTint="33"/>
          </w:tcPr>
          <w:p w14:paraId="64CF650C" w14:textId="77777777" w:rsidR="00D719F1" w:rsidRDefault="00D719F1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t>предполагаемого места пользования животным миром и вида пользования</w:t>
            </w:r>
          </w:p>
        </w:tc>
      </w:tr>
      <w:tr w:rsidR="00D719F1" w:rsidRPr="00483553" w14:paraId="4B51A06F" w14:textId="77777777" w:rsidTr="00171438">
        <w:tc>
          <w:tcPr>
            <w:tcW w:w="5000" w:type="pct"/>
          </w:tcPr>
          <w:p w14:paraId="3BE7EBE6" w14:textId="77777777" w:rsidR="00D719F1" w:rsidRPr="00510D58" w:rsidRDefault="00D719F1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В процессе </w:t>
            </w:r>
            <w:r w:rsidR="004A215E">
              <w:rPr>
                <w:rFonts w:cs="Times New Roman"/>
                <w:sz w:val="28"/>
                <w:szCs w:val="28"/>
                <w:lang w:val="ru-RU"/>
              </w:rPr>
              <w:t>строительства</w:t>
            </w: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 и эксплуатации пользование животным миром, продуктами их жизнедеятельности и дериватами не предусмотрено</w:t>
            </w:r>
          </w:p>
        </w:tc>
      </w:tr>
      <w:tr w:rsidR="00D719F1" w:rsidRPr="00483553" w14:paraId="1BF78277" w14:textId="77777777" w:rsidTr="001C5F9F">
        <w:tc>
          <w:tcPr>
            <w:tcW w:w="5000" w:type="pct"/>
            <w:shd w:val="clear" w:color="auto" w:fill="C6D9F1" w:themeFill="text2" w:themeFillTint="33"/>
          </w:tcPr>
          <w:p w14:paraId="15849FEA" w14:textId="77777777" w:rsidR="00D719F1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и</w:t>
            </w:r>
            <w:r w:rsidR="00D719F1" w:rsidRPr="00D719F1">
              <w:rPr>
                <w:rFonts w:cs="Times New Roman"/>
                <w:sz w:val="28"/>
                <w:szCs w:val="28"/>
                <w:lang w:val="ru-RU"/>
              </w:rPr>
              <w:t>ных источников приобретения объектов животного мира, их частей, дериватов и продуктов жизнедеятельности животных</w:t>
            </w:r>
          </w:p>
        </w:tc>
      </w:tr>
      <w:tr w:rsidR="00D719F1" w:rsidRPr="00483553" w14:paraId="2F4AC28F" w14:textId="77777777" w:rsidTr="00171438">
        <w:tc>
          <w:tcPr>
            <w:tcW w:w="5000" w:type="pct"/>
          </w:tcPr>
          <w:p w14:paraId="0154DA63" w14:textId="77777777" w:rsidR="00D719F1" w:rsidRPr="00510D58" w:rsidRDefault="00D719F1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В процессе </w:t>
            </w:r>
            <w:r w:rsidR="00ED1529">
              <w:rPr>
                <w:rFonts w:cs="Times New Roman"/>
                <w:sz w:val="28"/>
                <w:szCs w:val="28"/>
                <w:lang w:val="ru-RU"/>
              </w:rPr>
              <w:t>строительства</w:t>
            </w:r>
            <w:r w:rsidR="00ED1529" w:rsidRPr="00510D5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510D58">
              <w:rPr>
                <w:rFonts w:cs="Times New Roman"/>
                <w:sz w:val="28"/>
                <w:szCs w:val="28"/>
                <w:lang w:val="ru-RU"/>
              </w:rPr>
              <w:t>и эксплуатации пользование животным миром, продуктами их жизнедеятельности и дериватами не предусмотрено</w:t>
            </w:r>
          </w:p>
        </w:tc>
      </w:tr>
      <w:tr w:rsidR="00D719F1" w:rsidRPr="00483553" w14:paraId="1E547CB7" w14:textId="77777777" w:rsidTr="001C5F9F">
        <w:tc>
          <w:tcPr>
            <w:tcW w:w="5000" w:type="pct"/>
            <w:shd w:val="clear" w:color="auto" w:fill="C6D9F1" w:themeFill="text2" w:themeFillTint="33"/>
          </w:tcPr>
          <w:p w14:paraId="6216C370" w14:textId="77777777" w:rsidR="00D719F1" w:rsidRDefault="00D719F1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D719F1">
              <w:rPr>
                <w:rFonts w:cs="Times New Roman"/>
                <w:sz w:val="28"/>
                <w:szCs w:val="28"/>
                <w:lang w:val="ru-RU"/>
              </w:rPr>
              <w:t>операций, для которых планируется использование объектов животного мира</w:t>
            </w:r>
          </w:p>
        </w:tc>
      </w:tr>
      <w:tr w:rsidR="00D719F1" w:rsidRPr="00483553" w14:paraId="2148C74A" w14:textId="77777777" w:rsidTr="00171438">
        <w:tc>
          <w:tcPr>
            <w:tcW w:w="5000" w:type="pct"/>
          </w:tcPr>
          <w:p w14:paraId="2A412C2F" w14:textId="77777777" w:rsidR="00D719F1" w:rsidRPr="00510D58" w:rsidRDefault="00D719F1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10D58">
              <w:rPr>
                <w:rFonts w:cs="Times New Roman"/>
                <w:sz w:val="28"/>
                <w:szCs w:val="28"/>
                <w:lang w:val="ru-RU"/>
              </w:rPr>
              <w:t xml:space="preserve">В процессе </w:t>
            </w:r>
            <w:r w:rsidR="00ED1529">
              <w:rPr>
                <w:rFonts w:cs="Times New Roman"/>
                <w:sz w:val="28"/>
                <w:szCs w:val="28"/>
                <w:lang w:val="ru-RU"/>
              </w:rPr>
              <w:t>строительства</w:t>
            </w:r>
            <w:r w:rsidR="00ED1529" w:rsidRPr="00510D5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510D58">
              <w:rPr>
                <w:rFonts w:cs="Times New Roman"/>
                <w:sz w:val="28"/>
                <w:szCs w:val="28"/>
                <w:lang w:val="ru-RU"/>
              </w:rPr>
              <w:t>и эксплуатации  пользование  животным  миром,  продуктами  их  жизнедеятельности  и  дериватами  не предусмотрено</w:t>
            </w:r>
          </w:p>
        </w:tc>
      </w:tr>
      <w:tr w:rsidR="00D719F1" w:rsidRPr="00483553" w14:paraId="549E6FFE" w14:textId="77777777" w:rsidTr="001C5F9F">
        <w:tc>
          <w:tcPr>
            <w:tcW w:w="5000" w:type="pct"/>
            <w:shd w:val="clear" w:color="auto" w:fill="8DB3E2" w:themeFill="text2" w:themeFillTint="66"/>
          </w:tcPr>
          <w:p w14:paraId="00122EEA" w14:textId="77777777" w:rsidR="00D719F1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6)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иных ресурсов, необходимых для осуществления намечаемой деятельности (материалов, сырья,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изделий, электрической и тепловой энергии) с указанием источника приобретения, объемов и сроков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использования</w:t>
            </w:r>
          </w:p>
        </w:tc>
      </w:tr>
      <w:tr w:rsidR="00D719F1" w:rsidRPr="00483553" w14:paraId="46B2692D" w14:textId="77777777" w:rsidTr="00171438">
        <w:tc>
          <w:tcPr>
            <w:tcW w:w="5000" w:type="pct"/>
          </w:tcPr>
          <w:p w14:paraId="5D3B4AD3" w14:textId="77777777" w:rsidR="00D719F1" w:rsidRPr="00832779" w:rsidRDefault="00476B51" w:rsidP="00476B5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highlight w:val="yellow"/>
                <w:lang w:val="ru-RU"/>
              </w:rPr>
            </w:pPr>
            <w:r w:rsidRPr="00476B51">
              <w:rPr>
                <w:rFonts w:cs="Times New Roman"/>
                <w:sz w:val="28"/>
                <w:szCs w:val="28"/>
                <w:lang w:val="ru-RU"/>
              </w:rPr>
              <w:t xml:space="preserve">Работа двигателей внутреннего сгорания автотранспортной техники в период </w:t>
            </w:r>
            <w:r w:rsidRPr="00476B51">
              <w:rPr>
                <w:rFonts w:cs="Times New Roman"/>
                <w:sz w:val="28"/>
                <w:szCs w:val="28"/>
                <w:lang w:val="ru-RU"/>
              </w:rPr>
              <w:lastRenderedPageBreak/>
              <w:t>строительных работ будет осуществляться за счет применения дизельного топлива в количестве 2 т/год. В период эксплуатации дополнительный автотранспорт не задействуется.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76B51">
              <w:rPr>
                <w:rFonts w:cs="Times New Roman"/>
                <w:sz w:val="28"/>
                <w:szCs w:val="28"/>
                <w:lang w:val="ru-RU"/>
              </w:rPr>
              <w:t>Заправка техники в период строительных работ будет осуществляться на ближай</w:t>
            </w:r>
            <w:r w:rsidR="0057407D">
              <w:rPr>
                <w:rFonts w:cs="Times New Roman"/>
                <w:sz w:val="28"/>
                <w:szCs w:val="28"/>
                <w:lang w:val="ru-RU"/>
              </w:rPr>
              <w:t>ших к участку строительства АЗС</w:t>
            </w:r>
          </w:p>
        </w:tc>
      </w:tr>
      <w:tr w:rsidR="00D214DA" w:rsidRPr="00483553" w14:paraId="6C97B25F" w14:textId="77777777" w:rsidTr="001C5F9F">
        <w:tc>
          <w:tcPr>
            <w:tcW w:w="5000" w:type="pct"/>
            <w:shd w:val="clear" w:color="auto" w:fill="8DB3E2" w:themeFill="text2" w:themeFillTint="66"/>
          </w:tcPr>
          <w:p w14:paraId="4579CC19" w14:textId="77777777" w:rsidR="00D214DA" w:rsidRDefault="00D214DA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7)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риски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истощения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используемых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природных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ресурсов,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обусловленные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их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дефицитностью,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D214DA">
              <w:rPr>
                <w:rFonts w:cs="Times New Roman"/>
                <w:sz w:val="28"/>
                <w:szCs w:val="28"/>
                <w:lang w:val="ru-RU"/>
              </w:rPr>
              <w:t>уникальностью и (или) невозобновляемостью</w:t>
            </w:r>
          </w:p>
        </w:tc>
      </w:tr>
      <w:tr w:rsidR="00D214DA" w:rsidRPr="00483553" w14:paraId="0C3DC5E4" w14:textId="77777777" w:rsidTr="00171438">
        <w:tc>
          <w:tcPr>
            <w:tcW w:w="5000" w:type="pct"/>
          </w:tcPr>
          <w:p w14:paraId="12A2D7CE" w14:textId="77777777" w:rsidR="00D214DA" w:rsidRPr="006A336F" w:rsidRDefault="006A336F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6A336F">
              <w:rPr>
                <w:rFonts w:cs="Times New Roman"/>
                <w:sz w:val="28"/>
                <w:szCs w:val="28"/>
                <w:lang w:val="ru-RU"/>
              </w:rPr>
              <w:t>В</w:t>
            </w:r>
            <w:r w:rsidR="00D214DA" w:rsidRPr="006A336F">
              <w:rPr>
                <w:rFonts w:cs="Times New Roman"/>
                <w:sz w:val="28"/>
                <w:szCs w:val="28"/>
                <w:lang w:val="ru-RU"/>
              </w:rPr>
              <w:t xml:space="preserve"> ходе работ используются ресурсы промышленного производства</w:t>
            </w:r>
          </w:p>
        </w:tc>
      </w:tr>
      <w:tr w:rsidR="00BB6AD2" w:rsidRPr="00483553" w14:paraId="241D5CD3" w14:textId="77777777" w:rsidTr="001C5F9F">
        <w:tc>
          <w:tcPr>
            <w:tcW w:w="5000" w:type="pct"/>
            <w:shd w:val="clear" w:color="auto" w:fill="17365D" w:themeFill="text2" w:themeFillShade="BF"/>
          </w:tcPr>
          <w:p w14:paraId="38DD7D51" w14:textId="77777777" w:rsidR="00BB6AD2" w:rsidRPr="00BB6AD2" w:rsidRDefault="000F1AFD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  <w:r w:rsidR="00BB6AD2">
              <w:rPr>
                <w:rFonts w:cs="Times New Roman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Описание ожидаемых выбросов загрязняющих веществ в атмосферу: наименования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загрязняющих веществ, их классы опасности, предполагаемые объемы выбросов, сведения о веществах,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входящих в перечень загрязнителей, данные по которым подлежат внесению в регистр выбросов и переноса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загрязнителей в соответствии с правилами ведения регистра выбросов и переноса загрязнителей,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утвержденными уполномоченным органом (далее – правила ведения регистра выбросов и переноса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F1AFD">
              <w:rPr>
                <w:rFonts w:cs="Times New Roman"/>
                <w:sz w:val="28"/>
                <w:szCs w:val="28"/>
                <w:lang w:val="ru-RU"/>
              </w:rPr>
              <w:t>загрязнителей) )</w:t>
            </w:r>
            <w:r w:rsidR="00BB6AD2" w:rsidRPr="00BB6AD2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</w:tr>
      <w:tr w:rsidR="00BB6AD2" w:rsidRPr="00F14A26" w14:paraId="3F7DEE0B" w14:textId="77777777" w:rsidTr="00171438">
        <w:tc>
          <w:tcPr>
            <w:tcW w:w="5000" w:type="pct"/>
          </w:tcPr>
          <w:p w14:paraId="157EE0AC" w14:textId="1F0EBC3A" w:rsidR="00BB6AD2" w:rsidRPr="004F7C0E" w:rsidRDefault="00F14A26" w:rsidP="009A2FD8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F14A26">
              <w:rPr>
                <w:rFonts w:cs="Times New Roman"/>
                <w:sz w:val="28"/>
                <w:szCs w:val="28"/>
                <w:lang w:val="ru-RU"/>
              </w:rPr>
              <w:t>Период строительства: железо (II, III) оксиды (3 класс) – 0,006733 г/с, 0,000535 т/год, кальций оксид (0 класс) – 0,00224 г/с, 0,000003 т/год, марганец и его соединения (2 класс) – 0,000792 г/с, 0,000067 т/год, азота (IV) диоксид (2 класс) – 0,009533 г/с, 0,003311 т/год, азот (II) оксид (3 класс) – 0,0093 г/с, 0,002395 т/год, углерод (3 класс) – 0,001348 г/с, 0,000378 т/год, сера диоксид (3 класс) – 0,002429 г/с, 0,000721 т/год, углерод оксид (4 класс) – 0,020583 г/с, 0,018445 т/год, фториды неорганические плохо растворимые (2 класс) – 0,000417 г/с, 0,000009 т/год, диметилбензол (смесь о-, м-, п- изомеров) (3 класс) – 0,013889 г/с, 0,021458 т/год, метилбензол (3 класс) – 0,017222 г/с, 0,005361 т/год, бутилацетат (4 класс) – 0,003333 г/с, 0,001038 т/год, пропан-2-он (4 класс) – 0,007222 г/с, 0,002248 т/год, бензин (4 класс) – 0,001164 г/с, 0,000868 т/год, керосин (0 класс) – 0,020358 г/с, 0,092361 т/год, уайт-спирит (0 класс) – 0,027778 г/с, 0,006828 т/год, углеводороды предельные С12-19 (4 класс) – 0,097237 г/с, 0,026989 т/год, пыль неорганическая: 70-20% двуокиси кремния (3 класс) – 0,317745 г/с, 2,113296 т/год. Итого: 0,559323 г/с, 2,296311 т/год.</w:t>
            </w:r>
            <w:r w:rsidR="009A2FD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4F7C0E">
              <w:rPr>
                <w:rFonts w:cs="Times New Roman"/>
                <w:sz w:val="28"/>
                <w:szCs w:val="28"/>
                <w:lang w:val="ru-RU"/>
              </w:rPr>
              <w:t>Период эксплуатации</w:t>
            </w:r>
            <w:r w:rsidR="00627205"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 w:rsidR="001A149A">
              <w:rPr>
                <w:rFonts w:cs="Times New Roman"/>
                <w:sz w:val="28"/>
                <w:szCs w:val="28"/>
                <w:lang w:val="ru-RU"/>
              </w:rPr>
              <w:t>выбросов нет</w:t>
            </w:r>
          </w:p>
        </w:tc>
      </w:tr>
      <w:tr w:rsidR="00BB6AD2" w:rsidRPr="00483553" w14:paraId="77D027B8" w14:textId="77777777" w:rsidTr="001C5F9F">
        <w:tc>
          <w:tcPr>
            <w:tcW w:w="5000" w:type="pct"/>
            <w:shd w:val="clear" w:color="auto" w:fill="17365D" w:themeFill="text2" w:themeFillShade="BF"/>
          </w:tcPr>
          <w:p w14:paraId="5D21E161" w14:textId="77777777" w:rsidR="00BB6AD2" w:rsidRPr="00BB6AD2" w:rsidRDefault="00BB6AD2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D57670">
              <w:rPr>
                <w:rFonts w:cs="Times New Roman"/>
                <w:sz w:val="28"/>
                <w:szCs w:val="28"/>
                <w:lang w:val="ru-RU"/>
              </w:rPr>
              <w:t>0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D57670" w:rsidRPr="00D57670">
              <w:rPr>
                <w:rFonts w:cs="Times New Roman"/>
                <w:sz w:val="28"/>
                <w:szCs w:val="28"/>
                <w:lang w:val="ru-RU"/>
              </w:rPr>
              <w:t>Описание сбросов загрязняющих веществ: наименования загрязняющих веществ, их классы</w:t>
            </w:r>
            <w:r w:rsidR="00D5767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D57670" w:rsidRPr="00D57670">
              <w:rPr>
                <w:rFonts w:cs="Times New Roman"/>
                <w:sz w:val="28"/>
                <w:szCs w:val="28"/>
                <w:lang w:val="ru-RU"/>
              </w:rPr>
              <w:t>опасности, предполагаемые объемы сбросов, сведения о веществах, входящих в перечень загрязнителей,</w:t>
            </w:r>
            <w:r w:rsidR="00D5767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D57670" w:rsidRPr="00D57670">
              <w:rPr>
                <w:rFonts w:cs="Times New Roman"/>
                <w:sz w:val="28"/>
                <w:szCs w:val="28"/>
                <w:lang w:val="ru-RU"/>
              </w:rPr>
              <w:t>данные по которым подлежат внесению в регистр выбросов и переноса загрязнителей в соответствии с</w:t>
            </w:r>
            <w:r w:rsidR="00D5767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D57670" w:rsidRPr="00D57670">
              <w:rPr>
                <w:rFonts w:cs="Times New Roman"/>
                <w:sz w:val="28"/>
                <w:szCs w:val="28"/>
                <w:lang w:val="ru-RU"/>
              </w:rPr>
              <w:t xml:space="preserve">правилами ведения регистра выбросов и переноса загрязнителей </w:t>
            </w:r>
          </w:p>
        </w:tc>
      </w:tr>
      <w:tr w:rsidR="00BB6AD2" w:rsidRPr="00483553" w14:paraId="52E6B16C" w14:textId="77777777" w:rsidTr="00171438">
        <w:tc>
          <w:tcPr>
            <w:tcW w:w="5000" w:type="pct"/>
          </w:tcPr>
          <w:p w14:paraId="0790A3C0" w14:textId="77777777" w:rsidR="00BB6AD2" w:rsidRPr="00570404" w:rsidRDefault="003E78DC" w:rsidP="00EC5499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570404">
              <w:rPr>
                <w:rFonts w:cs="Times New Roman"/>
                <w:sz w:val="28"/>
                <w:szCs w:val="28"/>
                <w:lang w:val="ru-RU"/>
              </w:rPr>
              <w:t xml:space="preserve">Сбросов загрязняющих веществ в период </w:t>
            </w:r>
            <w:r w:rsidR="00EC5499">
              <w:rPr>
                <w:rFonts w:cs="Times New Roman"/>
                <w:sz w:val="28"/>
                <w:szCs w:val="28"/>
                <w:lang w:val="ru-RU"/>
              </w:rPr>
              <w:t>строительных работ</w:t>
            </w:r>
            <w:r w:rsidRPr="00570404">
              <w:rPr>
                <w:rFonts w:cs="Times New Roman"/>
                <w:sz w:val="28"/>
                <w:szCs w:val="28"/>
                <w:lang w:val="ru-RU"/>
              </w:rPr>
              <w:t xml:space="preserve"> и в период эксплуатации не будет</w:t>
            </w:r>
          </w:p>
        </w:tc>
      </w:tr>
      <w:tr w:rsidR="00BB6AD2" w:rsidRPr="00483553" w14:paraId="3EBC5AAA" w14:textId="77777777" w:rsidTr="001C5F9F">
        <w:tc>
          <w:tcPr>
            <w:tcW w:w="5000" w:type="pct"/>
            <w:shd w:val="clear" w:color="auto" w:fill="17365D" w:themeFill="text2" w:themeFillShade="BF"/>
          </w:tcPr>
          <w:p w14:paraId="773170AB" w14:textId="77777777" w:rsidR="00BB6AD2" w:rsidRPr="00BB6AD2" w:rsidRDefault="00BB6AD2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D57670"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A75863" w:rsidRPr="00A75863">
              <w:rPr>
                <w:rFonts w:cs="Times New Roman"/>
                <w:sz w:val="28"/>
                <w:szCs w:val="28"/>
                <w:lang w:val="ru-RU"/>
              </w:rPr>
              <w:t>Описание отходов, управление которыми относится к намечаемой деятельности: наименования</w:t>
            </w:r>
            <w:r w:rsidR="00A7586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A75863" w:rsidRPr="00A75863">
              <w:rPr>
                <w:rFonts w:cs="Times New Roman"/>
                <w:sz w:val="28"/>
                <w:szCs w:val="28"/>
                <w:lang w:val="ru-RU"/>
              </w:rPr>
              <w:t>отходов, их виды, предполагаемые объемы, операции, в результате которых они образуются, сведения о</w:t>
            </w:r>
            <w:r w:rsidR="00A7586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A75863" w:rsidRPr="00A75863">
              <w:rPr>
                <w:rFonts w:cs="Times New Roman"/>
                <w:sz w:val="28"/>
                <w:szCs w:val="28"/>
                <w:lang w:val="ru-RU"/>
              </w:rPr>
              <w:t>наличии или отсутствии возможности превышения пороговых значений, установленных для переноса</w:t>
            </w:r>
            <w:r w:rsidR="00A7586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A75863" w:rsidRPr="00A75863">
              <w:rPr>
                <w:rFonts w:cs="Times New Roman"/>
                <w:sz w:val="28"/>
                <w:szCs w:val="28"/>
                <w:lang w:val="ru-RU"/>
              </w:rPr>
              <w:t>отходов правилами ведения регистра выбросов и переноса загрязнителей</w:t>
            </w:r>
          </w:p>
        </w:tc>
      </w:tr>
      <w:tr w:rsidR="00BB6AD2" w:rsidRPr="00483553" w14:paraId="1DE1D9D4" w14:textId="77777777" w:rsidTr="00171438">
        <w:tc>
          <w:tcPr>
            <w:tcW w:w="5000" w:type="pct"/>
          </w:tcPr>
          <w:p w14:paraId="5AEF000D" w14:textId="2B2A2243" w:rsidR="00BB6AD2" w:rsidRPr="000C76F2" w:rsidRDefault="00EC5499" w:rsidP="00EC5499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333DBE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В период эксплуатации </w:t>
            </w:r>
            <w:r>
              <w:rPr>
                <w:rFonts w:cs="Times New Roman"/>
                <w:sz w:val="28"/>
                <w:szCs w:val="28"/>
                <w:lang w:val="ru-RU"/>
              </w:rPr>
              <w:t>отходы не образуются</w:t>
            </w:r>
            <w:r w:rsidRPr="00333DBE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="004E61DE" w:rsidRPr="004E61DE">
              <w:rPr>
                <w:rFonts w:cs="Times New Roman"/>
                <w:sz w:val="28"/>
                <w:szCs w:val="28"/>
                <w:lang w:val="ru-RU"/>
              </w:rPr>
              <w:t xml:space="preserve">В период строительства образуются следующие отходы: ТБО (код 20 03 01) – 2 т/год, строительные отходы (код 17 09 04) – 63 т/год, огарки сварочных электродов (код 12 01 13) – 0,001 т/год, тара из-под ЛКМ (код 15 01 10*) – 0,027 т/год. Итого: 65,028 т/год. </w:t>
            </w:r>
            <w:r w:rsidR="00570404" w:rsidRPr="00333DBE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4E61DE" w:rsidRPr="004E61DE">
              <w:rPr>
                <w:rFonts w:cs="Times New Roman"/>
                <w:sz w:val="28"/>
                <w:szCs w:val="28"/>
                <w:lang w:val="ru-RU"/>
              </w:rPr>
              <w:t xml:space="preserve">Для складирования </w:t>
            </w:r>
            <w:r w:rsidR="004E61DE">
              <w:rPr>
                <w:rFonts w:cs="Times New Roman"/>
                <w:sz w:val="28"/>
                <w:szCs w:val="28"/>
                <w:lang w:val="ru-RU"/>
              </w:rPr>
              <w:t xml:space="preserve">ТБО и </w:t>
            </w:r>
            <w:r w:rsidR="004E61DE" w:rsidRPr="004E61DE">
              <w:rPr>
                <w:rFonts w:cs="Times New Roman"/>
                <w:sz w:val="28"/>
                <w:szCs w:val="28"/>
                <w:lang w:val="ru-RU"/>
              </w:rPr>
              <w:t xml:space="preserve">строительных отходов на территории строительной площадки используются контейнеры, принадлежащие специализированной организации, с которой заключается договор до начала строительных работ, на вывоз строительных отходов. Согласно п. 7 ст. 339 Экологического Кодекса РК передача отходов субъектам предпринимательства, осуществляющим операции по сбору, восстановлению или удалению отходов, означает одновременно переход к таким субъектам права собственности на отходы, в том числе в момент помещения отходов в контейнеры, размещенные на территории контейнерных площадок. Таким образом, накопление </w:t>
            </w:r>
            <w:r w:rsidR="004E61DE">
              <w:rPr>
                <w:rFonts w:cs="Times New Roman"/>
                <w:sz w:val="28"/>
                <w:szCs w:val="28"/>
                <w:lang w:val="ru-RU"/>
              </w:rPr>
              <w:t xml:space="preserve">ТБО и </w:t>
            </w:r>
            <w:r w:rsidR="004E61DE" w:rsidRPr="004E61DE">
              <w:rPr>
                <w:rFonts w:cs="Times New Roman"/>
                <w:sz w:val="28"/>
                <w:szCs w:val="28"/>
                <w:lang w:val="ru-RU"/>
              </w:rPr>
              <w:t>строительных отходов в период строительства равно 0.</w:t>
            </w:r>
            <w:r w:rsidR="004E61DE">
              <w:rPr>
                <w:rFonts w:cs="Times New Roman"/>
                <w:sz w:val="28"/>
                <w:szCs w:val="28"/>
                <w:lang w:val="ru-RU"/>
              </w:rPr>
              <w:t xml:space="preserve"> Объем накопления отходов в период строительства составляет 0,028 т/год. </w:t>
            </w:r>
            <w:r w:rsidR="00570404" w:rsidRPr="00333DBE">
              <w:rPr>
                <w:rFonts w:cs="Times New Roman"/>
                <w:sz w:val="28"/>
                <w:szCs w:val="28"/>
                <w:lang w:val="ru-RU"/>
              </w:rPr>
              <w:t>Все отходы передаются специализированным ор</w:t>
            </w:r>
            <w:r>
              <w:rPr>
                <w:rFonts w:cs="Times New Roman"/>
                <w:sz w:val="28"/>
                <w:szCs w:val="28"/>
                <w:lang w:val="ru-RU"/>
              </w:rPr>
              <w:t>ганизациям на договорной основе</w:t>
            </w:r>
          </w:p>
        </w:tc>
      </w:tr>
      <w:tr w:rsidR="00E87639" w:rsidRPr="00483553" w14:paraId="2E43B096" w14:textId="77777777" w:rsidTr="001C5F9F">
        <w:tc>
          <w:tcPr>
            <w:tcW w:w="5000" w:type="pct"/>
            <w:shd w:val="clear" w:color="auto" w:fill="17365D" w:themeFill="text2" w:themeFillShade="BF"/>
          </w:tcPr>
          <w:p w14:paraId="7C6E4B17" w14:textId="77777777" w:rsidR="00E87639" w:rsidRPr="00BB6AD2" w:rsidRDefault="00E87639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12.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Перечень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разрешений, наличие которых предположительно потребуется для осуществления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намечаемой деятельности, и государственных органов, в чью компетенцию входит выдача таких разрешений</w:t>
            </w:r>
          </w:p>
        </w:tc>
      </w:tr>
      <w:tr w:rsidR="00E87639" w:rsidRPr="00483553" w14:paraId="4E34E850" w14:textId="77777777" w:rsidTr="00171438">
        <w:tc>
          <w:tcPr>
            <w:tcW w:w="5000" w:type="pct"/>
          </w:tcPr>
          <w:p w14:paraId="75DA2E73" w14:textId="77777777" w:rsidR="00E87639" w:rsidRPr="00832779" w:rsidRDefault="00E82FCF" w:rsidP="008B5C3A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highlight w:val="yellow"/>
                <w:lang w:val="ru-RU"/>
              </w:rPr>
            </w:pPr>
            <w:r w:rsidRPr="00E82FCF">
              <w:rPr>
                <w:rFonts w:cs="Times New Roman"/>
                <w:sz w:val="28"/>
                <w:szCs w:val="28"/>
                <w:lang w:val="ru-RU"/>
              </w:rPr>
              <w:t>Для осуществления намечаемой деятельности потребуется согласование с бассейновой инспекцией</w:t>
            </w:r>
          </w:p>
        </w:tc>
      </w:tr>
      <w:tr w:rsidR="00E87639" w:rsidRPr="00483553" w14:paraId="33DC3DCB" w14:textId="77777777" w:rsidTr="001C5F9F">
        <w:tc>
          <w:tcPr>
            <w:tcW w:w="5000" w:type="pct"/>
            <w:shd w:val="clear" w:color="auto" w:fill="17365D" w:themeFill="text2" w:themeFillShade="BF"/>
          </w:tcPr>
          <w:p w14:paraId="5EC12CB0" w14:textId="77777777" w:rsidR="00E87639" w:rsidRPr="00BB6AD2" w:rsidRDefault="00E87639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13.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Краткое описание текущего состояния компонентов окружающей среды на территории 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(или) в акватории, на которых предполагается осуществление намечаемой деятельности, в сравнении с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экологическими нормативами или целевыми показателями качества окружающей среды, а при их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отсутствии – с гигиеническими нормативами; результаты фоновых исследований, если таковые имеются у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инициатора; вывод о необходимости или отсутствии необходимости проведения полевых исследований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(при отсутствии или недостаточности результатов фоновых исследований, наличии в предполагаемом месте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осуществления намечаемой деятельности объектов, воздействие которых на окружающую среду не изучено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или изучено недостаточно, включая объекты исторических загрязнений, бывшие военные полигоны 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87639">
              <w:rPr>
                <w:rFonts w:cs="Times New Roman"/>
                <w:sz w:val="28"/>
                <w:szCs w:val="28"/>
                <w:lang w:val="ru-RU"/>
              </w:rPr>
              <w:t>другие объекты) )*</w:t>
            </w:r>
          </w:p>
        </w:tc>
      </w:tr>
      <w:tr w:rsidR="00E87639" w:rsidRPr="00483553" w14:paraId="3B55F36C" w14:textId="77777777" w:rsidTr="00171438">
        <w:tc>
          <w:tcPr>
            <w:tcW w:w="5000" w:type="pct"/>
          </w:tcPr>
          <w:p w14:paraId="233B7721" w14:textId="1EFA7D4C" w:rsidR="00E87639" w:rsidRPr="00933524" w:rsidRDefault="004E61DE" w:rsidP="004E61DE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4E61DE">
              <w:rPr>
                <w:rFonts w:cs="Times New Roman"/>
                <w:sz w:val="28"/>
                <w:szCs w:val="28"/>
                <w:lang w:val="ru-RU"/>
              </w:rPr>
              <w:t>Наблюдения за состоянием атмосферного воздуха на территории г. Усть-Каменогорска проводятся на 10 постах наблюдения, из них 5 постов ручного/автоматического отбора проб и 5 автоматических станции. В целом по городу определяется 20 показателей: взвешенные частицы РМ-2,5, взвешенные частицы РМ-10, диоксид серы, оксид углерода, диоксид азота, оксид азота, фенол, сероводород, фтористый водород, бенз(а)пирен, хлористый водород,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формальдегид, хлор, серная кислота, свинец, цинк, кадмий, медь, бериллий, озон.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 xml:space="preserve">В 2023 году, по данным сети наблюдений г. Усть-Каменогорска, уровень загрязнения атмосферного воздуха оценивался как высокий, он определялся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lastRenderedPageBreak/>
              <w:t>значением ИЗА=4,8 (повышенный уровень), СИ=6,9 (высокий уровень) по диоксиду серы в районе поста № 4 (ул. Широкая, 44) (повышенный уровень) и по сероводороду в районе поста № 3 (ул. Серикбаева, 19) (повышенный уровень).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Максимально-разовые концентрации составили: диоксид серы – 6,9 ПДКм.р., оксид углерода – 2,6 ПДКм.р., диоксид азота – 2,2 ПДКм.р., оксид азота – 1,2 ПДКм.р., сероводород – 5,3 ПДКм.р., фенол – 2,2 ПДКм.р., фтористый водород – 1,3 ПДКм.р., хлористый водород – 2,0 ПДКм.р., по другим показателям превышений ПДКм.р. не наблюдалось.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Превышения по среднесуточным нормативам наблюдались только по: диоксиду азота – 1,3 ПДКс.с., озону – 1,3 ПДКс.с.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Случаи экстремально высокого и высокого загрязнения (ВЗ и ЭВЗ): ВЗ (более 10 ПДК) и ЭВЗ (более 50 ПДК) отмечены не были.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Сведения о фоновых концентрациях загрязняющих веществ в атмосферном воздухе на участке строительства приведены по данным РГП «Казгидромет» (приложение 1) и составляют: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азота диоксид – 0,124 мг/м³;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сероводород – 0,003 мг/м³;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углерода оксид – 1,032 мг/м³;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серы диоксид – 0,235 мг/м³;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61DE">
              <w:rPr>
                <w:rFonts w:cs="Times New Roman"/>
                <w:sz w:val="28"/>
                <w:szCs w:val="28"/>
                <w:lang w:val="ru-RU"/>
              </w:rPr>
              <w:t>взвешенные вещества – 0,211 мг/м³</w:t>
            </w:r>
          </w:p>
        </w:tc>
      </w:tr>
      <w:tr w:rsidR="00BB6AD2" w:rsidRPr="00483553" w14:paraId="1A594BA6" w14:textId="77777777" w:rsidTr="001C5F9F">
        <w:tc>
          <w:tcPr>
            <w:tcW w:w="5000" w:type="pct"/>
            <w:shd w:val="clear" w:color="auto" w:fill="17365D" w:themeFill="text2" w:themeFillShade="BF"/>
          </w:tcPr>
          <w:p w14:paraId="6B68462E" w14:textId="77777777" w:rsidR="00BB6AD2" w:rsidRPr="00BB6AD2" w:rsidRDefault="00BB6AD2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</w:t>
            </w:r>
            <w:r w:rsidR="00066FC3">
              <w:rPr>
                <w:rFonts w:cs="Times New Roman"/>
                <w:sz w:val="28"/>
                <w:szCs w:val="28"/>
                <w:lang w:val="ru-RU"/>
              </w:rPr>
              <w:t>4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066FC3" w:rsidRPr="00066FC3">
              <w:rPr>
                <w:rFonts w:cs="Times New Roman"/>
                <w:sz w:val="28"/>
                <w:szCs w:val="28"/>
                <w:lang w:val="ru-RU"/>
              </w:rPr>
              <w:t>Характеристика возможных форм негативного и положительного воздействий на</w:t>
            </w:r>
            <w:r w:rsidR="00066FC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066FC3" w:rsidRPr="00066FC3">
              <w:rPr>
                <w:rFonts w:cs="Times New Roman"/>
                <w:sz w:val="28"/>
                <w:szCs w:val="28"/>
                <w:lang w:val="ru-RU"/>
              </w:rPr>
              <w:t>окружающую среду в результате осуществления намечаемой деятельности, их характер и ожидаемые</w:t>
            </w:r>
            <w:r w:rsidR="00066FC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066FC3" w:rsidRPr="00066FC3">
              <w:rPr>
                <w:rFonts w:cs="Times New Roman"/>
                <w:sz w:val="28"/>
                <w:szCs w:val="28"/>
                <w:lang w:val="ru-RU"/>
              </w:rPr>
              <w:t>масштабы с учетом их вероятности, продолжительности, частоты и обратимости, предварительная оценка</w:t>
            </w:r>
            <w:r w:rsidR="00066FC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066FC3" w:rsidRPr="00066FC3">
              <w:rPr>
                <w:rFonts w:cs="Times New Roman"/>
                <w:sz w:val="28"/>
                <w:szCs w:val="28"/>
                <w:lang w:val="ru-RU"/>
              </w:rPr>
              <w:t>их существенности</w:t>
            </w:r>
          </w:p>
        </w:tc>
      </w:tr>
      <w:tr w:rsidR="00BB6AD2" w:rsidRPr="00C0217C" w14:paraId="1E1B08F3" w14:textId="77777777" w:rsidTr="00171438">
        <w:tc>
          <w:tcPr>
            <w:tcW w:w="5000" w:type="pct"/>
          </w:tcPr>
          <w:p w14:paraId="6EB7D95F" w14:textId="77777777" w:rsidR="00BB6AD2" w:rsidRPr="001655BB" w:rsidRDefault="00FF7919" w:rsidP="00041E85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1655BB">
              <w:rPr>
                <w:rFonts w:cs="Times New Roman"/>
                <w:sz w:val="28"/>
                <w:szCs w:val="28"/>
                <w:lang w:val="ru-RU"/>
              </w:rPr>
              <w:t xml:space="preserve">Реализация проекта окажет незначительное воздействие на атмосферный воздух в период </w:t>
            </w:r>
            <w:r w:rsidR="008B5C3A">
              <w:rPr>
                <w:rFonts w:cs="Times New Roman"/>
                <w:sz w:val="28"/>
                <w:szCs w:val="28"/>
                <w:lang w:val="ru-RU"/>
              </w:rPr>
              <w:t>строительства</w:t>
            </w:r>
            <w:r w:rsidRPr="001655BB">
              <w:rPr>
                <w:rFonts w:cs="Times New Roman"/>
                <w:sz w:val="28"/>
                <w:szCs w:val="28"/>
                <w:lang w:val="ru-RU"/>
              </w:rPr>
              <w:t xml:space="preserve">. Воздействие на атмосферный воздух в период эксплуатации </w:t>
            </w:r>
            <w:r w:rsidR="00041E85">
              <w:rPr>
                <w:rFonts w:cs="Times New Roman"/>
                <w:sz w:val="28"/>
                <w:szCs w:val="28"/>
                <w:lang w:val="ru-RU"/>
              </w:rPr>
              <w:t>отсутствует</w:t>
            </w:r>
          </w:p>
        </w:tc>
      </w:tr>
      <w:tr w:rsidR="00BB6AD2" w:rsidRPr="00483553" w14:paraId="5989EB17" w14:textId="77777777" w:rsidTr="001C5F9F">
        <w:tc>
          <w:tcPr>
            <w:tcW w:w="5000" w:type="pct"/>
            <w:shd w:val="clear" w:color="auto" w:fill="17365D" w:themeFill="text2" w:themeFillShade="BF"/>
          </w:tcPr>
          <w:p w14:paraId="0E331A70" w14:textId="77777777" w:rsidR="00BB6AD2" w:rsidRPr="001655BB" w:rsidRDefault="00BB6AD2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1655BB"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2F746A" w:rsidRPr="001655BB">
              <w:rPr>
                <w:rFonts w:cs="Times New Roman"/>
                <w:sz w:val="28"/>
                <w:szCs w:val="28"/>
                <w:lang w:val="ru-RU"/>
              </w:rPr>
              <w:t>5</w:t>
            </w:r>
            <w:r w:rsidRPr="001655BB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="00171438" w:rsidRPr="001655BB">
              <w:rPr>
                <w:rFonts w:cs="Times New Roman"/>
                <w:sz w:val="28"/>
                <w:szCs w:val="28"/>
                <w:lang w:val="ru-RU"/>
              </w:rPr>
              <w:t>Характеристика возможных форм трансграничных воздействий на окружающую среду, их характер и ожидаемые масштабы с учетом их вероятности, продолжительности, частоты и обратимости</w:t>
            </w:r>
          </w:p>
        </w:tc>
      </w:tr>
      <w:tr w:rsidR="00BB6AD2" w:rsidRPr="00832779" w14:paraId="52049855" w14:textId="77777777" w:rsidTr="00171438">
        <w:tc>
          <w:tcPr>
            <w:tcW w:w="5000" w:type="pct"/>
          </w:tcPr>
          <w:p w14:paraId="1B0CB83C" w14:textId="77777777" w:rsidR="00BB6AD2" w:rsidRPr="001655BB" w:rsidRDefault="00171438" w:rsidP="00862671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1655BB">
              <w:rPr>
                <w:rFonts w:cs="Times New Roman"/>
                <w:sz w:val="28"/>
                <w:szCs w:val="28"/>
                <w:lang w:val="ru-RU"/>
              </w:rPr>
              <w:t>Трансграничное воздействие отсутствует</w:t>
            </w:r>
          </w:p>
        </w:tc>
      </w:tr>
      <w:tr w:rsidR="00BB6AD2" w:rsidRPr="00483553" w14:paraId="734026DB" w14:textId="77777777" w:rsidTr="001C5F9F">
        <w:tc>
          <w:tcPr>
            <w:tcW w:w="5000" w:type="pct"/>
            <w:shd w:val="clear" w:color="auto" w:fill="17365D" w:themeFill="text2" w:themeFillShade="BF"/>
          </w:tcPr>
          <w:p w14:paraId="1554DA1C" w14:textId="77777777" w:rsidR="00BB6AD2" w:rsidRPr="00BB6AD2" w:rsidRDefault="00BB6AD2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171438">
              <w:rPr>
                <w:rFonts w:cs="Times New Roman"/>
                <w:sz w:val="28"/>
                <w:szCs w:val="28"/>
                <w:lang w:val="ru-RU"/>
              </w:rPr>
              <w:t>6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171438" w:rsidRPr="00171438">
              <w:rPr>
                <w:rFonts w:cs="Times New Roman"/>
                <w:sz w:val="28"/>
                <w:szCs w:val="28"/>
                <w:lang w:val="ru-RU"/>
              </w:rPr>
              <w:t>Предлагаемые меры по предупреждению, исключению и снижению возможных форм</w:t>
            </w:r>
            <w:r w:rsidR="001C5F9F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171438" w:rsidRPr="00171438">
              <w:rPr>
                <w:rFonts w:cs="Times New Roman"/>
                <w:sz w:val="28"/>
                <w:szCs w:val="28"/>
                <w:lang w:val="ru-RU"/>
              </w:rPr>
              <w:t>неблагоприятного воздействия на окружающую среду, а также по устранению его последствий</w:t>
            </w:r>
          </w:p>
        </w:tc>
      </w:tr>
      <w:tr w:rsidR="00BB6AD2" w:rsidRPr="00483553" w14:paraId="794CA416" w14:textId="77777777" w:rsidTr="00171438">
        <w:tc>
          <w:tcPr>
            <w:tcW w:w="5000" w:type="pct"/>
          </w:tcPr>
          <w:p w14:paraId="7F1F92B8" w14:textId="77777777" w:rsidR="00BB6AD2" w:rsidRPr="0011653A" w:rsidRDefault="0066717C" w:rsidP="00F66CC3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 w:rsidRPr="0066717C">
              <w:rPr>
                <w:rFonts w:cs="Times New Roman"/>
                <w:sz w:val="28"/>
                <w:szCs w:val="28"/>
                <w:lang w:val="ru-RU"/>
              </w:rPr>
              <w:t>Основным мероприятием по предупреждению возможных форм неблагоприятного воздействия на окружающую среду является соблюдение технологии производства и правил техники безопасности, а также своевременный вывоз мусора и благоустройство территории после окончания строительных работ</w:t>
            </w:r>
          </w:p>
        </w:tc>
      </w:tr>
      <w:tr w:rsidR="00171438" w:rsidRPr="00483553" w14:paraId="08BF78F8" w14:textId="77777777" w:rsidTr="001C5F9F">
        <w:tc>
          <w:tcPr>
            <w:tcW w:w="5000" w:type="pct"/>
            <w:shd w:val="clear" w:color="auto" w:fill="17365D" w:themeFill="text2" w:themeFillShade="BF"/>
          </w:tcPr>
          <w:p w14:paraId="0C3FDAF4" w14:textId="77777777" w:rsidR="00171438" w:rsidRPr="00BB6AD2" w:rsidRDefault="00171438" w:rsidP="00862671">
            <w:pPr>
              <w:pStyle w:val="a3"/>
              <w:tabs>
                <w:tab w:val="left" w:pos="348"/>
              </w:tabs>
              <w:ind w:left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17.</w:t>
            </w:r>
            <w:r w:rsidRPr="00C3210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171438">
              <w:rPr>
                <w:rFonts w:cs="Times New Roman"/>
                <w:sz w:val="28"/>
                <w:szCs w:val="28"/>
                <w:lang w:val="ru-RU"/>
              </w:rPr>
              <w:t>Описание возможных альтернатив достижения целей указанной намечаемой деятельности и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171438">
              <w:rPr>
                <w:rFonts w:cs="Times New Roman"/>
                <w:sz w:val="28"/>
                <w:szCs w:val="28"/>
                <w:lang w:val="ru-RU"/>
              </w:rPr>
              <w:t>вари</w:t>
            </w:r>
            <w:r w:rsidR="001C5F9F">
              <w:rPr>
                <w:rFonts w:cs="Times New Roman"/>
                <w:sz w:val="28"/>
                <w:szCs w:val="28"/>
                <w:lang w:val="ru-RU"/>
              </w:rPr>
              <w:t>а</w:t>
            </w:r>
            <w:r w:rsidRPr="00171438">
              <w:rPr>
                <w:rFonts w:cs="Times New Roman"/>
                <w:sz w:val="28"/>
                <w:szCs w:val="28"/>
                <w:lang w:val="ru-RU"/>
              </w:rPr>
              <w:t>нтов ее осуществления (включая использование альтернативных технических и технологических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171438">
              <w:rPr>
                <w:rFonts w:cs="Times New Roman"/>
                <w:sz w:val="28"/>
                <w:szCs w:val="28"/>
                <w:lang w:val="ru-RU"/>
              </w:rPr>
              <w:t>решений и мест расположения объекта)</w:t>
            </w:r>
          </w:p>
        </w:tc>
      </w:tr>
      <w:tr w:rsidR="00171438" w:rsidRPr="00483553" w14:paraId="23322847" w14:textId="77777777" w:rsidTr="00171438">
        <w:tc>
          <w:tcPr>
            <w:tcW w:w="5000" w:type="pct"/>
          </w:tcPr>
          <w:p w14:paraId="349069A8" w14:textId="727E462B" w:rsidR="00171438" w:rsidRPr="00832779" w:rsidRDefault="00C12094" w:rsidP="0066717C">
            <w:pPr>
              <w:pStyle w:val="a3"/>
              <w:tabs>
                <w:tab w:val="left" w:pos="1105"/>
                <w:tab w:val="left" w:pos="1965"/>
                <w:tab w:val="left" w:pos="3922"/>
                <w:tab w:val="left" w:pos="4871"/>
                <w:tab w:val="left" w:pos="6209"/>
                <w:tab w:val="left" w:pos="7458"/>
                <w:tab w:val="left" w:pos="9840"/>
              </w:tabs>
              <w:ind w:left="0"/>
              <w:rPr>
                <w:rFonts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Альтернативы достижения целей намечаемой деятельности (</w:t>
            </w:r>
            <w:r w:rsidR="004E61DE">
              <w:rPr>
                <w:rFonts w:cs="Times New Roman"/>
                <w:sz w:val="28"/>
                <w:szCs w:val="28"/>
                <w:lang w:val="ru-RU"/>
              </w:rPr>
              <w:t>обеспечение жилого района сетью дорог</w:t>
            </w:r>
            <w:r w:rsidR="0066717C">
              <w:rPr>
                <w:rFonts w:cs="Times New Roman"/>
                <w:sz w:val="28"/>
                <w:szCs w:val="28"/>
                <w:lang w:val="ru-RU"/>
              </w:rPr>
              <w:t xml:space="preserve">) </w:t>
            </w:r>
            <w:r w:rsidR="00BE00B0">
              <w:rPr>
                <w:rFonts w:cs="Times New Roman"/>
                <w:sz w:val="28"/>
                <w:szCs w:val="28"/>
                <w:lang w:val="ru-RU"/>
              </w:rPr>
              <w:t>отсутствуют</w:t>
            </w:r>
          </w:p>
        </w:tc>
      </w:tr>
    </w:tbl>
    <w:p w14:paraId="563FE1E4" w14:textId="77777777" w:rsidR="00531FF4" w:rsidRPr="00C3210B" w:rsidRDefault="00531FF4">
      <w:pPr>
        <w:spacing w:line="240" w:lineRule="exact"/>
        <w:rPr>
          <w:sz w:val="24"/>
          <w:szCs w:val="24"/>
          <w:lang w:val="ru-RU"/>
        </w:rPr>
      </w:pPr>
    </w:p>
    <w:sectPr w:rsidR="00531FF4" w:rsidRPr="00C3210B" w:rsidSect="00171438">
      <w:pgSz w:w="12250" w:h="1582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24CF"/>
    <w:multiLevelType w:val="hybridMultilevel"/>
    <w:tmpl w:val="865C0FE8"/>
    <w:lvl w:ilvl="0" w:tplc="9550B47A">
      <w:start w:val="1"/>
      <w:numFmt w:val="decimal"/>
      <w:lvlText w:val="%1."/>
      <w:lvlJc w:val="left"/>
      <w:pPr>
        <w:ind w:left="118" w:hanging="230"/>
        <w:jc w:val="right"/>
      </w:pPr>
      <w:rPr>
        <w:rFonts w:ascii="Times New Roman" w:eastAsia="Times New Roman" w:hAnsi="Times New Roman" w:hint="default"/>
        <w:w w:val="99"/>
        <w:sz w:val="23"/>
        <w:szCs w:val="23"/>
      </w:rPr>
    </w:lvl>
    <w:lvl w:ilvl="1" w:tplc="56322710">
      <w:start w:val="1"/>
      <w:numFmt w:val="bullet"/>
      <w:lvlText w:val="•"/>
      <w:lvlJc w:val="left"/>
      <w:pPr>
        <w:ind w:left="1202" w:hanging="230"/>
      </w:pPr>
      <w:rPr>
        <w:rFonts w:hint="default"/>
      </w:rPr>
    </w:lvl>
    <w:lvl w:ilvl="2" w:tplc="DC0C56E0">
      <w:start w:val="1"/>
      <w:numFmt w:val="bullet"/>
      <w:lvlText w:val="•"/>
      <w:lvlJc w:val="left"/>
      <w:pPr>
        <w:ind w:left="2287" w:hanging="230"/>
      </w:pPr>
      <w:rPr>
        <w:rFonts w:hint="default"/>
      </w:rPr>
    </w:lvl>
    <w:lvl w:ilvl="3" w:tplc="3154E26E">
      <w:start w:val="1"/>
      <w:numFmt w:val="bullet"/>
      <w:lvlText w:val="•"/>
      <w:lvlJc w:val="left"/>
      <w:pPr>
        <w:ind w:left="3372" w:hanging="230"/>
      </w:pPr>
      <w:rPr>
        <w:rFonts w:hint="default"/>
      </w:rPr>
    </w:lvl>
    <w:lvl w:ilvl="4" w:tplc="4F7CB812">
      <w:start w:val="1"/>
      <w:numFmt w:val="bullet"/>
      <w:lvlText w:val="•"/>
      <w:lvlJc w:val="left"/>
      <w:pPr>
        <w:ind w:left="4457" w:hanging="230"/>
      </w:pPr>
      <w:rPr>
        <w:rFonts w:hint="default"/>
      </w:rPr>
    </w:lvl>
    <w:lvl w:ilvl="5" w:tplc="1654D694">
      <w:start w:val="1"/>
      <w:numFmt w:val="bullet"/>
      <w:lvlText w:val="•"/>
      <w:lvlJc w:val="left"/>
      <w:pPr>
        <w:ind w:left="5542" w:hanging="230"/>
      </w:pPr>
      <w:rPr>
        <w:rFonts w:hint="default"/>
      </w:rPr>
    </w:lvl>
    <w:lvl w:ilvl="6" w:tplc="81ECA6C8">
      <w:start w:val="1"/>
      <w:numFmt w:val="bullet"/>
      <w:lvlText w:val="•"/>
      <w:lvlJc w:val="left"/>
      <w:pPr>
        <w:ind w:left="6626" w:hanging="230"/>
      </w:pPr>
      <w:rPr>
        <w:rFonts w:hint="default"/>
      </w:rPr>
    </w:lvl>
    <w:lvl w:ilvl="7" w:tplc="AF887526">
      <w:start w:val="1"/>
      <w:numFmt w:val="bullet"/>
      <w:lvlText w:val="•"/>
      <w:lvlJc w:val="left"/>
      <w:pPr>
        <w:ind w:left="7711" w:hanging="230"/>
      </w:pPr>
      <w:rPr>
        <w:rFonts w:hint="default"/>
      </w:rPr>
    </w:lvl>
    <w:lvl w:ilvl="8" w:tplc="A7700D48">
      <w:start w:val="1"/>
      <w:numFmt w:val="bullet"/>
      <w:lvlText w:val="•"/>
      <w:lvlJc w:val="left"/>
      <w:pPr>
        <w:ind w:left="8796" w:hanging="230"/>
      </w:pPr>
      <w:rPr>
        <w:rFonts w:hint="default"/>
      </w:rPr>
    </w:lvl>
  </w:abstractNum>
  <w:abstractNum w:abstractNumId="1" w15:restartNumberingAfterBreak="0">
    <w:nsid w:val="40DD24AB"/>
    <w:multiLevelType w:val="hybridMultilevel"/>
    <w:tmpl w:val="BAB8C512"/>
    <w:lvl w:ilvl="0" w:tplc="1BA04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BE05BEA"/>
    <w:multiLevelType w:val="hybridMultilevel"/>
    <w:tmpl w:val="D60E7E76"/>
    <w:lvl w:ilvl="0" w:tplc="FEC0AD04">
      <w:start w:val="1"/>
      <w:numFmt w:val="decimal"/>
      <w:lvlText w:val="%1)"/>
      <w:lvlJc w:val="left"/>
      <w:pPr>
        <w:ind w:left="118" w:hanging="287"/>
      </w:pPr>
      <w:rPr>
        <w:rFonts w:ascii="Times New Roman" w:eastAsia="Times New Roman" w:hAnsi="Times New Roman" w:hint="default"/>
        <w:w w:val="99"/>
        <w:sz w:val="23"/>
        <w:szCs w:val="23"/>
      </w:rPr>
    </w:lvl>
    <w:lvl w:ilvl="1" w:tplc="2578EB92">
      <w:start w:val="1"/>
      <w:numFmt w:val="bullet"/>
      <w:lvlText w:val="•"/>
      <w:lvlJc w:val="left"/>
      <w:pPr>
        <w:ind w:left="1202" w:hanging="287"/>
      </w:pPr>
      <w:rPr>
        <w:rFonts w:hint="default"/>
      </w:rPr>
    </w:lvl>
    <w:lvl w:ilvl="2" w:tplc="FF04FE82">
      <w:start w:val="1"/>
      <w:numFmt w:val="bullet"/>
      <w:lvlText w:val="•"/>
      <w:lvlJc w:val="left"/>
      <w:pPr>
        <w:ind w:left="2287" w:hanging="287"/>
      </w:pPr>
      <w:rPr>
        <w:rFonts w:hint="default"/>
      </w:rPr>
    </w:lvl>
    <w:lvl w:ilvl="3" w:tplc="6C76472E">
      <w:start w:val="1"/>
      <w:numFmt w:val="bullet"/>
      <w:lvlText w:val="•"/>
      <w:lvlJc w:val="left"/>
      <w:pPr>
        <w:ind w:left="3372" w:hanging="287"/>
      </w:pPr>
      <w:rPr>
        <w:rFonts w:hint="default"/>
      </w:rPr>
    </w:lvl>
    <w:lvl w:ilvl="4" w:tplc="04F2F356">
      <w:start w:val="1"/>
      <w:numFmt w:val="bullet"/>
      <w:lvlText w:val="•"/>
      <w:lvlJc w:val="left"/>
      <w:pPr>
        <w:ind w:left="4457" w:hanging="287"/>
      </w:pPr>
      <w:rPr>
        <w:rFonts w:hint="default"/>
      </w:rPr>
    </w:lvl>
    <w:lvl w:ilvl="5" w:tplc="AF1C566C">
      <w:start w:val="1"/>
      <w:numFmt w:val="bullet"/>
      <w:lvlText w:val="•"/>
      <w:lvlJc w:val="left"/>
      <w:pPr>
        <w:ind w:left="5542" w:hanging="287"/>
      </w:pPr>
      <w:rPr>
        <w:rFonts w:hint="default"/>
      </w:rPr>
    </w:lvl>
    <w:lvl w:ilvl="6" w:tplc="CCEC3550">
      <w:start w:val="1"/>
      <w:numFmt w:val="bullet"/>
      <w:lvlText w:val="•"/>
      <w:lvlJc w:val="left"/>
      <w:pPr>
        <w:ind w:left="6626" w:hanging="287"/>
      </w:pPr>
      <w:rPr>
        <w:rFonts w:hint="default"/>
      </w:rPr>
    </w:lvl>
    <w:lvl w:ilvl="7" w:tplc="C1CE90C6">
      <w:start w:val="1"/>
      <w:numFmt w:val="bullet"/>
      <w:lvlText w:val="•"/>
      <w:lvlJc w:val="left"/>
      <w:pPr>
        <w:ind w:left="7711" w:hanging="287"/>
      </w:pPr>
      <w:rPr>
        <w:rFonts w:hint="default"/>
      </w:rPr>
    </w:lvl>
    <w:lvl w:ilvl="8" w:tplc="8B3E729A">
      <w:start w:val="1"/>
      <w:numFmt w:val="bullet"/>
      <w:lvlText w:val="•"/>
      <w:lvlJc w:val="left"/>
      <w:pPr>
        <w:ind w:left="8796" w:hanging="28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FF4"/>
    <w:rsid w:val="00041E85"/>
    <w:rsid w:val="00066FC3"/>
    <w:rsid w:val="000827FA"/>
    <w:rsid w:val="00085364"/>
    <w:rsid w:val="000C2C93"/>
    <w:rsid w:val="000C76F2"/>
    <w:rsid w:val="000F1AFD"/>
    <w:rsid w:val="001028AF"/>
    <w:rsid w:val="00105B10"/>
    <w:rsid w:val="00105C40"/>
    <w:rsid w:val="0011653A"/>
    <w:rsid w:val="001234D7"/>
    <w:rsid w:val="0013112C"/>
    <w:rsid w:val="00136E32"/>
    <w:rsid w:val="001655BB"/>
    <w:rsid w:val="00171438"/>
    <w:rsid w:val="001752D5"/>
    <w:rsid w:val="00193428"/>
    <w:rsid w:val="001A149A"/>
    <w:rsid w:val="001B751E"/>
    <w:rsid w:val="001C2BED"/>
    <w:rsid w:val="001C5F9F"/>
    <w:rsid w:val="001E6FA3"/>
    <w:rsid w:val="0023006B"/>
    <w:rsid w:val="00243959"/>
    <w:rsid w:val="00251DDF"/>
    <w:rsid w:val="002B14B9"/>
    <w:rsid w:val="002C6A73"/>
    <w:rsid w:val="002F746A"/>
    <w:rsid w:val="00333DBE"/>
    <w:rsid w:val="003A29A6"/>
    <w:rsid w:val="003E1FFB"/>
    <w:rsid w:val="003E6C54"/>
    <w:rsid w:val="003E78DC"/>
    <w:rsid w:val="00404AB8"/>
    <w:rsid w:val="00426DC7"/>
    <w:rsid w:val="00431FC3"/>
    <w:rsid w:val="00444B00"/>
    <w:rsid w:val="00476B51"/>
    <w:rsid w:val="00481493"/>
    <w:rsid w:val="00483553"/>
    <w:rsid w:val="004976D9"/>
    <w:rsid w:val="004A215E"/>
    <w:rsid w:val="004A3425"/>
    <w:rsid w:val="004A433E"/>
    <w:rsid w:val="004C209D"/>
    <w:rsid w:val="004E61DE"/>
    <w:rsid w:val="004F6508"/>
    <w:rsid w:val="004F7C0E"/>
    <w:rsid w:val="00504E92"/>
    <w:rsid w:val="00510D58"/>
    <w:rsid w:val="00527A05"/>
    <w:rsid w:val="00531FF4"/>
    <w:rsid w:val="00532736"/>
    <w:rsid w:val="0055364D"/>
    <w:rsid w:val="00570404"/>
    <w:rsid w:val="0057407D"/>
    <w:rsid w:val="005A3E07"/>
    <w:rsid w:val="005A751E"/>
    <w:rsid w:val="005B3146"/>
    <w:rsid w:val="005B4B5A"/>
    <w:rsid w:val="005E0BD8"/>
    <w:rsid w:val="00611C73"/>
    <w:rsid w:val="0061509E"/>
    <w:rsid w:val="00623FDD"/>
    <w:rsid w:val="00627205"/>
    <w:rsid w:val="0064577E"/>
    <w:rsid w:val="00652890"/>
    <w:rsid w:val="006570FC"/>
    <w:rsid w:val="00663AB0"/>
    <w:rsid w:val="0066717C"/>
    <w:rsid w:val="00671EF0"/>
    <w:rsid w:val="0068006F"/>
    <w:rsid w:val="00687A1A"/>
    <w:rsid w:val="006A16C9"/>
    <w:rsid w:val="006A336F"/>
    <w:rsid w:val="006C0101"/>
    <w:rsid w:val="006C7579"/>
    <w:rsid w:val="006D35F5"/>
    <w:rsid w:val="006F32EB"/>
    <w:rsid w:val="0070433A"/>
    <w:rsid w:val="0073698F"/>
    <w:rsid w:val="00742720"/>
    <w:rsid w:val="007556C6"/>
    <w:rsid w:val="007801BD"/>
    <w:rsid w:val="007A4009"/>
    <w:rsid w:val="007B413C"/>
    <w:rsid w:val="007C377D"/>
    <w:rsid w:val="00832779"/>
    <w:rsid w:val="00841A3A"/>
    <w:rsid w:val="00862671"/>
    <w:rsid w:val="008663EA"/>
    <w:rsid w:val="008838DF"/>
    <w:rsid w:val="008B5C3A"/>
    <w:rsid w:val="00904EF3"/>
    <w:rsid w:val="00933524"/>
    <w:rsid w:val="00943316"/>
    <w:rsid w:val="00961BAC"/>
    <w:rsid w:val="00972150"/>
    <w:rsid w:val="009A2FD8"/>
    <w:rsid w:val="009D01C5"/>
    <w:rsid w:val="00A65C3A"/>
    <w:rsid w:val="00A75863"/>
    <w:rsid w:val="00AB5F89"/>
    <w:rsid w:val="00AD4FC3"/>
    <w:rsid w:val="00AF405F"/>
    <w:rsid w:val="00B21AB3"/>
    <w:rsid w:val="00B65509"/>
    <w:rsid w:val="00B7399C"/>
    <w:rsid w:val="00B82CE8"/>
    <w:rsid w:val="00BB6AD2"/>
    <w:rsid w:val="00BC7D80"/>
    <w:rsid w:val="00BD1EFC"/>
    <w:rsid w:val="00BE00B0"/>
    <w:rsid w:val="00C0217C"/>
    <w:rsid w:val="00C12094"/>
    <w:rsid w:val="00C3210B"/>
    <w:rsid w:val="00C43A8D"/>
    <w:rsid w:val="00C67038"/>
    <w:rsid w:val="00C72621"/>
    <w:rsid w:val="00C760BA"/>
    <w:rsid w:val="00CB7C6B"/>
    <w:rsid w:val="00D05CB1"/>
    <w:rsid w:val="00D214DA"/>
    <w:rsid w:val="00D40C7F"/>
    <w:rsid w:val="00D5074C"/>
    <w:rsid w:val="00D516F3"/>
    <w:rsid w:val="00D51C41"/>
    <w:rsid w:val="00D57670"/>
    <w:rsid w:val="00D719F1"/>
    <w:rsid w:val="00D778C0"/>
    <w:rsid w:val="00D860E8"/>
    <w:rsid w:val="00DA3655"/>
    <w:rsid w:val="00DC4615"/>
    <w:rsid w:val="00E37383"/>
    <w:rsid w:val="00E46DB6"/>
    <w:rsid w:val="00E507CF"/>
    <w:rsid w:val="00E51365"/>
    <w:rsid w:val="00E82FCF"/>
    <w:rsid w:val="00E84002"/>
    <w:rsid w:val="00E87639"/>
    <w:rsid w:val="00EC5499"/>
    <w:rsid w:val="00ED1529"/>
    <w:rsid w:val="00EE4006"/>
    <w:rsid w:val="00F01A4D"/>
    <w:rsid w:val="00F11406"/>
    <w:rsid w:val="00F12584"/>
    <w:rsid w:val="00F138B8"/>
    <w:rsid w:val="00F14A26"/>
    <w:rsid w:val="00F66CC3"/>
    <w:rsid w:val="00FA7DCF"/>
    <w:rsid w:val="00FC4538"/>
    <w:rsid w:val="00FC7F3C"/>
    <w:rsid w:val="00FD68C6"/>
    <w:rsid w:val="00FE67D7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4539"/>
  <w15:docId w15:val="{96747D83-B6CC-4ECE-95DF-E345331C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rFonts w:ascii="Times New Roman" w:eastAsia="Times New Roman" w:hAnsi="Times New Roman"/>
      <w:sz w:val="23"/>
      <w:szCs w:val="23"/>
    </w:rPr>
  </w:style>
  <w:style w:type="paragraph" w:styleId="a4">
    <w:name w:val="List Paragraph"/>
    <w:aliases w:val="Таблицы,punto elenco,Абзац списка - заголовок 3,strich,2nd Tier Header,маркированный,Citation List,Paragraph,Resume Title,List Paragraph Char Char,Bullet 1,List Paragraph1,b1,Number_1,SGLText List Paragraph,new,lp1,Normal Sentence,ListPar1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D5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aliases w:val="Обычный (Web),Обычный (веб)1,Обычный (веб)1 Знак Знак Зн"/>
    <w:basedOn w:val="a"/>
    <w:link w:val="a8"/>
    <w:uiPriority w:val="99"/>
    <w:unhideWhenUsed/>
    <w:rsid w:val="00C321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basedOn w:val="a0"/>
    <w:uiPriority w:val="99"/>
    <w:unhideWhenUsed/>
    <w:rsid w:val="00C3210B"/>
    <w:rPr>
      <w:color w:val="0000FF"/>
      <w:u w:val="single"/>
    </w:rPr>
  </w:style>
  <w:style w:type="character" w:customStyle="1" w:styleId="a5">
    <w:name w:val="Абзац списка Знак"/>
    <w:aliases w:val="Таблицы Знак,punto elenco Знак,Абзац списка - заголовок 3 Знак,strich Знак,2nd Tier Header Знак,маркированный Знак,Citation List Знак,Paragraph Знак,Resume Title Знак,List Paragraph Char Char Знак,Bullet 1 Знак,List Paragraph1 Знак"/>
    <w:link w:val="a4"/>
    <w:uiPriority w:val="34"/>
    <w:qFormat/>
    <w:rsid w:val="004976D9"/>
  </w:style>
  <w:style w:type="paragraph" w:styleId="aa">
    <w:name w:val="Balloon Text"/>
    <w:basedOn w:val="a"/>
    <w:link w:val="ab"/>
    <w:unhideWhenUsed/>
    <w:rsid w:val="005A751E"/>
    <w:pPr>
      <w:widowControl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Текст выноски Знак"/>
    <w:basedOn w:val="a0"/>
    <w:link w:val="aa"/>
    <w:rsid w:val="005A751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8">
    <w:name w:val="Обычный (Интернет) Знак"/>
    <w:aliases w:val="Обычный (Web) Знак,Обычный (веб)1 Знак,Обычный (веб)1 Знак Знак Зн Знак"/>
    <w:link w:val="a7"/>
    <w:uiPriority w:val="99"/>
    <w:rsid w:val="005A75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SPecialiST RePack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>Отчет</dc:subject>
  <dc:creator>888</dc:creator>
  <cp:lastModifiedBy>Анна</cp:lastModifiedBy>
  <cp:revision>91</cp:revision>
  <dcterms:created xsi:type="dcterms:W3CDTF">2023-03-19T06:46:00Z</dcterms:created>
  <dcterms:modified xsi:type="dcterms:W3CDTF">2024-04-02T14:10:00Z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LastSaved">
    <vt:filetime>2023-03-04T00:00:00Z</vt:filetime>
  </property>
</Properties>
</file>