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E10" w:rsidRDefault="00BD7588" w:rsidP="00B667B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ЖОБА</w:t>
      </w:r>
    </w:p>
    <w:p w:rsidR="006B600C" w:rsidRDefault="006B600C" w:rsidP="005308D4">
      <w:pPr>
        <w:spacing w:after="0" w:line="204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BD7588" w:rsidRPr="00BD7588" w:rsidRDefault="00BD7588" w:rsidP="00BD75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val="kk-KZ"/>
        </w:rPr>
      </w:pPr>
      <w:r w:rsidRPr="00BD758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«Қазақстан Республикасы Бас прокуратурасының Активтерді қайтару жөніндегі комитетінің штат санын ұлғайту жөнінде Қазақстан Республикасы Президентінің кейбір жарлықтарына өзгерістер мен толықтырулар енгізу туралы» Қазақстан Республикасы Президенті Жарлығының жобасына </w:t>
      </w:r>
      <w:r w:rsidRPr="00BD7588">
        <w:rPr>
          <w:rFonts w:ascii="Times New Roman" w:eastAsia="Calibri" w:hAnsi="Times New Roman" w:cs="Times New Roman"/>
          <w:b/>
          <w:sz w:val="32"/>
          <w:szCs w:val="28"/>
          <w:lang w:val="kk-KZ"/>
        </w:rPr>
        <w:t>САЛЫСТЫРМАЛЫ КЕСТЕ</w:t>
      </w:r>
    </w:p>
    <w:p w:rsidR="00A65881" w:rsidRPr="005308D4" w:rsidRDefault="00A65881" w:rsidP="00D4271B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  <w:lang w:val="kk-KZ" w:eastAsia="ru-RU"/>
        </w:rPr>
      </w:pPr>
    </w:p>
    <w:tbl>
      <w:tblPr>
        <w:tblStyle w:val="a3"/>
        <w:tblpPr w:leftFromText="180" w:rightFromText="180" w:vertAnchor="text" w:tblpX="40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458"/>
        <w:gridCol w:w="1493"/>
        <w:gridCol w:w="5528"/>
        <w:gridCol w:w="5387"/>
        <w:gridCol w:w="3118"/>
      </w:tblGrid>
      <w:tr w:rsidR="00BD7588" w:rsidRPr="00D4271B" w:rsidTr="00BA1CDC">
        <w:trPr>
          <w:trHeight w:val="416"/>
        </w:trPr>
        <w:tc>
          <w:tcPr>
            <w:tcW w:w="458" w:type="dxa"/>
          </w:tcPr>
          <w:p w:rsidR="00BD7588" w:rsidRPr="00524728" w:rsidRDefault="00BD7588" w:rsidP="00BD7588">
            <w:pPr>
              <w:spacing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24728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BD7588" w:rsidRPr="00D4271B" w:rsidRDefault="00BD7588" w:rsidP="00BD7588">
            <w:pPr>
              <w:widowControl w:val="0"/>
              <w:ind w:left="-32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52472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с</w:t>
            </w:r>
          </w:p>
        </w:tc>
        <w:tc>
          <w:tcPr>
            <w:tcW w:w="1493" w:type="dxa"/>
          </w:tcPr>
          <w:p w:rsidR="00BD7588" w:rsidRPr="00524728" w:rsidRDefault="00BD7588" w:rsidP="00BD7588">
            <w:pPr>
              <w:spacing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Құры-лымдық</w:t>
            </w:r>
            <w:proofErr w:type="spellEnd"/>
          </w:p>
          <w:p w:rsidR="00BD7588" w:rsidRPr="00D4271B" w:rsidRDefault="00BD7588" w:rsidP="00BD7588">
            <w:pPr>
              <w:widowControl w:val="0"/>
              <w:ind w:left="-32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28">
              <w:rPr>
                <w:rFonts w:ascii="Times New Roman" w:hAnsi="Times New Roman"/>
                <w:sz w:val="23"/>
                <w:szCs w:val="23"/>
              </w:rPr>
              <w:t>элемент</w:t>
            </w:r>
          </w:p>
        </w:tc>
        <w:tc>
          <w:tcPr>
            <w:tcW w:w="5528" w:type="dxa"/>
          </w:tcPr>
          <w:p w:rsidR="00BD7588" w:rsidRPr="00D4271B" w:rsidRDefault="00BD7588" w:rsidP="00D4271B">
            <w:pPr>
              <w:widowControl w:val="0"/>
              <w:ind w:left="12" w:firstLine="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Қолданыстағы</w:t>
            </w:r>
            <w:proofErr w:type="spellEnd"/>
            <w:r w:rsidRPr="00524728">
              <w:rPr>
                <w:rFonts w:ascii="Times New Roman" w:hAnsi="Times New Roman"/>
                <w:sz w:val="23"/>
                <w:szCs w:val="23"/>
              </w:rPr>
              <w:t xml:space="preserve"> редакция</w:t>
            </w:r>
          </w:p>
        </w:tc>
        <w:tc>
          <w:tcPr>
            <w:tcW w:w="5387" w:type="dxa"/>
          </w:tcPr>
          <w:p w:rsidR="00BD7588" w:rsidRPr="00D4271B" w:rsidRDefault="00BD7588" w:rsidP="00D4271B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Ұсынылатын</w:t>
            </w:r>
            <w:proofErr w:type="spellEnd"/>
            <w:r w:rsidRPr="00524728">
              <w:rPr>
                <w:rFonts w:ascii="Times New Roman" w:hAnsi="Times New Roman"/>
                <w:sz w:val="23"/>
                <w:szCs w:val="23"/>
              </w:rPr>
              <w:t xml:space="preserve"> редакция</w:t>
            </w:r>
          </w:p>
        </w:tc>
        <w:tc>
          <w:tcPr>
            <w:tcW w:w="3118" w:type="dxa"/>
          </w:tcPr>
          <w:p w:rsidR="00BD7588" w:rsidRPr="00524728" w:rsidRDefault="00BD7588" w:rsidP="00BD7588">
            <w:pPr>
              <w:spacing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Негіздемесі</w:t>
            </w:r>
            <w:proofErr w:type="spellEnd"/>
          </w:p>
        </w:tc>
      </w:tr>
      <w:tr w:rsidR="00BD7588" w:rsidRPr="00D4271B" w:rsidTr="00991753">
        <w:tc>
          <w:tcPr>
            <w:tcW w:w="15984" w:type="dxa"/>
            <w:gridSpan w:val="5"/>
          </w:tcPr>
          <w:p w:rsidR="00BA1CDC" w:rsidRPr="00BA1CDC" w:rsidRDefault="00BD7588" w:rsidP="00BA1CDC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318"/>
              </w:tabs>
              <w:ind w:right="-108"/>
              <w:jc w:val="center"/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"http://10.61.42.188/rus/docs/U990000029_" \l "z6" </w:instrText>
            </w:r>
            <w:r>
              <w:fldChar w:fldCharType="separate"/>
            </w:r>
            <w:r w:rsidR="00BA1CDC">
              <w:t>«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Қазақстан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Республикасының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мемлекеттік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органдары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жүйесін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одан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ә</w:t>
            </w:r>
            <w:proofErr w:type="gram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р</w:t>
            </w:r>
            <w:proofErr w:type="gram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і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оңтайландыру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жөніндегі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шаралар</w:t>
            </w:r>
            <w:proofErr w:type="spellEnd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BA1CDC"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туралы</w:t>
            </w:r>
            <w:proofErr w:type="spellEnd"/>
            <w:r w:rsid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» </w:t>
            </w:r>
          </w:p>
          <w:p w:rsidR="00BD7588" w:rsidRPr="00BA1CDC" w:rsidRDefault="00BA1CDC" w:rsidP="00BA1CDC">
            <w:pPr>
              <w:pStyle w:val="a6"/>
              <w:widowControl w:val="0"/>
              <w:tabs>
                <w:tab w:val="left" w:pos="0"/>
                <w:tab w:val="left" w:pos="318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Қазақстан</w:t>
            </w:r>
            <w:proofErr w:type="spellEnd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Республикасы</w:t>
            </w:r>
            <w:proofErr w:type="spellEnd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Президентінің</w:t>
            </w:r>
            <w:proofErr w:type="spellEnd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1999 </w:t>
            </w:r>
            <w:proofErr w:type="spellStart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жылғы</w:t>
            </w:r>
            <w:proofErr w:type="spellEnd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gramStart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22</w:t>
            </w:r>
            <w:proofErr w:type="gramEnd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қаңтардағы</w:t>
            </w:r>
            <w:proofErr w:type="spellEnd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№</w:t>
            </w:r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29 </w:t>
            </w:r>
            <w:proofErr w:type="spellStart"/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Жарлығы</w:t>
            </w:r>
            <w:r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>на</w:t>
            </w:r>
            <w:proofErr w:type="spellEnd"/>
            <w:r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2-қосымша</w:t>
            </w:r>
            <w:r w:rsidRPr="00BA1CDC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 w:rsidR="00BD7588">
              <w:rPr>
                <w:rStyle w:val="a9"/>
                <w:rFonts w:ascii="Times New Roman" w:hAnsi="Times New Roman"/>
                <w:color w:val="auto"/>
                <w:spacing w:val="2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</w:p>
        </w:tc>
      </w:tr>
      <w:tr w:rsidR="00BD7588" w:rsidRPr="00D4271B" w:rsidTr="00BA1CDC">
        <w:trPr>
          <w:trHeight w:val="3834"/>
        </w:trPr>
        <w:tc>
          <w:tcPr>
            <w:tcW w:w="458" w:type="dxa"/>
          </w:tcPr>
          <w:p w:rsidR="00BD7588" w:rsidRPr="00D4271B" w:rsidRDefault="00BD7588" w:rsidP="00D4271B">
            <w:pPr>
              <w:pStyle w:val="a6"/>
              <w:widowControl w:val="0"/>
              <w:tabs>
                <w:tab w:val="left" w:pos="0"/>
                <w:tab w:val="left" w:pos="318"/>
              </w:tabs>
              <w:ind w:left="0" w:righ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93" w:type="dxa"/>
          </w:tcPr>
          <w:p w:rsidR="00BD7588" w:rsidRPr="00D4271B" w:rsidRDefault="00BD7588" w:rsidP="00D4271B">
            <w:pPr>
              <w:pStyle w:val="a6"/>
              <w:widowControl w:val="0"/>
              <w:tabs>
                <w:tab w:val="left" w:pos="0"/>
                <w:tab w:val="left" w:pos="318"/>
              </w:tabs>
              <w:ind w:left="0"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528" w:type="dxa"/>
          </w:tcPr>
          <w:p w:rsidR="00BD7588" w:rsidRDefault="00BA1CDC" w:rsidP="00BA1CDC">
            <w:pPr>
              <w:shd w:val="clear" w:color="auto" w:fill="FFFFFF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>прокуратурасының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 xml:space="preserve"> ЖАЛПЫ ШТАТ САНЫ</w:t>
            </w:r>
          </w:p>
          <w:p w:rsidR="00BA1CDC" w:rsidRPr="00991753" w:rsidRDefault="00BA1CDC" w:rsidP="00BA1CDC">
            <w:pPr>
              <w:shd w:val="clear" w:color="auto" w:fill="FFFFFF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16"/>
                <w:szCs w:val="24"/>
                <w:lang w:eastAsia="ru-RU"/>
              </w:rPr>
            </w:pPr>
          </w:p>
          <w:tbl>
            <w:tblPr>
              <w:tblW w:w="5459" w:type="dxa"/>
              <w:tblBorders>
                <w:insideH w:val="single" w:sz="6" w:space="0" w:color="CFCFCF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87"/>
              <w:gridCol w:w="1072"/>
            </w:tblGrid>
            <w:tr w:rsidR="00BD7588" w:rsidRPr="00060AF3" w:rsidTr="00BA1CDC">
              <w:trPr>
                <w:trHeight w:val="3283"/>
              </w:trPr>
              <w:tc>
                <w:tcPr>
                  <w:tcW w:w="4387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BD7588" w:rsidRPr="00060AF3" w:rsidRDefault="00BA1CDC" w:rsidP="005561AB">
                  <w:pPr>
                    <w:framePr w:hSpace="180" w:wrap="around" w:vAnchor="text" w:hAnchor="text" w:x="40" w:y="1"/>
                    <w:spacing w:after="0" w:line="285" w:lineRule="atLeast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val="kk-KZ" w:eastAsia="ru-RU"/>
                    </w:rPr>
                  </w:pP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Қазақстан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Республикасының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прокуратурасы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оның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ішінде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: Бас прокуратура,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Құқық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қорғау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органдарының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академиясы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, прокуратура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органдары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Құқықтық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статистика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және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арнайы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есепке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алу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жөніндегі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комитет,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Құқықтық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статистика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және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арнайы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есепке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алу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жөніндегі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комитеттің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аумақтық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және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олар</w:t>
                  </w:r>
                  <w:proofErr w:type="gram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ға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теңестiрiлген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органдары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Активтерді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қайтару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жөніндегі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комитет</w:t>
                  </w:r>
                </w:p>
              </w:tc>
              <w:tc>
                <w:tcPr>
                  <w:tcW w:w="1072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BD7588" w:rsidRPr="00DB3068" w:rsidRDefault="00BD7588" w:rsidP="005561AB">
                  <w:pPr>
                    <w:framePr w:hSpace="180" w:wrap="around" w:vAnchor="text" w:hAnchor="text" w:x="40" w:y="1"/>
                    <w:spacing w:after="360" w:line="285" w:lineRule="atLeast"/>
                    <w:suppressOverlap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val="kk-KZ" w:eastAsia="ru-RU"/>
                    </w:rPr>
                  </w:pPr>
                  <w:r w:rsidRPr="00DB306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8"/>
                      <w:lang w:eastAsia="ru-RU"/>
                    </w:rPr>
                    <w:t>58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8"/>
                      <w:lang w:eastAsia="ru-RU"/>
                    </w:rPr>
                    <w:t>6</w:t>
                  </w:r>
                  <w:r w:rsidRPr="00DB306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8"/>
                      <w:lang w:eastAsia="ru-RU"/>
                    </w:rPr>
                    <w:t>6</w:t>
                  </w:r>
                </w:p>
              </w:tc>
            </w:tr>
          </w:tbl>
          <w:p w:rsidR="00BD7588" w:rsidRPr="007663D7" w:rsidRDefault="00BD7588" w:rsidP="00DB3068">
            <w:pPr>
              <w:shd w:val="clear" w:color="auto" w:fill="FFFFFF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BD7588" w:rsidRPr="00991753" w:rsidRDefault="00BA1CDC" w:rsidP="00BA1CDC">
            <w:pPr>
              <w:jc w:val="center"/>
              <w:rPr>
                <w:rFonts w:ascii="Times New Roman" w:eastAsia="Times New Roman" w:hAnsi="Times New Roman" w:cs="Times New Roman"/>
                <w:b/>
                <w:color w:val="1E1E1E"/>
                <w:sz w:val="10"/>
                <w:szCs w:val="24"/>
                <w:lang w:eastAsia="ru-RU"/>
              </w:rPr>
            </w:pPr>
            <w:proofErr w:type="spellStart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>прокуратурасының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  <w:lang w:eastAsia="ru-RU"/>
              </w:rPr>
              <w:t xml:space="preserve"> ЖАЛПЫ ШТАТ САНЫ</w:t>
            </w:r>
          </w:p>
          <w:p w:rsidR="00BD7588" w:rsidRPr="00D44AF5" w:rsidRDefault="00BD7588" w:rsidP="00D4271B">
            <w:pPr>
              <w:jc w:val="both"/>
              <w:rPr>
                <w:rFonts w:ascii="Times New Roman" w:eastAsia="Times New Roman" w:hAnsi="Times New Roman" w:cs="Times New Roman"/>
                <w:b/>
                <w:color w:val="1E1E1E"/>
                <w:sz w:val="16"/>
                <w:szCs w:val="6"/>
                <w:lang w:eastAsia="ru-RU"/>
              </w:rPr>
            </w:pPr>
          </w:p>
          <w:tbl>
            <w:tblPr>
              <w:tblW w:w="5459" w:type="dxa"/>
              <w:tblBorders>
                <w:insideH w:val="single" w:sz="6" w:space="0" w:color="CFCFCF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87"/>
              <w:gridCol w:w="1072"/>
            </w:tblGrid>
            <w:tr w:rsidR="00BD7588" w:rsidRPr="00060AF3" w:rsidTr="005C71F9">
              <w:trPr>
                <w:trHeight w:val="2803"/>
              </w:trPr>
              <w:tc>
                <w:tcPr>
                  <w:tcW w:w="4387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BD7588" w:rsidRPr="00060AF3" w:rsidRDefault="00BA1CDC" w:rsidP="005561AB">
                  <w:pPr>
                    <w:framePr w:hSpace="180" w:wrap="around" w:vAnchor="text" w:hAnchor="text" w:x="40" w:y="1"/>
                    <w:spacing w:after="0" w:line="285" w:lineRule="atLeast"/>
                    <w:suppressOverlap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val="kk-KZ" w:eastAsia="ru-RU"/>
                    </w:rPr>
                  </w:pP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Қазақстан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Республикасының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прокуратурасы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оның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ішінде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: Бас прокуратура,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Құқық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қорғау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органдарының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академиясы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, прокуратура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органдары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Құқықтық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статистика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және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арнайы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есепке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алу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жөніндегі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комитет,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Құқықтық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статистика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және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арнайы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есепке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алу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жөніндегі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комитеттің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аумақтық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және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олар</w:t>
                  </w:r>
                  <w:proofErr w:type="gram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ға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теңестiрiлген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органдары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Активтерді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қайтару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>жөніндегі</w:t>
                  </w:r>
                  <w:proofErr w:type="spellEnd"/>
                  <w:r w:rsidRPr="00BA1CDC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8"/>
                      <w:lang w:eastAsia="ru-RU"/>
                    </w:rPr>
                    <w:t xml:space="preserve"> комитет</w:t>
                  </w:r>
                </w:p>
              </w:tc>
              <w:tc>
                <w:tcPr>
                  <w:tcW w:w="1072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BD7588" w:rsidRPr="00A4469D" w:rsidRDefault="00BD7588" w:rsidP="005561AB">
                  <w:pPr>
                    <w:framePr w:hSpace="180" w:wrap="around" w:vAnchor="text" w:hAnchor="text" w:x="40" w:y="1"/>
                    <w:spacing w:after="360" w:line="285" w:lineRule="atLeast"/>
                    <w:suppressOverlap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2"/>
                      <w:sz w:val="24"/>
                      <w:szCs w:val="28"/>
                      <w:lang w:val="kk-KZ" w:eastAsia="ru-RU"/>
                    </w:rPr>
                  </w:pPr>
                  <w:r w:rsidRPr="00A4469D">
                    <w:rPr>
                      <w:rFonts w:ascii="Times New Roman" w:eastAsia="Times New Roman" w:hAnsi="Times New Roman" w:cs="Times New Roman"/>
                      <w:b/>
                      <w:spacing w:val="2"/>
                      <w:sz w:val="24"/>
                      <w:szCs w:val="28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/>
                      <w:spacing w:val="2"/>
                      <w:sz w:val="24"/>
                      <w:szCs w:val="28"/>
                      <w:lang w:eastAsia="ru-RU"/>
                    </w:rPr>
                    <w:t>886</w:t>
                  </w:r>
                </w:p>
              </w:tc>
            </w:tr>
          </w:tbl>
          <w:p w:rsidR="00BD7588" w:rsidRPr="00D4271B" w:rsidRDefault="00BD7588" w:rsidP="00D427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D7588" w:rsidRDefault="00620231" w:rsidP="0062023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Ақпараттың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кө</w:t>
            </w:r>
            <w:proofErr w:type="gram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мөлшерін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өңдеу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және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жұмыстың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күрделілігі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жеткілікті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еңбек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ресурстарының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болуын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болжайды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D7588" w:rsidRDefault="00BD7588" w:rsidP="00DB3068">
            <w:pPr>
              <w:spacing w:line="276" w:lineRule="auto"/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7588" w:rsidRDefault="00BD7588" w:rsidP="00DB3068">
            <w:pPr>
              <w:spacing w:line="276" w:lineRule="auto"/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7588" w:rsidRPr="00D4271B" w:rsidRDefault="00BD7588" w:rsidP="00991753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W w:w="1600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498"/>
        <w:gridCol w:w="5481"/>
        <w:gridCol w:w="5423"/>
        <w:gridCol w:w="3136"/>
      </w:tblGrid>
      <w:tr w:rsidR="000B5C4D" w:rsidRPr="006428E2" w:rsidTr="00991753">
        <w:tc>
          <w:tcPr>
            <w:tcW w:w="16000" w:type="dxa"/>
            <w:gridSpan w:val="5"/>
          </w:tcPr>
          <w:p w:rsidR="00BD7588" w:rsidRDefault="001A12CE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B5C4D" w:rsidRPr="001A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5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Заңсыз</w:t>
            </w:r>
            <w:proofErr w:type="spell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иемденілген</w:t>
            </w:r>
            <w:proofErr w:type="spell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актив</w:t>
            </w:r>
            <w:r w:rsidR="00BD7588">
              <w:rPr>
                <w:rFonts w:ascii="Times New Roman" w:hAnsi="Times New Roman" w:cs="Times New Roman"/>
                <w:sz w:val="24"/>
                <w:szCs w:val="24"/>
              </w:rPr>
              <w:t>терді</w:t>
            </w:r>
            <w:proofErr w:type="spellEnd"/>
            <w:r w:rsid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>
              <w:rPr>
                <w:rFonts w:ascii="Times New Roman" w:hAnsi="Times New Roman" w:cs="Times New Roman"/>
                <w:sz w:val="24"/>
                <w:szCs w:val="24"/>
              </w:rPr>
              <w:t>мемлекетке</w:t>
            </w:r>
            <w:proofErr w:type="spellEnd"/>
            <w:r w:rsid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>
              <w:rPr>
                <w:rFonts w:ascii="Times New Roman" w:hAnsi="Times New Roman" w:cs="Times New Roman"/>
                <w:sz w:val="24"/>
                <w:szCs w:val="24"/>
              </w:rPr>
              <w:t>қайтару</w:t>
            </w:r>
            <w:proofErr w:type="spellEnd"/>
            <w:r w:rsid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="00BD75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Республикасыны</w:t>
            </w:r>
            <w:proofErr w:type="gram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ң</w:t>
            </w:r>
            <w:proofErr w:type="spell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аңын</w:t>
            </w:r>
            <w:proofErr w:type="spell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іске</w:t>
            </w:r>
            <w:proofErr w:type="spell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асыру</w:t>
            </w:r>
            <w:proofErr w:type="spell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жөніндегі</w:t>
            </w:r>
            <w:proofErr w:type="spell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шаралар</w:t>
            </w:r>
            <w:proofErr w:type="spellEnd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7588" w:rsidRPr="00BD7588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="00BD75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B5C4D" w:rsidRPr="006428E2" w:rsidRDefault="00BD7588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Президе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нтінің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жылғы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қазандағы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№366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Жарлығы</w:t>
            </w:r>
            <w:proofErr w:type="spellEnd"/>
          </w:p>
        </w:tc>
      </w:tr>
      <w:tr w:rsidR="000B5C4D" w:rsidRPr="006428E2" w:rsidTr="00991753">
        <w:tc>
          <w:tcPr>
            <w:tcW w:w="16000" w:type="dxa"/>
            <w:gridSpan w:val="5"/>
          </w:tcPr>
          <w:p w:rsidR="000B5C4D" w:rsidRPr="006428E2" w:rsidRDefault="00BD7588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прокуратурасының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Активтерді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қайтару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жөніндегі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комитеті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BD7588">
              <w:rPr>
                <w:rFonts w:ascii="Times New Roman" w:hAnsi="Times New Roman" w:cs="Times New Roman"/>
                <w:sz w:val="24"/>
                <w:szCs w:val="24"/>
              </w:rPr>
              <w:t xml:space="preserve"> ЕРЕЖЕ</w:t>
            </w:r>
          </w:p>
        </w:tc>
      </w:tr>
      <w:tr w:rsidR="000B5C4D" w:rsidRPr="006428E2" w:rsidTr="00BA1CDC">
        <w:trPr>
          <w:trHeight w:val="96"/>
        </w:trPr>
        <w:tc>
          <w:tcPr>
            <w:tcW w:w="462" w:type="dxa"/>
          </w:tcPr>
          <w:p w:rsidR="000B5C4D" w:rsidRPr="00815EDE" w:rsidRDefault="00484C6A" w:rsidP="004301C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2</w:t>
            </w:r>
          </w:p>
        </w:tc>
        <w:tc>
          <w:tcPr>
            <w:tcW w:w="1498" w:type="dxa"/>
          </w:tcPr>
          <w:p w:rsidR="000B5C4D" w:rsidRPr="006428E2" w:rsidRDefault="000B5C4D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8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7E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A1CDC">
              <w:rPr>
                <w:rFonts w:ascii="Times New Roman" w:hAnsi="Times New Roman" w:cs="Times New Roman"/>
                <w:sz w:val="24"/>
                <w:szCs w:val="24"/>
              </w:rPr>
              <w:t>-тармақ</w:t>
            </w:r>
          </w:p>
        </w:tc>
        <w:tc>
          <w:tcPr>
            <w:tcW w:w="5481" w:type="dxa"/>
          </w:tcPr>
          <w:p w:rsidR="000B5C4D" w:rsidRPr="006428E2" w:rsidRDefault="00BD7588" w:rsidP="00EB7E10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18. Комитет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төрағасында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Комитет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төрағасының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ұсынуы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бойынша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Қазақстан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Республикасының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Бас Прокуроры </w:t>
            </w:r>
            <w:proofErr w:type="spellStart"/>
            <w:proofErr w:type="gram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лауазым</w:t>
            </w:r>
            <w:proofErr w:type="gram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ға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тағайындайтын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және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лауазымнан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босататын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орынбасар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болады</w:t>
            </w:r>
            <w:proofErr w:type="spellEnd"/>
            <w:r w:rsidRPr="00BD7588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.</w:t>
            </w:r>
          </w:p>
        </w:tc>
        <w:tc>
          <w:tcPr>
            <w:tcW w:w="5423" w:type="dxa"/>
          </w:tcPr>
          <w:p w:rsidR="000B5C4D" w:rsidRPr="006428E2" w:rsidRDefault="00BA1CDC" w:rsidP="005561AB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18. Комитет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төрағасында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Комитет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төрағасының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ұсынуы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бойынша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Қазақстан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Республикасының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Бас Прокуроры </w:t>
            </w:r>
            <w:proofErr w:type="spellStart"/>
            <w:proofErr w:type="gramStart"/>
            <w:r w:rsidR="005561AB" w:rsidRPr="005561AB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лауазым</w:t>
            </w:r>
            <w:proofErr w:type="gramEnd"/>
            <w:r w:rsidR="005561AB" w:rsidRPr="005561AB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ға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тағайындайтын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және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bookmarkStart w:id="0" w:name="_GoBack"/>
            <w:proofErr w:type="spellStart"/>
            <w:r w:rsidR="005561AB" w:rsidRPr="005561AB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лауазымнан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bookmarkEnd w:id="0"/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босататын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b/>
                <w:color w:val="1E1E1E"/>
                <w:sz w:val="24"/>
                <w:szCs w:val="24"/>
              </w:rPr>
              <w:t>орынбасарлар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болады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</w:rPr>
              <w:t>.</w:t>
            </w:r>
          </w:p>
        </w:tc>
        <w:tc>
          <w:tcPr>
            <w:tcW w:w="3136" w:type="dxa"/>
          </w:tcPr>
          <w:p w:rsidR="00620231" w:rsidRPr="00620231" w:rsidRDefault="00620231" w:rsidP="006202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Комитеттің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әртүрлі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қызмет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ба</w:t>
            </w:r>
            <w:proofErr w:type="gram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ғыттарын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қамтитын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70-тен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астам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функциялары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өкілеттіктері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бар.</w:t>
            </w:r>
          </w:p>
          <w:p w:rsidR="00620231" w:rsidRPr="00620231" w:rsidRDefault="00620231" w:rsidP="006202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Бүгінгі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таңда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Комитетте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тө</w:t>
            </w:r>
            <w:proofErr w:type="gram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proofErr w:type="gram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ға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орынбасарының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лауазымы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қарастырылған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ол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барлық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бағыттарға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жетекшілік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етеді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645B3" w:rsidRPr="006428E2" w:rsidRDefault="00620231" w:rsidP="006202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Комитеттің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неғұрлым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тиімді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жұмысын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қамтамасыз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ету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және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қосымша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ба</w:t>
            </w:r>
            <w:proofErr w:type="gram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қылауды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енгізу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мақсатында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Комитет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төрағасының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орынбасарының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қосымша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лауазымын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енгізу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қажеттілігі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туындады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B5C4D" w:rsidRPr="006428E2" w:rsidTr="00BA1CDC">
        <w:tc>
          <w:tcPr>
            <w:tcW w:w="462" w:type="dxa"/>
          </w:tcPr>
          <w:p w:rsidR="000B5C4D" w:rsidRPr="00815EDE" w:rsidRDefault="00484C6A" w:rsidP="004301C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1498" w:type="dxa"/>
          </w:tcPr>
          <w:p w:rsidR="00BA1CDC" w:rsidRDefault="00BA1CDC" w:rsidP="00BA1C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19-тарм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ғының </w:t>
            </w:r>
          </w:p>
          <w:p w:rsidR="00BA1CDC" w:rsidRPr="002E6063" w:rsidRDefault="00BA1CDC" w:rsidP="00BA1C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қ-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C4D" w:rsidRPr="002E6063" w:rsidRDefault="000B5C4D" w:rsidP="00EB7E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BA1CDC" w:rsidRPr="00BA1CDC" w:rsidRDefault="00BA1CDC" w:rsidP="00BA1CDC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Комитет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төрағасының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өкілеттіктері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B5C4D" w:rsidRPr="002E6063" w:rsidRDefault="00BA1CDC" w:rsidP="00BA1CDC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2)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орынбасарының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Комитеттің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құрылымдық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бө</w:t>
            </w:r>
            <w:proofErr w:type="gram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імшелерінің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міндеттіліктері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өкілеттіктерін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айқындайды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423" w:type="dxa"/>
          </w:tcPr>
          <w:p w:rsidR="00BA1CDC" w:rsidRPr="00BA1CDC" w:rsidRDefault="00BA1CDC" w:rsidP="00BA1CDC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Комитет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төрағасының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өкілеттіктері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B5C4D" w:rsidRPr="00825D75" w:rsidRDefault="00BA1CDC" w:rsidP="00BA1C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2)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орынбасарларының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Комитеттің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құрылымдық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бө</w:t>
            </w:r>
            <w:proofErr w:type="gram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імшелерінің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міндеттіліктері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өкілеттіктерін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айқындайды</w:t>
            </w:r>
            <w:proofErr w:type="spellEnd"/>
            <w:r w:rsidRPr="00BA1CD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36" w:type="dxa"/>
          </w:tcPr>
          <w:p w:rsidR="000B5C4D" w:rsidRPr="00EC27D6" w:rsidRDefault="00620231" w:rsidP="00620231">
            <w:pPr>
              <w:spacing w:after="0"/>
            </w:pP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Өзгерістер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омитеттің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жалпы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штат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санының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өзг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еруі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әне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Комитет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төрағасының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орынбасарының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қосымша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лауазымының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енгізілуіне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байланысты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Комитет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туралы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ережені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сәйкестендіру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қажеттілігіне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байланысты</w:t>
            </w:r>
            <w:proofErr w:type="spellEnd"/>
            <w:r w:rsidRPr="006202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552785" w:rsidRPr="001D7091" w:rsidRDefault="00552785" w:rsidP="00D42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BD7588" w:rsidRDefault="003832DB" w:rsidP="00BD7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091">
        <w:rPr>
          <w:rFonts w:ascii="Times New Roman" w:hAnsi="Times New Roman" w:cs="Times New Roman"/>
          <w:b/>
          <w:sz w:val="24"/>
          <w:szCs w:val="24"/>
        </w:rPr>
        <w:br w:type="textWrapping" w:clear="all"/>
      </w:r>
      <w:proofErr w:type="spellStart"/>
      <w:r w:rsidR="00BD7588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="00BD75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D7588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</w:p>
    <w:p w:rsidR="005B5502" w:rsidRPr="007453F6" w:rsidRDefault="00BD7588" w:rsidP="00BD7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Бас Прокуроры</w:t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9172AD" w:rsidRPr="007453F6">
        <w:rPr>
          <w:rFonts w:ascii="Times New Roman" w:hAnsi="Times New Roman" w:cs="Times New Roman"/>
          <w:b/>
          <w:sz w:val="28"/>
          <w:szCs w:val="28"/>
        </w:rPr>
        <w:tab/>
      </w:r>
      <w:r w:rsidR="00070674" w:rsidRPr="007453F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508B5" w:rsidRPr="007453F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B66E7" w:rsidRPr="007453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8508B5" w:rsidRPr="007453F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37847" w:rsidRPr="007453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  <w:r w:rsidR="00A37847" w:rsidRPr="007453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1B66E7" w:rsidRPr="007453F6">
        <w:rPr>
          <w:rFonts w:ascii="Times New Roman" w:hAnsi="Times New Roman" w:cs="Times New Roman"/>
          <w:b/>
          <w:sz w:val="28"/>
          <w:szCs w:val="28"/>
          <w:lang w:val="kk-KZ"/>
        </w:rPr>
        <w:t>Б. Асылов</w:t>
      </w:r>
    </w:p>
    <w:sectPr w:rsidR="005B5502" w:rsidRPr="007453F6" w:rsidSect="00991753">
      <w:headerReference w:type="default" r:id="rId9"/>
      <w:pgSz w:w="16838" w:h="11906" w:orient="landscape"/>
      <w:pgMar w:top="426" w:right="678" w:bottom="56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D31" w:rsidRDefault="00552D31">
      <w:pPr>
        <w:spacing w:after="0" w:line="240" w:lineRule="auto"/>
      </w:pPr>
      <w:r>
        <w:separator/>
      </w:r>
    </w:p>
  </w:endnote>
  <w:endnote w:type="continuationSeparator" w:id="0">
    <w:p w:rsidR="00552D31" w:rsidRDefault="0055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D31" w:rsidRDefault="00552D31">
      <w:pPr>
        <w:spacing w:after="0" w:line="240" w:lineRule="auto"/>
      </w:pPr>
      <w:r>
        <w:separator/>
      </w:r>
    </w:p>
  </w:footnote>
  <w:footnote w:type="continuationSeparator" w:id="0">
    <w:p w:rsidR="00552D31" w:rsidRDefault="00552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73044"/>
      <w:docPartObj>
        <w:docPartGallery w:val="Page Numbers (Top of Page)"/>
        <w:docPartUnique/>
      </w:docPartObj>
    </w:sdtPr>
    <w:sdtEndPr/>
    <w:sdtContent>
      <w:p w:rsidR="00FA5490" w:rsidRDefault="00FA54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1AB">
          <w:rPr>
            <w:noProof/>
          </w:rPr>
          <w:t>2</w:t>
        </w:r>
        <w:r>
          <w:fldChar w:fldCharType="end"/>
        </w:r>
      </w:p>
    </w:sdtContent>
  </w:sdt>
  <w:p w:rsidR="00FA5490" w:rsidRDefault="00FA54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0494"/>
    <w:multiLevelType w:val="hybridMultilevel"/>
    <w:tmpl w:val="A4BC4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00460"/>
    <w:multiLevelType w:val="hybridMultilevel"/>
    <w:tmpl w:val="6D6E75FA"/>
    <w:lvl w:ilvl="0" w:tplc="BA06F01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03044E1"/>
    <w:multiLevelType w:val="hybridMultilevel"/>
    <w:tmpl w:val="5F860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D395E"/>
    <w:multiLevelType w:val="hybridMultilevel"/>
    <w:tmpl w:val="169EF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97E4C"/>
    <w:multiLevelType w:val="hybridMultilevel"/>
    <w:tmpl w:val="54302686"/>
    <w:lvl w:ilvl="0" w:tplc="958830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8D2555"/>
    <w:multiLevelType w:val="hybridMultilevel"/>
    <w:tmpl w:val="169EF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35B91"/>
    <w:multiLevelType w:val="hybridMultilevel"/>
    <w:tmpl w:val="83FE0D4E"/>
    <w:lvl w:ilvl="0" w:tplc="91D654F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29C241E2"/>
    <w:multiLevelType w:val="hybridMultilevel"/>
    <w:tmpl w:val="6D6E75FA"/>
    <w:lvl w:ilvl="0" w:tplc="BA06F01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2D252693"/>
    <w:multiLevelType w:val="hybridMultilevel"/>
    <w:tmpl w:val="8D08F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255AE"/>
    <w:multiLevelType w:val="hybridMultilevel"/>
    <w:tmpl w:val="83AE1AE8"/>
    <w:lvl w:ilvl="0" w:tplc="29C241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B29DC"/>
    <w:multiLevelType w:val="hybridMultilevel"/>
    <w:tmpl w:val="ED521CFC"/>
    <w:lvl w:ilvl="0" w:tplc="BA06F01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4D462C14"/>
    <w:multiLevelType w:val="hybridMultilevel"/>
    <w:tmpl w:val="5E509FDE"/>
    <w:lvl w:ilvl="0" w:tplc="F6105834">
      <w:start w:val="1"/>
      <w:numFmt w:val="decimal"/>
      <w:lvlText w:val="%1)"/>
      <w:lvlJc w:val="left"/>
      <w:pPr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50F75F96"/>
    <w:multiLevelType w:val="hybridMultilevel"/>
    <w:tmpl w:val="2CC2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B114A4"/>
    <w:multiLevelType w:val="hybridMultilevel"/>
    <w:tmpl w:val="2CC2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00489D"/>
    <w:multiLevelType w:val="hybridMultilevel"/>
    <w:tmpl w:val="ED521CFC"/>
    <w:lvl w:ilvl="0" w:tplc="BA06F01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64A259F8"/>
    <w:multiLevelType w:val="hybridMultilevel"/>
    <w:tmpl w:val="97AAC392"/>
    <w:lvl w:ilvl="0" w:tplc="48DE03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8252097"/>
    <w:multiLevelType w:val="hybridMultilevel"/>
    <w:tmpl w:val="58227786"/>
    <w:lvl w:ilvl="0" w:tplc="CBAAB70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6C0541BF"/>
    <w:multiLevelType w:val="hybridMultilevel"/>
    <w:tmpl w:val="2CC2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97DA6"/>
    <w:multiLevelType w:val="hybridMultilevel"/>
    <w:tmpl w:val="572824A8"/>
    <w:lvl w:ilvl="0" w:tplc="BD3AF896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5E070E6"/>
    <w:multiLevelType w:val="hybridMultilevel"/>
    <w:tmpl w:val="2CC2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E06A1"/>
    <w:multiLevelType w:val="hybridMultilevel"/>
    <w:tmpl w:val="C69861A2"/>
    <w:lvl w:ilvl="0" w:tplc="A3E4F9F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0"/>
  </w:num>
  <w:num w:numId="5">
    <w:abstractNumId w:val="8"/>
  </w:num>
  <w:num w:numId="6">
    <w:abstractNumId w:val="16"/>
  </w:num>
  <w:num w:numId="7">
    <w:abstractNumId w:val="19"/>
  </w:num>
  <w:num w:numId="8">
    <w:abstractNumId w:val="17"/>
  </w:num>
  <w:num w:numId="9">
    <w:abstractNumId w:val="13"/>
  </w:num>
  <w:num w:numId="10">
    <w:abstractNumId w:val="6"/>
  </w:num>
  <w:num w:numId="11">
    <w:abstractNumId w:val="9"/>
  </w:num>
  <w:num w:numId="12">
    <w:abstractNumId w:val="20"/>
  </w:num>
  <w:num w:numId="13">
    <w:abstractNumId w:val="10"/>
  </w:num>
  <w:num w:numId="14">
    <w:abstractNumId w:val="14"/>
  </w:num>
  <w:num w:numId="15">
    <w:abstractNumId w:val="1"/>
  </w:num>
  <w:num w:numId="16">
    <w:abstractNumId w:val="7"/>
  </w:num>
  <w:num w:numId="17">
    <w:abstractNumId w:val="4"/>
  </w:num>
  <w:num w:numId="18">
    <w:abstractNumId w:val="15"/>
  </w:num>
  <w:num w:numId="19">
    <w:abstractNumId w:val="11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B6B"/>
    <w:rsid w:val="00000DF5"/>
    <w:rsid w:val="00011E69"/>
    <w:rsid w:val="00021F4E"/>
    <w:rsid w:val="00023550"/>
    <w:rsid w:val="00037033"/>
    <w:rsid w:val="00055387"/>
    <w:rsid w:val="00056A1A"/>
    <w:rsid w:val="00060AF3"/>
    <w:rsid w:val="000617A6"/>
    <w:rsid w:val="00065244"/>
    <w:rsid w:val="00070674"/>
    <w:rsid w:val="00085D15"/>
    <w:rsid w:val="00092415"/>
    <w:rsid w:val="00092B7A"/>
    <w:rsid w:val="000A038F"/>
    <w:rsid w:val="000A402A"/>
    <w:rsid w:val="000A6FFD"/>
    <w:rsid w:val="000B48DB"/>
    <w:rsid w:val="000B5C4D"/>
    <w:rsid w:val="000D020A"/>
    <w:rsid w:val="000D1D74"/>
    <w:rsid w:val="000D6E89"/>
    <w:rsid w:val="000E611F"/>
    <w:rsid w:val="0010431C"/>
    <w:rsid w:val="00113D83"/>
    <w:rsid w:val="00147335"/>
    <w:rsid w:val="001522F9"/>
    <w:rsid w:val="00162203"/>
    <w:rsid w:val="00164414"/>
    <w:rsid w:val="001676D2"/>
    <w:rsid w:val="00172FB5"/>
    <w:rsid w:val="00177870"/>
    <w:rsid w:val="0019134A"/>
    <w:rsid w:val="001A12CE"/>
    <w:rsid w:val="001A12EA"/>
    <w:rsid w:val="001A541C"/>
    <w:rsid w:val="001B1EC4"/>
    <w:rsid w:val="001B66E7"/>
    <w:rsid w:val="001C025A"/>
    <w:rsid w:val="001C7CC9"/>
    <w:rsid w:val="001D060F"/>
    <w:rsid w:val="001D7091"/>
    <w:rsid w:val="001E6B94"/>
    <w:rsid w:val="001F47A8"/>
    <w:rsid w:val="001F4C2F"/>
    <w:rsid w:val="0020467B"/>
    <w:rsid w:val="00206FBE"/>
    <w:rsid w:val="00225B6B"/>
    <w:rsid w:val="00226873"/>
    <w:rsid w:val="00232B0F"/>
    <w:rsid w:val="00257DA1"/>
    <w:rsid w:val="0026169A"/>
    <w:rsid w:val="00266B6B"/>
    <w:rsid w:val="00273CEE"/>
    <w:rsid w:val="00275C4D"/>
    <w:rsid w:val="00283A8C"/>
    <w:rsid w:val="002A2DF0"/>
    <w:rsid w:val="002B5445"/>
    <w:rsid w:val="002C1A6C"/>
    <w:rsid w:val="002D61C5"/>
    <w:rsid w:val="002E42EB"/>
    <w:rsid w:val="002F0432"/>
    <w:rsid w:val="00307E9D"/>
    <w:rsid w:val="0032202A"/>
    <w:rsid w:val="00337E03"/>
    <w:rsid w:val="00357ABB"/>
    <w:rsid w:val="00364809"/>
    <w:rsid w:val="0036644B"/>
    <w:rsid w:val="003832DB"/>
    <w:rsid w:val="00392975"/>
    <w:rsid w:val="003C06FC"/>
    <w:rsid w:val="003C2FED"/>
    <w:rsid w:val="003F2D45"/>
    <w:rsid w:val="003F59F0"/>
    <w:rsid w:val="003F6D3F"/>
    <w:rsid w:val="00401C32"/>
    <w:rsid w:val="00420F25"/>
    <w:rsid w:val="004307C0"/>
    <w:rsid w:val="0044372E"/>
    <w:rsid w:val="0047086A"/>
    <w:rsid w:val="00471241"/>
    <w:rsid w:val="00472CAE"/>
    <w:rsid w:val="0047625B"/>
    <w:rsid w:val="00484C6A"/>
    <w:rsid w:val="00487822"/>
    <w:rsid w:val="00492AE2"/>
    <w:rsid w:val="00492E8A"/>
    <w:rsid w:val="0049375B"/>
    <w:rsid w:val="004952A7"/>
    <w:rsid w:val="00495BC2"/>
    <w:rsid w:val="004A095B"/>
    <w:rsid w:val="004A363A"/>
    <w:rsid w:val="004A7ECC"/>
    <w:rsid w:val="004B0B77"/>
    <w:rsid w:val="004B2E7F"/>
    <w:rsid w:val="004C0118"/>
    <w:rsid w:val="004D14A0"/>
    <w:rsid w:val="004D6D62"/>
    <w:rsid w:val="004E04DB"/>
    <w:rsid w:val="004E40A0"/>
    <w:rsid w:val="004E49D6"/>
    <w:rsid w:val="004F21A4"/>
    <w:rsid w:val="00507148"/>
    <w:rsid w:val="00511729"/>
    <w:rsid w:val="005132FD"/>
    <w:rsid w:val="00513D9A"/>
    <w:rsid w:val="005239B1"/>
    <w:rsid w:val="00525C49"/>
    <w:rsid w:val="005300FA"/>
    <w:rsid w:val="005308D4"/>
    <w:rsid w:val="00536D90"/>
    <w:rsid w:val="00540E60"/>
    <w:rsid w:val="00552785"/>
    <w:rsid w:val="00552D31"/>
    <w:rsid w:val="005538E7"/>
    <w:rsid w:val="005561AB"/>
    <w:rsid w:val="00560D49"/>
    <w:rsid w:val="00572CD8"/>
    <w:rsid w:val="00573DC3"/>
    <w:rsid w:val="005827A0"/>
    <w:rsid w:val="00583546"/>
    <w:rsid w:val="00590A16"/>
    <w:rsid w:val="005A2571"/>
    <w:rsid w:val="005B5502"/>
    <w:rsid w:val="005C71F9"/>
    <w:rsid w:val="005D2F13"/>
    <w:rsid w:val="005E1657"/>
    <w:rsid w:val="005E7C48"/>
    <w:rsid w:val="005F2144"/>
    <w:rsid w:val="005F461B"/>
    <w:rsid w:val="005F4BE5"/>
    <w:rsid w:val="005F5160"/>
    <w:rsid w:val="0060307C"/>
    <w:rsid w:val="00604006"/>
    <w:rsid w:val="00615B79"/>
    <w:rsid w:val="00620231"/>
    <w:rsid w:val="0062209E"/>
    <w:rsid w:val="006324E8"/>
    <w:rsid w:val="00661599"/>
    <w:rsid w:val="00667E0E"/>
    <w:rsid w:val="00671FE3"/>
    <w:rsid w:val="00672A00"/>
    <w:rsid w:val="0067550C"/>
    <w:rsid w:val="0068017F"/>
    <w:rsid w:val="0069428F"/>
    <w:rsid w:val="006A673D"/>
    <w:rsid w:val="006B0DA2"/>
    <w:rsid w:val="006B600C"/>
    <w:rsid w:val="006B7C6A"/>
    <w:rsid w:val="006D2937"/>
    <w:rsid w:val="006D2C65"/>
    <w:rsid w:val="006E2D34"/>
    <w:rsid w:val="006E3DB8"/>
    <w:rsid w:val="006E56A2"/>
    <w:rsid w:val="006F00EB"/>
    <w:rsid w:val="006F3EA8"/>
    <w:rsid w:val="006F6581"/>
    <w:rsid w:val="007073CF"/>
    <w:rsid w:val="00707C8C"/>
    <w:rsid w:val="00707E96"/>
    <w:rsid w:val="0072498A"/>
    <w:rsid w:val="007453F6"/>
    <w:rsid w:val="00765509"/>
    <w:rsid w:val="007663D7"/>
    <w:rsid w:val="00773838"/>
    <w:rsid w:val="0079028F"/>
    <w:rsid w:val="00791A07"/>
    <w:rsid w:val="007A7F72"/>
    <w:rsid w:val="007C275B"/>
    <w:rsid w:val="007E39AD"/>
    <w:rsid w:val="007F133B"/>
    <w:rsid w:val="007F3BAB"/>
    <w:rsid w:val="007F439C"/>
    <w:rsid w:val="008100F9"/>
    <w:rsid w:val="008131D1"/>
    <w:rsid w:val="008152A0"/>
    <w:rsid w:val="00815E8F"/>
    <w:rsid w:val="00815EDE"/>
    <w:rsid w:val="00840AD0"/>
    <w:rsid w:val="00841B64"/>
    <w:rsid w:val="00842A7B"/>
    <w:rsid w:val="008508B5"/>
    <w:rsid w:val="00853337"/>
    <w:rsid w:val="00855826"/>
    <w:rsid w:val="00864E6C"/>
    <w:rsid w:val="00866517"/>
    <w:rsid w:val="00871146"/>
    <w:rsid w:val="00873AAC"/>
    <w:rsid w:val="00882D91"/>
    <w:rsid w:val="008849FD"/>
    <w:rsid w:val="00892C5C"/>
    <w:rsid w:val="008C58D9"/>
    <w:rsid w:val="008D65D5"/>
    <w:rsid w:val="008F55C1"/>
    <w:rsid w:val="008F5BC1"/>
    <w:rsid w:val="008F6B78"/>
    <w:rsid w:val="00901559"/>
    <w:rsid w:val="00903A4A"/>
    <w:rsid w:val="009172AD"/>
    <w:rsid w:val="009207E5"/>
    <w:rsid w:val="00921F6E"/>
    <w:rsid w:val="00942A57"/>
    <w:rsid w:val="00943308"/>
    <w:rsid w:val="00956159"/>
    <w:rsid w:val="00957AF9"/>
    <w:rsid w:val="00961589"/>
    <w:rsid w:val="00963CB9"/>
    <w:rsid w:val="00973B2E"/>
    <w:rsid w:val="00974287"/>
    <w:rsid w:val="009867A8"/>
    <w:rsid w:val="009901E2"/>
    <w:rsid w:val="00991753"/>
    <w:rsid w:val="00995A60"/>
    <w:rsid w:val="009970B1"/>
    <w:rsid w:val="009A35EC"/>
    <w:rsid w:val="009A776C"/>
    <w:rsid w:val="009B003A"/>
    <w:rsid w:val="009C156E"/>
    <w:rsid w:val="009C1F6B"/>
    <w:rsid w:val="009D1C97"/>
    <w:rsid w:val="00A02507"/>
    <w:rsid w:val="00A04E8F"/>
    <w:rsid w:val="00A37847"/>
    <w:rsid w:val="00A4469D"/>
    <w:rsid w:val="00A50579"/>
    <w:rsid w:val="00A51774"/>
    <w:rsid w:val="00A62965"/>
    <w:rsid w:val="00A6302D"/>
    <w:rsid w:val="00A65881"/>
    <w:rsid w:val="00A67E7B"/>
    <w:rsid w:val="00A71D0E"/>
    <w:rsid w:val="00A7633F"/>
    <w:rsid w:val="00A77FD8"/>
    <w:rsid w:val="00AB1635"/>
    <w:rsid w:val="00AB55E4"/>
    <w:rsid w:val="00AD2AD4"/>
    <w:rsid w:val="00AD7E41"/>
    <w:rsid w:val="00AE3247"/>
    <w:rsid w:val="00AF3D00"/>
    <w:rsid w:val="00AF5E0E"/>
    <w:rsid w:val="00B05BAF"/>
    <w:rsid w:val="00B14A7F"/>
    <w:rsid w:val="00B41256"/>
    <w:rsid w:val="00B45A22"/>
    <w:rsid w:val="00B50987"/>
    <w:rsid w:val="00B55C5E"/>
    <w:rsid w:val="00B565EC"/>
    <w:rsid w:val="00B56C7D"/>
    <w:rsid w:val="00B60C5C"/>
    <w:rsid w:val="00B667B5"/>
    <w:rsid w:val="00B66DF1"/>
    <w:rsid w:val="00B73158"/>
    <w:rsid w:val="00B8782E"/>
    <w:rsid w:val="00B91ECB"/>
    <w:rsid w:val="00B96F83"/>
    <w:rsid w:val="00B9724D"/>
    <w:rsid w:val="00BA1CDC"/>
    <w:rsid w:val="00BA2B05"/>
    <w:rsid w:val="00BA5ADA"/>
    <w:rsid w:val="00BA7E86"/>
    <w:rsid w:val="00BB5D0F"/>
    <w:rsid w:val="00BC39C5"/>
    <w:rsid w:val="00BC4DF1"/>
    <w:rsid w:val="00BD1C28"/>
    <w:rsid w:val="00BD6532"/>
    <w:rsid w:val="00BD6A68"/>
    <w:rsid w:val="00BD7588"/>
    <w:rsid w:val="00BE0EBA"/>
    <w:rsid w:val="00C12672"/>
    <w:rsid w:val="00C21208"/>
    <w:rsid w:val="00C24129"/>
    <w:rsid w:val="00C24D3F"/>
    <w:rsid w:val="00C27082"/>
    <w:rsid w:val="00C411E9"/>
    <w:rsid w:val="00C5282E"/>
    <w:rsid w:val="00C55DF7"/>
    <w:rsid w:val="00C600FE"/>
    <w:rsid w:val="00C77989"/>
    <w:rsid w:val="00C8371C"/>
    <w:rsid w:val="00C84B37"/>
    <w:rsid w:val="00CA65EB"/>
    <w:rsid w:val="00CB254F"/>
    <w:rsid w:val="00CB4AE9"/>
    <w:rsid w:val="00CE7E94"/>
    <w:rsid w:val="00CF3645"/>
    <w:rsid w:val="00CF3B99"/>
    <w:rsid w:val="00D04F4F"/>
    <w:rsid w:val="00D06304"/>
    <w:rsid w:val="00D13A17"/>
    <w:rsid w:val="00D147DD"/>
    <w:rsid w:val="00D20398"/>
    <w:rsid w:val="00D320EA"/>
    <w:rsid w:val="00D33E1E"/>
    <w:rsid w:val="00D37FCB"/>
    <w:rsid w:val="00D40830"/>
    <w:rsid w:val="00D4271B"/>
    <w:rsid w:val="00D44947"/>
    <w:rsid w:val="00D44AF5"/>
    <w:rsid w:val="00D44E7A"/>
    <w:rsid w:val="00D50035"/>
    <w:rsid w:val="00D50355"/>
    <w:rsid w:val="00D517C9"/>
    <w:rsid w:val="00D56B73"/>
    <w:rsid w:val="00D645B3"/>
    <w:rsid w:val="00D64882"/>
    <w:rsid w:val="00D962FC"/>
    <w:rsid w:val="00DA04F3"/>
    <w:rsid w:val="00DA0C37"/>
    <w:rsid w:val="00DA32D3"/>
    <w:rsid w:val="00DA4269"/>
    <w:rsid w:val="00DA6EDC"/>
    <w:rsid w:val="00DB24CC"/>
    <w:rsid w:val="00DB3068"/>
    <w:rsid w:val="00DB57C8"/>
    <w:rsid w:val="00DB75A4"/>
    <w:rsid w:val="00DC0A3A"/>
    <w:rsid w:val="00DC20BA"/>
    <w:rsid w:val="00DD0844"/>
    <w:rsid w:val="00DD7A16"/>
    <w:rsid w:val="00DD7F37"/>
    <w:rsid w:val="00DE5673"/>
    <w:rsid w:val="00DF152E"/>
    <w:rsid w:val="00DF23C2"/>
    <w:rsid w:val="00DF40C3"/>
    <w:rsid w:val="00E00B30"/>
    <w:rsid w:val="00E062CC"/>
    <w:rsid w:val="00E117AD"/>
    <w:rsid w:val="00E12943"/>
    <w:rsid w:val="00E248A9"/>
    <w:rsid w:val="00E273E9"/>
    <w:rsid w:val="00E355B7"/>
    <w:rsid w:val="00E37EDE"/>
    <w:rsid w:val="00E46705"/>
    <w:rsid w:val="00E64E87"/>
    <w:rsid w:val="00E662E5"/>
    <w:rsid w:val="00E92A61"/>
    <w:rsid w:val="00E92B02"/>
    <w:rsid w:val="00EB3A40"/>
    <w:rsid w:val="00EB60FD"/>
    <w:rsid w:val="00EB7E10"/>
    <w:rsid w:val="00EC27D6"/>
    <w:rsid w:val="00ED6A91"/>
    <w:rsid w:val="00EE20FD"/>
    <w:rsid w:val="00EE31D8"/>
    <w:rsid w:val="00EE3535"/>
    <w:rsid w:val="00EE5DC5"/>
    <w:rsid w:val="00F00A20"/>
    <w:rsid w:val="00F07875"/>
    <w:rsid w:val="00F0793B"/>
    <w:rsid w:val="00F14E4B"/>
    <w:rsid w:val="00F20B0B"/>
    <w:rsid w:val="00F24B93"/>
    <w:rsid w:val="00F502A6"/>
    <w:rsid w:val="00F515D0"/>
    <w:rsid w:val="00F52C5C"/>
    <w:rsid w:val="00F53CD6"/>
    <w:rsid w:val="00F63781"/>
    <w:rsid w:val="00F81770"/>
    <w:rsid w:val="00F84F59"/>
    <w:rsid w:val="00F93402"/>
    <w:rsid w:val="00FA0252"/>
    <w:rsid w:val="00FA2AC6"/>
    <w:rsid w:val="00FA5490"/>
    <w:rsid w:val="00FC2E4C"/>
    <w:rsid w:val="00FD34FB"/>
    <w:rsid w:val="00FD381B"/>
    <w:rsid w:val="00FD538B"/>
    <w:rsid w:val="00FD6403"/>
    <w:rsid w:val="00FE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68"/>
  </w:style>
  <w:style w:type="paragraph" w:styleId="1">
    <w:name w:val="heading 1"/>
    <w:basedOn w:val="a"/>
    <w:link w:val="10"/>
    <w:uiPriority w:val="9"/>
    <w:qFormat/>
    <w:rsid w:val="001D06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F13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2AD"/>
  </w:style>
  <w:style w:type="character" w:customStyle="1" w:styleId="FontStyle21">
    <w:name w:val="Font Style21"/>
    <w:rsid w:val="009172AD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E248A9"/>
    <w:pPr>
      <w:ind w:left="720"/>
      <w:contextualSpacing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6F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F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06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0A1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F133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te">
    <w:name w:val="note"/>
    <w:basedOn w:val="a"/>
    <w:rsid w:val="007F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7F133B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7F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68"/>
  </w:style>
  <w:style w:type="paragraph" w:styleId="1">
    <w:name w:val="heading 1"/>
    <w:basedOn w:val="a"/>
    <w:link w:val="10"/>
    <w:uiPriority w:val="9"/>
    <w:qFormat/>
    <w:rsid w:val="001D06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F13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2AD"/>
  </w:style>
  <w:style w:type="character" w:customStyle="1" w:styleId="FontStyle21">
    <w:name w:val="Font Style21"/>
    <w:rsid w:val="009172AD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E248A9"/>
    <w:pPr>
      <w:ind w:left="720"/>
      <w:contextualSpacing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uiPriority w:val="59"/>
    <w:rsid w:val="006F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F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06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0A1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F133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te">
    <w:name w:val="note"/>
    <w:basedOn w:val="a"/>
    <w:rsid w:val="007F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7F133B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7F1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41A7B-1F7D-4C97-8048-07D19891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Кемалов Мейрамбай  Тамабаевич</dc:creator>
  <cp:lastModifiedBy>Бисимбинов Шахдияр Бахтиярович</cp:lastModifiedBy>
  <cp:revision>4</cp:revision>
  <cp:lastPrinted>2024-03-11T15:48:00Z</cp:lastPrinted>
  <dcterms:created xsi:type="dcterms:W3CDTF">2024-03-15T04:44:00Z</dcterms:created>
  <dcterms:modified xsi:type="dcterms:W3CDTF">2024-03-15T06:16:00Z</dcterms:modified>
</cp:coreProperties>
</file>