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mallCaps w:val="0"/>
        </w:rPr>
      </w:pPr>
      <w:r>
        <w:rPr>
          <w:b/>
          <w:bCs/>
          <w:smallCaps w:val="0"/>
        </w:rPr>
        <w:t>НЕТЕХНИЧЕСКОЕ РЕЗЮМЕ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 xml:space="preserve">Объект проектирования ТЭО «Строительство Индустриального парка № 2» </w:t>
      </w:r>
      <w:proofErr w:type="spellStart"/>
      <w:proofErr w:type="gramStart"/>
      <w:r>
        <w:rPr>
          <w:bCs/>
          <w:smallCaps w:val="0"/>
        </w:rPr>
        <w:t>нахо-дится</w:t>
      </w:r>
      <w:proofErr w:type="spellEnd"/>
      <w:proofErr w:type="gramEnd"/>
      <w:r>
        <w:rPr>
          <w:bCs/>
          <w:smallCaps w:val="0"/>
        </w:rPr>
        <w:t xml:space="preserve"> в районе улицы с проектным названием А335, северо-западнее жилого массива Же-</w:t>
      </w:r>
      <w:proofErr w:type="spellStart"/>
      <w:r>
        <w:rPr>
          <w:bCs/>
          <w:smallCaps w:val="0"/>
        </w:rPr>
        <w:t>лезнодорожный</w:t>
      </w:r>
      <w:proofErr w:type="spellEnd"/>
      <w:r>
        <w:rPr>
          <w:bCs/>
          <w:smallCaps w:val="0"/>
        </w:rPr>
        <w:t xml:space="preserve"> и является частью программы генерального плана развития г. Астана до 2030г.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mallCaps w:val="0"/>
        </w:rPr>
      </w:pPr>
      <w:r>
        <w:rPr>
          <w:b/>
          <w:bCs/>
          <w:smallCaps w:val="0"/>
        </w:rPr>
        <w:t xml:space="preserve">К основным объектам планировочной структуры </w:t>
      </w:r>
      <w:proofErr w:type="spellStart"/>
      <w:r>
        <w:rPr>
          <w:b/>
          <w:bCs/>
          <w:smallCaps w:val="0"/>
        </w:rPr>
        <w:t>промзоны</w:t>
      </w:r>
      <w:proofErr w:type="spellEnd"/>
      <w:r>
        <w:rPr>
          <w:b/>
          <w:bCs/>
          <w:smallCaps w:val="0"/>
        </w:rPr>
        <w:t xml:space="preserve"> приняты след</w:t>
      </w:r>
      <w:r>
        <w:rPr>
          <w:b/>
          <w:bCs/>
          <w:smallCaps w:val="0"/>
        </w:rPr>
        <w:t>у</w:t>
      </w:r>
      <w:r>
        <w:rPr>
          <w:b/>
          <w:bCs/>
          <w:smallCaps w:val="0"/>
        </w:rPr>
        <w:t>ющие объекты: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mallCaps w:val="0"/>
        </w:rPr>
      </w:pPr>
      <w:r>
        <w:rPr>
          <w:b/>
          <w:bCs/>
          <w:smallCaps w:val="0"/>
        </w:rPr>
        <w:t>- подстанция «</w:t>
      </w:r>
      <w:proofErr w:type="spellStart"/>
      <w:r>
        <w:rPr>
          <w:b/>
          <w:bCs/>
          <w:smallCaps w:val="0"/>
        </w:rPr>
        <w:t>Даулет</w:t>
      </w:r>
      <w:proofErr w:type="spellEnd"/>
      <w:r>
        <w:rPr>
          <w:b/>
          <w:bCs/>
          <w:smallCaps w:val="0"/>
        </w:rPr>
        <w:t xml:space="preserve">» 110/20 </w:t>
      </w:r>
      <w:proofErr w:type="spellStart"/>
      <w:r>
        <w:rPr>
          <w:b/>
          <w:bCs/>
          <w:smallCaps w:val="0"/>
        </w:rPr>
        <w:t>кВ</w:t>
      </w:r>
      <w:proofErr w:type="spellEnd"/>
      <w:r>
        <w:rPr>
          <w:b/>
          <w:bCs/>
          <w:smallCaps w:val="0"/>
        </w:rPr>
        <w:t>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mallCaps w:val="0"/>
        </w:rPr>
      </w:pPr>
      <w:r>
        <w:rPr>
          <w:b/>
          <w:bCs/>
          <w:smallCaps w:val="0"/>
        </w:rPr>
        <w:t>- сети инженерного обеспечения и сооружения на них;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mallCaps w:val="0"/>
        </w:rPr>
      </w:pPr>
      <w:r>
        <w:rPr>
          <w:b/>
          <w:bCs/>
          <w:smallCaps w:val="0"/>
        </w:rPr>
        <w:t>- автомобильные и железные дороги общего пользования.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 xml:space="preserve">Площадь территории в границах индустриального парка согласно схеме </w:t>
      </w:r>
      <w:proofErr w:type="spellStart"/>
      <w:proofErr w:type="gramStart"/>
      <w:r>
        <w:rPr>
          <w:bCs/>
          <w:smallCaps w:val="0"/>
        </w:rPr>
        <w:t>располо-жения</w:t>
      </w:r>
      <w:proofErr w:type="spellEnd"/>
      <w:proofErr w:type="gramEnd"/>
      <w:r>
        <w:rPr>
          <w:bCs/>
          <w:smallCaps w:val="0"/>
        </w:rPr>
        <w:t xml:space="preserve"> земельного участка S-2 составляет 409,51 га.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 xml:space="preserve">Генеральным планом предусмотрено размещение на отведённом земельном </w:t>
      </w:r>
      <w:proofErr w:type="spellStart"/>
      <w:proofErr w:type="gramStart"/>
      <w:r>
        <w:rPr>
          <w:bCs/>
          <w:smallCaps w:val="0"/>
        </w:rPr>
        <w:t>участ-ке</w:t>
      </w:r>
      <w:proofErr w:type="spellEnd"/>
      <w:proofErr w:type="gramEnd"/>
      <w:r>
        <w:rPr>
          <w:bCs/>
          <w:smallCaps w:val="0"/>
        </w:rPr>
        <w:t xml:space="preserve"> следующего набора служебно-технических и производственных зданий и сооружении: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>- административно-бытовое здание управляющей компании;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>- зона досмотра таможенного контроля №1 и №2;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>- пожарное депо на 2 автомашины;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>- контрольно-пропускной пункт, с навесами, воротами с электроприводом и шла</w:t>
      </w:r>
      <w:r>
        <w:rPr>
          <w:bCs/>
          <w:smallCaps w:val="0"/>
        </w:rPr>
        <w:t>г</w:t>
      </w:r>
      <w:r>
        <w:rPr>
          <w:bCs/>
          <w:smallCaps w:val="0"/>
        </w:rPr>
        <w:t>баумом;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>- подстанция 110/20кВ «</w:t>
      </w:r>
      <w:proofErr w:type="spellStart"/>
      <w:r>
        <w:rPr>
          <w:bCs/>
          <w:smallCaps w:val="0"/>
        </w:rPr>
        <w:t>Даулет</w:t>
      </w:r>
      <w:proofErr w:type="spellEnd"/>
      <w:r>
        <w:rPr>
          <w:bCs/>
          <w:smallCaps w:val="0"/>
        </w:rPr>
        <w:t>»;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>- канализационно-насосная станция №1 и №2;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  <w:r>
        <w:rPr>
          <w:bCs/>
          <w:smallCaps w:val="0"/>
        </w:rPr>
        <w:t>- логистический центр.</w:t>
      </w:r>
    </w:p>
    <w:p>
      <w:pPr>
        <w:spacing w:line="360" w:lineRule="auto"/>
        <w:ind w:firstLine="709"/>
        <w:jc w:val="both"/>
        <w:rPr>
          <w:b/>
          <w:smallCaps w:val="0"/>
        </w:rPr>
      </w:pPr>
      <w:r>
        <w:rPr>
          <w:b/>
          <w:smallCaps w:val="0"/>
        </w:rPr>
        <w:t>Подстанция «</w:t>
      </w:r>
      <w:proofErr w:type="spellStart"/>
      <w:r>
        <w:rPr>
          <w:b/>
          <w:smallCaps w:val="0"/>
        </w:rPr>
        <w:t>Даулет</w:t>
      </w:r>
      <w:proofErr w:type="spellEnd"/>
      <w:r>
        <w:rPr>
          <w:b/>
          <w:smallCaps w:val="0"/>
        </w:rPr>
        <w:t>».</w:t>
      </w:r>
    </w:p>
    <w:p>
      <w:pPr>
        <w:spacing w:line="360" w:lineRule="auto"/>
        <w:ind w:firstLine="709"/>
        <w:jc w:val="both"/>
        <w:rPr>
          <w:smallCaps w:val="0"/>
        </w:rPr>
      </w:pPr>
      <w:r>
        <w:rPr>
          <w:smallCaps w:val="0"/>
        </w:rPr>
        <w:t xml:space="preserve">Генеральный план подстанции 110 </w:t>
      </w:r>
      <w:proofErr w:type="spellStart"/>
      <w:r>
        <w:rPr>
          <w:smallCaps w:val="0"/>
        </w:rPr>
        <w:t>кВ</w:t>
      </w:r>
      <w:proofErr w:type="spellEnd"/>
      <w:r>
        <w:rPr>
          <w:smallCaps w:val="0"/>
        </w:rPr>
        <w:t xml:space="preserve"> разработан с учетом ситуационных условий строительства, удобства подъездов к подстанции для доставки  оборудования и тяжел</w:t>
      </w:r>
      <w:r>
        <w:rPr>
          <w:smallCaps w:val="0"/>
        </w:rPr>
        <w:t>о</w:t>
      </w:r>
      <w:r>
        <w:rPr>
          <w:smallCaps w:val="0"/>
        </w:rPr>
        <w:t>весных силовых трансформаторов к месту их установки, пожарных подъездов, подходов КЛ 110кВ и прокладки других коммуникаций.</w:t>
      </w:r>
    </w:p>
    <w:p>
      <w:pPr>
        <w:spacing w:line="360" w:lineRule="auto"/>
        <w:ind w:firstLine="709"/>
        <w:jc w:val="both"/>
        <w:rPr>
          <w:smallCaps w:val="0"/>
        </w:rPr>
      </w:pPr>
      <w:r>
        <w:rPr>
          <w:smallCaps w:val="0"/>
        </w:rPr>
        <w:t xml:space="preserve">Подключение проектируемой подстанции предусматривается путем строительства 2-х </w:t>
      </w:r>
      <w:proofErr w:type="spellStart"/>
      <w:r>
        <w:rPr>
          <w:smallCaps w:val="0"/>
        </w:rPr>
        <w:t>двухцепных</w:t>
      </w:r>
      <w:proofErr w:type="spellEnd"/>
      <w:r>
        <w:rPr>
          <w:smallCaps w:val="0"/>
        </w:rPr>
        <w:t xml:space="preserve"> КЛ-110кВ с ОВЛС от ПС 110/20 </w:t>
      </w:r>
      <w:proofErr w:type="spellStart"/>
      <w:r>
        <w:rPr>
          <w:smallCaps w:val="0"/>
        </w:rPr>
        <w:t>кВ</w:t>
      </w:r>
      <w:proofErr w:type="spellEnd"/>
      <w:r>
        <w:rPr>
          <w:smallCaps w:val="0"/>
        </w:rPr>
        <w:t xml:space="preserve"> «Казбек» и ПС 110/20 </w:t>
      </w:r>
      <w:proofErr w:type="spellStart"/>
      <w:r>
        <w:rPr>
          <w:smallCaps w:val="0"/>
        </w:rPr>
        <w:t>кВ</w:t>
      </w:r>
      <w:proofErr w:type="spellEnd"/>
      <w:r>
        <w:rPr>
          <w:smallCaps w:val="0"/>
        </w:rPr>
        <w:t xml:space="preserve"> «</w:t>
      </w:r>
      <w:proofErr w:type="spellStart"/>
      <w:r>
        <w:rPr>
          <w:smallCaps w:val="0"/>
        </w:rPr>
        <w:t>Байтерек</w:t>
      </w:r>
      <w:proofErr w:type="spellEnd"/>
      <w:r>
        <w:rPr>
          <w:smallCaps w:val="0"/>
        </w:rPr>
        <w:t>».</w:t>
      </w:r>
    </w:p>
    <w:p>
      <w:pPr>
        <w:spacing w:line="360" w:lineRule="auto"/>
        <w:ind w:firstLine="709"/>
        <w:jc w:val="both"/>
        <w:rPr>
          <w:smallCaps w:val="0"/>
        </w:rPr>
      </w:pPr>
      <w:r>
        <w:rPr>
          <w:smallCaps w:val="0"/>
        </w:rPr>
        <w:t xml:space="preserve">На подстанции предусматриваются кабельные каналы для организованного вывода кабельных линий из ЗРУ 20 </w:t>
      </w:r>
      <w:proofErr w:type="spellStart"/>
      <w:r>
        <w:rPr>
          <w:smallCaps w:val="0"/>
        </w:rPr>
        <w:t>кВ</w:t>
      </w:r>
      <w:proofErr w:type="spellEnd"/>
      <w:r>
        <w:rPr>
          <w:smallCaps w:val="0"/>
        </w:rPr>
        <w:t xml:space="preserve"> до ограды подстанции. Внутриплощадочные проезды и подъездные дороги предусмотрены с асфальтовым покрытием.</w:t>
      </w:r>
    </w:p>
    <w:p>
      <w:pPr>
        <w:spacing w:line="360" w:lineRule="auto"/>
        <w:ind w:firstLine="709"/>
        <w:jc w:val="center"/>
        <w:rPr>
          <w:i/>
          <w:smallCaps w:val="0"/>
        </w:rPr>
      </w:pPr>
      <w:r>
        <w:rPr>
          <w:i/>
          <w:smallCaps w:val="0"/>
        </w:rPr>
        <w:t xml:space="preserve">Показатели генплана подстанции 110/20 </w:t>
      </w:r>
      <w:proofErr w:type="spellStart"/>
      <w:r>
        <w:rPr>
          <w:i/>
          <w:smallCaps w:val="0"/>
        </w:rPr>
        <w:t>кВ</w:t>
      </w:r>
      <w:proofErr w:type="spellEnd"/>
    </w:p>
    <w:p>
      <w:pPr>
        <w:spacing w:line="360" w:lineRule="auto"/>
        <w:ind w:firstLine="709"/>
        <w:jc w:val="right"/>
        <w:rPr>
          <w:smallCaps w:val="0"/>
        </w:rPr>
      </w:pPr>
      <w:r>
        <w:rPr>
          <w:smallCaps w:val="0"/>
        </w:rPr>
        <w:t>Таблица №1.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97"/>
        <w:gridCol w:w="1783"/>
        <w:gridCol w:w="1866"/>
        <w:gridCol w:w="1782"/>
      </w:tblGrid>
      <w:tr>
        <w:tc>
          <w:tcPr>
            <w:tcW w:w="440" w:type="pc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№</w:t>
            </w:r>
            <w:proofErr w:type="gramStart"/>
            <w:r>
              <w:rPr>
                <w:rFonts w:eastAsia="Calibri"/>
                <w:b/>
                <w:smallCaps w:val="0"/>
              </w:rPr>
              <w:t>п</w:t>
            </w:r>
            <w:proofErr w:type="gramEnd"/>
            <w:r>
              <w:rPr>
                <w:rFonts w:eastAsia="Calibri"/>
                <w:b/>
                <w:smallCaps w:val="0"/>
              </w:rPr>
              <w:t>/п</w:t>
            </w:r>
          </w:p>
        </w:tc>
        <w:tc>
          <w:tcPr>
            <w:tcW w:w="1722" w:type="pc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Наименование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 xml:space="preserve">Ед. </w:t>
            </w:r>
            <w:proofErr w:type="spellStart"/>
            <w:r>
              <w:rPr>
                <w:rFonts w:eastAsia="Calibri"/>
                <w:b/>
                <w:smallCaps w:val="0"/>
              </w:rPr>
              <w:t>изм</w:t>
            </w:r>
            <w:proofErr w:type="spell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Количество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%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lastRenderedPageBreak/>
              <w:t>1.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участка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га</w:t>
            </w:r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1,347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100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застройки в т. ч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1434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11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2.1.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Подстанция «</w:t>
            </w:r>
            <w:proofErr w:type="spellStart"/>
            <w:r>
              <w:rPr>
                <w:rFonts w:eastAsia="Calibri"/>
                <w:smallCaps w:val="0"/>
              </w:rPr>
              <w:t>Даулет</w:t>
            </w:r>
            <w:proofErr w:type="spellEnd"/>
            <w:r>
              <w:rPr>
                <w:rFonts w:eastAsia="Calibri"/>
                <w:smallCaps w:val="0"/>
              </w:rPr>
              <w:t>»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1380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2.2.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КПП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18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2.3.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 xml:space="preserve">Гараж на 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  <w:r>
              <w:rPr>
                <w:rFonts w:eastAsia="Calibri"/>
                <w:smallCaps w:val="0"/>
              </w:rPr>
              <w:t xml:space="preserve"> а/машины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36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покрытий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4355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32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озеленения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7582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56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5.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 xml:space="preserve">Площадь </w:t>
            </w:r>
            <w:proofErr w:type="spellStart"/>
            <w:r>
              <w:rPr>
                <w:rFonts w:eastAsia="Calibri"/>
                <w:smallCaps w:val="0"/>
              </w:rPr>
              <w:t>отмостки</w:t>
            </w:r>
            <w:proofErr w:type="spellEnd"/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143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6.</w:t>
            </w:r>
          </w:p>
        </w:tc>
        <w:tc>
          <w:tcPr>
            <w:tcW w:w="1722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Ограждение участка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proofErr w:type="spellStart"/>
            <w:r>
              <w:rPr>
                <w:rFonts w:eastAsia="Calibri"/>
                <w:smallCaps w:val="0"/>
              </w:rPr>
              <w:t>п</w:t>
            </w:r>
            <w:proofErr w:type="gramStart"/>
            <w:r>
              <w:rPr>
                <w:rFonts w:eastAsia="Calibri"/>
                <w:smallCaps w:val="0"/>
              </w:rPr>
              <w:t>.м</w:t>
            </w:r>
            <w:proofErr w:type="spellEnd"/>
            <w:proofErr w:type="gramEnd"/>
          </w:p>
        </w:tc>
        <w:tc>
          <w:tcPr>
            <w:tcW w:w="97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452,0</w:t>
            </w:r>
          </w:p>
        </w:tc>
        <w:tc>
          <w:tcPr>
            <w:tcW w:w="931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mallCaps w:val="0"/>
        </w:rPr>
      </w:pPr>
    </w:p>
    <w:p>
      <w:pPr>
        <w:spacing w:line="360" w:lineRule="auto"/>
        <w:ind w:firstLine="709"/>
        <w:rPr>
          <w:b/>
          <w:smallCaps w:val="0"/>
        </w:rPr>
      </w:pPr>
      <w:r>
        <w:rPr>
          <w:b/>
          <w:smallCaps w:val="0"/>
        </w:rPr>
        <w:t>Канализационно-насосные станции</w:t>
      </w:r>
    </w:p>
    <w:p>
      <w:pPr>
        <w:spacing w:line="360" w:lineRule="auto"/>
        <w:ind w:firstLine="709"/>
        <w:jc w:val="both"/>
        <w:rPr>
          <w:smallCaps w:val="0"/>
        </w:rPr>
      </w:pPr>
      <w:r>
        <w:rPr>
          <w:smallCaps w:val="0"/>
        </w:rPr>
        <w:t>В связи с большой протяженностью сетей хозяйственно-бытовой канализации предусмотрены две канализационных насосных станции, работающие в автоматическом режиме.</w:t>
      </w:r>
    </w:p>
    <w:p>
      <w:pPr>
        <w:spacing w:line="360" w:lineRule="auto"/>
        <w:ind w:firstLine="709"/>
        <w:jc w:val="both"/>
        <w:rPr>
          <w:smallCaps w:val="0"/>
        </w:rPr>
      </w:pPr>
      <w:r>
        <w:rPr>
          <w:smallCaps w:val="0"/>
        </w:rPr>
        <w:t>Показатели генплана канализационно-насосных станции</w:t>
      </w:r>
    </w:p>
    <w:p>
      <w:pPr>
        <w:spacing w:line="360" w:lineRule="auto"/>
        <w:ind w:firstLine="709"/>
        <w:jc w:val="right"/>
        <w:rPr>
          <w:smallCaps w:val="0"/>
        </w:rPr>
      </w:pPr>
      <w:r>
        <w:rPr>
          <w:smallCaps w:val="0"/>
        </w:rPr>
        <w:t>Таблица №2.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112"/>
        <w:gridCol w:w="1640"/>
        <w:gridCol w:w="1145"/>
        <w:gridCol w:w="1194"/>
        <w:gridCol w:w="1637"/>
      </w:tblGrid>
      <w:tr>
        <w:tc>
          <w:tcPr>
            <w:tcW w:w="440" w:type="pct"/>
            <w:vMerge w:val="restart"/>
            <w:shd w:val="clear" w:color="auto" w:fill="auto"/>
          </w:tcPr>
          <w:p>
            <w:pPr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№</w:t>
            </w:r>
            <w:proofErr w:type="gramStart"/>
            <w:r>
              <w:rPr>
                <w:rFonts w:eastAsia="Calibri"/>
                <w:b/>
                <w:smallCaps w:val="0"/>
              </w:rPr>
              <w:t>п</w:t>
            </w:r>
            <w:proofErr w:type="gramEnd"/>
            <w:r>
              <w:rPr>
                <w:rFonts w:eastAsia="Calibri"/>
                <w:b/>
                <w:smallCaps w:val="0"/>
              </w:rPr>
              <w:t>/п</w:t>
            </w:r>
          </w:p>
        </w:tc>
        <w:tc>
          <w:tcPr>
            <w:tcW w:w="1626" w:type="pct"/>
            <w:vMerge w:val="restar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Наименование</w:t>
            </w:r>
          </w:p>
        </w:tc>
        <w:tc>
          <w:tcPr>
            <w:tcW w:w="857" w:type="pct"/>
            <w:vMerge w:val="restar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 xml:space="preserve">Ед. </w:t>
            </w:r>
            <w:proofErr w:type="spellStart"/>
            <w:r>
              <w:rPr>
                <w:rFonts w:eastAsia="Calibri"/>
                <w:b/>
                <w:smallCaps w:val="0"/>
              </w:rPr>
              <w:t>изм</w:t>
            </w:r>
            <w:proofErr w:type="spellEnd"/>
          </w:p>
        </w:tc>
        <w:tc>
          <w:tcPr>
            <w:tcW w:w="1222" w:type="pct"/>
            <w:gridSpan w:val="2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Количество</w:t>
            </w:r>
          </w:p>
        </w:tc>
        <w:tc>
          <w:tcPr>
            <w:tcW w:w="855" w:type="pct"/>
            <w:vMerge w:val="restar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</w:p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%</w:t>
            </w:r>
          </w:p>
        </w:tc>
      </w:tr>
      <w:tr>
        <w:tc>
          <w:tcPr>
            <w:tcW w:w="440" w:type="pct"/>
            <w:vMerge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</w:p>
        </w:tc>
        <w:tc>
          <w:tcPr>
            <w:tcW w:w="1626" w:type="pct"/>
            <w:vMerge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</w:p>
        </w:tc>
        <w:tc>
          <w:tcPr>
            <w:tcW w:w="857" w:type="pct"/>
            <w:vMerge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№1</w:t>
            </w: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b/>
                <w:smallCaps w:val="0"/>
              </w:rPr>
            </w:pPr>
            <w:r>
              <w:rPr>
                <w:rFonts w:eastAsia="Calibri"/>
                <w:b/>
                <w:smallCaps w:val="0"/>
              </w:rPr>
              <w:t>№2</w:t>
            </w:r>
          </w:p>
        </w:tc>
        <w:tc>
          <w:tcPr>
            <w:tcW w:w="855" w:type="pct"/>
            <w:vMerge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участка</w:t>
            </w:r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га</w:t>
            </w:r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0,12</w:t>
            </w: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0,1</w:t>
            </w: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100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 xml:space="preserve">Площадь застройки в </w:t>
            </w:r>
            <w:proofErr w:type="spellStart"/>
            <w:r>
              <w:rPr>
                <w:rFonts w:eastAsia="Calibri"/>
                <w:smallCaps w:val="0"/>
              </w:rPr>
              <w:t>т</w:t>
            </w:r>
            <w:proofErr w:type="gramStart"/>
            <w:r>
              <w:rPr>
                <w:rFonts w:eastAsia="Calibri"/>
                <w:smallCaps w:val="0"/>
              </w:rPr>
              <w:t>.ч</w:t>
            </w:r>
            <w:proofErr w:type="spellEnd"/>
            <w:proofErr w:type="gramEnd"/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60</w:t>
            </w: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60</w:t>
            </w: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2.1.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Подстанция «</w:t>
            </w:r>
            <w:proofErr w:type="spellStart"/>
            <w:r>
              <w:rPr>
                <w:rFonts w:eastAsia="Calibri"/>
                <w:smallCaps w:val="0"/>
              </w:rPr>
              <w:t>Даулет</w:t>
            </w:r>
            <w:proofErr w:type="spellEnd"/>
            <w:r>
              <w:rPr>
                <w:rFonts w:eastAsia="Calibri"/>
                <w:smallCaps w:val="0"/>
              </w:rPr>
              <w:t>»</w:t>
            </w:r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2.2.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КПП</w:t>
            </w:r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2.3.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 xml:space="preserve">Гараж на 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  <w:r>
              <w:rPr>
                <w:rFonts w:eastAsia="Calibri"/>
                <w:smallCaps w:val="0"/>
              </w:rPr>
              <w:t xml:space="preserve"> а/машины</w:t>
            </w:r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покрытий</w:t>
            </w:r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257</w:t>
            </w: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306</w:t>
            </w: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30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озеленения</w:t>
            </w:r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891</w:t>
            </w: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645</w:t>
            </w: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64</w:t>
            </w: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5.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 xml:space="preserve">Площадь </w:t>
            </w:r>
            <w:proofErr w:type="spellStart"/>
            <w:r>
              <w:rPr>
                <w:rFonts w:eastAsia="Calibri"/>
                <w:smallCaps w:val="0"/>
              </w:rPr>
              <w:t>отмостки</w:t>
            </w:r>
            <w:proofErr w:type="spellEnd"/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  <w:tr>
        <w:tc>
          <w:tcPr>
            <w:tcW w:w="440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6.</w:t>
            </w:r>
          </w:p>
        </w:tc>
        <w:tc>
          <w:tcPr>
            <w:tcW w:w="1626" w:type="pct"/>
            <w:shd w:val="clear" w:color="auto" w:fill="auto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Ограждение участка</w:t>
            </w:r>
          </w:p>
        </w:tc>
        <w:tc>
          <w:tcPr>
            <w:tcW w:w="857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proofErr w:type="spellStart"/>
            <w:r>
              <w:rPr>
                <w:rFonts w:eastAsia="Calibri"/>
                <w:smallCaps w:val="0"/>
              </w:rPr>
              <w:t>п</w:t>
            </w:r>
            <w:proofErr w:type="gramStart"/>
            <w:r>
              <w:rPr>
                <w:rFonts w:eastAsia="Calibri"/>
                <w:smallCaps w:val="0"/>
              </w:rPr>
              <w:t>.м</w:t>
            </w:r>
            <w:proofErr w:type="spellEnd"/>
            <w:proofErr w:type="gramEnd"/>
          </w:p>
        </w:tc>
        <w:tc>
          <w:tcPr>
            <w:tcW w:w="598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134</w:t>
            </w:r>
          </w:p>
        </w:tc>
        <w:tc>
          <w:tcPr>
            <w:tcW w:w="624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121</w:t>
            </w:r>
          </w:p>
        </w:tc>
        <w:tc>
          <w:tcPr>
            <w:tcW w:w="855" w:type="pct"/>
            <w:shd w:val="clear" w:color="auto" w:fill="auto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</w:tr>
    </w:tbl>
    <w:p>
      <w:pPr>
        <w:spacing w:line="360" w:lineRule="auto"/>
        <w:ind w:firstLine="709"/>
        <w:jc w:val="both"/>
        <w:rPr>
          <w:smallCaps w:val="0"/>
        </w:rPr>
      </w:pPr>
    </w:p>
    <w:p>
      <w:pPr>
        <w:spacing w:line="360" w:lineRule="auto"/>
        <w:ind w:firstLine="709"/>
        <w:rPr>
          <w:b/>
          <w:smallCaps w:val="0"/>
        </w:rPr>
      </w:pPr>
      <w:r>
        <w:rPr>
          <w:b/>
          <w:smallCaps w:val="0"/>
        </w:rPr>
        <w:t>Автомобильные дороги</w:t>
      </w:r>
    </w:p>
    <w:p>
      <w:pPr>
        <w:spacing w:line="360" w:lineRule="auto"/>
        <w:ind w:firstLine="709"/>
        <w:jc w:val="both"/>
        <w:rPr>
          <w:i/>
          <w:smallCaps w:val="0"/>
        </w:rPr>
      </w:pPr>
      <w:r>
        <w:rPr>
          <w:i/>
          <w:smallCaps w:val="0"/>
        </w:rPr>
        <w:t>Общеплощадочные технические решения организации автомобильных перевозок.</w:t>
      </w:r>
    </w:p>
    <w:p>
      <w:pPr>
        <w:autoSpaceDE w:val="0"/>
        <w:autoSpaceDN w:val="0"/>
        <w:adjustRightInd w:val="0"/>
        <w:spacing w:line="360" w:lineRule="auto"/>
        <w:ind w:firstLine="709"/>
        <w:jc w:val="both"/>
        <w:rPr>
          <w:smallCaps w:val="0"/>
        </w:rPr>
      </w:pPr>
      <w:r>
        <w:rPr>
          <w:smallCaps w:val="0"/>
        </w:rPr>
        <w:t>Учитывая, что построение каркаса Индустриального парка №2 в Северном (пр</w:t>
      </w:r>
      <w:r>
        <w:rPr>
          <w:smallCaps w:val="0"/>
        </w:rPr>
        <w:t>о</w:t>
      </w:r>
      <w:r>
        <w:rPr>
          <w:smallCaps w:val="0"/>
        </w:rPr>
        <w:t>мышленном) планировочном районе города Астаны базируется на внутриузловых и маг</w:t>
      </w:r>
      <w:r>
        <w:rPr>
          <w:smallCaps w:val="0"/>
        </w:rPr>
        <w:t>и</w:t>
      </w:r>
      <w:r>
        <w:rPr>
          <w:smallCaps w:val="0"/>
        </w:rPr>
        <w:t>стральных автомобильных дорогах, основная часть грузоперевозок по поставке и отпра</w:t>
      </w:r>
      <w:r>
        <w:rPr>
          <w:smallCaps w:val="0"/>
        </w:rPr>
        <w:t>в</w:t>
      </w:r>
      <w:r>
        <w:rPr>
          <w:smallCaps w:val="0"/>
        </w:rPr>
        <w:t>лению будет осуществляться автомобильным транспортом. В границах индустриального парка предусматриваются магистральные улицы районного значения регулируемого дв</w:t>
      </w:r>
      <w:r>
        <w:rPr>
          <w:smallCaps w:val="0"/>
        </w:rPr>
        <w:t>и</w:t>
      </w:r>
      <w:r>
        <w:rPr>
          <w:smallCaps w:val="0"/>
        </w:rPr>
        <w:t>жения и улицы местного значения (улицы и дороги в научно-производственных промы</w:t>
      </w:r>
      <w:r>
        <w:rPr>
          <w:smallCaps w:val="0"/>
        </w:rPr>
        <w:t>ш</w:t>
      </w:r>
      <w:r>
        <w:rPr>
          <w:smallCaps w:val="0"/>
        </w:rPr>
        <w:t>ленных и коммунально-складских районах).</w:t>
      </w:r>
    </w:p>
    <w:p>
      <w:pPr>
        <w:spacing w:line="360" w:lineRule="auto"/>
        <w:ind w:firstLine="709"/>
        <w:jc w:val="both"/>
        <w:rPr>
          <w:i/>
          <w:smallCaps w:val="0"/>
        </w:rPr>
      </w:pPr>
    </w:p>
    <w:p>
      <w:pPr>
        <w:spacing w:line="360" w:lineRule="auto"/>
        <w:ind w:firstLine="709"/>
        <w:jc w:val="both"/>
        <w:rPr>
          <w:i/>
          <w:smallCaps w:val="0"/>
        </w:rPr>
      </w:pPr>
    </w:p>
    <w:p>
      <w:pPr>
        <w:spacing w:line="360" w:lineRule="auto"/>
        <w:ind w:firstLine="709"/>
        <w:jc w:val="both"/>
        <w:rPr>
          <w:i/>
          <w:smallCaps w:val="0"/>
        </w:rPr>
      </w:pPr>
    </w:p>
    <w:p>
      <w:pPr>
        <w:spacing w:line="360" w:lineRule="auto"/>
        <w:ind w:firstLine="709"/>
        <w:jc w:val="both"/>
        <w:rPr>
          <w:i/>
          <w:smallCaps w:val="0"/>
        </w:rPr>
      </w:pPr>
    </w:p>
    <w:p>
      <w:pPr>
        <w:spacing w:line="360" w:lineRule="auto"/>
        <w:ind w:firstLine="709"/>
        <w:jc w:val="both"/>
        <w:rPr>
          <w:i/>
          <w:smallCaps w:val="0"/>
        </w:rPr>
      </w:pPr>
    </w:p>
    <w:p>
      <w:pPr>
        <w:spacing w:line="360" w:lineRule="auto"/>
        <w:ind w:firstLine="709"/>
        <w:jc w:val="both"/>
        <w:rPr>
          <w:i/>
          <w:smallCaps w:val="0"/>
        </w:rPr>
      </w:pPr>
    </w:p>
    <w:p>
      <w:pPr>
        <w:spacing w:line="360" w:lineRule="auto"/>
        <w:ind w:firstLine="709"/>
        <w:jc w:val="center"/>
        <w:rPr>
          <w:i/>
          <w:smallCaps w:val="0"/>
        </w:rPr>
      </w:pPr>
      <w:r>
        <w:rPr>
          <w:i/>
          <w:smallCaps w:val="0"/>
        </w:rPr>
        <w:t>Технические показатели улиц Индустриального парка №2</w:t>
      </w:r>
    </w:p>
    <w:p>
      <w:pPr>
        <w:spacing w:line="360" w:lineRule="auto"/>
        <w:ind w:firstLine="709"/>
        <w:jc w:val="right"/>
        <w:rPr>
          <w:smallCaps w:val="0"/>
        </w:rPr>
      </w:pPr>
      <w:r>
        <w:rPr>
          <w:smallCaps w:val="0"/>
        </w:rPr>
        <w:t xml:space="preserve">Таблица №3.   </w:t>
      </w: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08"/>
        <w:gridCol w:w="458"/>
        <w:gridCol w:w="924"/>
        <w:gridCol w:w="571"/>
        <w:gridCol w:w="997"/>
        <w:gridCol w:w="554"/>
        <w:gridCol w:w="1198"/>
        <w:gridCol w:w="1041"/>
        <w:gridCol w:w="1079"/>
        <w:gridCol w:w="1016"/>
      </w:tblGrid>
      <w:tr>
        <w:trPr>
          <w:cantSplit/>
          <w:trHeight w:val="3473"/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№</w:t>
            </w:r>
            <w:proofErr w:type="gramStart"/>
            <w:r>
              <w:rPr>
                <w:rFonts w:eastAsia="Calibri"/>
                <w:smallCaps w:val="0"/>
              </w:rPr>
              <w:t>п</w:t>
            </w:r>
            <w:proofErr w:type="gramEnd"/>
            <w:r>
              <w:rPr>
                <w:rFonts w:eastAsia="Calibri"/>
                <w:smallCaps w:val="0"/>
              </w:rPr>
              <w:t>/п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</w:p>
          <w:p>
            <w:pPr>
              <w:jc w:val="center"/>
              <w:rPr>
                <w:rFonts w:eastAsia="Calibri"/>
                <w:smallCaps w:val="0"/>
              </w:rPr>
            </w:pPr>
          </w:p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Название улиц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Число полос движения</w:t>
            </w:r>
          </w:p>
        </w:tc>
        <w:tc>
          <w:tcPr>
            <w:tcW w:w="482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Длина (м)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Ширина в красных линия</w:t>
            </w:r>
            <w:proofErr w:type="gramStart"/>
            <w:r>
              <w:rPr>
                <w:rFonts w:eastAsia="Calibri"/>
                <w:smallCaps w:val="0"/>
              </w:rPr>
              <w:t>х(</w:t>
            </w:r>
            <w:proofErr w:type="gramEnd"/>
            <w:r>
              <w:rPr>
                <w:rFonts w:eastAsia="Calibri"/>
                <w:smallCaps w:val="0"/>
              </w:rPr>
              <w:t>м)</w:t>
            </w:r>
          </w:p>
        </w:tc>
        <w:tc>
          <w:tcPr>
            <w:tcW w:w="520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Ширина полос движения (м)</w:t>
            </w:r>
          </w:p>
        </w:tc>
        <w:tc>
          <w:tcPr>
            <w:tcW w:w="289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Ширина тротуара тротуаров (м)</w:t>
            </w:r>
          </w:p>
        </w:tc>
        <w:tc>
          <w:tcPr>
            <w:tcW w:w="625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проезжей части (м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  <w:r>
              <w:rPr>
                <w:rFonts w:eastAsia="Calibri"/>
                <w:smallCaps w:val="0"/>
              </w:rPr>
              <w:t>)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пешеходных тротуаров (м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  <w:r>
              <w:rPr>
                <w:rFonts w:eastAsia="Calibri"/>
                <w:smallCaps w:val="0"/>
              </w:rPr>
              <w:t>)</w:t>
            </w:r>
          </w:p>
        </w:tc>
        <w:tc>
          <w:tcPr>
            <w:tcW w:w="563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газонов            (м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  <w:r>
              <w:rPr>
                <w:rFonts w:eastAsia="Calibri"/>
                <w:smallCaps w:val="0"/>
              </w:rPr>
              <w:t>)</w:t>
            </w:r>
          </w:p>
        </w:tc>
        <w:tc>
          <w:tcPr>
            <w:tcW w:w="530" w:type="pct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Площадь выездов (м</w:t>
            </w:r>
            <w:proofErr w:type="gramStart"/>
            <w:r>
              <w:rPr>
                <w:rFonts w:eastAsia="Calibri"/>
                <w:smallCaps w:val="0"/>
              </w:rPr>
              <w:t>2</w:t>
            </w:r>
            <w:proofErr w:type="gramEnd"/>
            <w:r>
              <w:rPr>
                <w:rFonts w:eastAsia="Calibri"/>
                <w:smallCaps w:val="0"/>
              </w:rPr>
              <w:t>)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ИП-3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1628,4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25572,6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9856,5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22085,1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7970,4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ИП-4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942,2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13084,4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4648,4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13084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4154,4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ИП-5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2822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74812,3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19488,8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64330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10752,5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ИП-6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853,8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11662,9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4039,6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11005,8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4742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5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ИП-8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1130,7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16570,1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5981,3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15711,4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4978,5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ИП-9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668,7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10365,5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3586,4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9812,4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4135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7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ИП-10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654,3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9451,6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3266,3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7672,6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4737,6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8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ИП-13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1028,3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1,5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8227,8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2505,1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13768,6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3071,4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9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ИП-14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891,3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1,5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8147,4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2378,1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11348,3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2475,8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10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ИП-15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614,7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1,5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4827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1558,1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8640,2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3161,4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11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ИП-17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2279,9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40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37170,9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13731,5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30118,6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14189,1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12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Ул. ИП-18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210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30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2х3,75; (2х4,0)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3,0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1805,8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1020,1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2274,5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0</w:t>
            </w:r>
          </w:p>
        </w:tc>
      </w:tr>
      <w:tr>
        <w:trPr>
          <w:jc w:val="center"/>
        </w:trPr>
        <w:tc>
          <w:tcPr>
            <w:tcW w:w="281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14</w:t>
            </w:r>
          </w:p>
        </w:tc>
        <w:tc>
          <w:tcPr>
            <w:tcW w:w="6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12941,8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221698,3</w:t>
            </w:r>
          </w:p>
        </w:tc>
        <w:tc>
          <w:tcPr>
            <w:tcW w:w="54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72060,2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209851,5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smallCaps w:val="0"/>
              </w:rPr>
            </w:pPr>
            <w:r>
              <w:rPr>
                <w:rFonts w:eastAsia="Calibri"/>
                <w:smallCaps w:val="0"/>
              </w:rPr>
              <w:t>64368,1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2024-02-26T09:41:00Z</dcterms:created>
  <dcterms:modified xsi:type="dcterms:W3CDTF">2024-02-26T09:41:00Z</dcterms:modified>
</cp:coreProperties>
</file>