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CEEA" w14:textId="09FEAB98" w:rsidR="00CA2DA4" w:rsidRPr="002503B5" w:rsidRDefault="00C74464" w:rsidP="009F16A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51515"/>
          <w:sz w:val="28"/>
          <w:szCs w:val="28"/>
        </w:rPr>
      </w:pPr>
      <w:r w:rsidRPr="002503B5">
        <w:rPr>
          <w:rFonts w:ascii="Arial" w:hAnsi="Arial" w:cs="Arial"/>
          <w:b/>
          <w:bCs/>
          <w:color w:val="151515"/>
          <w:sz w:val="28"/>
          <w:szCs w:val="28"/>
        </w:rPr>
        <w:t xml:space="preserve">Информация о </w:t>
      </w:r>
      <w:r w:rsidR="00D55C65" w:rsidRPr="002503B5">
        <w:rPr>
          <w:rFonts w:ascii="Arial" w:hAnsi="Arial" w:cs="Arial"/>
          <w:b/>
          <w:bCs/>
          <w:color w:val="151515"/>
          <w:sz w:val="28"/>
          <w:szCs w:val="28"/>
        </w:rPr>
        <w:t>результатах</w:t>
      </w:r>
      <w:r w:rsidRPr="002503B5">
        <w:rPr>
          <w:rFonts w:ascii="Arial" w:hAnsi="Arial" w:cs="Arial"/>
          <w:b/>
          <w:bCs/>
          <w:color w:val="151515"/>
          <w:sz w:val="28"/>
          <w:szCs w:val="28"/>
        </w:rPr>
        <w:t xml:space="preserve"> деятельности Агентства по защите и развитию конкуренции Республики Казахстан за</w:t>
      </w:r>
      <w:r w:rsidR="00E866C3" w:rsidRPr="002503B5">
        <w:rPr>
          <w:rFonts w:ascii="Arial" w:hAnsi="Arial" w:cs="Arial"/>
          <w:b/>
          <w:bCs/>
          <w:color w:val="151515"/>
          <w:sz w:val="28"/>
          <w:szCs w:val="28"/>
        </w:rPr>
        <w:t xml:space="preserve"> </w:t>
      </w:r>
      <w:r w:rsidR="00D90CAF" w:rsidRPr="002503B5">
        <w:rPr>
          <w:rFonts w:ascii="Arial" w:hAnsi="Arial" w:cs="Arial"/>
          <w:b/>
          <w:bCs/>
          <w:color w:val="151515"/>
          <w:sz w:val="28"/>
          <w:szCs w:val="28"/>
        </w:rPr>
        <w:t>3 квартал</w:t>
      </w:r>
      <w:r w:rsidRPr="002503B5">
        <w:rPr>
          <w:rFonts w:ascii="Arial" w:hAnsi="Arial" w:cs="Arial"/>
          <w:b/>
          <w:bCs/>
          <w:color w:val="151515"/>
          <w:sz w:val="28"/>
          <w:szCs w:val="28"/>
        </w:rPr>
        <w:t xml:space="preserve"> 202</w:t>
      </w:r>
      <w:r w:rsidR="00C171FF" w:rsidRPr="002503B5">
        <w:rPr>
          <w:rFonts w:ascii="Arial" w:hAnsi="Arial" w:cs="Arial"/>
          <w:b/>
          <w:bCs/>
          <w:color w:val="151515"/>
          <w:sz w:val="28"/>
          <w:szCs w:val="28"/>
        </w:rPr>
        <w:t>4</w:t>
      </w:r>
      <w:r w:rsidRPr="002503B5">
        <w:rPr>
          <w:rFonts w:ascii="Arial" w:hAnsi="Arial" w:cs="Arial"/>
          <w:b/>
          <w:bCs/>
          <w:color w:val="151515"/>
          <w:sz w:val="28"/>
          <w:szCs w:val="28"/>
        </w:rPr>
        <w:t xml:space="preserve"> год</w:t>
      </w:r>
      <w:r w:rsidR="00E866C3" w:rsidRPr="002503B5">
        <w:rPr>
          <w:rFonts w:ascii="Arial" w:hAnsi="Arial" w:cs="Arial"/>
          <w:b/>
          <w:bCs/>
          <w:color w:val="151515"/>
          <w:sz w:val="28"/>
          <w:szCs w:val="28"/>
        </w:rPr>
        <w:t>а</w:t>
      </w:r>
    </w:p>
    <w:p w14:paraId="768BDF64" w14:textId="6F05E8F9" w:rsidR="006364F7" w:rsidRPr="002503B5" w:rsidRDefault="006364F7" w:rsidP="009F16A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51515"/>
          <w:sz w:val="28"/>
          <w:szCs w:val="28"/>
        </w:rPr>
      </w:pPr>
    </w:p>
    <w:p w14:paraId="24322406" w14:textId="279FEDB5" w:rsidR="005C6435" w:rsidRPr="002503B5" w:rsidRDefault="006364F7" w:rsidP="005C643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2503B5">
        <w:rPr>
          <w:rFonts w:ascii="Arial" w:hAnsi="Arial" w:cs="Arial"/>
          <w:color w:val="151515"/>
          <w:sz w:val="28"/>
          <w:szCs w:val="28"/>
        </w:rPr>
        <w:tab/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Настоящим 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представлена информация</w:t>
      </w:r>
      <w:r w:rsidR="005C6435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о наиболее значимых событиях </w:t>
      </w:r>
      <w:r w:rsidRPr="002503B5">
        <w:rPr>
          <w:rFonts w:ascii="Arial" w:eastAsia="Times New Roman" w:hAnsi="Arial" w:cs="Arial"/>
          <w:i/>
          <w:color w:val="000000"/>
          <w:sz w:val="28"/>
          <w:szCs w:val="28"/>
          <w:lang w:eastAsia="ar-SA"/>
        </w:rPr>
        <w:t>(мероприятиях)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в сфере антимонопольного регулирования и конкурентной политики в Республике Казахстан за </w:t>
      </w:r>
      <w:r w:rsidR="007C2D5A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9 месяцев</w:t>
      </w:r>
      <w:r w:rsidR="00C171FF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текущего года</w:t>
      </w:r>
      <w:r w:rsidR="005C6435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:</w:t>
      </w:r>
    </w:p>
    <w:p w14:paraId="51AA0444" w14:textId="21F0A829" w:rsidR="006364F7" w:rsidRPr="002503B5" w:rsidRDefault="005666A0" w:rsidP="00E866C3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- о проводимой работе по с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овершенствованию законодательства Республики Казахстан в области защиты конкуренции;</w:t>
      </w:r>
    </w:p>
    <w:p w14:paraId="21A6ECEF" w14:textId="273CF757" w:rsidR="005C6435" w:rsidRPr="002503B5" w:rsidRDefault="005C6435" w:rsidP="00E866C3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 </w:t>
      </w:r>
      <w:r w:rsidR="00E95C9A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устранении барьеров входа на товарные рынки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14:paraId="039D842B" w14:textId="035731E3" w:rsidR="005C6435" w:rsidRPr="002503B5" w:rsidRDefault="005C6435" w:rsidP="00E866C3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проводимой работ</w:t>
      </w:r>
      <w:r w:rsidR="00B2411C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сфере контроля товарных бирж;</w:t>
      </w:r>
    </w:p>
    <w:p w14:paraId="19A0BC3E" w14:textId="075944B6" w:rsidR="005C6435" w:rsidRPr="002503B5" w:rsidRDefault="005C6435" w:rsidP="00E866C3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сведения о мониторинге мер государственной поддержки;</w:t>
      </w:r>
    </w:p>
    <w:p w14:paraId="626D260C" w14:textId="19167B11" w:rsidR="005C6435" w:rsidRPr="002503B5" w:rsidRDefault="005C6435" w:rsidP="005C6435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510BB6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</w:t>
      </w:r>
      <w:r w:rsidR="00510BB6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пресечени</w:t>
      </w:r>
      <w:r w:rsidR="00510BB6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нарушений законодательства </w:t>
      </w:r>
      <w:r w:rsidR="00B2411C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Республики Казахстан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области защиты конкуренции;</w:t>
      </w:r>
    </w:p>
    <w:p w14:paraId="27C06862" w14:textId="05254D48" w:rsidR="00FC332D" w:rsidRPr="002503B5" w:rsidRDefault="006364F7" w:rsidP="005C6435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- сведения по международному сотрудничеству с зарубежными антимонопольными ведомствами, в том числе в рамках международных интеграционных объединений</w:t>
      </w:r>
      <w:r w:rsidR="005C6435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.</w:t>
      </w:r>
    </w:p>
    <w:p w14:paraId="031280FA" w14:textId="77777777" w:rsidR="005C6435" w:rsidRPr="002503B5" w:rsidRDefault="005C6435" w:rsidP="005C6435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533BCE45" w14:textId="66B9AA8E" w:rsidR="00FC332D" w:rsidRPr="002503B5" w:rsidRDefault="00FC332D" w:rsidP="00E866C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sz w:val="28"/>
          <w:szCs w:val="28"/>
        </w:rPr>
        <w:t>Совершенствование законодательства Республики Казахстан в области защиты конкуренции</w:t>
      </w:r>
    </w:p>
    <w:p w14:paraId="38651C69" w14:textId="77777777" w:rsidR="00FC332D" w:rsidRPr="002503B5" w:rsidRDefault="00FC332D" w:rsidP="00FC332D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105DF0D" w14:textId="5472DB0B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Агентством продолжена работа по совершенствованию законодательства Республики Казахстан в области защиты конкуренции, в частности </w:t>
      </w:r>
      <w:r w:rsidR="00B2411C" w:rsidRPr="002503B5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    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>6 апреля</w:t>
      </w:r>
      <w:r w:rsidR="00AA2ADC" w:rsidRPr="002503B5">
        <w:rPr>
          <w:rFonts w:ascii="Arial" w:eastAsia="Calibri" w:hAnsi="Arial" w:cs="Arial"/>
          <w:sz w:val="28"/>
          <w:szCs w:val="28"/>
          <w:lang w:eastAsia="ru-RU"/>
        </w:rPr>
        <w:t xml:space="preserve"> 2024 года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принят Закон Республики Казахстан «О внесении изменений и дополнений в некоторые законодательные акты Республики Казахстан по вопросам ведения бизнеса»</w:t>
      </w:r>
      <w:r w:rsidR="002F56F8" w:rsidRPr="002503B5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2F56F8"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(введен в действие 8 июня текущего года)</w:t>
      </w:r>
      <w:r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.</w:t>
      </w:r>
    </w:p>
    <w:p w14:paraId="094ADE67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Законом предусмотрено 3 базовых направления в сфере конкуренции.</w:t>
      </w:r>
    </w:p>
    <w:p w14:paraId="1842D662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b/>
          <w:bCs/>
          <w:sz w:val="28"/>
          <w:szCs w:val="28"/>
          <w:lang w:eastAsia="ru-RU"/>
        </w:rPr>
        <w:t>Первое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направление связано с реализацией поручения, озвученного в Послании Президента от 1 сентября 2022 года. </w:t>
      </w:r>
    </w:p>
    <w:p w14:paraId="57273395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В своем выступлении Глава государства К.К. Токаев отметил, что «для дальнейшей демонополизации экономики требуются институциональные решения. Следует на законодательном уровне определить понятие «конгломерат». Связанные друг с другом субъекты рынка обязаны получать разрешение на экономическую концентрацию. Все их сделки должны тщательно проверяться, в том числе на признаки применения нерыночных цен.».</w:t>
      </w:r>
    </w:p>
    <w:p w14:paraId="15F2CDFF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С учетом озвученного поручения Агентством разработано определение конгломерата, актуальное с точки зрения антимонопольного регулирования, в частности определены следующие квалифицирующие признаки конгломерата:</w:t>
      </w:r>
    </w:p>
    <w:p w14:paraId="1ED57493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- наличие доминирующего (монопольного) положения на товарном рынке </w:t>
      </w:r>
      <w:r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(без наличия доли субъект не обладает «рыночной властью»);</w:t>
      </w:r>
    </w:p>
    <w:p w14:paraId="7DE5E312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lastRenderedPageBreak/>
        <w:t>- одновременное присутствие субъекта на смежных товарных рынках.</w:t>
      </w:r>
    </w:p>
    <w:p w14:paraId="7745282A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Образование конгломератов приводит к высокой степени рыночной концентрации, возникновению барьеров входа на товарные рынки, избирательному покровительству и фаворитизму со стороны государства. Монопольные группы компаний, пользуясь ограниченными ресурсами и инфраструкторой, ограничивают доступ других субъектов на соответствующие и смежные товарные рынки.</w:t>
      </w:r>
    </w:p>
    <w:p w14:paraId="3322D290" w14:textId="5286BDCE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Кроме понятия конгломерата, предусмотрено ведение реестра конгломератов, а также проведение анализа и мониторинга их деятельности. В целях обеспечения контроля за созданием конгломератов предложена поправка в статью 205 </w:t>
      </w:r>
      <w:r w:rsidR="00B2411C" w:rsidRPr="002503B5">
        <w:rPr>
          <w:rFonts w:ascii="Arial" w:eastAsia="Calibri" w:hAnsi="Arial" w:cs="Arial"/>
          <w:sz w:val="28"/>
          <w:szCs w:val="28"/>
          <w:lang w:eastAsia="ru-RU"/>
        </w:rPr>
        <w:t>Предпринимательского к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>одекса</w:t>
      </w:r>
      <w:r w:rsidR="00B2411C" w:rsidRPr="002503B5">
        <w:rPr>
          <w:rFonts w:ascii="Arial" w:eastAsia="Calibri" w:hAnsi="Arial" w:cs="Arial"/>
          <w:sz w:val="28"/>
          <w:szCs w:val="28"/>
          <w:lang w:eastAsia="ru-RU"/>
        </w:rPr>
        <w:t xml:space="preserve"> РК </w:t>
      </w:r>
      <w:r w:rsidR="00B2411C"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(далее – Кодекс)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по проведению анализа вертикальных слияний и поглощений.</w:t>
      </w:r>
    </w:p>
    <w:p w14:paraId="59F4A92A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В целом, указанные поправки позволят предупредить необоснованный рост цен на монопольную продукцию крупных холдингов и тем самым снизить экономическую нагрузку и предельные издержки субъектов малого и среднего предпринимательства, использующих данную продукцию при реализации товаров либо оказании услуг.</w:t>
      </w:r>
    </w:p>
    <w:p w14:paraId="1A0A9BB5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b/>
          <w:bCs/>
          <w:sz w:val="28"/>
          <w:szCs w:val="28"/>
          <w:lang w:eastAsia="ru-RU"/>
        </w:rPr>
        <w:t>Второе.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Президент Республики Казахстан в своем Послании народу Казахстана 1 сентября 2023 года отметил, что одной из серьезных проблем является, по сути, отсутствие у антимонопольного органа возможности принимать оперативные меры для устранения нарушений.</w:t>
      </w:r>
    </w:p>
    <w:p w14:paraId="2404345D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На практике две трети антимонопольных расследований обжалуются в судах, не успев начаться, а судебные тяжбы могут длиться годами.</w:t>
      </w:r>
    </w:p>
    <w:p w14:paraId="5059A3CF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В целях недопущения искусственного торможения, принятых антимонопольным органом решений Глава государства поручил внести в Парламент законодательные поправки по исключению приостановления административных актов Агентства по защите и развитию конкуренции в случае их обжалования.</w:t>
      </w:r>
    </w:p>
    <w:p w14:paraId="19EE15BE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В реализацию указанного поручения в Закон включены поправки по:</w:t>
      </w:r>
    </w:p>
    <w:p w14:paraId="5DC4CFD2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- отмене приостановления уведомления в случае его обжалования;</w:t>
      </w:r>
    </w:p>
    <w:p w14:paraId="62659529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- отмене приостановления приказа о начале антимонопольного расследования в случае его обжалования;</w:t>
      </w:r>
    </w:p>
    <w:p w14:paraId="6E1838FB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- отмене приостановления иных действий должностных лиц антимонопольного органа в рамках расследования в случае их обжалования;</w:t>
      </w:r>
    </w:p>
    <w:p w14:paraId="324EF563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- исключению приказа об утверждении заключения по результатам расследования </w:t>
      </w:r>
      <w:r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(завершением расследования будет подписание заключения).</w:t>
      </w:r>
    </w:p>
    <w:p w14:paraId="1A28A8B7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b/>
          <w:bCs/>
          <w:sz w:val="28"/>
          <w:szCs w:val="28"/>
          <w:lang w:eastAsia="ru-RU"/>
        </w:rPr>
        <w:t>Третье.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В рамках внедрения регулирования с чистого листа в целях снижения регуляторной нагрузки на бизнес в Закон включены поправки по сокращению количества сделок, требующих предварительного согласования антимонопольного органа, и полному выведению </w:t>
      </w:r>
      <w:proofErr w:type="gramStart"/>
      <w:r w:rsidRPr="002503B5">
        <w:rPr>
          <w:rFonts w:ascii="Arial" w:eastAsia="Calibri" w:hAnsi="Arial" w:cs="Arial"/>
          <w:sz w:val="28"/>
          <w:szCs w:val="28"/>
          <w:lang w:eastAsia="ru-RU"/>
        </w:rPr>
        <w:t>из под</w:t>
      </w:r>
      <w:proofErr w:type="gramEnd"/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lastRenderedPageBreak/>
        <w:t xml:space="preserve">регулирования сделок с некоторыми активами </w:t>
      </w:r>
      <w:r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(земельные участки, здания, строения, сооружения, помещения/части помещений, объекты незавершенного строительства, не имеющие промышленного назначения).</w:t>
      </w:r>
    </w:p>
    <w:p w14:paraId="24DD2E7A" w14:textId="77777777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По остальным сделкам существенно повышены пороговые значения, при превышении которых, требуется согласие антимонопольного органа.</w:t>
      </w:r>
    </w:p>
    <w:p w14:paraId="20B1C9BA" w14:textId="6F225FF5" w:rsidR="005666A0" w:rsidRPr="002503B5" w:rsidRDefault="005666A0" w:rsidP="005666A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Кроме того, при согласовании данных сделок примерно в 2 раза сокращен перечень необходимых документов и оптимизированы процедурные сроки.</w:t>
      </w:r>
    </w:p>
    <w:p w14:paraId="62466609" w14:textId="05B70C00" w:rsidR="00FC332D" w:rsidRPr="002503B5" w:rsidRDefault="005666A0" w:rsidP="007E236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Также предусмотрено сокращение отчетности о проведенных торгах и закупках, предоставляемой в антимонопольный орган субъектами предпринимательства.</w:t>
      </w:r>
    </w:p>
    <w:p w14:paraId="259712C2" w14:textId="6A5CD171" w:rsidR="000C0933" w:rsidRPr="002503B5" w:rsidRDefault="000C0933" w:rsidP="00385C7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>Принятие</w:t>
      </w:r>
      <w:r w:rsidR="0053041D" w:rsidRPr="002503B5">
        <w:rPr>
          <w:rFonts w:ascii="Arial" w:hAnsi="Arial" w:cs="Arial"/>
          <w:sz w:val="28"/>
          <w:szCs w:val="28"/>
        </w:rPr>
        <w:t xml:space="preserve"> </w:t>
      </w:r>
      <w:r w:rsidR="0053041D" w:rsidRPr="002503B5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>Указа «О мерах по либерализации экономики»</w:t>
      </w:r>
    </w:p>
    <w:p w14:paraId="68BA131C" w14:textId="457BF782" w:rsidR="000C0933" w:rsidRPr="002503B5" w:rsidRDefault="000C0933" w:rsidP="000C0933">
      <w:pPr>
        <w:pStyle w:val="a3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</w:pPr>
    </w:p>
    <w:p w14:paraId="7C5D93DF" w14:textId="77777777" w:rsidR="00120703" w:rsidRPr="002503B5" w:rsidRDefault="00120703" w:rsidP="001207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В реализацию поручения Главы государства, озвученного на расширенном заседании Правительства 7 февраля 2024 года, разработан и принят Указ Президента от 8 мая 2024 года № 542 «О мерах по либерализации экономики» (далее – Указ), направленный на обеспечение свободы предпринимательства путем развития конкуренции, сокращения государственного участия в экономике, снижения издержек бизнеса.</w:t>
      </w:r>
    </w:p>
    <w:p w14:paraId="42B2D02A" w14:textId="2CFA1067" w:rsidR="00C664B7" w:rsidRPr="002503B5" w:rsidRDefault="00C664B7" w:rsidP="00C664B7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Указом предусмотрен ряд конкретных мер в целях развития конкуренции на товарных рынках, связанный, в том числе с вопросами ценового дерегулирования и устранения перекрестного субсидирования в ценобразовании, развития биржевой торговли, доступа к мерам государственной поддержки и государственным закупкам.</w:t>
      </w:r>
    </w:p>
    <w:p w14:paraId="04FFBBEF" w14:textId="77777777" w:rsidR="001D43AB" w:rsidRPr="002503B5" w:rsidRDefault="001D43AB" w:rsidP="00120703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Учитывая, что в Казахстане государство присутствует как минимум                        в 20 из 30 секторов экономики, Указом, в том числе предусмотрены меры, направленные на эффективное сокращение доли государства в экономике. </w:t>
      </w:r>
    </w:p>
    <w:p w14:paraId="3C8504D1" w14:textId="05EBACAD" w:rsidR="00120703" w:rsidRPr="002503B5" w:rsidRDefault="001D43AB" w:rsidP="00120703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В частности, п</w:t>
      </w:r>
      <w:r w:rsidR="00120703" w:rsidRPr="002503B5">
        <w:rPr>
          <w:rFonts w:ascii="Arial" w:eastAsia="Calibri" w:hAnsi="Arial" w:cs="Arial"/>
          <w:sz w:val="28"/>
          <w:szCs w:val="28"/>
          <w:lang w:eastAsia="ru-RU"/>
        </w:rPr>
        <w:t>риказом Председателя Агентства от 28 мая 2024 года при Агентстве создан Национальный офис по приватизации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2503B5">
        <w:rPr>
          <w:rFonts w:ascii="Arial" w:eastAsia="Calibri" w:hAnsi="Arial" w:cs="Arial"/>
          <w:i/>
          <w:iCs/>
          <w:sz w:val="28"/>
          <w:szCs w:val="28"/>
          <w:lang w:eastAsia="ru-RU"/>
        </w:rPr>
        <w:t>(далее – Национальный офис)</w:t>
      </w:r>
      <w:r w:rsidR="00120703" w:rsidRPr="002503B5">
        <w:rPr>
          <w:rFonts w:ascii="Arial" w:eastAsia="Calibri" w:hAnsi="Arial" w:cs="Arial"/>
          <w:sz w:val="28"/>
          <w:szCs w:val="28"/>
          <w:lang w:eastAsia="ru-RU"/>
        </w:rPr>
        <w:t xml:space="preserve">. В состав 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t>Национального о</w:t>
      </w:r>
      <w:r w:rsidR="00120703" w:rsidRPr="002503B5">
        <w:rPr>
          <w:rFonts w:ascii="Arial" w:eastAsia="Calibri" w:hAnsi="Arial" w:cs="Arial"/>
          <w:sz w:val="28"/>
          <w:szCs w:val="28"/>
          <w:lang w:eastAsia="ru-RU"/>
        </w:rPr>
        <w:t xml:space="preserve">фиса включены заместители первых руководителей госорганов, акимы областей, городов республиканского значения, столицы, депутаты Мажилиса Парламента, субъекты квазигосударственного сектора, члены экспертного сообщества и         НПП «Атамекен». </w:t>
      </w:r>
    </w:p>
    <w:p w14:paraId="561694AD" w14:textId="77777777" w:rsidR="00120703" w:rsidRPr="002503B5" w:rsidRDefault="00120703" w:rsidP="00120703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Реализация Указа позволит обеспечить выработку критериев к государственным объектам, подлежащим приватизации, проведение анализа деятельности квазигосударственных структур на предмет передачи их непрофильных активов в частные руки, формирование перечня государственных активов, подлежащих передаче в конкурентную среду с определением методов и условий их реализации. Формирование условий приватизации теперь будет осуществляться Национальным </w:t>
      </w:r>
      <w:r w:rsidRPr="002503B5">
        <w:rPr>
          <w:rFonts w:ascii="Arial" w:eastAsia="Calibri" w:hAnsi="Arial" w:cs="Arial"/>
          <w:sz w:val="28"/>
          <w:szCs w:val="28"/>
          <w:lang w:eastAsia="ru-RU"/>
        </w:rPr>
        <w:lastRenderedPageBreak/>
        <w:t>офисом, что исключит факты необоснованного затягивания процедур, завышения требований к потенциальным покупателям и укрупнение активов с рисками монополизации. При формировании плана приватизации будет реализован заявочный принцип, предусматривающий приватизацию по инициативе предпринимателей.</w:t>
      </w:r>
    </w:p>
    <w:p w14:paraId="620DED87" w14:textId="36A74F4C" w:rsidR="001D43AB" w:rsidRPr="002503B5" w:rsidRDefault="001D43AB" w:rsidP="001D43AB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27 июня под председательством главы Агентства по защите и развитию конкуренции Марата Омарова состоялось первое заседание Национального офиса, на котором были утверждены стратегические направления и подходы к приватизации на 2024-2028 годы. Инициативы направлены на ускорение экономической либерализации, уменьшение доли государства в экономике и привлечение инвестиций.</w:t>
      </w:r>
    </w:p>
    <w:p w14:paraId="6B5F80BB" w14:textId="6FE654FD" w:rsidR="001F62C4" w:rsidRPr="002503B5" w:rsidRDefault="001F62C4" w:rsidP="001F62C4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На заседании Национального офиса были представлены планы по снижению государственного участия в предпринимательстве.</w:t>
      </w:r>
    </w:p>
    <w:p w14:paraId="5B312E50" w14:textId="376C9BDC" w:rsidR="001F62C4" w:rsidRPr="002503B5" w:rsidRDefault="001F62C4" w:rsidP="001F62C4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Среди объектов для приватизации оказались исследовательские институты, сервисные предприятия, а также коммунальные учреждения, включая автобусные парки и службы озеленения.</w:t>
      </w:r>
    </w:p>
    <w:p w14:paraId="5D10B126" w14:textId="05097C86" w:rsidR="001F62C4" w:rsidRPr="002503B5" w:rsidRDefault="001F62C4" w:rsidP="001F62C4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 xml:space="preserve">Наряду с этим, представители Агентства по защите и развитию конкуренции указали на широкое распространение практики создания подведомственных предприятий, на которых перенесена часть функций государственных органов по разработке, аналитическому сопровождению реализации государственных программ и иных государственных функций. </w:t>
      </w:r>
    </w:p>
    <w:p w14:paraId="032ECDE3" w14:textId="6CA748EC" w:rsidR="001F62C4" w:rsidRPr="002503B5" w:rsidRDefault="001F62C4" w:rsidP="001F62C4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Другой практикой стало создание государственных операторов, через которых осуществляется реализация отраслевых программ развития и контроль за товарными рынками.</w:t>
      </w:r>
    </w:p>
    <w:p w14:paraId="38D7BD4C" w14:textId="77777777" w:rsidR="001D43AB" w:rsidRPr="002503B5" w:rsidRDefault="001F62C4" w:rsidP="001D43AB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503B5">
        <w:rPr>
          <w:rFonts w:ascii="Arial" w:eastAsia="Calibri" w:hAnsi="Arial" w:cs="Arial"/>
          <w:sz w:val="28"/>
          <w:szCs w:val="28"/>
          <w:lang w:eastAsia="ru-RU"/>
        </w:rPr>
        <w:t>Данные формы государственного участия будут исключены в рамках текущего этапа приватизации.</w:t>
      </w:r>
      <w:r w:rsidR="001D43AB" w:rsidRPr="002503B5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14:paraId="390CD309" w14:textId="77777777" w:rsidR="001F62C4" w:rsidRPr="002503B5" w:rsidRDefault="001F62C4" w:rsidP="001F62C4">
      <w:pPr>
        <w:pStyle w:val="a3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</w:pPr>
    </w:p>
    <w:p w14:paraId="5CA61CEF" w14:textId="00BE97A2" w:rsidR="00FC332D" w:rsidRPr="002503B5" w:rsidRDefault="00185AC0" w:rsidP="007E23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sz w:val="28"/>
          <w:szCs w:val="28"/>
        </w:rPr>
        <w:t>Устранение барьеров входа на товарные рынки</w:t>
      </w:r>
    </w:p>
    <w:p w14:paraId="0B7A0664" w14:textId="2DACF6C3" w:rsidR="001377EB" w:rsidRPr="002503B5" w:rsidRDefault="001377EB" w:rsidP="007E236C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0A59D51" w14:textId="7F662BEC" w:rsidR="00E83FFF" w:rsidRPr="002503B5" w:rsidRDefault="00E83FFF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С начала текущего года Агентством устранены </w:t>
      </w:r>
      <w:r w:rsidR="00F23BE0" w:rsidRPr="002503B5">
        <w:rPr>
          <w:rFonts w:ascii="Arial" w:hAnsi="Arial" w:cs="Arial"/>
          <w:sz w:val="28"/>
          <w:szCs w:val="28"/>
        </w:rPr>
        <w:t>8</w:t>
      </w:r>
      <w:r w:rsidRPr="002503B5">
        <w:rPr>
          <w:rFonts w:ascii="Arial" w:hAnsi="Arial" w:cs="Arial"/>
          <w:sz w:val="28"/>
          <w:szCs w:val="28"/>
        </w:rPr>
        <w:t xml:space="preserve"> барьеров для развития конкуренции:</w:t>
      </w:r>
    </w:p>
    <w:p w14:paraId="7E3AD594" w14:textId="5744B6D4" w:rsidR="00E83FFF" w:rsidRPr="002503B5" w:rsidRDefault="00B2411C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1) б</w:t>
      </w:r>
      <w:r w:rsidR="00E83FFF" w:rsidRPr="002503B5">
        <w:rPr>
          <w:rFonts w:ascii="Arial" w:hAnsi="Arial" w:cs="Arial"/>
          <w:sz w:val="28"/>
          <w:szCs w:val="28"/>
        </w:rPr>
        <w:t>арьер для развития конкуренции, связанный с ценовым регулированием медицинской техники.</w:t>
      </w:r>
    </w:p>
    <w:p w14:paraId="01E3E693" w14:textId="75E79322" w:rsidR="00E83FFF" w:rsidRPr="002503B5" w:rsidRDefault="00697E96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 Принят</w:t>
      </w:r>
      <w:r w:rsidR="00E83FFF" w:rsidRPr="002503B5">
        <w:rPr>
          <w:rFonts w:ascii="Arial" w:hAnsi="Arial" w:cs="Arial"/>
          <w:sz w:val="28"/>
          <w:szCs w:val="28"/>
        </w:rPr>
        <w:t xml:space="preserve"> Закон РК «О внесении изменений и дополнений в некоторые законодательные акты Республики Казахстан по вопросам ведения бизнеса», предусматривающий изменения в статью 245 Кодекса, исключающие норму по ценовому регулированию медицинской техники;</w:t>
      </w:r>
    </w:p>
    <w:p w14:paraId="6C315AB1" w14:textId="1CFB0E1F" w:rsidR="00E83FFF" w:rsidRPr="002503B5" w:rsidRDefault="00B2411C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2) б</w:t>
      </w:r>
      <w:r w:rsidR="00E83FFF" w:rsidRPr="002503B5">
        <w:rPr>
          <w:rFonts w:ascii="Arial" w:hAnsi="Arial" w:cs="Arial"/>
          <w:sz w:val="28"/>
          <w:szCs w:val="28"/>
        </w:rPr>
        <w:t>арьер для развития конкуренции, связанный с ограничением конкуренции в сфере озеленения.</w:t>
      </w:r>
    </w:p>
    <w:p w14:paraId="7F100688" w14:textId="63B1250B" w:rsidR="00E83FFF" w:rsidRPr="002503B5" w:rsidRDefault="00697E96" w:rsidP="00082748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</w:t>
      </w:r>
      <w:r w:rsidR="00E83FFF" w:rsidRPr="002503B5">
        <w:rPr>
          <w:rFonts w:ascii="Arial" w:hAnsi="Arial" w:cs="Arial"/>
          <w:sz w:val="28"/>
          <w:szCs w:val="28"/>
        </w:rPr>
        <w:t xml:space="preserve"> </w:t>
      </w:r>
      <w:r w:rsidRPr="002503B5">
        <w:rPr>
          <w:rFonts w:ascii="Arial" w:hAnsi="Arial" w:cs="Arial"/>
          <w:sz w:val="28"/>
          <w:szCs w:val="28"/>
        </w:rPr>
        <w:t>В</w:t>
      </w:r>
      <w:r w:rsidR="00E83FFF" w:rsidRPr="002503B5">
        <w:rPr>
          <w:rFonts w:ascii="Arial" w:hAnsi="Arial" w:cs="Arial"/>
          <w:sz w:val="28"/>
          <w:szCs w:val="28"/>
        </w:rPr>
        <w:t>несен</w:t>
      </w:r>
      <w:r w:rsidRPr="002503B5">
        <w:rPr>
          <w:rFonts w:ascii="Arial" w:hAnsi="Arial" w:cs="Arial"/>
          <w:sz w:val="28"/>
          <w:szCs w:val="28"/>
        </w:rPr>
        <w:t>ы</w:t>
      </w:r>
      <w:r w:rsidR="00E83FFF" w:rsidRPr="002503B5">
        <w:rPr>
          <w:rFonts w:ascii="Arial" w:hAnsi="Arial" w:cs="Arial"/>
          <w:sz w:val="28"/>
          <w:szCs w:val="28"/>
        </w:rPr>
        <w:t xml:space="preserve"> поправ</w:t>
      </w:r>
      <w:r w:rsidRPr="002503B5">
        <w:rPr>
          <w:rFonts w:ascii="Arial" w:hAnsi="Arial" w:cs="Arial"/>
          <w:sz w:val="28"/>
          <w:szCs w:val="28"/>
        </w:rPr>
        <w:t>ки</w:t>
      </w:r>
      <w:r w:rsidR="00E83FFF" w:rsidRPr="002503B5">
        <w:rPr>
          <w:rFonts w:ascii="Arial" w:hAnsi="Arial" w:cs="Arial"/>
          <w:sz w:val="28"/>
          <w:szCs w:val="28"/>
        </w:rPr>
        <w:t xml:space="preserve"> в Типовые правила создания, содержания и защиты зеленых насаждений населенных пунктов </w:t>
      </w:r>
      <w:r w:rsidR="00E83FFF" w:rsidRPr="002503B5">
        <w:rPr>
          <w:rFonts w:ascii="Arial" w:hAnsi="Arial" w:cs="Arial"/>
          <w:i/>
          <w:iCs/>
          <w:sz w:val="28"/>
          <w:szCs w:val="28"/>
        </w:rPr>
        <w:t>(приказ Министра экологии и природных ресурсов РК от 23 февраля 2023 года № 62);</w:t>
      </w:r>
    </w:p>
    <w:p w14:paraId="36315F47" w14:textId="4E6FE005" w:rsidR="00E83FFF" w:rsidRPr="002503B5" w:rsidRDefault="00B2411C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3) б</w:t>
      </w:r>
      <w:r w:rsidR="00697E96" w:rsidRPr="002503B5">
        <w:rPr>
          <w:rFonts w:ascii="Arial" w:hAnsi="Arial" w:cs="Arial"/>
          <w:sz w:val="28"/>
          <w:szCs w:val="28"/>
        </w:rPr>
        <w:t>арьер для развития конкуренции, связанный с пересмотром Правил санитарно-защитных зон.</w:t>
      </w:r>
    </w:p>
    <w:p w14:paraId="776AF322" w14:textId="6F51B02B" w:rsidR="00697E96" w:rsidRPr="002503B5" w:rsidRDefault="00697E96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lastRenderedPageBreak/>
        <w:t>Решение.  Приказом и.о. Министра здравоохранения РК от 4 мая 2024 года № 18 внесены изменения в приказ и</w:t>
      </w:r>
      <w:r w:rsidR="00B2411C" w:rsidRPr="002503B5">
        <w:rPr>
          <w:rFonts w:ascii="Arial" w:hAnsi="Arial" w:cs="Arial"/>
          <w:sz w:val="28"/>
          <w:szCs w:val="28"/>
        </w:rPr>
        <w:t>.</w:t>
      </w:r>
      <w:r w:rsidRPr="002503B5">
        <w:rPr>
          <w:rFonts w:ascii="Arial" w:hAnsi="Arial" w:cs="Arial"/>
          <w:sz w:val="28"/>
          <w:szCs w:val="28"/>
        </w:rPr>
        <w:t>о</w:t>
      </w:r>
      <w:r w:rsidR="00B2411C" w:rsidRPr="002503B5">
        <w:rPr>
          <w:rFonts w:ascii="Arial" w:hAnsi="Arial" w:cs="Arial"/>
          <w:sz w:val="28"/>
          <w:szCs w:val="28"/>
        </w:rPr>
        <w:t>.</w:t>
      </w:r>
      <w:r w:rsidRPr="002503B5">
        <w:rPr>
          <w:rFonts w:ascii="Arial" w:hAnsi="Arial" w:cs="Arial"/>
          <w:sz w:val="28"/>
          <w:szCs w:val="28"/>
        </w:rPr>
        <w:t xml:space="preserve"> Министра здравоохранения РК от 11 января 2022 года №ҚР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человека».</w:t>
      </w:r>
    </w:p>
    <w:p w14:paraId="505F5B8F" w14:textId="65B69041" w:rsidR="00697E96" w:rsidRPr="002503B5" w:rsidRDefault="00B2411C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4) б</w:t>
      </w:r>
      <w:r w:rsidR="00697E96" w:rsidRPr="002503B5">
        <w:rPr>
          <w:rFonts w:ascii="Arial" w:hAnsi="Arial" w:cs="Arial"/>
          <w:sz w:val="28"/>
          <w:szCs w:val="28"/>
        </w:rPr>
        <w:t>арьер для развития конкуренции, связанный с представлением компанией Google преимущественных условий для собственных мобильных приложений и сервисов.</w:t>
      </w:r>
    </w:p>
    <w:p w14:paraId="55B52945" w14:textId="623401D9" w:rsidR="00697E96" w:rsidRPr="002503B5" w:rsidRDefault="00697E96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Решение. В целях устранения данного барьера Google внедрил демонстрацию двухфакторного «непропускаемого» окна выбора, осуществляющейся на действующих мобильных устройствах при первом запуске браузера «Chrome» после его обновления </w:t>
      </w:r>
      <w:r w:rsidRPr="002503B5">
        <w:rPr>
          <w:rFonts w:ascii="Arial" w:hAnsi="Arial" w:cs="Arial"/>
          <w:i/>
          <w:iCs/>
          <w:sz w:val="28"/>
          <w:szCs w:val="28"/>
        </w:rPr>
        <w:t>(автоматически или вручную)</w:t>
      </w:r>
      <w:r w:rsidRPr="002503B5">
        <w:rPr>
          <w:rFonts w:ascii="Arial" w:hAnsi="Arial" w:cs="Arial"/>
          <w:sz w:val="28"/>
          <w:szCs w:val="28"/>
        </w:rPr>
        <w:t xml:space="preserve"> до соответствующей версии, в которую «встроено» окно выбора.</w:t>
      </w:r>
    </w:p>
    <w:p w14:paraId="0037D227" w14:textId="351D6CC5" w:rsidR="00697E96" w:rsidRPr="002503B5" w:rsidRDefault="00B2411C" w:rsidP="000827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5) б</w:t>
      </w:r>
      <w:r w:rsidR="00697E96" w:rsidRPr="002503B5">
        <w:rPr>
          <w:rFonts w:ascii="Arial" w:hAnsi="Arial" w:cs="Arial"/>
          <w:sz w:val="28"/>
          <w:szCs w:val="28"/>
        </w:rPr>
        <w:t>арьер для развития конкуренции, связанный с возможностью работы виртуальных операторов.</w:t>
      </w:r>
    </w:p>
    <w:p w14:paraId="4F07430E" w14:textId="77777777" w:rsidR="00697E96" w:rsidRPr="002503B5" w:rsidRDefault="00697E96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 Законом РК от 21 мая 2024 года «О внесении изменений и дополнений в некоторые законодательные акты Республики Казахстан по вопросам связи, цифровизации, улучшения инвестиционного климата и исключения излишней законодательной регламентации» внесены ряд поправок в отраслевое законодательство в части возможности работы виртуальных операторов.</w:t>
      </w:r>
    </w:p>
    <w:p w14:paraId="57F10AC2" w14:textId="0DAFE8B6" w:rsidR="00697E96" w:rsidRPr="002503B5" w:rsidRDefault="00697E96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Так, в Закон</w:t>
      </w:r>
      <w:r w:rsidR="00B2411C" w:rsidRPr="002503B5">
        <w:rPr>
          <w:rFonts w:ascii="Arial" w:hAnsi="Arial" w:cs="Arial"/>
          <w:sz w:val="28"/>
          <w:szCs w:val="28"/>
        </w:rPr>
        <w:t xml:space="preserve"> РК</w:t>
      </w:r>
      <w:r w:rsidRPr="002503B5">
        <w:rPr>
          <w:rFonts w:ascii="Arial" w:hAnsi="Arial" w:cs="Arial"/>
          <w:sz w:val="28"/>
          <w:szCs w:val="28"/>
        </w:rPr>
        <w:t xml:space="preserve"> </w:t>
      </w:r>
      <w:r w:rsidR="00B2411C" w:rsidRPr="002503B5">
        <w:rPr>
          <w:rFonts w:ascii="Arial" w:hAnsi="Arial" w:cs="Arial"/>
          <w:sz w:val="28"/>
          <w:szCs w:val="28"/>
        </w:rPr>
        <w:t>«О</w:t>
      </w:r>
      <w:r w:rsidRPr="002503B5">
        <w:rPr>
          <w:rFonts w:ascii="Arial" w:hAnsi="Arial" w:cs="Arial"/>
          <w:sz w:val="28"/>
          <w:szCs w:val="28"/>
        </w:rPr>
        <w:t xml:space="preserve"> связи</w:t>
      </w:r>
      <w:r w:rsidR="00B2411C" w:rsidRPr="002503B5">
        <w:rPr>
          <w:rFonts w:ascii="Arial" w:hAnsi="Arial" w:cs="Arial"/>
          <w:sz w:val="28"/>
          <w:szCs w:val="28"/>
        </w:rPr>
        <w:t>»</w:t>
      </w:r>
      <w:r w:rsidRPr="002503B5">
        <w:rPr>
          <w:rFonts w:ascii="Arial" w:hAnsi="Arial" w:cs="Arial"/>
          <w:sz w:val="28"/>
          <w:szCs w:val="28"/>
        </w:rPr>
        <w:t xml:space="preserve"> введено понятие виртуального оператора сотовой связи – оператора связи, использующего инфраструктуру одного либо нескольких операторов сотовой связи для предоставления услуг сотовой связи.</w:t>
      </w:r>
    </w:p>
    <w:p w14:paraId="307F37DB" w14:textId="5FC86088" w:rsidR="00F23BE0" w:rsidRPr="002503B5" w:rsidRDefault="00F23BE0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6) </w:t>
      </w:r>
      <w:r w:rsidR="00D90CAF" w:rsidRPr="002503B5">
        <w:rPr>
          <w:rFonts w:ascii="Arial" w:hAnsi="Arial" w:cs="Arial"/>
          <w:sz w:val="28"/>
          <w:szCs w:val="28"/>
        </w:rPr>
        <w:t>барьер для развития конкуренции, связанный, с неправомерными отказами обладателями ключевой мощности в получении объемов нефтепродуктов.</w:t>
      </w:r>
    </w:p>
    <w:p w14:paraId="252C29C9" w14:textId="27400C2A" w:rsidR="00D90CAF" w:rsidRPr="002503B5" w:rsidRDefault="00D90CAF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 Агентством разработаны и внесены поправки в приказ Председателя Агентства по защите и развитию конкуренции Республики Казахстан от 13 июня 2022 года № 15 «Об утверждении Правил равного доступа к ключевой мощности» регламентирующие порядок распределения доступных объемов нефтепродуктов в период дефицита топлива.</w:t>
      </w:r>
    </w:p>
    <w:p w14:paraId="5F1F7615" w14:textId="13360592" w:rsidR="00D90CAF" w:rsidRPr="002503B5" w:rsidRDefault="00D90CAF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7) барьер для развития конкуренции, связанный, с необходимостью ежегодной регистрации цены или перерегистрации зарегистрированной цены на лекарственные средства и медицинские изделия в рамках ГОБМП и ОСМС.</w:t>
      </w:r>
    </w:p>
    <w:p w14:paraId="1A807EC5" w14:textId="4A37BED4" w:rsidR="00D90CAF" w:rsidRPr="002503B5" w:rsidRDefault="00394EEE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 20 августа 2024 года Министерством здравоохранения Республики Казахстан внесены изменения в Правила, в части исключения нормы об обязательной ежегодной регистрации или перерегистрации цены на лекарственные средства.</w:t>
      </w:r>
    </w:p>
    <w:p w14:paraId="1CEB2FC9" w14:textId="49A55B4D" w:rsidR="00394EEE" w:rsidRPr="002503B5" w:rsidRDefault="00394EEE" w:rsidP="00697E9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lastRenderedPageBreak/>
        <w:t>8) барьер для развития конкуренции, связанный, с предоставлением преимуществ субъектам рынка, реализующих приборы учета воды.</w:t>
      </w:r>
    </w:p>
    <w:p w14:paraId="01C96283" w14:textId="4A9E5E9C" w:rsidR="00394EEE" w:rsidRPr="002503B5" w:rsidRDefault="00394EEE" w:rsidP="00394E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Решение. Агентством внесены дополнения в приказ Председателя Агентства по защите и развитию конкуренции Республики Казахстан от 12 июля 2023 года № 9 «Об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 и о внесении изменений и дополнения в приказ Министра национальной экономики Республики Казахстан от 16 января 2019 года № 6 «Об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деятельности», в части выдачи субъектами естественных монополий разрешения на эксплуатацию информационно-измерительной системы коммерческого учета воды, по итогам прохождения апробации в тестовом режиме.</w:t>
      </w:r>
    </w:p>
    <w:p w14:paraId="67AC7655" w14:textId="7B2C8919" w:rsidR="00394EEE" w:rsidRPr="002503B5" w:rsidRDefault="00394EEE" w:rsidP="00394E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Вышеуказанная норма обеспечит прозрачность подачи заявлений поставщиками приборов учета воды и информационно-измерительной </w:t>
      </w:r>
      <w:r w:rsidR="002503B5" w:rsidRPr="002503B5">
        <w:rPr>
          <w:rFonts w:ascii="Arial" w:hAnsi="Arial" w:cs="Arial"/>
          <w:sz w:val="28"/>
          <w:szCs w:val="28"/>
        </w:rPr>
        <w:t>системы, а</w:t>
      </w:r>
      <w:r w:rsidRPr="002503B5">
        <w:rPr>
          <w:rFonts w:ascii="Arial" w:hAnsi="Arial" w:cs="Arial"/>
          <w:sz w:val="28"/>
          <w:szCs w:val="28"/>
        </w:rPr>
        <w:t xml:space="preserve"> также принятия решений субъектами естественных монополий о выдаче разрешений на эксплуатацию информационно измерительной системы коммерческого учета воды.</w:t>
      </w:r>
    </w:p>
    <w:p w14:paraId="5C6B41D2" w14:textId="71513AC7" w:rsidR="00A07B5F" w:rsidRPr="002503B5" w:rsidRDefault="00A07B5F" w:rsidP="00A07B5F">
      <w:pPr>
        <w:pStyle w:val="a4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7378A014" w14:textId="65B49955" w:rsidR="005A1A9F" w:rsidRPr="002503B5" w:rsidRDefault="005A1A9F" w:rsidP="00E93E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color w:val="151515"/>
          <w:sz w:val="28"/>
          <w:szCs w:val="28"/>
        </w:rPr>
        <w:t>Контроль товарных бирж</w:t>
      </w:r>
    </w:p>
    <w:p w14:paraId="7AEF0676" w14:textId="77777777" w:rsidR="00E7033C" w:rsidRPr="002503B5" w:rsidRDefault="00E7033C" w:rsidP="00E7033C">
      <w:pPr>
        <w:pStyle w:val="a4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6078683A" w14:textId="06435370" w:rsidR="00D608CE" w:rsidRPr="002503B5" w:rsidRDefault="005A1A9F" w:rsidP="005A1A9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Биржевая торговля в соответствии с международной практикой в условиях устойчивой монопольной / олигопольной структуры рынка выступает ключевым инструментом обеспечения </w:t>
      </w:r>
      <w:r w:rsidRPr="002503B5">
        <w:rPr>
          <w:rFonts w:ascii="Arial" w:hAnsi="Arial" w:cs="Arial"/>
          <w:bCs/>
          <w:color w:val="000000" w:themeColor="text1"/>
          <w:sz w:val="28"/>
          <w:szCs w:val="28"/>
        </w:rPr>
        <w:t>равного доступа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 к ограниченным ресурсам монополистов всем категориям бизнеса, главным образом малому и среднему, и формирования информативного </w:t>
      </w:r>
      <w:r w:rsidRPr="002503B5">
        <w:rPr>
          <w:rFonts w:ascii="Arial" w:hAnsi="Arial" w:cs="Arial"/>
          <w:i/>
          <w:color w:val="000000" w:themeColor="text1"/>
          <w:sz w:val="28"/>
          <w:szCs w:val="28"/>
        </w:rPr>
        <w:t xml:space="preserve">(прозрачного) </w:t>
      </w:r>
      <w:r w:rsidRPr="002503B5">
        <w:rPr>
          <w:rFonts w:ascii="Arial" w:hAnsi="Arial" w:cs="Arial"/>
          <w:bCs/>
          <w:color w:val="000000" w:themeColor="text1"/>
          <w:sz w:val="28"/>
          <w:szCs w:val="28"/>
        </w:rPr>
        <w:t>рыночного ценообразования</w:t>
      </w:r>
      <w:r w:rsidRPr="002503B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>с индикаторами, на которые могут ориентироваться все участники рынка и регуляторы</w:t>
      </w:r>
      <w:r w:rsidR="00D608CE" w:rsidRPr="002503B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2F7C449" w14:textId="270ACB72" w:rsidR="0004652D" w:rsidRPr="002503B5" w:rsidRDefault="00D608CE" w:rsidP="005A1A9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03B5">
        <w:rPr>
          <w:rFonts w:ascii="Arial" w:hAnsi="Arial" w:cs="Arial"/>
          <w:color w:val="000000" w:themeColor="text1"/>
          <w:sz w:val="28"/>
          <w:szCs w:val="28"/>
        </w:rPr>
        <w:t>В целях обеспечения прозрачности работы товарных бирж и использования всех положительных эффектов (преимуществ) биржевой торговли Агентством на постоянной основе проводится анализ</w:t>
      </w:r>
      <w:r w:rsidR="0004652D" w:rsidRPr="002503B5">
        <w:rPr>
          <w:rFonts w:ascii="Arial" w:hAnsi="Arial" w:cs="Arial"/>
          <w:color w:val="000000" w:themeColor="text1"/>
          <w:sz w:val="28"/>
          <w:szCs w:val="28"/>
        </w:rPr>
        <w:t xml:space="preserve"> и мониторинг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 деятельности товарных бирж, а также проф</w:t>
      </w:r>
      <w:r w:rsidR="0004652D" w:rsidRPr="002503B5">
        <w:rPr>
          <w:rFonts w:ascii="Arial" w:hAnsi="Arial" w:cs="Arial"/>
          <w:color w:val="000000" w:themeColor="text1"/>
          <w:sz w:val="28"/>
          <w:szCs w:val="28"/>
        </w:rPr>
        <w:t>илактический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 контроль без</w:t>
      </w:r>
      <w:r w:rsidR="0004652D" w:rsidRPr="002503B5">
        <w:rPr>
          <w:rFonts w:ascii="Arial" w:hAnsi="Arial" w:cs="Arial"/>
          <w:color w:val="000000" w:themeColor="text1"/>
          <w:sz w:val="28"/>
          <w:szCs w:val="28"/>
        </w:rPr>
        <w:t>/с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 посещени</w:t>
      </w:r>
      <w:r w:rsidR="0004652D" w:rsidRPr="002503B5">
        <w:rPr>
          <w:rFonts w:ascii="Arial" w:hAnsi="Arial" w:cs="Arial"/>
          <w:color w:val="000000" w:themeColor="text1"/>
          <w:sz w:val="28"/>
          <w:szCs w:val="28"/>
        </w:rPr>
        <w:t>ем субъектов контроля.</w:t>
      </w:r>
    </w:p>
    <w:p w14:paraId="0A35CC24" w14:textId="780422B4" w:rsidR="005A1A9F" w:rsidRPr="002503B5" w:rsidRDefault="0004652D" w:rsidP="005A1A9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03B5">
        <w:rPr>
          <w:rFonts w:ascii="Arial" w:hAnsi="Arial" w:cs="Arial"/>
          <w:color w:val="000000" w:themeColor="text1"/>
          <w:sz w:val="28"/>
          <w:szCs w:val="28"/>
        </w:rPr>
        <w:t>В</w:t>
      </w:r>
      <w:r w:rsidR="00A07B5F" w:rsidRPr="002503B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>частности</w:t>
      </w:r>
      <w:r w:rsidR="00A07B5F" w:rsidRPr="002503B5">
        <w:rPr>
          <w:rFonts w:ascii="Arial" w:hAnsi="Arial" w:cs="Arial"/>
          <w:color w:val="000000" w:themeColor="text1"/>
          <w:sz w:val="28"/>
          <w:szCs w:val="28"/>
        </w:rPr>
        <w:t>,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 xml:space="preserve"> с начала года</w:t>
      </w:r>
      <w:r w:rsidR="007E236C" w:rsidRPr="002503B5">
        <w:rPr>
          <w:rFonts w:ascii="Arial" w:hAnsi="Arial" w:cs="Arial"/>
          <w:color w:val="000000" w:themeColor="text1"/>
          <w:sz w:val="28"/>
          <w:szCs w:val="28"/>
        </w:rPr>
        <w:t xml:space="preserve"> проведена следующая работа</w:t>
      </w:r>
      <w:r w:rsidRPr="002503B5">
        <w:rPr>
          <w:rFonts w:ascii="Arial" w:hAnsi="Arial" w:cs="Arial"/>
          <w:color w:val="000000" w:themeColor="text1"/>
          <w:sz w:val="28"/>
          <w:szCs w:val="28"/>
        </w:rPr>
        <w:t>:</w:t>
      </w:r>
      <w:r w:rsidR="00D608CE" w:rsidRPr="002503B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1A9F" w:rsidRPr="002503B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BCE7C3E" w14:textId="3E373378" w:rsidR="005A1A9F" w:rsidRPr="002503B5" w:rsidRDefault="0004652D" w:rsidP="005A1A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- в</w:t>
      </w:r>
      <w:r w:rsidR="005A1A9F" w:rsidRPr="002503B5">
        <w:rPr>
          <w:rFonts w:ascii="Arial" w:hAnsi="Arial" w:cs="Arial"/>
          <w:sz w:val="28"/>
          <w:szCs w:val="28"/>
        </w:rPr>
        <w:t xml:space="preserve"> январе 2024 года по результатам профилактического контроля без посещения субъекта (объекта) контроля в адрес АО «Товарная биржа «Астана» вынесена 1 рекомендация об устранении нарушений законодательства в сфере товарных бирж </w:t>
      </w:r>
      <w:r w:rsidR="005A1A9F" w:rsidRPr="002503B5">
        <w:rPr>
          <w:rFonts w:ascii="Arial" w:hAnsi="Arial" w:cs="Arial"/>
          <w:i/>
          <w:iCs/>
          <w:sz w:val="28"/>
          <w:szCs w:val="28"/>
        </w:rPr>
        <w:t>(рекомендация исполнена в полном объеме)</w:t>
      </w:r>
      <w:r w:rsidRPr="002503B5">
        <w:rPr>
          <w:rFonts w:ascii="Arial" w:hAnsi="Arial" w:cs="Arial"/>
          <w:sz w:val="28"/>
          <w:szCs w:val="28"/>
        </w:rPr>
        <w:t>;</w:t>
      </w:r>
      <w:r w:rsidR="005A1A9F" w:rsidRPr="002503B5">
        <w:rPr>
          <w:rFonts w:ascii="Arial" w:hAnsi="Arial" w:cs="Arial"/>
          <w:sz w:val="28"/>
          <w:szCs w:val="28"/>
        </w:rPr>
        <w:t xml:space="preserve">  </w:t>
      </w:r>
    </w:p>
    <w:p w14:paraId="1B8146EB" w14:textId="48074CDC" w:rsidR="005A1A9F" w:rsidRPr="002503B5" w:rsidRDefault="0004652D" w:rsidP="005A1A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- в</w:t>
      </w:r>
      <w:r w:rsidR="005A1A9F" w:rsidRPr="002503B5">
        <w:rPr>
          <w:rFonts w:ascii="Arial" w:hAnsi="Arial" w:cs="Arial"/>
          <w:sz w:val="28"/>
          <w:szCs w:val="28"/>
        </w:rPr>
        <w:t xml:space="preserve"> период с 4 по 11 марта 2024 года Агентством в отношении </w:t>
      </w:r>
      <w:r w:rsidR="00B2411C" w:rsidRPr="002503B5">
        <w:rPr>
          <w:rFonts w:ascii="Arial" w:hAnsi="Arial" w:cs="Arial"/>
          <w:sz w:val="28"/>
          <w:szCs w:val="28"/>
        </w:rPr>
        <w:t xml:space="preserve">                              </w:t>
      </w:r>
      <w:r w:rsidR="005A1A9F" w:rsidRPr="002503B5">
        <w:rPr>
          <w:rFonts w:ascii="Arial" w:hAnsi="Arial" w:cs="Arial"/>
          <w:sz w:val="28"/>
          <w:szCs w:val="28"/>
        </w:rPr>
        <w:t xml:space="preserve">АО «Товарная биржа «Эстау» </w:t>
      </w:r>
      <w:r w:rsidR="005A1A9F" w:rsidRPr="002503B5">
        <w:rPr>
          <w:rFonts w:ascii="Arial" w:hAnsi="Arial" w:cs="Arial"/>
          <w:i/>
          <w:iCs/>
          <w:sz w:val="28"/>
          <w:szCs w:val="28"/>
        </w:rPr>
        <w:t>(далее – Товарная биржа)</w:t>
      </w:r>
      <w:r w:rsidR="005A1A9F" w:rsidRPr="002503B5">
        <w:rPr>
          <w:rFonts w:ascii="Arial" w:hAnsi="Arial" w:cs="Arial"/>
          <w:sz w:val="28"/>
          <w:szCs w:val="28"/>
        </w:rPr>
        <w:t xml:space="preserve"> проведен </w:t>
      </w:r>
      <w:r w:rsidR="005A1A9F" w:rsidRPr="002503B5">
        <w:rPr>
          <w:rFonts w:ascii="Arial" w:hAnsi="Arial" w:cs="Arial"/>
          <w:sz w:val="28"/>
          <w:szCs w:val="28"/>
        </w:rPr>
        <w:lastRenderedPageBreak/>
        <w:t>профилактический контроль с посещением субъекта контроля на основании полугодового списка субъектов контроля.</w:t>
      </w:r>
    </w:p>
    <w:p w14:paraId="498A6A88" w14:textId="56930A6A" w:rsidR="005A1A9F" w:rsidRPr="002503B5" w:rsidRDefault="005A1A9F" w:rsidP="005A1A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503B5">
        <w:rPr>
          <w:rFonts w:ascii="Arial" w:hAnsi="Arial" w:cs="Arial"/>
          <w:sz w:val="28"/>
          <w:szCs w:val="28"/>
        </w:rPr>
        <w:t xml:space="preserve">По итогам профилактического контроля с посещением Агентством выявлены 4 нарушения требований, указанных в перечне требований проверочного листа за соблюдением законодательства </w:t>
      </w:r>
      <w:r w:rsidR="00B2411C" w:rsidRPr="002503B5">
        <w:rPr>
          <w:rFonts w:ascii="Arial" w:hAnsi="Arial" w:cs="Arial"/>
          <w:sz w:val="28"/>
          <w:szCs w:val="28"/>
        </w:rPr>
        <w:t>РК</w:t>
      </w:r>
      <w:r w:rsidRPr="002503B5">
        <w:rPr>
          <w:rFonts w:ascii="Arial" w:hAnsi="Arial" w:cs="Arial"/>
          <w:sz w:val="28"/>
          <w:szCs w:val="28"/>
        </w:rPr>
        <w:t xml:space="preserve"> о товарных биржах</w:t>
      </w:r>
      <w:r w:rsidRPr="002503B5">
        <w:rPr>
          <w:rFonts w:ascii="Arial" w:hAnsi="Arial" w:cs="Arial"/>
          <w:sz w:val="28"/>
          <w:szCs w:val="28"/>
          <w:lang w:val="kk-KZ"/>
        </w:rPr>
        <w:t>.</w:t>
      </w:r>
    </w:p>
    <w:p w14:paraId="5E25AFFB" w14:textId="15BF2FF9" w:rsidR="005A1A9F" w:rsidRPr="002503B5" w:rsidRDefault="005A1A9F" w:rsidP="005A1A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В соответствии со статьей 152 </w:t>
      </w:r>
      <w:r w:rsidR="00B2411C" w:rsidRPr="002503B5">
        <w:rPr>
          <w:rFonts w:ascii="Arial" w:hAnsi="Arial" w:cs="Arial"/>
          <w:sz w:val="28"/>
          <w:szCs w:val="28"/>
        </w:rPr>
        <w:t>Кодекса</w:t>
      </w:r>
      <w:r w:rsidRPr="002503B5">
        <w:rPr>
          <w:rFonts w:ascii="Arial" w:hAnsi="Arial" w:cs="Arial"/>
          <w:sz w:val="28"/>
          <w:szCs w:val="28"/>
        </w:rPr>
        <w:t>, Агентством Товарной бирже выдано предписание об устранении выявленных нарушений</w:t>
      </w:r>
      <w:r w:rsidRPr="002503B5">
        <w:rPr>
          <w:rFonts w:ascii="Arial" w:hAnsi="Arial" w:cs="Arial"/>
          <w:sz w:val="28"/>
          <w:szCs w:val="28"/>
          <w:lang w:val="kk-KZ"/>
        </w:rPr>
        <w:t xml:space="preserve"> </w:t>
      </w:r>
      <w:r w:rsidRPr="002503B5">
        <w:rPr>
          <w:rFonts w:ascii="Arial" w:hAnsi="Arial" w:cs="Arial"/>
          <w:i/>
          <w:iCs/>
          <w:sz w:val="28"/>
          <w:szCs w:val="28"/>
        </w:rPr>
        <w:t>(предписание исполнено в полном объеме)</w:t>
      </w:r>
      <w:r w:rsidRPr="002503B5">
        <w:rPr>
          <w:rFonts w:ascii="Arial" w:hAnsi="Arial" w:cs="Arial"/>
          <w:sz w:val="28"/>
          <w:szCs w:val="28"/>
        </w:rPr>
        <w:t>.</w:t>
      </w:r>
    </w:p>
    <w:p w14:paraId="786907D7" w14:textId="6C655D05" w:rsidR="00A07B5F" w:rsidRPr="002503B5" w:rsidRDefault="00A07B5F" w:rsidP="00A07B5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Вместе с тем, в отчетном периоде к административной ответственности по стать</w:t>
      </w:r>
      <w:r w:rsidR="00B2411C" w:rsidRPr="002503B5">
        <w:rPr>
          <w:rFonts w:ascii="Arial" w:hAnsi="Arial" w:cs="Arial"/>
          <w:sz w:val="28"/>
          <w:szCs w:val="28"/>
        </w:rPr>
        <w:t>е</w:t>
      </w:r>
      <w:r w:rsidRPr="002503B5">
        <w:rPr>
          <w:rFonts w:ascii="Arial" w:hAnsi="Arial" w:cs="Arial"/>
          <w:sz w:val="28"/>
          <w:szCs w:val="28"/>
        </w:rPr>
        <w:t xml:space="preserve"> 464 КоАП по факту нарушения установленных законодательством </w:t>
      </w:r>
      <w:r w:rsidR="00D47FEF" w:rsidRPr="002503B5">
        <w:rPr>
          <w:rFonts w:ascii="Arial" w:hAnsi="Arial" w:cs="Arial"/>
          <w:sz w:val="28"/>
          <w:szCs w:val="28"/>
        </w:rPr>
        <w:t>РК</w:t>
      </w:r>
      <w:r w:rsidRPr="002503B5">
        <w:rPr>
          <w:rFonts w:ascii="Arial" w:hAnsi="Arial" w:cs="Arial"/>
          <w:sz w:val="28"/>
          <w:szCs w:val="28"/>
        </w:rPr>
        <w:t xml:space="preserve"> норм лицензирования, в том числе несоответствия квалификационным требованиям, предъявляемым к лицензируемым видам деятельности, привлечены:</w:t>
      </w:r>
      <w:r w:rsidR="00D47FEF" w:rsidRPr="002503B5">
        <w:rPr>
          <w:rFonts w:ascii="Arial" w:hAnsi="Arial" w:cs="Arial"/>
          <w:sz w:val="28"/>
          <w:szCs w:val="28"/>
        </w:rPr>
        <w:t xml:space="preserve"> </w:t>
      </w:r>
      <w:r w:rsidRPr="002503B5">
        <w:rPr>
          <w:rFonts w:ascii="Arial" w:hAnsi="Arial" w:cs="Arial"/>
          <w:sz w:val="28"/>
          <w:szCs w:val="28"/>
        </w:rPr>
        <w:t>АО «Товарная биржа «Астана»;</w:t>
      </w:r>
      <w:r w:rsidR="00D47FEF" w:rsidRPr="002503B5">
        <w:rPr>
          <w:rFonts w:ascii="Arial" w:hAnsi="Arial" w:cs="Arial"/>
          <w:sz w:val="28"/>
          <w:szCs w:val="28"/>
        </w:rPr>
        <w:t xml:space="preserve"> </w:t>
      </w:r>
      <w:r w:rsidRPr="002503B5">
        <w:rPr>
          <w:rFonts w:ascii="Arial" w:hAnsi="Arial" w:cs="Arial"/>
          <w:sz w:val="28"/>
          <w:szCs w:val="28"/>
        </w:rPr>
        <w:t>АО «Товарная биржа «Акцепт»;</w:t>
      </w:r>
      <w:r w:rsidR="00D47FEF" w:rsidRPr="002503B5">
        <w:rPr>
          <w:rFonts w:ascii="Arial" w:hAnsi="Arial" w:cs="Arial"/>
          <w:sz w:val="28"/>
          <w:szCs w:val="28"/>
        </w:rPr>
        <w:t xml:space="preserve"> </w:t>
      </w:r>
      <w:r w:rsidRPr="002503B5">
        <w:rPr>
          <w:rFonts w:ascii="Arial" w:hAnsi="Arial" w:cs="Arial"/>
          <w:sz w:val="28"/>
          <w:szCs w:val="28"/>
        </w:rPr>
        <w:t>АО «Товарная биржа «Alan».</w:t>
      </w:r>
    </w:p>
    <w:p w14:paraId="66DD2272" w14:textId="579AD036" w:rsidR="005A1A9F" w:rsidRPr="002503B5" w:rsidRDefault="005A1A9F" w:rsidP="005A1A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Кроме того, </w:t>
      </w:r>
      <w:r w:rsidRPr="002503B5">
        <w:rPr>
          <w:rFonts w:ascii="Arial" w:hAnsi="Arial" w:cs="Arial"/>
          <w:sz w:val="28"/>
          <w:szCs w:val="28"/>
          <w:lang w:val="kk-KZ"/>
        </w:rPr>
        <w:t>в</w:t>
      </w:r>
      <w:r w:rsidRPr="002503B5">
        <w:rPr>
          <w:rFonts w:ascii="Arial" w:hAnsi="Arial" w:cs="Arial"/>
          <w:sz w:val="28"/>
          <w:szCs w:val="28"/>
        </w:rPr>
        <w:t xml:space="preserve"> соответствии </w:t>
      </w:r>
      <w:r w:rsidRPr="002503B5">
        <w:rPr>
          <w:rFonts w:ascii="Arial" w:hAnsi="Arial" w:cs="Arial"/>
          <w:sz w:val="28"/>
          <w:szCs w:val="28"/>
          <w:lang w:val="kk-KZ"/>
        </w:rPr>
        <w:t xml:space="preserve">с </w:t>
      </w:r>
      <w:r w:rsidRPr="002503B5">
        <w:rPr>
          <w:rFonts w:ascii="Arial" w:hAnsi="Arial" w:cs="Arial"/>
          <w:sz w:val="28"/>
          <w:szCs w:val="28"/>
        </w:rPr>
        <w:t xml:space="preserve">подпунктом  5) пункта 1 статьи 35 Закона </w:t>
      </w:r>
      <w:r w:rsidR="00D47FEF" w:rsidRPr="002503B5">
        <w:rPr>
          <w:rFonts w:ascii="Arial" w:hAnsi="Arial" w:cs="Arial"/>
          <w:sz w:val="28"/>
          <w:szCs w:val="28"/>
        </w:rPr>
        <w:t>РК</w:t>
      </w:r>
      <w:r w:rsidRPr="002503B5">
        <w:rPr>
          <w:rFonts w:ascii="Arial" w:hAnsi="Arial" w:cs="Arial"/>
          <w:sz w:val="28"/>
          <w:szCs w:val="28"/>
        </w:rPr>
        <w:t xml:space="preserve"> «О разрешениях и уведомлениях»</w:t>
      </w:r>
      <w:r w:rsidR="00AA2ADC" w:rsidRPr="002503B5">
        <w:rPr>
          <w:rFonts w:ascii="Arial" w:hAnsi="Arial" w:cs="Arial"/>
          <w:sz w:val="28"/>
          <w:szCs w:val="28"/>
        </w:rPr>
        <w:t xml:space="preserve">, </w:t>
      </w:r>
      <w:r w:rsidR="0004652D" w:rsidRPr="002503B5">
        <w:rPr>
          <w:rFonts w:ascii="Arial" w:hAnsi="Arial" w:cs="Arial"/>
          <w:sz w:val="28"/>
          <w:szCs w:val="28"/>
          <w:lang w:val="kk-KZ"/>
        </w:rPr>
        <w:t>с</w:t>
      </w:r>
      <w:r w:rsidRPr="002503B5">
        <w:rPr>
          <w:rFonts w:ascii="Arial" w:hAnsi="Arial" w:cs="Arial"/>
          <w:sz w:val="28"/>
          <w:szCs w:val="28"/>
          <w:lang w:val="kk-KZ"/>
        </w:rPr>
        <w:t xml:space="preserve"> 18 марта 2024 года</w:t>
      </w:r>
      <w:r w:rsidRPr="002503B5">
        <w:rPr>
          <w:rFonts w:ascii="Arial" w:hAnsi="Arial" w:cs="Arial"/>
          <w:sz w:val="28"/>
          <w:szCs w:val="28"/>
        </w:rPr>
        <w:t xml:space="preserve"> прекращено действие лицензии на право занятия деятельностью товарных бирж  АО «Товарная биржа «Казахстан»</w:t>
      </w:r>
      <w:r w:rsidR="00AA2ADC" w:rsidRPr="002503B5">
        <w:rPr>
          <w:rFonts w:ascii="Arial" w:hAnsi="Arial" w:cs="Arial"/>
          <w:sz w:val="28"/>
          <w:szCs w:val="28"/>
        </w:rPr>
        <w:t xml:space="preserve"> </w:t>
      </w:r>
      <w:r w:rsidRPr="002503B5">
        <w:rPr>
          <w:rFonts w:ascii="Arial" w:hAnsi="Arial" w:cs="Arial"/>
          <w:sz w:val="28"/>
          <w:szCs w:val="28"/>
        </w:rPr>
        <w:t>№ KZ53LDU00004076 от 29 декабря  2022 года в связи с добровольным обращением лицензиата о прекращении действия лицензии.</w:t>
      </w:r>
    </w:p>
    <w:p w14:paraId="684A8894" w14:textId="4E3DC2A7" w:rsidR="005A1A9F" w:rsidRPr="002503B5" w:rsidRDefault="00A07B5F" w:rsidP="00A07B5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Также, на основании добровольного обращения приостановлено действие лицензии АО «Товарная биржа «Almaty Commodity Exchange» на право занятия деятельностью товарных бирж № KZ94LDU00004211 от 1 июня 2023 года.</w:t>
      </w:r>
    </w:p>
    <w:p w14:paraId="42FCAAD7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Агентством совместно с органами финансового мониторинга в период с 11 по 17 июля 2024 года на основании обращений субъектов предпринимательства проведена внеплановая проверка в отношении АО «Товарная биржа «Modern Trading Solutions» на предмет соблюдения законодательства Республики Казахстан о товарных биржах.</w:t>
      </w:r>
    </w:p>
    <w:p w14:paraId="7232CE8C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По итогам проверки, Агентством выявлены факты несоответствия электронной торговой системы товарной биржи (ЭТСТБ) установленным законодательством требованиям, в частности, клиринговый центр ТОО «Национальный Казахстанский Клиринговый Центр» имеет возможность самостоятельно блокировать учетные записи членов товарной биржи в ЭТСТБ выходя за рамки своих функции, предусмотренные Законом Республики Казахстан «О товарных биржах».</w:t>
      </w:r>
    </w:p>
    <w:p w14:paraId="222AC5E6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Согласно установленным требованиям, блокировка учетной записи члена товарной биржи в ЭТСТБ производится непосредственно товарной биржей и исключительно в случае приостановления аккредитации члена товарной биржи, однако в отношении заявителей такое решение товарной биржей не принималось.</w:t>
      </w:r>
    </w:p>
    <w:p w14:paraId="5DF6D7E7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Таким образом, в нарушение действующего законодательства, АО «Товарная биржа «Modern Trading Solutions» своему клиринговому центру предоставлен доступ к ЭТСТБ, позволяющий самостоятельно </w:t>
      </w:r>
      <w:r w:rsidRPr="002503B5">
        <w:rPr>
          <w:rFonts w:ascii="Arial" w:hAnsi="Arial" w:cs="Arial"/>
          <w:sz w:val="28"/>
          <w:szCs w:val="28"/>
        </w:rPr>
        <w:lastRenderedPageBreak/>
        <w:t>клиринговым центром ТОО «Национальный Казахстанский Клиринговый Центр» блокировать учетные записи в ЭТСТБ и не допускать членов товарной биржи к торгам, в том числе по причине наличия задолженностей перед клиринговым центром.</w:t>
      </w:r>
    </w:p>
    <w:p w14:paraId="61C5A078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этой связи, АО «Товарная биржа «Modern Trading Solutions» выдано предписание об устранении выявленных нарушений, а также возбуждено дело об административном правонарушении по части 1 статьи 464 Кодекса Республики Казахстан об административных правонарушениях (КоАП), предусматривающей административный штраф, с приостановлением действия лицензии или без такового.</w:t>
      </w:r>
    </w:p>
    <w:p w14:paraId="75A9F67B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Кроме того, Агентством, в период с 19 по 23 августа 2024 год проведана плановая проверка АО «Товарная биржа «Modern Trading Solutions» на предмет соответствия законодательству о товарных биржах.</w:t>
      </w:r>
    </w:p>
    <w:p w14:paraId="1461B330" w14:textId="77777777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По итогам профилактического контроля с посещением субъекта контроля Агентством выявлены нарушения по 5 пунктам требований проверочного листа за соблюдением законодательства Республики Казахстан о товарных биржах, утвержденного приказом Министра национальной экономики Республики Казахстан от 5 марта 2016 года № 128.</w:t>
      </w:r>
    </w:p>
    <w:p w14:paraId="32615FE7" w14:textId="0323FE80" w:rsidR="005009DE" w:rsidRPr="002503B5" w:rsidRDefault="005009DE" w:rsidP="005009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соответствии со статьей 152 Предпринимательского кодекса Республики Казахстан, Агентством Товарной бирже выдано предписание об устранении выявленных нарушений.</w:t>
      </w:r>
    </w:p>
    <w:p w14:paraId="003FB1E3" w14:textId="77777777" w:rsidR="0053041D" w:rsidRPr="002503B5" w:rsidRDefault="0053041D" w:rsidP="00A07B5F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75DE5D5F" w14:textId="0A898DD9" w:rsidR="00D44703" w:rsidRPr="002503B5" w:rsidRDefault="00D44703" w:rsidP="00E93E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color w:val="151515"/>
          <w:sz w:val="28"/>
          <w:szCs w:val="28"/>
        </w:rPr>
        <w:t>Мониторинг мер государственной поддержки</w:t>
      </w:r>
    </w:p>
    <w:p w14:paraId="5A137B46" w14:textId="386D042C" w:rsidR="00D44703" w:rsidRPr="002503B5" w:rsidRDefault="00D44703" w:rsidP="00D44703">
      <w:pPr>
        <w:pStyle w:val="a4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47B3C19F" w14:textId="7D98E855" w:rsidR="006817F9" w:rsidRPr="002503B5" w:rsidRDefault="00AB2B12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1. </w:t>
      </w:r>
      <w:r w:rsidR="006817F9" w:rsidRPr="002503B5">
        <w:rPr>
          <w:rFonts w:ascii="Arial" w:hAnsi="Arial" w:cs="Arial"/>
          <w:sz w:val="28"/>
          <w:szCs w:val="28"/>
        </w:rPr>
        <w:t xml:space="preserve">Агентством </w:t>
      </w:r>
      <w:r w:rsidR="006817F9" w:rsidRPr="002503B5">
        <w:rPr>
          <w:rFonts w:ascii="Arial" w:hAnsi="Arial" w:cs="Arial"/>
          <w:color w:val="151515"/>
          <w:sz w:val="28"/>
          <w:szCs w:val="28"/>
        </w:rPr>
        <w:t xml:space="preserve">в первом полугодии 2024 года проведен мониторинг 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 xml:space="preserve">                        </w:t>
      </w:r>
      <w:r w:rsidR="006817F9" w:rsidRPr="002503B5">
        <w:rPr>
          <w:rFonts w:ascii="Arial" w:hAnsi="Arial" w:cs="Arial"/>
          <w:color w:val="151515"/>
          <w:sz w:val="28"/>
          <w:szCs w:val="28"/>
        </w:rPr>
        <w:t xml:space="preserve">АО «Центр развития торговой политики «QazTrade» и АО «Казахстанский центр индустрии и экспорта» </w:t>
      </w:r>
      <w:r w:rsidR="006817F9" w:rsidRPr="002503B5">
        <w:rPr>
          <w:rFonts w:ascii="Arial" w:hAnsi="Arial" w:cs="Arial"/>
          <w:i/>
          <w:iCs/>
          <w:color w:val="151515"/>
          <w:sz w:val="28"/>
          <w:szCs w:val="28"/>
        </w:rPr>
        <w:t>(далее – QazIndustry).</w:t>
      </w:r>
    </w:p>
    <w:p w14:paraId="5617DD8E" w14:textId="1B60EEE5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По результатам проведенного мониторинга деятельности 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 xml:space="preserve">                                        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АО «ЦРТП «QazTrade» выявлены признаки нарушений </w:t>
      </w:r>
      <w:r w:rsidR="00615213" w:rsidRPr="002503B5">
        <w:rPr>
          <w:rFonts w:ascii="Arial" w:hAnsi="Arial" w:cs="Arial"/>
          <w:color w:val="151515"/>
          <w:sz w:val="28"/>
          <w:szCs w:val="28"/>
        </w:rPr>
        <w:t>законодательства РК в области защиты конкуренции</w:t>
      </w:r>
    </w:p>
    <w:p w14:paraId="6C9B86E5" w14:textId="6EEC10E9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В ходе изучения внутренних документов, установлены факты необоснованного затягивания сроков рассмотрения заявок. </w:t>
      </w:r>
      <w:r w:rsidR="002503B5" w:rsidRPr="002503B5">
        <w:rPr>
          <w:rFonts w:ascii="Arial" w:hAnsi="Arial" w:cs="Arial"/>
          <w:color w:val="151515"/>
          <w:sz w:val="28"/>
          <w:szCs w:val="28"/>
        </w:rPr>
        <w:t>Согласно законодательству,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 xml:space="preserve"> 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максимальный срок рассмотрения заявки на получение господдержки составляет 3 месяца. Однако установлено, что срок рассмотрения и принятия решения мог доходить до 500 дней. </w:t>
      </w:r>
    </w:p>
    <w:p w14:paraId="2592F821" w14:textId="77777777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Кроме того, в отдельных случаях не были регистрированы заявки предпринимателей в день поступления, тем самым создавались дискриминационные условия.</w:t>
      </w:r>
    </w:p>
    <w:p w14:paraId="1245C410" w14:textId="1A87C6FC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С учетом </w:t>
      </w:r>
      <w:r w:rsidR="00615213" w:rsidRPr="002503B5">
        <w:rPr>
          <w:rFonts w:ascii="Arial" w:hAnsi="Arial" w:cs="Arial"/>
          <w:color w:val="151515"/>
          <w:sz w:val="28"/>
          <w:szCs w:val="28"/>
        </w:rPr>
        <w:t>изложенного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, в адрес АО «ЦРТП «QazTrade» было вынесено 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>у</w:t>
      </w:r>
      <w:r w:rsidRPr="002503B5">
        <w:rPr>
          <w:rFonts w:ascii="Arial" w:hAnsi="Arial" w:cs="Arial"/>
          <w:color w:val="151515"/>
          <w:sz w:val="28"/>
          <w:szCs w:val="28"/>
        </w:rPr>
        <w:t>ведомление о наличии в его действиях признаков нарушений законодательства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 xml:space="preserve"> РК в области защиты конкуренции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. Ввиду неисполнения </w:t>
      </w:r>
      <w:r w:rsidR="00615213" w:rsidRPr="002503B5">
        <w:rPr>
          <w:rFonts w:ascii="Arial" w:hAnsi="Arial" w:cs="Arial"/>
          <w:color w:val="151515"/>
          <w:sz w:val="28"/>
          <w:szCs w:val="28"/>
        </w:rPr>
        <w:t>у</w:t>
      </w:r>
      <w:r w:rsidRPr="002503B5">
        <w:rPr>
          <w:rFonts w:ascii="Arial" w:hAnsi="Arial" w:cs="Arial"/>
          <w:color w:val="151515"/>
          <w:sz w:val="28"/>
          <w:szCs w:val="28"/>
        </w:rPr>
        <w:t>ведомления, начата процедура расследования.</w:t>
      </w:r>
    </w:p>
    <w:p w14:paraId="197F4486" w14:textId="596C2EE1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Согласно действующему законодательству QazIndustry возмещает части затрат, направленных на повышение производительности труда и </w:t>
      </w:r>
      <w:r w:rsidRPr="002503B5">
        <w:rPr>
          <w:rFonts w:ascii="Arial" w:hAnsi="Arial" w:cs="Arial"/>
          <w:color w:val="151515"/>
          <w:sz w:val="28"/>
          <w:szCs w:val="28"/>
        </w:rPr>
        <w:lastRenderedPageBreak/>
        <w:t>на продвижение товаров, работ и услуг субъектов промышленно-инновационной деятельности на внутренний рынок.</w:t>
      </w:r>
    </w:p>
    <w:p w14:paraId="427490B0" w14:textId="70E77877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 результатам мониторинга в действиях QazIndustry признаки нарушений законодательства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 xml:space="preserve"> РК в области защиты конкуренции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не установлены.</w:t>
      </w:r>
    </w:p>
    <w:p w14:paraId="6216B8B6" w14:textId="3C3C95E6" w:rsidR="006817F9" w:rsidRPr="002503B5" w:rsidRDefault="006817F9" w:rsidP="006817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Сроки рассмотрения заявок и предоставления мер государственной поддержки соблюдаются в соответствии с законодательством о государственных услугах</w:t>
      </w:r>
      <w:r w:rsidR="00AB2B12" w:rsidRPr="002503B5">
        <w:rPr>
          <w:rFonts w:ascii="Arial" w:hAnsi="Arial" w:cs="Arial"/>
          <w:color w:val="151515"/>
          <w:sz w:val="28"/>
          <w:szCs w:val="28"/>
        </w:rPr>
        <w:t>;</w:t>
      </w:r>
    </w:p>
    <w:p w14:paraId="273476D7" w14:textId="4CF8C6B6" w:rsidR="00AB2B12" w:rsidRPr="002503B5" w:rsidRDefault="00AB2B12" w:rsidP="00AB2B1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2. В целях развития конкуренции на внутреннем рынке, Агентством внесены рекомендации по рынкам реализации арматуры и оказания сервисных услуг по добыче твердых полезных ископаемых (ТПИ).</w:t>
      </w:r>
    </w:p>
    <w:p w14:paraId="22BFCD8E" w14:textId="77777777" w:rsidR="00AB2B12" w:rsidRPr="002503B5" w:rsidRDefault="00AB2B12" w:rsidP="00AB2B1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Так, постановлением Правительства Республики Казахстан от 16 марта 2024 года №191 при осуществлении государственных закупок установлено изъятие из национального режима арматуры, происходящей из иностранных государств;</w:t>
      </w:r>
    </w:p>
    <w:p w14:paraId="333D83F3" w14:textId="77777777" w:rsidR="00AB2B12" w:rsidRPr="002503B5" w:rsidRDefault="00AB2B12" w:rsidP="00AB2B1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Вместе с тем, введен запрет на вывоз стальных заготовок за пределы РК. </w:t>
      </w:r>
    </w:p>
    <w:p w14:paraId="59FBC011" w14:textId="77777777" w:rsidR="00AB2B12" w:rsidRPr="002503B5" w:rsidRDefault="00AB2B12" w:rsidP="00AB2B1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Кодекс «О недрах и недропользовании» внесены соответствующие поправки в части обеспечения перехода на учет запасов и ресурсов по методологии CRIRSCO. Также, в кодекс внесены изменения в части предоставления прав на недропользование по твердым полезным ископаемым местным и иностранным инвесторам исключительно через аукционы.</w:t>
      </w:r>
    </w:p>
    <w:p w14:paraId="2A042E42" w14:textId="44109CF3" w:rsidR="00AB2B12" w:rsidRPr="002503B5" w:rsidRDefault="00AB2B12" w:rsidP="00AB2B1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целях обеспечения прозрачности, результаты проведенных аукционов по ТПИ публикуются в открытом доступе на платформе «E-Qazyna.kz».</w:t>
      </w:r>
    </w:p>
    <w:p w14:paraId="27BA7D46" w14:textId="77777777" w:rsidR="00D44703" w:rsidRPr="002503B5" w:rsidRDefault="00D44703" w:rsidP="00AB2B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5315DBE7" w14:textId="0953FB5A" w:rsidR="004A730B" w:rsidRPr="002503B5" w:rsidRDefault="004A730B" w:rsidP="00E93E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color w:val="151515"/>
          <w:sz w:val="28"/>
          <w:szCs w:val="28"/>
        </w:rPr>
        <w:t>Выявление и пресечение нарушений</w:t>
      </w:r>
    </w:p>
    <w:p w14:paraId="1897081A" w14:textId="7F517482" w:rsidR="004A730B" w:rsidRPr="002503B5" w:rsidRDefault="004A730B" w:rsidP="004A730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72EFAE43" w14:textId="6F75D479" w:rsidR="004A730B" w:rsidRPr="002503B5" w:rsidRDefault="001F62C4" w:rsidP="004013E2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 месяцев 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202</w:t>
      </w:r>
      <w:r w:rsidR="00D44703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антимонопольным органом вынесено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121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уведомлени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о наличии в действиях </w:t>
      </w:r>
      <w:r w:rsidR="004A730B" w:rsidRPr="002503B5">
        <w:rPr>
          <w:rFonts w:ascii="Arial" w:eastAsia="Times New Roman" w:hAnsi="Arial" w:cs="Arial"/>
          <w:i/>
          <w:color w:val="000000"/>
          <w:sz w:val="28"/>
          <w:szCs w:val="28"/>
          <w:lang w:eastAsia="ar-SA"/>
        </w:rPr>
        <w:t>(бездействии)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признаков нарушения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в области защиты конкуренции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из которых исполнено 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101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A60A9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или 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="00C30BB6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,5</w:t>
      </w:r>
      <w:r w:rsidR="001A60A9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% </w:t>
      </w:r>
      <w:r w:rsidR="004A730B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уведомлений</w:t>
      </w:r>
      <w:r w:rsidR="004A730B" w:rsidRPr="002503B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. </w:t>
      </w:r>
    </w:p>
    <w:p w14:paraId="02255A28" w14:textId="72666294" w:rsidR="00C30BB6" w:rsidRPr="002503B5" w:rsidRDefault="001A60A9" w:rsidP="00C30BB6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Количество</w:t>
      </w:r>
      <w:r w:rsidR="004013E2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согласованных проектов внешнего акта антимонопольного комплаенса </w:t>
      </w:r>
      <w:r w:rsidR="005666A0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с начала текущего</w:t>
      </w:r>
      <w:r w:rsidR="004013E2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год</w:t>
      </w:r>
      <w:r w:rsidR="00D47A69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а</w:t>
      </w:r>
      <w:r w:rsidR="004013E2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</w:t>
      </w:r>
      <w:r w:rsidR="00D47A69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составил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о </w:t>
      </w:r>
      <w:r w:rsidR="005009DE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462</w:t>
      </w:r>
      <w:r w:rsidR="004013E2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проект</w:t>
      </w:r>
      <w:r w:rsidR="00D47A69"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ов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.</w:t>
      </w:r>
    </w:p>
    <w:p w14:paraId="04B1E95B" w14:textId="2B3B4055" w:rsidR="004E315A" w:rsidRPr="002503B5" w:rsidRDefault="00C30BB6" w:rsidP="004E315A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 с тем,</w:t>
      </w:r>
      <w:r w:rsidR="004E315A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4E315A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сновное внимание антимонопольный орган уделяет более «злостным» антимонопольным нарушениям, наносящим наиболее ощутимый экономический ущерб, в том числе такие нарушения, как антиконкурентные соглашения, злоупотребление доминирующим или монопольным положением. </w:t>
      </w:r>
    </w:p>
    <w:p w14:paraId="31E962FB" w14:textId="2B06A57A" w:rsidR="00D47A69" w:rsidRPr="002503B5" w:rsidRDefault="00D47A69" w:rsidP="00D47A69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proofErr w:type="gramStart"/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пример</w:t>
      </w:r>
      <w:r w:rsidR="00E7033C"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значимых можно отнести 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следующие 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расследовани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я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:</w:t>
      </w:r>
    </w:p>
    <w:p w14:paraId="32530B4B" w14:textId="5AB34638" w:rsidR="000C0933" w:rsidRPr="002503B5" w:rsidRDefault="00D47FEF" w:rsidP="000C0933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1.</w:t>
      </w:r>
      <w:r w:rsidR="00AC617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</w:t>
      </w:r>
      <w:r w:rsidR="000C0933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Агентством проведено расследование в отношении ТОО «КТЖ-Грузовые перевозки»  </w:t>
      </w:r>
      <w:r w:rsidR="000C0933" w:rsidRPr="002503B5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(далее – КТЖ-ГП)</w:t>
      </w:r>
      <w:r w:rsidR="000C0933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за период 2020 года и 7 месяцев 2021 года по факту злоупотребления доминирующим положением на </w:t>
      </w:r>
      <w:r w:rsidR="000C0933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lastRenderedPageBreak/>
        <w:t>рынке перевозки грузов, а именно в части применения разных условий к равнозначным соглашениям без объективно оправданных на то причин.</w:t>
      </w:r>
    </w:p>
    <w:p w14:paraId="36E4FE2F" w14:textId="503FCEF8" w:rsidR="000C0933" w:rsidRPr="002503B5" w:rsidRDefault="000C0933" w:rsidP="000C0933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КТЖ-ГП при заключении договоров с контрагентами на перевозку грузов, применял понижающий коэффициент (скидку) при условии выполнения гарантированного объема перевозки нефти и нефтепродуктов в размере 400 тыс. тонн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,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однако по аналогичным договорам, заключенным с АО «КTZ Express»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,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понижающий коэффициент применялся без дополнительных условий по гарантированным объемам перевозки.</w:t>
      </w:r>
    </w:p>
    <w:p w14:paraId="09F824EC" w14:textId="3AF3E7B8" w:rsidR="000C0933" w:rsidRPr="002503B5" w:rsidRDefault="000C0933" w:rsidP="000C0933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Таким образом, КТЖ-ГП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,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применяя льготные условия к АО «КTZ Express», предоставил конкурентное преимущество, которое создало привилегированное положение относительно иных экспедиторских компаний.</w:t>
      </w:r>
    </w:p>
    <w:p w14:paraId="0FAD2F07" w14:textId="2E1D3869" w:rsidR="000C0933" w:rsidRPr="002503B5" w:rsidRDefault="000C0933" w:rsidP="000C0933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КТЖ-ГП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,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не согласившись с результатами расследования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,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обжаловал решение Агентства.</w:t>
      </w:r>
    </w:p>
    <w:p w14:paraId="12925BBC" w14:textId="32B772A9" w:rsidR="00D47FEF" w:rsidRPr="002503B5" w:rsidRDefault="000C0933" w:rsidP="000C0933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Постановлением судебной коллегии Верховного 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уда РК 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от 30 мая 2024 года результаты расследования признаны законными</w:t>
      </w:r>
      <w:r w:rsidR="00D47FEF" w:rsidRPr="002503B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.</w:t>
      </w:r>
    </w:p>
    <w:p w14:paraId="24840D4C" w14:textId="5D9F66B8" w:rsidR="000C0933" w:rsidRPr="002503B5" w:rsidRDefault="00D47FEF" w:rsidP="000C09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2.</w:t>
      </w:r>
      <w:r w:rsidR="00AC617F" w:rsidRPr="002503B5">
        <w:rPr>
          <w:rFonts w:ascii="Arial" w:hAnsi="Arial" w:cs="Arial"/>
          <w:color w:val="151515"/>
          <w:sz w:val="28"/>
          <w:szCs w:val="28"/>
        </w:rPr>
        <w:t xml:space="preserve"> </w:t>
      </w:r>
      <w:r w:rsidR="0053041D" w:rsidRPr="002503B5">
        <w:rPr>
          <w:rFonts w:ascii="Arial" w:hAnsi="Arial" w:cs="Arial"/>
          <w:color w:val="151515"/>
          <w:sz w:val="28"/>
          <w:szCs w:val="28"/>
        </w:rPr>
        <w:t>Агентством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 xml:space="preserve"> прове</w:t>
      </w:r>
      <w:r w:rsidR="0053041D" w:rsidRPr="002503B5">
        <w:rPr>
          <w:rFonts w:ascii="Arial" w:hAnsi="Arial" w:cs="Arial"/>
          <w:color w:val="151515"/>
          <w:sz w:val="28"/>
          <w:szCs w:val="28"/>
        </w:rPr>
        <w:t>дено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 xml:space="preserve"> расследование деятельности ТОО «Парк хранения сжиженного нефтяного газа»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</w:t>
      </w:r>
      <w:r w:rsidRPr="002503B5">
        <w:rPr>
          <w:rFonts w:ascii="Arial" w:hAnsi="Arial" w:cs="Arial"/>
          <w:i/>
          <w:iCs/>
          <w:color w:val="151515"/>
          <w:sz w:val="28"/>
          <w:szCs w:val="28"/>
        </w:rPr>
        <w:t>(далее - Товарищество)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>. В результате было установлено нарушение законодательства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РК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 xml:space="preserve"> 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в 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>о</w:t>
      </w:r>
      <w:r w:rsidRPr="002503B5">
        <w:rPr>
          <w:rFonts w:ascii="Arial" w:hAnsi="Arial" w:cs="Arial"/>
          <w:color w:val="151515"/>
          <w:sz w:val="28"/>
          <w:szCs w:val="28"/>
        </w:rPr>
        <w:t>бласти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 xml:space="preserve"> защит</w:t>
      </w:r>
      <w:r w:rsidRPr="002503B5">
        <w:rPr>
          <w:rFonts w:ascii="Arial" w:hAnsi="Arial" w:cs="Arial"/>
          <w:color w:val="151515"/>
          <w:sz w:val="28"/>
          <w:szCs w:val="28"/>
        </w:rPr>
        <w:t>ы</w:t>
      </w:r>
      <w:r w:rsidR="000C0933" w:rsidRPr="002503B5">
        <w:rPr>
          <w:rFonts w:ascii="Arial" w:hAnsi="Arial" w:cs="Arial"/>
          <w:color w:val="151515"/>
          <w:sz w:val="28"/>
          <w:szCs w:val="28"/>
        </w:rPr>
        <w:t xml:space="preserve"> конкуренции, заключающееся в злоупотреблении доминирующим положением на рынке сжиженного нефтяного газа через установление монопольно высоких цен.</w:t>
      </w:r>
    </w:p>
    <w:p w14:paraId="78FED3D4" w14:textId="246168F2" w:rsidR="000C0933" w:rsidRPr="002503B5" w:rsidRDefault="000C0933" w:rsidP="000C09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Специализированный суд по административным правонарушениям города Атырау решением от 5 марта 2024 года привлек Товарищество к административной ответственности. </w:t>
      </w:r>
      <w:r w:rsidR="00480682" w:rsidRPr="002503B5">
        <w:rPr>
          <w:rFonts w:ascii="Arial" w:hAnsi="Arial" w:cs="Arial"/>
          <w:color w:val="151515"/>
          <w:sz w:val="28"/>
          <w:szCs w:val="28"/>
        </w:rPr>
        <w:t>В итоге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</w:t>
      </w:r>
      <w:r w:rsidR="00480682" w:rsidRPr="002503B5">
        <w:rPr>
          <w:rFonts w:ascii="Arial" w:hAnsi="Arial" w:cs="Arial"/>
          <w:color w:val="151515"/>
          <w:sz w:val="28"/>
          <w:szCs w:val="28"/>
        </w:rPr>
        <w:t>конфискован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монопольн</w:t>
      </w:r>
      <w:r w:rsidR="00480682" w:rsidRPr="002503B5">
        <w:rPr>
          <w:rFonts w:ascii="Arial" w:hAnsi="Arial" w:cs="Arial"/>
          <w:color w:val="151515"/>
          <w:sz w:val="28"/>
          <w:szCs w:val="28"/>
        </w:rPr>
        <w:t>ый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доход в размере </w:t>
      </w:r>
      <w:r w:rsidRPr="002503B5">
        <w:rPr>
          <w:rStyle w:val="a5"/>
          <w:rFonts w:ascii="Arial" w:hAnsi="Arial" w:cs="Arial"/>
          <w:b w:val="0"/>
          <w:bCs w:val="0"/>
          <w:color w:val="151515"/>
          <w:sz w:val="28"/>
          <w:szCs w:val="28"/>
        </w:rPr>
        <w:t>свыше 955 млн тенге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 и </w:t>
      </w:r>
      <w:r w:rsidR="00480682" w:rsidRPr="002503B5">
        <w:rPr>
          <w:rFonts w:ascii="Arial" w:hAnsi="Arial" w:cs="Arial"/>
          <w:color w:val="151515"/>
          <w:sz w:val="28"/>
          <w:szCs w:val="28"/>
        </w:rPr>
        <w:t xml:space="preserve">наложен 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административный штраф </w:t>
      </w:r>
      <w:r w:rsidR="00C664B7" w:rsidRPr="002503B5">
        <w:rPr>
          <w:rFonts w:ascii="Arial" w:hAnsi="Arial" w:cs="Arial"/>
          <w:color w:val="151515"/>
          <w:sz w:val="28"/>
          <w:szCs w:val="28"/>
        </w:rPr>
        <w:t xml:space="preserve">                                     </w:t>
      </w:r>
      <w:r w:rsidRPr="002503B5">
        <w:rPr>
          <w:rFonts w:ascii="Arial" w:hAnsi="Arial" w:cs="Arial"/>
          <w:color w:val="151515"/>
          <w:sz w:val="28"/>
          <w:szCs w:val="28"/>
        </w:rPr>
        <w:t>в сумме</w:t>
      </w:r>
      <w:r w:rsidRPr="002503B5">
        <w:rPr>
          <w:rStyle w:val="a5"/>
          <w:rFonts w:ascii="Arial" w:hAnsi="Arial" w:cs="Arial"/>
          <w:b w:val="0"/>
          <w:bCs w:val="0"/>
          <w:color w:val="151515"/>
          <w:sz w:val="28"/>
          <w:szCs w:val="28"/>
        </w:rPr>
        <w:t>162 млн тенге.</w:t>
      </w:r>
    </w:p>
    <w:p w14:paraId="63116732" w14:textId="77777777" w:rsidR="000C0933" w:rsidRPr="002503B5" w:rsidRDefault="000C0933" w:rsidP="000C09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Апелляционная инстанция судебной коллегии по уголовным делам Атырауского областного суда подтвердила решение первой инстанции, отклонив жалобу Товарищества.</w:t>
      </w:r>
    </w:p>
    <w:p w14:paraId="34E7A235" w14:textId="0AE5F367" w:rsidR="00D47FEF" w:rsidRPr="002503B5" w:rsidRDefault="000C0933" w:rsidP="008207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Постановление суда вступило в законную силу</w:t>
      </w:r>
      <w:r w:rsidR="00D47FEF" w:rsidRPr="002503B5">
        <w:rPr>
          <w:rFonts w:ascii="Arial" w:hAnsi="Arial" w:cs="Arial"/>
          <w:color w:val="151515"/>
          <w:sz w:val="28"/>
          <w:szCs w:val="28"/>
        </w:rPr>
        <w:t>.</w:t>
      </w:r>
    </w:p>
    <w:p w14:paraId="2659CC98" w14:textId="1EE4670E" w:rsidR="00820783" w:rsidRPr="002503B5" w:rsidRDefault="00D47FEF" w:rsidP="008207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3. 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По результатам расследований, проведенных </w:t>
      </w:r>
      <w:proofErr w:type="gramStart"/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Агентством, 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 </w:t>
      </w:r>
      <w:proofErr w:type="gramEnd"/>
      <w:r w:rsidRPr="002503B5">
        <w:rPr>
          <w:rFonts w:ascii="Arial" w:hAnsi="Arial" w:cs="Arial"/>
          <w:color w:val="151515"/>
          <w:sz w:val="28"/>
          <w:szCs w:val="28"/>
        </w:rPr>
        <w:t xml:space="preserve">                               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АО «Национальный центр экспертизы и сертификации» (НЦЭС), организация, предоставляющая услуги в области метрологии и сертификации, привлечена к административной ответственности за злоупотребление доминирующим положением на рынке. Компания была признана виновной в установлении монопольно высоких цен на услуги метрологии </w:t>
      </w:r>
      <w:r w:rsidR="00820783" w:rsidRPr="002503B5">
        <w:rPr>
          <w:rFonts w:ascii="Arial" w:hAnsi="Arial" w:cs="Arial"/>
          <w:i/>
          <w:iCs/>
          <w:color w:val="151515"/>
          <w:sz w:val="28"/>
          <w:szCs w:val="28"/>
        </w:rPr>
        <w:t>(поверка и калибровка средств измерений)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за период</w:t>
      </w:r>
      <w:r w:rsidR="0098711F" w:rsidRPr="002503B5">
        <w:rPr>
          <w:rFonts w:ascii="Arial" w:hAnsi="Arial" w:cs="Arial"/>
          <w:color w:val="151515"/>
          <w:sz w:val="28"/>
          <w:szCs w:val="28"/>
        </w:rPr>
        <w:t xml:space="preserve"> с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январ</w:t>
      </w:r>
      <w:r w:rsidR="0098711F" w:rsidRPr="002503B5">
        <w:rPr>
          <w:rFonts w:ascii="Arial" w:hAnsi="Arial" w:cs="Arial"/>
          <w:color w:val="151515"/>
          <w:sz w:val="28"/>
          <w:szCs w:val="28"/>
        </w:rPr>
        <w:t>я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2020</w:t>
      </w:r>
      <w:r w:rsidR="0098711F" w:rsidRPr="002503B5">
        <w:rPr>
          <w:rFonts w:ascii="Arial" w:hAnsi="Arial" w:cs="Arial"/>
          <w:color w:val="151515"/>
          <w:sz w:val="28"/>
          <w:szCs w:val="28"/>
        </w:rPr>
        <w:t xml:space="preserve"> года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по декабрь 2021 года и услуг по подтверждению соответствия товаров </w:t>
      </w:r>
      <w:r w:rsidR="00820783" w:rsidRPr="002503B5">
        <w:rPr>
          <w:rFonts w:ascii="Arial" w:hAnsi="Arial" w:cs="Arial"/>
          <w:i/>
          <w:iCs/>
          <w:color w:val="151515"/>
          <w:sz w:val="28"/>
          <w:szCs w:val="28"/>
        </w:rPr>
        <w:t>(испытание, сертификация, декларирование продукции и услуг)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за период </w:t>
      </w:r>
      <w:r w:rsidR="0098711F" w:rsidRPr="002503B5">
        <w:rPr>
          <w:rFonts w:ascii="Arial" w:hAnsi="Arial" w:cs="Arial"/>
          <w:color w:val="151515"/>
          <w:sz w:val="28"/>
          <w:szCs w:val="28"/>
        </w:rPr>
        <w:t xml:space="preserve">с 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>январ</w:t>
      </w:r>
      <w:r w:rsidR="0098711F" w:rsidRPr="002503B5">
        <w:rPr>
          <w:rFonts w:ascii="Arial" w:hAnsi="Arial" w:cs="Arial"/>
          <w:color w:val="151515"/>
          <w:sz w:val="28"/>
          <w:szCs w:val="28"/>
        </w:rPr>
        <w:t>я</w:t>
      </w:r>
      <w:r w:rsidR="00820783" w:rsidRPr="002503B5">
        <w:rPr>
          <w:rFonts w:ascii="Arial" w:hAnsi="Arial" w:cs="Arial"/>
          <w:color w:val="151515"/>
          <w:sz w:val="28"/>
          <w:szCs w:val="28"/>
        </w:rPr>
        <w:t xml:space="preserve"> 2021 года по август 2022 года.</w:t>
      </w:r>
    </w:p>
    <w:p w14:paraId="5E0AADD9" w14:textId="0CD50C21" w:rsidR="00820783" w:rsidRPr="002503B5" w:rsidRDefault="00820783" w:rsidP="008207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По результатам расследования выявлено, что НЦЭС включало в себестоимость услуг затраты, не связанные непосредственно с их предоставлением, что привело к необоснованному повышению цен. </w:t>
      </w:r>
      <w:r w:rsidRPr="002503B5">
        <w:rPr>
          <w:rFonts w:ascii="Arial" w:hAnsi="Arial" w:cs="Arial"/>
          <w:color w:val="151515"/>
          <w:sz w:val="28"/>
          <w:szCs w:val="28"/>
        </w:rPr>
        <w:lastRenderedPageBreak/>
        <w:t>Агентством возбуждены административные дела в отношении НЦЭС, материалы дела были переданы в Суд.</w:t>
      </w:r>
    </w:p>
    <w:p w14:paraId="5ABC345F" w14:textId="77777777" w:rsidR="00820783" w:rsidRPr="002503B5" w:rsidRDefault="00820783" w:rsidP="008207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В результате Специализированный межрайонный суд по административным правонарушениям города Астаны наложил на НЦЭС штрафы: 370,3 миллиона тенге за услуги в сфере метрологии и 222,5 миллиона тенге за услуги по подтверждению соответствия товаров.</w:t>
      </w:r>
    </w:p>
    <w:p w14:paraId="771684F2" w14:textId="12B95B84" w:rsidR="00820783" w:rsidRPr="002503B5" w:rsidRDefault="00820783" w:rsidP="008207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Общая сумма штрафа составила 592,7 миллиона тенге, которая была оплачена в полном объеме.</w:t>
      </w:r>
    </w:p>
    <w:p w14:paraId="25754678" w14:textId="77777777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4. Агентством завершено расследование в отношении ТОО «Petrosun» </w:t>
      </w:r>
      <w:r w:rsidRPr="002503B5">
        <w:rPr>
          <w:rFonts w:ascii="Arial" w:hAnsi="Arial" w:cs="Arial"/>
          <w:i/>
          <w:iCs/>
          <w:color w:val="151515"/>
          <w:sz w:val="28"/>
          <w:szCs w:val="28"/>
        </w:rPr>
        <w:t>(далее – Товарищество)</w:t>
      </w:r>
      <w:r w:rsidRPr="002503B5">
        <w:rPr>
          <w:rFonts w:ascii="Arial" w:hAnsi="Arial" w:cs="Arial"/>
          <w:color w:val="151515"/>
          <w:sz w:val="28"/>
          <w:szCs w:val="28"/>
        </w:rPr>
        <w:t xml:space="preserve"> по факту злоупотребления доминирующим положением, выраженном в отказе от заключения договоров по реализации дизельного топлива с отдельными покупателями, что привело к ограничению конкуренции на товарном рынке.</w:t>
      </w:r>
    </w:p>
    <w:p w14:paraId="7C88C325" w14:textId="77777777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16 июля т.г. постановлением Судебной коллегии по административным делам Верховного Суда оставлены без изменения судебные акты местных судов, которыми итоги расследования признаны законными.</w:t>
      </w:r>
    </w:p>
    <w:p w14:paraId="442E68AB" w14:textId="25B34A5E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12 сентября т.г. постановлением Специализированного межрайонного суда по административным правонарушениям города Алматы, Товарищество привлечено к административной ответственности по части 4 статьи 159 Кодекса «Об административных правонарушениях», в связи с повторным нарушением, совершенным в течение года после предыдущего взыскания.</w:t>
      </w:r>
    </w:p>
    <w:p w14:paraId="12815EB9" w14:textId="2EA0A2F5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Товарищество подвергнуто административному взысканию в размере 875 млн. тенге.</w:t>
      </w:r>
    </w:p>
    <w:p w14:paraId="6BF8937E" w14:textId="63984E71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Постановление не вступило в законную силу.</w:t>
      </w:r>
    </w:p>
    <w:p w14:paraId="1B06268A" w14:textId="73950AD1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5. В апреле текущего года Агентством завершено расследование в отношении АО «KEGOC» (далее – Общество) по факту злоупотребления монопольным положением, выраженном в ущемлении прав и законных интересов энергоснабжающих организаций (далее – ЭСО) на территории г. Астана путем выставления им дополнительных счетов для оплаты услуг по передаче электроэнергии по национальной электрической сети (далее – НЭС) за закрытый период. </w:t>
      </w:r>
    </w:p>
    <w:p w14:paraId="07B737E6" w14:textId="37CCDF39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В ходе расследования установлено, что в октябре 2020 года, в связи с вводом в эксплуатацию 2 дополнительных энергоблоков, часть вырабатываемой ТЭЦ-2 АО «Астана-Энергия» электрической энергии начали передавать потребителям г. Астаны через линии 220 кВ «ЦГПП-Осакаровка», принадлежащего Обществу, что привело к дополнительным затратам для ЭСО столицы.</w:t>
      </w:r>
    </w:p>
    <w:p w14:paraId="55F99EBC" w14:textId="499C6BBE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В феврале 2022 года филиалом Общества - Национальным диспетчерским центром на основании письма АО «Астана-РЭК» (о корректировке факт баланса за период с июля по декабрь 2021 года) в адрес 14 контрактных потребителей ТЭЦ-2 произведено дополнительное </w:t>
      </w:r>
      <w:r w:rsidRPr="002503B5">
        <w:rPr>
          <w:rFonts w:ascii="Arial" w:hAnsi="Arial" w:cs="Arial"/>
          <w:color w:val="151515"/>
          <w:sz w:val="28"/>
          <w:szCs w:val="28"/>
        </w:rPr>
        <w:lastRenderedPageBreak/>
        <w:t>распределение объемов ЭЭ по НЭС в объеме 122,1 млн. кВтч, и выставлены дополнительные счет-фактуры.</w:t>
      </w:r>
    </w:p>
    <w:p w14:paraId="3CFEC6B2" w14:textId="10DE304B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При этом, в соответствии с пунктом 9 статьи 12 Закона «Об электроэнергетике», субъекты оптового рынка электрической энергии (прим. в частности энергоснабжающие организации) обязаны оплачивать услуги по пользованию НЭС и услуги по передаче электрической энергии по НЭС на основании фактически потребленных ими за расчетный период (календарный месяц) объемов ЭЭ согласно показаниям приборов коммерческого учета ЭЭ по тарифам, указанным в соответствующих договорах.</w:t>
      </w:r>
    </w:p>
    <w:p w14:paraId="0E187935" w14:textId="36EF5FAC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Более того, согласно пункта 13 Главы 4 Типового договора на оказание услуг по передаче ЭЭ по НЭС (далее – Типовой договор), стороны оформляют в срок до пятого числа календарного месяца, следующего за расчетным, акт выполненных работ (оказанных услуг) по переданной за соответствующий расчетный период электрической энергии, который подписывается и заверяется печатями сторон (в случае их наличия).</w:t>
      </w:r>
    </w:p>
    <w:p w14:paraId="6EF6454A" w14:textId="18362CB1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Таким образом, такие данные должны формироваться на ежемесячной основе, а не на полугодовой.</w:t>
      </w:r>
    </w:p>
    <w:p w14:paraId="6DB091F7" w14:textId="715D48A8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В этой связи, Общество не имело законного права осуществлять корректировку фактического баланса за июль-декабрь 2021 года в 2022 году и производить доначисления.</w:t>
      </w:r>
    </w:p>
    <w:p w14:paraId="11F85886" w14:textId="22B94460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Данное обстоятельство повлекло нарушение прав ЭСО, которые в отличии от Общества не стали в нарушение законодательства за закрытый период производить корректировку своим потребителям.</w:t>
      </w:r>
    </w:p>
    <w:p w14:paraId="714468D4" w14:textId="3880EDB8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Постановлением Специализированного суда по административным правонарушениям города Астана от 11 сентября 2024 года, Общество привлечено к административной ответственности по части 3-1 статьи 159 КоАП РК, решение не вступило в законную силу.</w:t>
      </w:r>
    </w:p>
    <w:p w14:paraId="2650F7E3" w14:textId="452C7353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Агентством принято участие в судебных разбирательствах по искам Общества к ЭСО.</w:t>
      </w:r>
    </w:p>
    <w:p w14:paraId="65064327" w14:textId="55511BEE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Так, решениями Специализированного экономического суда (от 26, 28 июля и 30 августа, не вступили в законную силу) в удовлетворении исковых требований Общества о взыскании задолженности с ТОО «Астанаэнергосбыт» (150, 6 млн. тенге), ТОО «Энергокомпани-ПВ» (74, 5 млн. тенге) и ТОО «Самға-Энерго» (40 млн. тенге) отказано.</w:t>
      </w:r>
    </w:p>
    <w:p w14:paraId="5D54B0BC" w14:textId="00E2EDC0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6. Агентством завершено расследование в отношении АО «КазТрансГаз Аймак», ТОО «GAS QURYLYS» и ТОО «Газ Строй Холдинг», в результате чего, в действиях АО «КазТрансГаз Аймак», ТОО «GAS QURYLYS» установлены факты нарушения законодательства Республики Казахстан в области защиты конкуренции, при заключении соглашения на приобретение услуг по монтажу и подключению к системе газоснабжения потребителей. </w:t>
      </w:r>
    </w:p>
    <w:p w14:paraId="2CF81223" w14:textId="1CC7808C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В соответствии с требованием Закона Республики Казахстан «О газе и газоснабжении» выбор поставщика строительно-монтажных работ </w:t>
      </w:r>
      <w:r w:rsidRPr="002503B5">
        <w:rPr>
          <w:rFonts w:ascii="Arial" w:hAnsi="Arial" w:cs="Arial"/>
          <w:color w:val="151515"/>
          <w:sz w:val="28"/>
          <w:szCs w:val="28"/>
        </w:rPr>
        <w:lastRenderedPageBreak/>
        <w:t>при подключении потребителей к природному газу, является законодательным правом потребителя.</w:t>
      </w:r>
    </w:p>
    <w:p w14:paraId="02ED4C68" w14:textId="2C9B2B44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Подключаемые газовые сети и оборудования физических и юридических лиц к газораспределительной системе являются их собственностью.</w:t>
      </w:r>
    </w:p>
    <w:p w14:paraId="5A51F31F" w14:textId="57D79BB7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Однако, АО «КазТрансГаз Аймак», ТОО «GAS QURYLYS» заключив антиконкурентные договора по закупу строительно-монтажных работ, не только лишили право выбора монтажной организации потребителями, но и ограничили свободную конкуренцию определив единого поставщика услуг в лице ТОО «GAS QURYLYS».</w:t>
      </w:r>
    </w:p>
    <w:p w14:paraId="43210CCE" w14:textId="057DB308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Решениями Специализированного межрайонного административного суда города Астаны, в удовлетворении административных исков АО «КазТрансГаз Аймак» и ТОО «GAS QURYLYS» к Департаменту отказано.</w:t>
      </w:r>
    </w:p>
    <w:p w14:paraId="2773B90B" w14:textId="77777777" w:rsidR="003F0A29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Постановлением судебной коллегии по административным делам суда города Астаны от 27 августа 2024 года решение суда первой инстанции по иску ТОО «GAS QURYLYS» оставлено без изменения.</w:t>
      </w:r>
    </w:p>
    <w:p w14:paraId="23A95F11" w14:textId="7DABD42A" w:rsidR="008647E3" w:rsidRPr="002503B5" w:rsidRDefault="008647E3" w:rsidP="00864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АО «КазТрансГаз Аймак» подана апелляционная жалоба в суд города Астаны.</w:t>
      </w:r>
    </w:p>
    <w:p w14:paraId="5B1DA965" w14:textId="3491B2C4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7. Департаментом Агентства по защите и развитию конкуренции РК по городу Астана (далее – Департамент) совместно с органами прокуратуры проведена проверка в отношении АО «НК «КазМунайГаз» (далее – Общество) на предмет соблюдения антимонопольного законодательства за истекший период 2023 года.</w:t>
      </w:r>
    </w:p>
    <w:p w14:paraId="1BF86701" w14:textId="77777777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 итогам проверки в действиях Общества установлены факты злоупотребления своим доминирующим положением в части ограничения реализации нефтепродуктов.</w:t>
      </w:r>
    </w:p>
    <w:p w14:paraId="2214420F" w14:textId="5483CD16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Так, Общество в период с января по апрель 2023 года игнорировало поданные заявки на реализацию нефтепродуктов, а в некоторых случаях создавало дискриминационные условия путем сокращения объемов нефтепродуктов с отдельными покупателями при наличии на момент обращения возможности реализации нефтепродуктов.</w:t>
      </w:r>
    </w:p>
    <w:p w14:paraId="21873415" w14:textId="5F5FB48F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Учитывая вышеизложенное, Департаментом возбуждено административное производство в отношении Общества по части 3–1 статьи 159 КоАП РК.</w:t>
      </w:r>
    </w:p>
    <w:p w14:paraId="3EE454D2" w14:textId="759EBD8B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Постановлением Специализированного межрайонного суда по административным правонарушениям города Астаны от 27 июня 2024 года Общество привлечено к административной ответственности на сумму 539,4 млн тенге.</w:t>
      </w:r>
    </w:p>
    <w:p w14:paraId="43F743FF" w14:textId="45EA61EE" w:rsidR="003F0A29" w:rsidRPr="002503B5" w:rsidRDefault="003F0A29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>На сегодняшний день штраф оплачен в полном объеме.</w:t>
      </w:r>
    </w:p>
    <w:p w14:paraId="51237B4B" w14:textId="64D666E5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color w:val="151515"/>
          <w:sz w:val="28"/>
          <w:szCs w:val="28"/>
        </w:rPr>
        <w:t xml:space="preserve">8. </w:t>
      </w:r>
      <w:r w:rsidRPr="002503B5">
        <w:rPr>
          <w:rFonts w:ascii="Arial" w:hAnsi="Arial" w:cs="Arial"/>
          <w:sz w:val="28"/>
          <w:szCs w:val="28"/>
        </w:rPr>
        <w:t xml:space="preserve">В январе 2024 года АЗРК выявлено антиконкурентное соглашение между HILL </w:t>
      </w:r>
      <w:r w:rsidR="002503B5" w:rsidRPr="002503B5">
        <w:rPr>
          <w:rFonts w:ascii="Arial" w:hAnsi="Arial" w:cs="Arial"/>
          <w:sz w:val="28"/>
          <w:szCs w:val="28"/>
        </w:rPr>
        <w:t>Corporation и</w:t>
      </w:r>
      <w:r w:rsidRPr="002503B5">
        <w:rPr>
          <w:rFonts w:ascii="Arial" w:hAnsi="Arial" w:cs="Arial"/>
          <w:sz w:val="28"/>
          <w:szCs w:val="28"/>
        </w:rPr>
        <w:t xml:space="preserve"> КТЖ ГП на сумму более 12 млрд. тенге в сфере поставки моторного масла для локомотивов.</w:t>
      </w:r>
    </w:p>
    <w:p w14:paraId="593DCBB4" w14:textId="77777777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lastRenderedPageBreak/>
        <w:t>КТЖ ГП при закупке моторных масел применяло дискриминационные условия к потенциальным поставщикам, которые были направлены на устранение их участия в закупках.</w:t>
      </w:r>
    </w:p>
    <w:p w14:paraId="32BCA1F7" w14:textId="77777777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Таким образом, изначально действия КТЖ-ГП совершались в интересах HILL Corporation.</w:t>
      </w:r>
    </w:p>
    <w:p w14:paraId="099E57F3" w14:textId="77777777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Сумма монопольного дохода, подлежащего изъятию 624 млн. тенге.</w:t>
      </w:r>
    </w:p>
    <w:p w14:paraId="1AA0C93D" w14:textId="77777777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503B5">
        <w:rPr>
          <w:rFonts w:ascii="Arial" w:hAnsi="Arial" w:cs="Arial"/>
          <w:sz w:val="28"/>
          <w:szCs w:val="28"/>
          <w:lang w:val="kk-KZ"/>
        </w:rPr>
        <w:t>В настоящее время, HILL Corporation и КТЖ-ГП обжалуют результаты расследования в рамках АППК.</w:t>
      </w:r>
    </w:p>
    <w:p w14:paraId="2554F956" w14:textId="77777777" w:rsidR="00B800F3" w:rsidRPr="002503B5" w:rsidRDefault="00B800F3" w:rsidP="00B800F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2503B5">
        <w:rPr>
          <w:rFonts w:ascii="Arial" w:hAnsi="Arial" w:cs="Arial"/>
          <w:sz w:val="28"/>
          <w:szCs w:val="28"/>
          <w:lang w:val="kk-KZ"/>
        </w:rPr>
        <w:t xml:space="preserve">При этом, решением СМАС города Астана итоги расследования признаны законными и постановлением СКАД судом города Астаны данное решение оставлено в силе </w:t>
      </w:r>
      <w:r w:rsidRPr="002503B5">
        <w:rPr>
          <w:rFonts w:ascii="Arial" w:hAnsi="Arial" w:cs="Arial"/>
          <w:i/>
          <w:iCs/>
          <w:sz w:val="28"/>
          <w:szCs w:val="28"/>
          <w:lang w:val="kk-KZ"/>
        </w:rPr>
        <w:t>(решение не вступило в законную силу, подана кассационная жалоба).</w:t>
      </w:r>
    </w:p>
    <w:p w14:paraId="4BBBD083" w14:textId="47EE195B" w:rsidR="00B800F3" w:rsidRPr="002503B5" w:rsidRDefault="00B800F3" w:rsidP="003F0A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</w:p>
    <w:p w14:paraId="013A68F6" w14:textId="77777777" w:rsidR="00820783" w:rsidRPr="002503B5" w:rsidRDefault="00820783" w:rsidP="000C09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</w:p>
    <w:p w14:paraId="3BDF06E1" w14:textId="6B75C413" w:rsidR="00D55C65" w:rsidRPr="002503B5" w:rsidRDefault="00D55C65" w:rsidP="00E93E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  <w:r w:rsidRPr="002503B5">
        <w:rPr>
          <w:rFonts w:ascii="Arial" w:hAnsi="Arial" w:cs="Arial"/>
          <w:b/>
          <w:bCs/>
          <w:i/>
          <w:iCs/>
          <w:color w:val="151515"/>
          <w:sz w:val="28"/>
          <w:szCs w:val="28"/>
        </w:rPr>
        <w:t>Международное сотрудничество</w:t>
      </w:r>
    </w:p>
    <w:p w14:paraId="6D65A7C7" w14:textId="4C216C63" w:rsidR="00B20196" w:rsidRPr="002503B5" w:rsidRDefault="00B20196" w:rsidP="009F16A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i/>
          <w:iCs/>
          <w:color w:val="151515"/>
          <w:sz w:val="28"/>
          <w:szCs w:val="28"/>
        </w:rPr>
      </w:pPr>
    </w:p>
    <w:p w14:paraId="3FBA58F8" w14:textId="7848A241" w:rsidR="00117DD0" w:rsidRPr="002503B5" w:rsidRDefault="00117DD0" w:rsidP="00117DD0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Агентством ведется работа, направленная на укрепление международного сотрудничества с зарубежными антимонопольными ведомствами, как в рамках функционирования международных интеграционных объединений, так и на двусторонней основе.</w:t>
      </w:r>
    </w:p>
    <w:p w14:paraId="1585A010" w14:textId="76D95453" w:rsidR="0053041D" w:rsidRPr="002503B5" w:rsidRDefault="0053041D" w:rsidP="00117DD0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начала текущего года делегации Агентства приняли участие в следующих мероприятиях:</w:t>
      </w:r>
    </w:p>
    <w:p w14:paraId="42A4BA64" w14:textId="4F1E44CD" w:rsidR="00EC16A8" w:rsidRPr="002503B5" w:rsidRDefault="0098711F" w:rsidP="00EC16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1. 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23 января 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2024</w:t>
      </w:r>
      <w:r w:rsidR="007E236C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года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делегаци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я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под руководством Председателя Агентства, приня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ла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участие в стартовом заседании первых руководителей антимонопольных органов стран Организации тюркских государств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(ОТГ)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рамках создания Совета по конкуренции тюркских государств. Мероприятие прошло в городе Стамбул, где руководители антимонопольных органов обсудили вопросы, касающиеся будущей деятельности организаци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и</w:t>
      </w:r>
      <w:r w:rsidR="00EC16A8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ее долгосрочных перспектив.</w:t>
      </w:r>
    </w:p>
    <w:p w14:paraId="4FB39BFE" w14:textId="646C818B" w:rsidR="006E324C" w:rsidRPr="002503B5" w:rsidRDefault="00EC16A8" w:rsidP="00EC16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Учитывая председательство Казахстана в ОТГ в текущем </w:t>
      </w:r>
      <w:proofErr w:type="gramStart"/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году, </w:t>
      </w:r>
      <w:r w:rsidR="0098711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proofErr w:type="gramEnd"/>
      <w:r w:rsidR="0098711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Главой государства было отмечено, что наша страна заинтересована в дальнейшем развитии ОТГ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, а также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перед Агентством стоит</w:t>
      </w:r>
      <w:r w:rsidR="00495FAF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не менее важная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задача по дальнейшему укреплению тюркской интеграции в рамках развития сотрудничества в области конкуренции</w:t>
      </w:r>
      <w:r w:rsidR="0053041D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</w:p>
    <w:p w14:paraId="1D1E8A92" w14:textId="15C30459" w:rsidR="0053041D" w:rsidRPr="002503B5" w:rsidRDefault="0098711F" w:rsidP="0053041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2.</w:t>
      </w:r>
      <w:r w:rsidR="0053041D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53041D" w:rsidRPr="002503B5">
        <w:rPr>
          <w:rFonts w:ascii="Arial" w:hAnsi="Arial" w:cs="Arial"/>
          <w:sz w:val="28"/>
          <w:szCs w:val="28"/>
        </w:rPr>
        <w:t xml:space="preserve">В период с 30 по 31 мая 2024 года делегацией Агентства во главе с </w:t>
      </w:r>
      <w:bookmarkStart w:id="0" w:name="_Hlk168387775"/>
      <w:r w:rsidR="0053041D" w:rsidRPr="002503B5">
        <w:rPr>
          <w:rFonts w:ascii="Arial" w:hAnsi="Arial" w:cs="Arial"/>
          <w:sz w:val="28"/>
          <w:szCs w:val="28"/>
        </w:rPr>
        <w:t xml:space="preserve">Заместителем Председателя </w:t>
      </w:r>
      <w:bookmarkEnd w:id="0"/>
      <w:r w:rsidRPr="002503B5">
        <w:rPr>
          <w:rFonts w:ascii="Arial" w:hAnsi="Arial" w:cs="Arial"/>
          <w:sz w:val="28"/>
          <w:szCs w:val="28"/>
        </w:rPr>
        <w:t>С</w:t>
      </w:r>
      <w:r w:rsidR="0053041D" w:rsidRPr="002503B5">
        <w:rPr>
          <w:rFonts w:ascii="Arial" w:hAnsi="Arial" w:cs="Arial"/>
          <w:sz w:val="28"/>
          <w:szCs w:val="28"/>
        </w:rPr>
        <w:t>амбетовым</w:t>
      </w:r>
      <w:r w:rsidRPr="002503B5">
        <w:rPr>
          <w:rFonts w:ascii="Arial" w:hAnsi="Arial" w:cs="Arial"/>
          <w:sz w:val="28"/>
          <w:szCs w:val="28"/>
        </w:rPr>
        <w:t xml:space="preserve"> Б.К.</w:t>
      </w:r>
      <w:r w:rsidR="0053041D" w:rsidRPr="002503B5">
        <w:rPr>
          <w:rFonts w:ascii="Arial" w:hAnsi="Arial" w:cs="Arial"/>
          <w:sz w:val="28"/>
          <w:szCs w:val="28"/>
        </w:rPr>
        <w:t xml:space="preserve"> принято участие в ряде мероприятий в г. Душанбе (Республика Таджикистан). </w:t>
      </w:r>
    </w:p>
    <w:p w14:paraId="37B6D34A" w14:textId="2C52A674" w:rsidR="0053041D" w:rsidRPr="002503B5" w:rsidRDefault="0053041D" w:rsidP="0053041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30 мая</w:t>
      </w:r>
      <w:r w:rsidR="0098711F" w:rsidRPr="002503B5">
        <w:rPr>
          <w:rFonts w:ascii="Arial" w:hAnsi="Arial" w:cs="Arial"/>
          <w:sz w:val="28"/>
          <w:szCs w:val="28"/>
        </w:rPr>
        <w:t xml:space="preserve"> 2024 года</w:t>
      </w:r>
      <w:r w:rsidRPr="002503B5">
        <w:rPr>
          <w:rFonts w:ascii="Arial" w:hAnsi="Arial" w:cs="Arial"/>
          <w:sz w:val="28"/>
          <w:szCs w:val="28"/>
        </w:rPr>
        <w:t xml:space="preserve"> состоялась первая встреча руководителей антимонопольных ведомств государств-членов Шанхайской организации сотрудничества (ШОС), где участники обсудили текущее состояние и перспективы сотрудничества.</w:t>
      </w:r>
    </w:p>
    <w:p w14:paraId="7BD485F6" w14:textId="79C888ED" w:rsidR="0053041D" w:rsidRPr="002503B5" w:rsidRDefault="0053041D" w:rsidP="0053041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Также в этот день прошло 42-ое заседание Штаба по совместным расследованиям нарушений антимонопольного законодательства государств-участников СНГ. </w:t>
      </w:r>
    </w:p>
    <w:p w14:paraId="23242488" w14:textId="5B69EAD5" w:rsidR="0053041D" w:rsidRPr="002503B5" w:rsidRDefault="0053041D" w:rsidP="0053041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lastRenderedPageBreak/>
        <w:t>31 мая</w:t>
      </w:r>
      <w:r w:rsidR="0098711F" w:rsidRPr="002503B5">
        <w:rPr>
          <w:rFonts w:ascii="Arial" w:hAnsi="Arial" w:cs="Arial"/>
          <w:sz w:val="28"/>
          <w:szCs w:val="28"/>
        </w:rPr>
        <w:t xml:space="preserve"> 2024 года</w:t>
      </w:r>
      <w:r w:rsidRPr="002503B5">
        <w:rPr>
          <w:rFonts w:ascii="Arial" w:hAnsi="Arial" w:cs="Arial"/>
          <w:sz w:val="28"/>
          <w:szCs w:val="28"/>
        </w:rPr>
        <w:t xml:space="preserve"> состоялось 56-ое заседание Межгосударственного совета по антимонопольной политике (МСАП), где</w:t>
      </w:r>
      <w:r w:rsidR="0098711F" w:rsidRPr="002503B5">
        <w:rPr>
          <w:rFonts w:ascii="Arial" w:hAnsi="Arial" w:cs="Arial"/>
          <w:sz w:val="28"/>
          <w:szCs w:val="28"/>
        </w:rPr>
        <w:t>,</w:t>
      </w:r>
      <w:r w:rsidRPr="002503B5">
        <w:rPr>
          <w:rFonts w:ascii="Arial" w:hAnsi="Arial" w:cs="Arial"/>
          <w:sz w:val="28"/>
          <w:szCs w:val="28"/>
        </w:rPr>
        <w:t xml:space="preserve"> в том числе, обсуждались вопросы о деятельности антимонопольных органов государств-участников СНГ на отдельных рынках социально значимых товаров, а также о наиболее значимых событиях за текущий период. </w:t>
      </w:r>
    </w:p>
    <w:p w14:paraId="3C9A3A1E" w14:textId="77777777" w:rsidR="0053041D" w:rsidRPr="002503B5" w:rsidRDefault="0053041D" w:rsidP="0053041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503B5">
        <w:rPr>
          <w:rFonts w:ascii="Arial" w:hAnsi="Arial" w:cs="Arial"/>
          <w:sz w:val="28"/>
          <w:szCs w:val="28"/>
        </w:rPr>
        <w:t>В вышеуказанных мероприятиях приняли участие руководители и представители антимонопольных органов Азербайджана, Армении, Беларуси, Индии, Кыргызстана, Пакистана, России, Таджикистана, Узбекистана, а также представители Исполкома СНГ, Евразийской экономической комиссии.</w:t>
      </w:r>
    </w:p>
    <w:p w14:paraId="5167A09F" w14:textId="24EA903E" w:rsidR="008B3940" w:rsidRPr="002503B5" w:rsidRDefault="0098711F" w:rsidP="008B39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3. </w:t>
      </w:r>
      <w:r w:rsidR="008B3940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26 марта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2024 года</w:t>
      </w:r>
      <w:r w:rsidR="008B3940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текущего года Первый </w:t>
      </w:r>
      <w:r w:rsidR="007E236C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з</w:t>
      </w:r>
      <w:r w:rsidR="008B3940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аместитель Председателя Агентства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Ахметов Р.Н.</w:t>
      </w:r>
      <w:r w:rsidR="008B3940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принял участие в качестве спикера в ежегодной Встрече руководителей антимонопольных ведомств, организованной Региональным центром ОЭСР по конкуренции в городе Будапешт (Венгерская Республика).</w:t>
      </w:r>
    </w:p>
    <w:p w14:paraId="34E37BA5" w14:textId="0C8FAA10" w:rsidR="008B3940" w:rsidRPr="002503B5" w:rsidRDefault="008B3940" w:rsidP="008B39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При участии Председателя Комитета по конкуренции ОЭСР Фредерика Женни, представителя Европейского суда Марии Рантоу и профессора </w:t>
      </w:r>
      <w:r w:rsidR="002503B5"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>Бизнес-школы</w:t>
      </w:r>
      <w:r w:rsidRPr="002503B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Мадрид Франциско Маркос главы антимонопольных ведомств обсудили актуальные вопросы взаимодействия антимонопольных органов с судебной системой и контроля за слияниями в странах Европейского союза и Центральной Азии.</w:t>
      </w:r>
    </w:p>
    <w:p w14:paraId="711D2F01" w14:textId="790034A7" w:rsidR="00820783" w:rsidRPr="002503B5" w:rsidRDefault="0098711F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4. </w:t>
      </w:r>
      <w:r w:rsidR="00820783" w:rsidRPr="002503B5">
        <w:rPr>
          <w:rFonts w:ascii="Arial" w:hAnsi="Arial" w:cs="Arial"/>
          <w:sz w:val="28"/>
          <w:szCs w:val="28"/>
        </w:rPr>
        <w:t>В период с 10 по 14 июня 2024 года прошла Неделя конкуренции ОЭСР 2024, организованная Комитетом по конкуренции ОЭСР.</w:t>
      </w:r>
    </w:p>
    <w:p w14:paraId="07A12A49" w14:textId="777777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Сотрудники Агентства приняли онлайн участие в ежегодном заседании Комитета по конкуренции ОЭСР и его рабочих групп № 2 и № 3.</w:t>
      </w:r>
    </w:p>
    <w:p w14:paraId="4CDFDBCE" w14:textId="777777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Подготовлена обзорная информация Агентства (сontributions) к круглым столам ОЭСР по следующим темам:</w:t>
      </w:r>
    </w:p>
    <w:p w14:paraId="43004AE6" w14:textId="777777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- «Конкуренция и регулирование в сфере профессиональных услуг»;</w:t>
      </w:r>
    </w:p>
    <w:p w14:paraId="7D4623F4" w14:textId="777777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- «Монополизация, создание защиты (Moat Building) и стратегии укрепления позиций (Entrenchment)»;</w:t>
      </w:r>
    </w:p>
    <w:p w14:paraId="06DE5602" w14:textId="777777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 xml:space="preserve">- «Стимулирование конкуренции в промышленной политике»; </w:t>
      </w:r>
    </w:p>
    <w:p w14:paraId="1A9642B3" w14:textId="7AA6A077" w:rsidR="00820783" w:rsidRPr="002503B5" w:rsidRDefault="00820783" w:rsidP="0082078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- «Взаимосвязь между конкуренцией и конфиденциальностью».</w:t>
      </w:r>
    </w:p>
    <w:p w14:paraId="60ED8585" w14:textId="584E1C3D" w:rsidR="00EF2841" w:rsidRPr="002503B5" w:rsidRDefault="00EF2841" w:rsidP="00EF2841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5. 8 августа 2024 года Президентом Республики Узбекистан Шавкатом Мирзиёевым осуществлен государственный визит в Республику Казахстан в г. Астана, в рамках которого подписаны ряд документов, затрагивающих межрегиональное сотрудничество (информация на сайте Акорды: https://www.akorda.kz/ru/prezidenty-kazahstana-i-uzbekistana-proveli-brifing-dlya-predstaviteley-smi-871746).</w:t>
      </w:r>
    </w:p>
    <w:p w14:paraId="0565392E" w14:textId="479E2DAC" w:rsidR="00EF2841" w:rsidRPr="002503B5" w:rsidRDefault="00EF2841" w:rsidP="00EF2841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частности, Председателем Агентства Маратом Омаровым и Председателем Комитета по развитию конкуренции и защите прав потребителей Республики Узбекистан подписан Протокол о сотрудничестве в области конкурентной политики.</w:t>
      </w:r>
    </w:p>
    <w:p w14:paraId="6567004C" w14:textId="6250734C" w:rsidR="00EF2841" w:rsidRPr="002503B5" w:rsidRDefault="00EF2841" w:rsidP="00EF2841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lastRenderedPageBreak/>
        <w:t>Углубление двухстороннего сотрудничества между антимонопольными органами Казахстана и Узбекистана позволит осуществлять взаимный обмен опытом по выявлению и пресечению нарушений законодательства в области защиты конкуренции, проводить совместные исследования на товарных рынках, осуществлять повышение квалификации сотрудников, а также организовывать двусторонние встречи и мероприятия.</w:t>
      </w:r>
    </w:p>
    <w:p w14:paraId="7C1C7EEE" w14:textId="1F17CE2C" w:rsidR="0000243D" w:rsidRPr="002503B5" w:rsidRDefault="0000243D" w:rsidP="0000243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6. 30 сентября текущего года в городе Ереван начал свою работу Евразийский экономический форум, посвященный 10-летию подписания Договора о Евразийском экономическом союзе (ЕАЭС). Основная тема форума — «10 лет ЕАЭС: Перспективы и приоритеты».</w:t>
      </w:r>
    </w:p>
    <w:p w14:paraId="30081771" w14:textId="6F4D21C2" w:rsidR="0000243D" w:rsidRPr="002503B5" w:rsidRDefault="0000243D" w:rsidP="0000243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Заместитель Председателя Агентства Ерлан Альжан выступил в качестве спикера на сессии блока по конкуренции и антимонопольному регулированию Евразийской экономической комиссии посредством видеоконференцсвязи.</w:t>
      </w:r>
    </w:p>
    <w:p w14:paraId="356DDCE3" w14:textId="7D14FD05" w:rsidR="0000243D" w:rsidRPr="002503B5" w:rsidRDefault="0000243D" w:rsidP="0000243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В рамках указанной сессии Ерлан Альжан рассказал о законодательных изменениях в сфере конкуренции в Республике Казахстан и представил правоприменительную практику Агентства по регулированию цифровых рынков.</w:t>
      </w:r>
    </w:p>
    <w:p w14:paraId="43640340" w14:textId="52BFB1E0" w:rsidR="0000243D" w:rsidRPr="002503B5" w:rsidRDefault="0000243D" w:rsidP="0000243D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503B5">
        <w:rPr>
          <w:rFonts w:ascii="Arial" w:hAnsi="Arial" w:cs="Arial"/>
          <w:sz w:val="28"/>
          <w:szCs w:val="28"/>
        </w:rPr>
        <w:t>Участники сессии обсудили основные тенденции в развитии конкуренции в странах ЕАЭС и обозначили перспективы дальнейшего развития Евразийской экономической комиссии с целью обеспечения равных конкурентных условий на трансграничных рынках ЕАЭС.</w:t>
      </w:r>
    </w:p>
    <w:sectPr w:rsidR="0000243D" w:rsidRPr="002503B5" w:rsidSect="008D50B9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1D59" w14:textId="77777777" w:rsidR="005A539B" w:rsidRDefault="005A539B" w:rsidP="008D50B9">
      <w:pPr>
        <w:spacing w:after="0" w:line="240" w:lineRule="auto"/>
      </w:pPr>
      <w:r>
        <w:separator/>
      </w:r>
    </w:p>
  </w:endnote>
  <w:endnote w:type="continuationSeparator" w:id="0">
    <w:p w14:paraId="5C51A3F1" w14:textId="77777777" w:rsidR="005A539B" w:rsidRDefault="005A539B" w:rsidP="008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2A25" w14:textId="77777777" w:rsidR="005A539B" w:rsidRDefault="005A539B" w:rsidP="008D50B9">
      <w:pPr>
        <w:spacing w:after="0" w:line="240" w:lineRule="auto"/>
      </w:pPr>
      <w:r>
        <w:separator/>
      </w:r>
    </w:p>
  </w:footnote>
  <w:footnote w:type="continuationSeparator" w:id="0">
    <w:p w14:paraId="42465B77" w14:textId="77777777" w:rsidR="005A539B" w:rsidRDefault="005A539B" w:rsidP="008D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20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29A3B8" w14:textId="6A920C72" w:rsidR="008D50B9" w:rsidRPr="002E3B89" w:rsidRDefault="008D50B9">
        <w:pPr>
          <w:pStyle w:val="a8"/>
          <w:jc w:val="center"/>
          <w:rPr>
            <w:rFonts w:ascii="Times New Roman" w:hAnsi="Times New Roman" w:cs="Times New Roman"/>
          </w:rPr>
        </w:pPr>
        <w:r w:rsidRPr="002E3B89">
          <w:rPr>
            <w:rFonts w:ascii="Times New Roman" w:hAnsi="Times New Roman" w:cs="Times New Roman"/>
          </w:rPr>
          <w:fldChar w:fldCharType="begin"/>
        </w:r>
        <w:r w:rsidRPr="002E3B89">
          <w:rPr>
            <w:rFonts w:ascii="Times New Roman" w:hAnsi="Times New Roman" w:cs="Times New Roman"/>
          </w:rPr>
          <w:instrText>PAGE   \* MERGEFORMAT</w:instrText>
        </w:r>
        <w:r w:rsidRPr="002E3B89">
          <w:rPr>
            <w:rFonts w:ascii="Times New Roman" w:hAnsi="Times New Roman" w:cs="Times New Roman"/>
          </w:rPr>
          <w:fldChar w:fldCharType="separate"/>
        </w:r>
        <w:r w:rsidRPr="002E3B89">
          <w:rPr>
            <w:rFonts w:ascii="Times New Roman" w:hAnsi="Times New Roman" w:cs="Times New Roman"/>
          </w:rPr>
          <w:t>2</w:t>
        </w:r>
        <w:r w:rsidRPr="002E3B8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BCF"/>
    <w:multiLevelType w:val="hybridMultilevel"/>
    <w:tmpl w:val="3362B0B4"/>
    <w:lvl w:ilvl="0" w:tplc="8300F82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0A68F0"/>
    <w:multiLevelType w:val="hybridMultilevel"/>
    <w:tmpl w:val="3572BE48"/>
    <w:lvl w:ilvl="0" w:tplc="30CEB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BF677D"/>
    <w:multiLevelType w:val="multilevel"/>
    <w:tmpl w:val="D89A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6D02"/>
    <w:multiLevelType w:val="hybridMultilevel"/>
    <w:tmpl w:val="440E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F3D"/>
    <w:multiLevelType w:val="hybridMultilevel"/>
    <w:tmpl w:val="E6E22A92"/>
    <w:lvl w:ilvl="0" w:tplc="2CA2B6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566E8"/>
    <w:multiLevelType w:val="hybridMultilevel"/>
    <w:tmpl w:val="5E28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2D06"/>
    <w:multiLevelType w:val="hybridMultilevel"/>
    <w:tmpl w:val="495E1930"/>
    <w:lvl w:ilvl="0" w:tplc="11D2F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018B0"/>
    <w:multiLevelType w:val="hybridMultilevel"/>
    <w:tmpl w:val="5B68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A1B3A"/>
    <w:multiLevelType w:val="hybridMultilevel"/>
    <w:tmpl w:val="39FC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06CCE"/>
    <w:multiLevelType w:val="hybridMultilevel"/>
    <w:tmpl w:val="AA481D78"/>
    <w:lvl w:ilvl="0" w:tplc="D570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2507F"/>
    <w:multiLevelType w:val="hybridMultilevel"/>
    <w:tmpl w:val="C262C5E0"/>
    <w:lvl w:ilvl="0" w:tplc="5C76A08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66" w:hanging="360"/>
      </w:pPr>
    </w:lvl>
    <w:lvl w:ilvl="2" w:tplc="1000001B" w:tentative="1">
      <w:start w:val="1"/>
      <w:numFmt w:val="lowerRoman"/>
      <w:lvlText w:val="%3."/>
      <w:lvlJc w:val="right"/>
      <w:pPr>
        <w:ind w:left="2186" w:hanging="180"/>
      </w:pPr>
    </w:lvl>
    <w:lvl w:ilvl="3" w:tplc="1000000F" w:tentative="1">
      <w:start w:val="1"/>
      <w:numFmt w:val="decimal"/>
      <w:lvlText w:val="%4."/>
      <w:lvlJc w:val="left"/>
      <w:pPr>
        <w:ind w:left="2906" w:hanging="360"/>
      </w:pPr>
    </w:lvl>
    <w:lvl w:ilvl="4" w:tplc="10000019" w:tentative="1">
      <w:start w:val="1"/>
      <w:numFmt w:val="lowerLetter"/>
      <w:lvlText w:val="%5."/>
      <w:lvlJc w:val="left"/>
      <w:pPr>
        <w:ind w:left="3626" w:hanging="360"/>
      </w:pPr>
    </w:lvl>
    <w:lvl w:ilvl="5" w:tplc="1000001B" w:tentative="1">
      <w:start w:val="1"/>
      <w:numFmt w:val="lowerRoman"/>
      <w:lvlText w:val="%6."/>
      <w:lvlJc w:val="right"/>
      <w:pPr>
        <w:ind w:left="4346" w:hanging="180"/>
      </w:pPr>
    </w:lvl>
    <w:lvl w:ilvl="6" w:tplc="1000000F" w:tentative="1">
      <w:start w:val="1"/>
      <w:numFmt w:val="decimal"/>
      <w:lvlText w:val="%7."/>
      <w:lvlJc w:val="left"/>
      <w:pPr>
        <w:ind w:left="5066" w:hanging="360"/>
      </w:pPr>
    </w:lvl>
    <w:lvl w:ilvl="7" w:tplc="10000019" w:tentative="1">
      <w:start w:val="1"/>
      <w:numFmt w:val="lowerLetter"/>
      <w:lvlText w:val="%8."/>
      <w:lvlJc w:val="left"/>
      <w:pPr>
        <w:ind w:left="5786" w:hanging="360"/>
      </w:pPr>
    </w:lvl>
    <w:lvl w:ilvl="8" w:tplc="1000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 w15:restartNumberingAfterBreak="0">
    <w:nsid w:val="541F6E7A"/>
    <w:multiLevelType w:val="hybridMultilevel"/>
    <w:tmpl w:val="DCD43B00"/>
    <w:lvl w:ilvl="0" w:tplc="DC8EC7F0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DBB0E1B"/>
    <w:multiLevelType w:val="hybridMultilevel"/>
    <w:tmpl w:val="407C4292"/>
    <w:lvl w:ilvl="0" w:tplc="68A4F6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40E6F"/>
    <w:multiLevelType w:val="hybridMultilevel"/>
    <w:tmpl w:val="D03E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5C67"/>
    <w:multiLevelType w:val="hybridMultilevel"/>
    <w:tmpl w:val="B9BCF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ED"/>
    <w:rsid w:val="0000243D"/>
    <w:rsid w:val="00005FB5"/>
    <w:rsid w:val="0003139C"/>
    <w:rsid w:val="0004652D"/>
    <w:rsid w:val="00047163"/>
    <w:rsid w:val="00047949"/>
    <w:rsid w:val="00055A7F"/>
    <w:rsid w:val="00061758"/>
    <w:rsid w:val="00063811"/>
    <w:rsid w:val="00080B9F"/>
    <w:rsid w:val="000822B7"/>
    <w:rsid w:val="00082748"/>
    <w:rsid w:val="000A2C71"/>
    <w:rsid w:val="000A5F5B"/>
    <w:rsid w:val="000B08AD"/>
    <w:rsid w:val="000B5F82"/>
    <w:rsid w:val="000C0933"/>
    <w:rsid w:val="000D0471"/>
    <w:rsid w:val="000E6CF5"/>
    <w:rsid w:val="000F5816"/>
    <w:rsid w:val="000F66CD"/>
    <w:rsid w:val="00105025"/>
    <w:rsid w:val="00111484"/>
    <w:rsid w:val="00117DD0"/>
    <w:rsid w:val="00120579"/>
    <w:rsid w:val="00120703"/>
    <w:rsid w:val="001218EA"/>
    <w:rsid w:val="00130142"/>
    <w:rsid w:val="00130345"/>
    <w:rsid w:val="001320EA"/>
    <w:rsid w:val="001353FD"/>
    <w:rsid w:val="00136DAF"/>
    <w:rsid w:val="001377EB"/>
    <w:rsid w:val="001424B8"/>
    <w:rsid w:val="001437AF"/>
    <w:rsid w:val="00153E91"/>
    <w:rsid w:val="0016380F"/>
    <w:rsid w:val="00182053"/>
    <w:rsid w:val="00185AC0"/>
    <w:rsid w:val="00185E01"/>
    <w:rsid w:val="00196E4A"/>
    <w:rsid w:val="001A60A9"/>
    <w:rsid w:val="001B3151"/>
    <w:rsid w:val="001C34C5"/>
    <w:rsid w:val="001C6C34"/>
    <w:rsid w:val="001D43AB"/>
    <w:rsid w:val="001F62C4"/>
    <w:rsid w:val="00201D40"/>
    <w:rsid w:val="00231C04"/>
    <w:rsid w:val="002400C2"/>
    <w:rsid w:val="002446DA"/>
    <w:rsid w:val="002503B5"/>
    <w:rsid w:val="00265E64"/>
    <w:rsid w:val="002822E4"/>
    <w:rsid w:val="00282EEF"/>
    <w:rsid w:val="00290161"/>
    <w:rsid w:val="00297623"/>
    <w:rsid w:val="002C1D14"/>
    <w:rsid w:val="002D61FA"/>
    <w:rsid w:val="002E3B89"/>
    <w:rsid w:val="002E6E61"/>
    <w:rsid w:val="002F56F8"/>
    <w:rsid w:val="0031170B"/>
    <w:rsid w:val="0031604D"/>
    <w:rsid w:val="00341485"/>
    <w:rsid w:val="00352D2A"/>
    <w:rsid w:val="003641CD"/>
    <w:rsid w:val="00383BF4"/>
    <w:rsid w:val="00385C70"/>
    <w:rsid w:val="00394EEE"/>
    <w:rsid w:val="0039527B"/>
    <w:rsid w:val="003B48C3"/>
    <w:rsid w:val="003E6779"/>
    <w:rsid w:val="003F0A29"/>
    <w:rsid w:val="00400099"/>
    <w:rsid w:val="004013E2"/>
    <w:rsid w:val="00405EA8"/>
    <w:rsid w:val="00406F59"/>
    <w:rsid w:val="00411286"/>
    <w:rsid w:val="0041555D"/>
    <w:rsid w:val="00452A54"/>
    <w:rsid w:val="00466BC8"/>
    <w:rsid w:val="00480682"/>
    <w:rsid w:val="004853F0"/>
    <w:rsid w:val="00492687"/>
    <w:rsid w:val="00494B5E"/>
    <w:rsid w:val="00495FAF"/>
    <w:rsid w:val="004A1B4E"/>
    <w:rsid w:val="004A730B"/>
    <w:rsid w:val="004C4EF9"/>
    <w:rsid w:val="004C5199"/>
    <w:rsid w:val="004C6BDB"/>
    <w:rsid w:val="004D6D3E"/>
    <w:rsid w:val="004E315A"/>
    <w:rsid w:val="004F0A26"/>
    <w:rsid w:val="005009DE"/>
    <w:rsid w:val="005026D1"/>
    <w:rsid w:val="00504A48"/>
    <w:rsid w:val="005054F3"/>
    <w:rsid w:val="00510BB6"/>
    <w:rsid w:val="0053041D"/>
    <w:rsid w:val="00530710"/>
    <w:rsid w:val="005338ED"/>
    <w:rsid w:val="00560171"/>
    <w:rsid w:val="005603C2"/>
    <w:rsid w:val="005619D3"/>
    <w:rsid w:val="005666A0"/>
    <w:rsid w:val="00573569"/>
    <w:rsid w:val="00590EC8"/>
    <w:rsid w:val="005955A8"/>
    <w:rsid w:val="005A1A9F"/>
    <w:rsid w:val="005A539B"/>
    <w:rsid w:val="005A65E9"/>
    <w:rsid w:val="005C102D"/>
    <w:rsid w:val="005C6435"/>
    <w:rsid w:val="005D0B10"/>
    <w:rsid w:val="005D44DA"/>
    <w:rsid w:val="005D552F"/>
    <w:rsid w:val="005F5EF3"/>
    <w:rsid w:val="00606F5D"/>
    <w:rsid w:val="006145DA"/>
    <w:rsid w:val="00615213"/>
    <w:rsid w:val="00633EC1"/>
    <w:rsid w:val="006364F7"/>
    <w:rsid w:val="00670D67"/>
    <w:rsid w:val="00675030"/>
    <w:rsid w:val="00675AEA"/>
    <w:rsid w:val="006761A9"/>
    <w:rsid w:val="0068072E"/>
    <w:rsid w:val="006817F9"/>
    <w:rsid w:val="0068369A"/>
    <w:rsid w:val="00686A8F"/>
    <w:rsid w:val="0069121C"/>
    <w:rsid w:val="00693390"/>
    <w:rsid w:val="00697E96"/>
    <w:rsid w:val="006A5F1D"/>
    <w:rsid w:val="006B4941"/>
    <w:rsid w:val="006D0F6E"/>
    <w:rsid w:val="006D5878"/>
    <w:rsid w:val="006E324C"/>
    <w:rsid w:val="006E47FC"/>
    <w:rsid w:val="00722C22"/>
    <w:rsid w:val="007310FF"/>
    <w:rsid w:val="0073477F"/>
    <w:rsid w:val="00737CEB"/>
    <w:rsid w:val="00745342"/>
    <w:rsid w:val="007610EE"/>
    <w:rsid w:val="007645FC"/>
    <w:rsid w:val="00781D3F"/>
    <w:rsid w:val="007A7275"/>
    <w:rsid w:val="007C2D5A"/>
    <w:rsid w:val="007E236C"/>
    <w:rsid w:val="007E54D3"/>
    <w:rsid w:val="007E6A32"/>
    <w:rsid w:val="007F3543"/>
    <w:rsid w:val="008024D6"/>
    <w:rsid w:val="00820783"/>
    <w:rsid w:val="00830041"/>
    <w:rsid w:val="00836CF8"/>
    <w:rsid w:val="0084323C"/>
    <w:rsid w:val="008647E3"/>
    <w:rsid w:val="0088218C"/>
    <w:rsid w:val="00883760"/>
    <w:rsid w:val="00886638"/>
    <w:rsid w:val="008866D3"/>
    <w:rsid w:val="00891019"/>
    <w:rsid w:val="008A47D9"/>
    <w:rsid w:val="008B3940"/>
    <w:rsid w:val="008C6AF2"/>
    <w:rsid w:val="008D1A23"/>
    <w:rsid w:val="008D50B9"/>
    <w:rsid w:val="008D7C70"/>
    <w:rsid w:val="008E6A37"/>
    <w:rsid w:val="008F39ED"/>
    <w:rsid w:val="008F514F"/>
    <w:rsid w:val="008F51D4"/>
    <w:rsid w:val="00900B8B"/>
    <w:rsid w:val="00911B50"/>
    <w:rsid w:val="00943145"/>
    <w:rsid w:val="00963718"/>
    <w:rsid w:val="00987014"/>
    <w:rsid w:val="0098711F"/>
    <w:rsid w:val="009A1E83"/>
    <w:rsid w:val="009A22DE"/>
    <w:rsid w:val="009A4E23"/>
    <w:rsid w:val="009B3F64"/>
    <w:rsid w:val="009B7336"/>
    <w:rsid w:val="009C7D58"/>
    <w:rsid w:val="009D07B6"/>
    <w:rsid w:val="009D4F1B"/>
    <w:rsid w:val="009D73D1"/>
    <w:rsid w:val="009E1B7D"/>
    <w:rsid w:val="009E3168"/>
    <w:rsid w:val="009E429B"/>
    <w:rsid w:val="009F16AF"/>
    <w:rsid w:val="00A04305"/>
    <w:rsid w:val="00A07B5F"/>
    <w:rsid w:val="00A07D1E"/>
    <w:rsid w:val="00A13D10"/>
    <w:rsid w:val="00A342C9"/>
    <w:rsid w:val="00A42B41"/>
    <w:rsid w:val="00A45FDD"/>
    <w:rsid w:val="00A54946"/>
    <w:rsid w:val="00A76749"/>
    <w:rsid w:val="00A77653"/>
    <w:rsid w:val="00A82BA6"/>
    <w:rsid w:val="00AA2ADC"/>
    <w:rsid w:val="00AB2B12"/>
    <w:rsid w:val="00AB3077"/>
    <w:rsid w:val="00AB3AE5"/>
    <w:rsid w:val="00AB712F"/>
    <w:rsid w:val="00AC44AE"/>
    <w:rsid w:val="00AC5E59"/>
    <w:rsid w:val="00AC617F"/>
    <w:rsid w:val="00AC72DA"/>
    <w:rsid w:val="00AE7509"/>
    <w:rsid w:val="00AE7924"/>
    <w:rsid w:val="00B00B7A"/>
    <w:rsid w:val="00B016CA"/>
    <w:rsid w:val="00B05D0A"/>
    <w:rsid w:val="00B20196"/>
    <w:rsid w:val="00B2411C"/>
    <w:rsid w:val="00B26424"/>
    <w:rsid w:val="00B313B3"/>
    <w:rsid w:val="00B5032A"/>
    <w:rsid w:val="00B57EF8"/>
    <w:rsid w:val="00B67287"/>
    <w:rsid w:val="00B70DAE"/>
    <w:rsid w:val="00B76B50"/>
    <w:rsid w:val="00B800F3"/>
    <w:rsid w:val="00B86840"/>
    <w:rsid w:val="00BA013E"/>
    <w:rsid w:val="00BB00C2"/>
    <w:rsid w:val="00BB7BD6"/>
    <w:rsid w:val="00BE1D04"/>
    <w:rsid w:val="00BE3636"/>
    <w:rsid w:val="00BF5305"/>
    <w:rsid w:val="00C011E8"/>
    <w:rsid w:val="00C02E65"/>
    <w:rsid w:val="00C03172"/>
    <w:rsid w:val="00C05566"/>
    <w:rsid w:val="00C114BA"/>
    <w:rsid w:val="00C133B2"/>
    <w:rsid w:val="00C16B65"/>
    <w:rsid w:val="00C171FF"/>
    <w:rsid w:val="00C30BB6"/>
    <w:rsid w:val="00C330DE"/>
    <w:rsid w:val="00C340E0"/>
    <w:rsid w:val="00C4454C"/>
    <w:rsid w:val="00C65829"/>
    <w:rsid w:val="00C664B7"/>
    <w:rsid w:val="00C74464"/>
    <w:rsid w:val="00C755BA"/>
    <w:rsid w:val="00C804D1"/>
    <w:rsid w:val="00C87F49"/>
    <w:rsid w:val="00CA2DA4"/>
    <w:rsid w:val="00CB1317"/>
    <w:rsid w:val="00CC05A2"/>
    <w:rsid w:val="00CC273F"/>
    <w:rsid w:val="00CD13A4"/>
    <w:rsid w:val="00CF71E2"/>
    <w:rsid w:val="00D0350F"/>
    <w:rsid w:val="00D11D31"/>
    <w:rsid w:val="00D2310C"/>
    <w:rsid w:val="00D31F8F"/>
    <w:rsid w:val="00D336AA"/>
    <w:rsid w:val="00D44703"/>
    <w:rsid w:val="00D47A69"/>
    <w:rsid w:val="00D47FEF"/>
    <w:rsid w:val="00D55C65"/>
    <w:rsid w:val="00D608CE"/>
    <w:rsid w:val="00D81B7F"/>
    <w:rsid w:val="00D83F1D"/>
    <w:rsid w:val="00D87963"/>
    <w:rsid w:val="00D90CAF"/>
    <w:rsid w:val="00DE40F7"/>
    <w:rsid w:val="00DE6AB7"/>
    <w:rsid w:val="00DF4832"/>
    <w:rsid w:val="00E03168"/>
    <w:rsid w:val="00E15A28"/>
    <w:rsid w:val="00E211E2"/>
    <w:rsid w:val="00E21A65"/>
    <w:rsid w:val="00E419AF"/>
    <w:rsid w:val="00E55D4C"/>
    <w:rsid w:val="00E61776"/>
    <w:rsid w:val="00E7033C"/>
    <w:rsid w:val="00E75DCD"/>
    <w:rsid w:val="00E77766"/>
    <w:rsid w:val="00E83FFF"/>
    <w:rsid w:val="00E866C3"/>
    <w:rsid w:val="00E91D5C"/>
    <w:rsid w:val="00E93E8A"/>
    <w:rsid w:val="00E95C9A"/>
    <w:rsid w:val="00E95D39"/>
    <w:rsid w:val="00E967B0"/>
    <w:rsid w:val="00EC16A8"/>
    <w:rsid w:val="00EC43DA"/>
    <w:rsid w:val="00EC4FC8"/>
    <w:rsid w:val="00ED0ABB"/>
    <w:rsid w:val="00ED5608"/>
    <w:rsid w:val="00EE1229"/>
    <w:rsid w:val="00EE13DF"/>
    <w:rsid w:val="00EE4D5F"/>
    <w:rsid w:val="00EE5F3B"/>
    <w:rsid w:val="00EF2841"/>
    <w:rsid w:val="00F17C61"/>
    <w:rsid w:val="00F2285F"/>
    <w:rsid w:val="00F23BE0"/>
    <w:rsid w:val="00F3366E"/>
    <w:rsid w:val="00F43918"/>
    <w:rsid w:val="00F622E3"/>
    <w:rsid w:val="00F72C54"/>
    <w:rsid w:val="00F7591A"/>
    <w:rsid w:val="00F76487"/>
    <w:rsid w:val="00F76C61"/>
    <w:rsid w:val="00F8597F"/>
    <w:rsid w:val="00FA0568"/>
    <w:rsid w:val="00FB4756"/>
    <w:rsid w:val="00FB680B"/>
    <w:rsid w:val="00FC080B"/>
    <w:rsid w:val="00FC332D"/>
    <w:rsid w:val="00FD38C2"/>
    <w:rsid w:val="00FF0AAE"/>
    <w:rsid w:val="00FF0B81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74843"/>
  <w15:chartTrackingRefBased/>
  <w15:docId w15:val="{FE5148B2-AA52-45DA-B01E-320EE9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8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DAF"/>
    <w:rPr>
      <w:b/>
      <w:bCs/>
    </w:rPr>
  </w:style>
  <w:style w:type="character" w:styleId="a6">
    <w:name w:val="Hyperlink"/>
    <w:basedOn w:val="a0"/>
    <w:uiPriority w:val="99"/>
    <w:unhideWhenUsed/>
    <w:rsid w:val="009C7D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556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D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0B9"/>
  </w:style>
  <w:style w:type="paragraph" w:styleId="aa">
    <w:name w:val="footer"/>
    <w:basedOn w:val="a"/>
    <w:link w:val="ab"/>
    <w:uiPriority w:val="99"/>
    <w:unhideWhenUsed/>
    <w:rsid w:val="008D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0B9"/>
  </w:style>
  <w:style w:type="character" w:styleId="ac">
    <w:name w:val="Emphasis"/>
    <w:basedOn w:val="a0"/>
    <w:uiPriority w:val="20"/>
    <w:qFormat/>
    <w:rsid w:val="00E15A28"/>
    <w:rPr>
      <w:i/>
      <w:iCs/>
    </w:rPr>
  </w:style>
  <w:style w:type="paragraph" w:styleId="ad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e"/>
    <w:uiPriority w:val="1"/>
    <w:qFormat/>
    <w:rsid w:val="00BB7BD6"/>
    <w:pPr>
      <w:spacing w:after="0" w:line="240" w:lineRule="auto"/>
    </w:pPr>
  </w:style>
  <w:style w:type="character" w:customStyle="1" w:styleId="ae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link w:val="ad"/>
    <w:uiPriority w:val="1"/>
    <w:qFormat/>
    <w:locked/>
    <w:rsid w:val="00411286"/>
  </w:style>
  <w:style w:type="character" w:styleId="af">
    <w:name w:val="footnote reference"/>
    <w:aliases w:val="ftref,Знак сноски 1,Знак сноски-FN"/>
    <w:qFormat/>
    <w:rsid w:val="004A7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7C82-41B2-450C-B54D-7A7A2B4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Қабдуғапар</dc:creator>
  <cp:keywords/>
  <dc:description/>
  <cp:lastModifiedBy>Нуржан Садирбаев</cp:lastModifiedBy>
  <cp:revision>45</cp:revision>
  <cp:lastPrinted>2024-10-10T12:12:00Z</cp:lastPrinted>
  <dcterms:created xsi:type="dcterms:W3CDTF">2024-04-10T04:15:00Z</dcterms:created>
  <dcterms:modified xsi:type="dcterms:W3CDTF">2024-10-18T05:34:00Z</dcterms:modified>
</cp:coreProperties>
</file>