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D9174" w14:textId="77777777" w:rsidR="00600AB9" w:rsidRPr="00A57506" w:rsidRDefault="004C4BA9" w:rsidP="00F411E1">
      <w:pPr>
        <w:ind w:firstLine="0"/>
        <w:jc w:val="center"/>
        <w:rPr>
          <w:color w:val="000000" w:themeColor="text1"/>
          <w:lang w:val="en-US" w:bidi="he-IL"/>
        </w:rPr>
      </w:pPr>
      <w:r w:rsidRPr="001529C7">
        <w:rPr>
          <w:color w:val="000000" w:themeColor="text1"/>
          <w:lang w:val="en" w:bidi="he-IL"/>
        </w:rPr>
        <w:t xml:space="preserve">AGENCY FOR PROTECTION AND DEVELOPMENT OF COMPETITION </w:t>
      </w:r>
    </w:p>
    <w:p w14:paraId="3311F977" w14:textId="77777777" w:rsidR="006436E2" w:rsidRPr="00A57506" w:rsidRDefault="004C4BA9" w:rsidP="00F411E1">
      <w:pPr>
        <w:ind w:firstLine="0"/>
        <w:jc w:val="center"/>
        <w:rPr>
          <w:color w:val="000000" w:themeColor="text1"/>
          <w:lang w:val="en-US" w:bidi="he-IL"/>
        </w:rPr>
      </w:pPr>
      <w:r w:rsidRPr="001529C7">
        <w:rPr>
          <w:color w:val="000000" w:themeColor="text1"/>
          <w:lang w:val="en" w:bidi="he-IL"/>
        </w:rPr>
        <w:t>OF THE REPUBLIC OF KAZAKHSTAN</w:t>
      </w:r>
    </w:p>
    <w:p w14:paraId="539C1A67" w14:textId="77777777" w:rsidR="006436E2" w:rsidRPr="00A57506" w:rsidRDefault="006436E2" w:rsidP="00F411E1">
      <w:pPr>
        <w:rPr>
          <w:color w:val="000000" w:themeColor="text1"/>
          <w:lang w:val="en-US"/>
        </w:rPr>
      </w:pPr>
    </w:p>
    <w:p w14:paraId="26ADC8E5" w14:textId="77777777" w:rsidR="006436E2" w:rsidRPr="00A57506" w:rsidRDefault="006436E2" w:rsidP="00F411E1">
      <w:pPr>
        <w:rPr>
          <w:color w:val="000000" w:themeColor="text1"/>
          <w:lang w:val="en-US"/>
        </w:rPr>
      </w:pPr>
    </w:p>
    <w:p w14:paraId="7400CD1C" w14:textId="77777777" w:rsidR="006436E2" w:rsidRPr="00A57506" w:rsidRDefault="006436E2" w:rsidP="00F411E1">
      <w:pPr>
        <w:rPr>
          <w:color w:val="000000" w:themeColor="text1"/>
          <w:lang w:val="en-US"/>
        </w:rPr>
      </w:pPr>
    </w:p>
    <w:p w14:paraId="5DC995CB" w14:textId="77777777" w:rsidR="006436E2" w:rsidRPr="00A57506" w:rsidRDefault="006436E2" w:rsidP="00F411E1">
      <w:pPr>
        <w:rPr>
          <w:color w:val="000000" w:themeColor="text1"/>
          <w:lang w:val="en-US"/>
        </w:rPr>
      </w:pPr>
    </w:p>
    <w:p w14:paraId="198478DF" w14:textId="77777777" w:rsidR="006436E2" w:rsidRPr="00A57506" w:rsidRDefault="006436E2" w:rsidP="00F411E1">
      <w:pPr>
        <w:rPr>
          <w:color w:val="000000" w:themeColor="text1"/>
          <w:lang w:val="en-US"/>
        </w:rPr>
      </w:pPr>
    </w:p>
    <w:p w14:paraId="0A1DBA9D" w14:textId="77777777" w:rsidR="006436E2" w:rsidRPr="00A57506" w:rsidRDefault="006436E2" w:rsidP="00F411E1">
      <w:pPr>
        <w:rPr>
          <w:color w:val="000000" w:themeColor="text1"/>
          <w:lang w:val="en-US"/>
        </w:rPr>
      </w:pPr>
    </w:p>
    <w:p w14:paraId="318CC3F8" w14:textId="77777777" w:rsidR="006436E2" w:rsidRPr="00A57506" w:rsidRDefault="006436E2" w:rsidP="00F411E1">
      <w:pPr>
        <w:rPr>
          <w:color w:val="000000" w:themeColor="text1"/>
          <w:lang w:val="en-US"/>
        </w:rPr>
      </w:pPr>
    </w:p>
    <w:p w14:paraId="0046DE02" w14:textId="77777777" w:rsidR="006436E2" w:rsidRPr="00A57506" w:rsidRDefault="006436E2" w:rsidP="00F411E1">
      <w:pPr>
        <w:rPr>
          <w:color w:val="000000" w:themeColor="text1"/>
          <w:lang w:val="en-US"/>
        </w:rPr>
      </w:pPr>
    </w:p>
    <w:p w14:paraId="39BFAF32" w14:textId="77777777" w:rsidR="006436E2" w:rsidRPr="00A57506" w:rsidRDefault="006436E2" w:rsidP="00F411E1">
      <w:pPr>
        <w:rPr>
          <w:color w:val="000000" w:themeColor="text1"/>
          <w:lang w:val="en-US"/>
        </w:rPr>
      </w:pPr>
    </w:p>
    <w:p w14:paraId="09B0DB0C" w14:textId="77777777" w:rsidR="006436E2" w:rsidRPr="00A57506" w:rsidRDefault="006436E2" w:rsidP="00F411E1">
      <w:pPr>
        <w:rPr>
          <w:color w:val="000000" w:themeColor="text1"/>
          <w:lang w:val="en-US"/>
        </w:rPr>
      </w:pPr>
    </w:p>
    <w:p w14:paraId="60D020F7" w14:textId="77777777" w:rsidR="006436E2" w:rsidRPr="00A57506" w:rsidRDefault="006436E2" w:rsidP="00F411E1">
      <w:pPr>
        <w:rPr>
          <w:color w:val="000000" w:themeColor="text1"/>
          <w:lang w:val="en-US"/>
        </w:rPr>
      </w:pPr>
    </w:p>
    <w:p w14:paraId="2B8D9A1E" w14:textId="77777777" w:rsidR="006436E2" w:rsidRPr="00A57506" w:rsidRDefault="006436E2" w:rsidP="00F411E1">
      <w:pPr>
        <w:rPr>
          <w:color w:val="000000" w:themeColor="text1"/>
          <w:lang w:val="en-US"/>
        </w:rPr>
      </w:pPr>
    </w:p>
    <w:p w14:paraId="725E4A6F" w14:textId="77777777" w:rsidR="006436E2" w:rsidRPr="00A57506" w:rsidRDefault="006436E2" w:rsidP="00F411E1">
      <w:pPr>
        <w:rPr>
          <w:color w:val="000000" w:themeColor="text1"/>
          <w:lang w:val="en-US"/>
        </w:rPr>
      </w:pPr>
    </w:p>
    <w:p w14:paraId="265A86DA" w14:textId="77777777" w:rsidR="00E80344" w:rsidRPr="00A57506" w:rsidRDefault="004C4BA9" w:rsidP="00F411E1">
      <w:pPr>
        <w:ind w:firstLine="0"/>
        <w:jc w:val="center"/>
        <w:rPr>
          <w:b/>
          <w:color w:val="000000" w:themeColor="text1"/>
          <w:lang w:val="en-US"/>
        </w:rPr>
      </w:pPr>
      <w:r w:rsidRPr="001529C7">
        <w:rPr>
          <w:b/>
          <w:color w:val="000000" w:themeColor="text1"/>
          <w:lang w:val="en"/>
        </w:rPr>
        <w:t>REPORT</w:t>
      </w:r>
    </w:p>
    <w:p w14:paraId="79F41CDA" w14:textId="295D891C" w:rsidR="00E80344" w:rsidRPr="00A57506" w:rsidRDefault="004C4BA9" w:rsidP="00F411E1">
      <w:pPr>
        <w:ind w:firstLine="0"/>
        <w:jc w:val="center"/>
        <w:rPr>
          <w:b/>
          <w:color w:val="000000" w:themeColor="text1"/>
          <w:lang w:val="en-US"/>
        </w:rPr>
      </w:pPr>
      <w:r w:rsidRPr="001529C7">
        <w:rPr>
          <w:b/>
          <w:color w:val="000000" w:themeColor="text1"/>
          <w:lang w:val="en"/>
        </w:rPr>
        <w:t xml:space="preserve">STATE OF COMPETITION IN CERTAIN COMMODITY MARKETS AND MEASURES TAKEN TO LIMIT MONOPOLISTIC ACTIVITY </w:t>
      </w:r>
    </w:p>
    <w:p w14:paraId="2503D839" w14:textId="77777777" w:rsidR="006436E2" w:rsidRPr="001529C7" w:rsidRDefault="004C4BA9" w:rsidP="00F411E1">
      <w:pPr>
        <w:ind w:firstLine="0"/>
        <w:jc w:val="center"/>
        <w:rPr>
          <w:b/>
          <w:color w:val="000000" w:themeColor="text1"/>
        </w:rPr>
      </w:pPr>
      <w:r w:rsidRPr="001529C7">
        <w:rPr>
          <w:b/>
          <w:color w:val="000000" w:themeColor="text1"/>
          <w:lang w:val="en"/>
        </w:rPr>
        <w:t>FOR 2022</w:t>
      </w:r>
    </w:p>
    <w:p w14:paraId="1F8AD475" w14:textId="77777777" w:rsidR="006436E2" w:rsidRPr="001529C7" w:rsidRDefault="006436E2" w:rsidP="00F411E1">
      <w:pPr>
        <w:jc w:val="center"/>
        <w:rPr>
          <w:b/>
          <w:color w:val="000000" w:themeColor="text1"/>
        </w:rPr>
      </w:pPr>
    </w:p>
    <w:p w14:paraId="2C054680" w14:textId="77777777" w:rsidR="006436E2" w:rsidRPr="001529C7" w:rsidRDefault="006436E2" w:rsidP="00F411E1">
      <w:pPr>
        <w:jc w:val="center"/>
        <w:rPr>
          <w:b/>
          <w:color w:val="000000" w:themeColor="text1"/>
        </w:rPr>
      </w:pPr>
    </w:p>
    <w:p w14:paraId="616E669A" w14:textId="77777777" w:rsidR="006436E2" w:rsidRPr="001529C7" w:rsidRDefault="006436E2" w:rsidP="00F411E1">
      <w:pPr>
        <w:jc w:val="center"/>
        <w:rPr>
          <w:b/>
          <w:color w:val="000000" w:themeColor="text1"/>
        </w:rPr>
      </w:pPr>
    </w:p>
    <w:p w14:paraId="6363146F" w14:textId="77777777" w:rsidR="006436E2" w:rsidRPr="001529C7" w:rsidRDefault="006436E2" w:rsidP="00F411E1">
      <w:pPr>
        <w:jc w:val="center"/>
        <w:rPr>
          <w:b/>
          <w:color w:val="000000" w:themeColor="text1"/>
        </w:rPr>
      </w:pPr>
    </w:p>
    <w:p w14:paraId="6B13D524" w14:textId="77777777" w:rsidR="006436E2" w:rsidRPr="001529C7" w:rsidRDefault="006436E2" w:rsidP="00F411E1">
      <w:pPr>
        <w:jc w:val="center"/>
        <w:rPr>
          <w:b/>
          <w:color w:val="000000" w:themeColor="text1"/>
        </w:rPr>
      </w:pPr>
    </w:p>
    <w:p w14:paraId="72E4B8B7" w14:textId="77777777" w:rsidR="006436E2" w:rsidRPr="001529C7" w:rsidRDefault="006436E2" w:rsidP="00F411E1">
      <w:pPr>
        <w:jc w:val="center"/>
        <w:rPr>
          <w:b/>
          <w:color w:val="000000" w:themeColor="text1"/>
        </w:rPr>
      </w:pPr>
    </w:p>
    <w:p w14:paraId="4B8F4163" w14:textId="77777777" w:rsidR="006436E2" w:rsidRPr="001529C7" w:rsidRDefault="006436E2" w:rsidP="00F411E1">
      <w:pPr>
        <w:jc w:val="center"/>
        <w:rPr>
          <w:b/>
          <w:color w:val="000000" w:themeColor="text1"/>
        </w:rPr>
      </w:pPr>
    </w:p>
    <w:p w14:paraId="51CC4503" w14:textId="77777777" w:rsidR="006436E2" w:rsidRPr="001529C7" w:rsidRDefault="006436E2" w:rsidP="00F411E1">
      <w:pPr>
        <w:jc w:val="center"/>
        <w:rPr>
          <w:b/>
          <w:color w:val="000000" w:themeColor="text1"/>
        </w:rPr>
      </w:pPr>
    </w:p>
    <w:p w14:paraId="248059F6" w14:textId="77777777" w:rsidR="006436E2" w:rsidRPr="001529C7" w:rsidRDefault="006436E2" w:rsidP="00F411E1">
      <w:pPr>
        <w:jc w:val="center"/>
        <w:rPr>
          <w:b/>
          <w:color w:val="000000" w:themeColor="text1"/>
        </w:rPr>
      </w:pPr>
    </w:p>
    <w:p w14:paraId="6B07EBFC" w14:textId="77777777" w:rsidR="006436E2" w:rsidRPr="001529C7" w:rsidRDefault="006436E2" w:rsidP="00F411E1">
      <w:pPr>
        <w:jc w:val="center"/>
        <w:rPr>
          <w:b/>
          <w:color w:val="000000" w:themeColor="text1"/>
        </w:rPr>
      </w:pPr>
    </w:p>
    <w:p w14:paraId="29F5168A" w14:textId="77777777" w:rsidR="006436E2" w:rsidRPr="001529C7" w:rsidRDefault="006436E2" w:rsidP="00F411E1">
      <w:pPr>
        <w:jc w:val="center"/>
        <w:rPr>
          <w:b/>
          <w:color w:val="000000" w:themeColor="text1"/>
        </w:rPr>
      </w:pPr>
    </w:p>
    <w:p w14:paraId="3A6E6681" w14:textId="77777777" w:rsidR="006436E2" w:rsidRPr="001529C7" w:rsidRDefault="006436E2" w:rsidP="00F411E1">
      <w:pPr>
        <w:jc w:val="center"/>
        <w:rPr>
          <w:b/>
          <w:color w:val="000000" w:themeColor="text1"/>
        </w:rPr>
      </w:pPr>
    </w:p>
    <w:p w14:paraId="385F2972" w14:textId="77777777" w:rsidR="006436E2" w:rsidRPr="001529C7" w:rsidRDefault="006436E2" w:rsidP="00F411E1">
      <w:pPr>
        <w:jc w:val="center"/>
        <w:rPr>
          <w:b/>
          <w:color w:val="000000" w:themeColor="text1"/>
        </w:rPr>
      </w:pPr>
    </w:p>
    <w:p w14:paraId="35C5D84D" w14:textId="77777777" w:rsidR="006436E2" w:rsidRPr="001529C7" w:rsidRDefault="006436E2" w:rsidP="00F411E1">
      <w:pPr>
        <w:jc w:val="center"/>
        <w:rPr>
          <w:b/>
          <w:color w:val="000000" w:themeColor="text1"/>
        </w:rPr>
      </w:pPr>
    </w:p>
    <w:p w14:paraId="0207CC4E" w14:textId="77777777" w:rsidR="006436E2" w:rsidRPr="001529C7" w:rsidRDefault="006436E2" w:rsidP="00F411E1">
      <w:pPr>
        <w:jc w:val="center"/>
        <w:rPr>
          <w:b/>
          <w:color w:val="000000" w:themeColor="text1"/>
        </w:rPr>
      </w:pPr>
    </w:p>
    <w:p w14:paraId="00358702" w14:textId="77777777" w:rsidR="006436E2" w:rsidRPr="001529C7" w:rsidRDefault="006436E2" w:rsidP="00F411E1">
      <w:pPr>
        <w:jc w:val="center"/>
        <w:rPr>
          <w:b/>
          <w:color w:val="000000" w:themeColor="text1"/>
        </w:rPr>
      </w:pPr>
    </w:p>
    <w:p w14:paraId="208913D3" w14:textId="77777777" w:rsidR="006436E2" w:rsidRPr="001529C7" w:rsidRDefault="006436E2" w:rsidP="00F411E1">
      <w:pPr>
        <w:jc w:val="center"/>
        <w:rPr>
          <w:b/>
          <w:color w:val="000000" w:themeColor="text1"/>
        </w:rPr>
      </w:pPr>
    </w:p>
    <w:p w14:paraId="45CA43B0" w14:textId="77777777" w:rsidR="006436E2" w:rsidRPr="001529C7" w:rsidRDefault="006436E2" w:rsidP="00F411E1">
      <w:pPr>
        <w:jc w:val="center"/>
        <w:rPr>
          <w:b/>
          <w:color w:val="000000" w:themeColor="text1"/>
        </w:rPr>
      </w:pPr>
    </w:p>
    <w:p w14:paraId="7B938FCD" w14:textId="77777777" w:rsidR="00640B9E" w:rsidRPr="001529C7" w:rsidRDefault="00640B9E" w:rsidP="00F411E1">
      <w:pPr>
        <w:jc w:val="center"/>
        <w:rPr>
          <w:b/>
          <w:color w:val="000000" w:themeColor="text1"/>
        </w:rPr>
      </w:pPr>
    </w:p>
    <w:p w14:paraId="670095A5" w14:textId="77777777" w:rsidR="006436E2" w:rsidRPr="001529C7" w:rsidRDefault="006436E2" w:rsidP="00F411E1">
      <w:pPr>
        <w:jc w:val="center"/>
        <w:rPr>
          <w:b/>
          <w:color w:val="000000" w:themeColor="text1"/>
        </w:rPr>
      </w:pPr>
    </w:p>
    <w:p w14:paraId="1C79C39E" w14:textId="77777777" w:rsidR="00640B9E" w:rsidRPr="001529C7" w:rsidRDefault="00640B9E" w:rsidP="00F411E1">
      <w:pPr>
        <w:jc w:val="center"/>
        <w:rPr>
          <w:b/>
          <w:color w:val="000000" w:themeColor="text1"/>
        </w:rPr>
      </w:pPr>
    </w:p>
    <w:p w14:paraId="065254BA" w14:textId="77777777" w:rsidR="000D285A" w:rsidRPr="001529C7" w:rsidRDefault="000D285A" w:rsidP="00F411E1">
      <w:pPr>
        <w:jc w:val="center"/>
        <w:rPr>
          <w:b/>
          <w:color w:val="000000" w:themeColor="text1"/>
        </w:rPr>
      </w:pPr>
    </w:p>
    <w:p w14:paraId="1F890C42" w14:textId="77777777" w:rsidR="00640B9E" w:rsidRPr="001529C7" w:rsidRDefault="004C4BA9" w:rsidP="00F411E1">
      <w:pPr>
        <w:ind w:firstLine="0"/>
        <w:jc w:val="center"/>
        <w:rPr>
          <w:b/>
          <w:color w:val="000000" w:themeColor="text1"/>
          <w:lang w:bidi="he-IL"/>
        </w:rPr>
      </w:pPr>
      <w:r w:rsidRPr="001529C7">
        <w:rPr>
          <w:b/>
          <w:color w:val="000000" w:themeColor="text1"/>
          <w:lang w:val="en" w:bidi="he-IL"/>
        </w:rPr>
        <w:t>Astana, 2023</w:t>
      </w:r>
    </w:p>
    <w:p w14:paraId="67A80BA7" w14:textId="77777777" w:rsidR="000144BB" w:rsidRPr="001529C7" w:rsidRDefault="004C4BA9" w:rsidP="00F411E1">
      <w:pPr>
        <w:tabs>
          <w:tab w:val="clear" w:pos="567"/>
        </w:tabs>
        <w:ind w:firstLine="0"/>
        <w:jc w:val="center"/>
        <w:rPr>
          <w:b/>
          <w:color w:val="000000" w:themeColor="text1"/>
        </w:rPr>
      </w:pPr>
      <w:r w:rsidRPr="001529C7">
        <w:rPr>
          <w:b/>
          <w:color w:val="000000" w:themeColor="text1"/>
          <w:lang w:val="en"/>
        </w:rPr>
        <w:br w:type="page"/>
      </w:r>
      <w:r w:rsidRPr="001529C7">
        <w:rPr>
          <w:b/>
          <w:color w:val="000000" w:themeColor="text1"/>
          <w:lang w:val="en"/>
        </w:rPr>
        <w:lastRenderedPageBreak/>
        <w:t>CONTENTS</w:t>
      </w:r>
    </w:p>
    <w:sdt>
      <w:sdtPr>
        <w:rPr>
          <w:rFonts w:eastAsia="Times New Roman" w:cs="Times New Roman"/>
          <w:b w:val="0"/>
          <w:bCs w:val="0"/>
          <w:color w:val="auto"/>
        </w:rPr>
        <w:id w:val="156921984"/>
      </w:sdtPr>
      <w:sdtEndPr/>
      <w:sdtContent>
        <w:p w14:paraId="34D3F10B" w14:textId="77777777" w:rsidR="005326F0" w:rsidRPr="001529C7" w:rsidRDefault="005326F0" w:rsidP="00F411E1">
          <w:pPr>
            <w:pStyle w:val="Heading1"/>
            <w:numPr>
              <w:ilvl w:val="0"/>
              <w:numId w:val="0"/>
            </w:numPr>
            <w:ind w:firstLine="567"/>
            <w:rPr>
              <w:rFonts w:cs="Times New Roman"/>
            </w:rPr>
          </w:pPr>
        </w:p>
        <w:p w14:paraId="16A15A0B" w14:textId="6BEA339A" w:rsidR="00A57506" w:rsidRPr="00A57506" w:rsidRDefault="004C4BA9">
          <w:pPr>
            <w:pStyle w:val="TOC2"/>
            <w:rPr>
              <w:rFonts w:asciiTheme="minorHAnsi" w:eastAsiaTheme="minorEastAsia" w:hAnsiTheme="minorHAnsi" w:cstheme="minorBidi"/>
              <w:noProof/>
              <w:sz w:val="22"/>
              <w:szCs w:val="22"/>
              <w:lang w:val="en-US" w:eastAsia="en-US"/>
            </w:rPr>
          </w:pPr>
          <w:r w:rsidRPr="001529C7">
            <w:rPr>
              <w:color w:val="000000" w:themeColor="text1"/>
            </w:rPr>
            <w:fldChar w:fldCharType="begin"/>
          </w:r>
          <w:r w:rsidR="005326F0" w:rsidRPr="001529C7">
            <w:rPr>
              <w:color w:val="000000" w:themeColor="text1"/>
            </w:rPr>
            <w:instrText xml:space="preserve"> TOC \o "1-3" \h \z \u </w:instrText>
          </w:r>
          <w:r w:rsidRPr="001529C7">
            <w:rPr>
              <w:color w:val="000000" w:themeColor="text1"/>
            </w:rPr>
            <w:fldChar w:fldCharType="separate"/>
          </w:r>
          <w:hyperlink w:anchor="_Toc142467893" w:history="1">
            <w:r w:rsidR="00A57506" w:rsidRPr="00A57506">
              <w:rPr>
                <w:rStyle w:val="Hyperlink"/>
                <w:noProof/>
                <w:lang w:val="en"/>
              </w:rPr>
              <w:t>Introduction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_Toc142467893 \h </w:instrText>
            </w:r>
            <w:r w:rsidR="00A57506" w:rsidRPr="00A57506">
              <w:rPr>
                <w:noProof/>
                <w:webHidden/>
              </w:rPr>
            </w:r>
            <w:r w:rsidR="00A57506" w:rsidRPr="00A57506">
              <w:rPr>
                <w:noProof/>
                <w:webHidden/>
              </w:rPr>
              <w:fldChar w:fldCharType="separate"/>
            </w:r>
            <w:r w:rsidR="00A57506" w:rsidRPr="00A57506">
              <w:rPr>
                <w:noProof/>
                <w:webHidden/>
              </w:rPr>
              <w:t>3</w:t>
            </w:r>
            <w:r w:rsidR="00A57506" w:rsidRPr="00A57506">
              <w:rPr>
                <w:noProof/>
                <w:webHidden/>
              </w:rPr>
              <w:fldChar w:fldCharType="end"/>
            </w:r>
          </w:hyperlink>
        </w:p>
        <w:p w14:paraId="47081A28" w14:textId="1B6AAF28"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4" w:history="1">
            <w:r w:rsidR="00A57506" w:rsidRPr="00A57506">
              <w:rPr>
                <w:rStyle w:val="Hyperlink"/>
                <w:noProof/>
                <w:lang w:val="en"/>
              </w:rPr>
              <w:t>Chapter 1. Competition Policy in the Republic of Kazakhstan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_Toc142467894 \h </w:instrText>
            </w:r>
            <w:r w:rsidR="00A57506" w:rsidRPr="00A57506">
              <w:rPr>
                <w:noProof/>
                <w:webHidden/>
              </w:rPr>
            </w:r>
            <w:r w:rsidR="00A57506" w:rsidRPr="00A57506">
              <w:rPr>
                <w:noProof/>
                <w:webHidden/>
              </w:rPr>
              <w:fldChar w:fldCharType="separate"/>
            </w:r>
            <w:r w:rsidR="00A57506" w:rsidRPr="00A57506">
              <w:rPr>
                <w:noProof/>
                <w:webHidden/>
              </w:rPr>
              <w:t>4</w:t>
            </w:r>
            <w:r w:rsidR="00A57506" w:rsidRPr="00A57506">
              <w:rPr>
                <w:noProof/>
                <w:webHidden/>
              </w:rPr>
              <w:fldChar w:fldCharType="end"/>
            </w:r>
          </w:hyperlink>
        </w:p>
        <w:p w14:paraId="1CE05949" w14:textId="75E4F66F"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5" w:history="1">
            <w:r w:rsidR="00A57506" w:rsidRPr="00A57506">
              <w:rPr>
                <w:rStyle w:val="Hyperlink"/>
                <w:noProof/>
                <w:lang w:val="en-US"/>
              </w:rPr>
              <w:t>1.1.</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General Trends of Competition Policy in the Republic of Kazakhstan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_Toc142467895 \h </w:instrText>
            </w:r>
            <w:r w:rsidR="00A57506" w:rsidRPr="00A57506">
              <w:rPr>
                <w:noProof/>
                <w:webHidden/>
              </w:rPr>
            </w:r>
            <w:r w:rsidR="00A57506" w:rsidRPr="00A57506">
              <w:rPr>
                <w:noProof/>
                <w:webHidden/>
              </w:rPr>
              <w:fldChar w:fldCharType="separate"/>
            </w:r>
            <w:r w:rsidR="00A57506" w:rsidRPr="00A57506">
              <w:rPr>
                <w:noProof/>
                <w:webHidden/>
              </w:rPr>
              <w:t>4</w:t>
            </w:r>
            <w:r w:rsidR="00A57506" w:rsidRPr="00A57506">
              <w:rPr>
                <w:noProof/>
                <w:webHidden/>
              </w:rPr>
              <w:fldChar w:fldCharType="end"/>
            </w:r>
          </w:hyperlink>
        </w:p>
        <w:p w14:paraId="65CDF672" w14:textId="5DDC823F"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6" w:history="1">
            <w:r w:rsidR="00A57506" w:rsidRPr="00A57506">
              <w:rPr>
                <w:rStyle w:val="Hyperlink"/>
                <w:noProof/>
                <w:lang w:val="en-US"/>
              </w:rPr>
              <w:t>1.2.</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Improvement of the Competition Protection Law</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_Toc142467896 \h </w:instrText>
            </w:r>
            <w:r w:rsidR="00A57506" w:rsidRPr="00A57506">
              <w:rPr>
                <w:noProof/>
                <w:webHidden/>
              </w:rPr>
            </w:r>
            <w:r w:rsidR="00A57506" w:rsidRPr="00A57506">
              <w:rPr>
                <w:noProof/>
                <w:webHidden/>
              </w:rPr>
              <w:fldChar w:fldCharType="separate"/>
            </w:r>
            <w:r w:rsidR="00A57506" w:rsidRPr="00A57506">
              <w:rPr>
                <w:noProof/>
                <w:webHidden/>
              </w:rPr>
              <w:t>5</w:t>
            </w:r>
            <w:r w:rsidR="00A57506" w:rsidRPr="00A57506">
              <w:rPr>
                <w:noProof/>
                <w:webHidden/>
              </w:rPr>
              <w:fldChar w:fldCharType="end"/>
            </w:r>
          </w:hyperlink>
        </w:p>
        <w:p w14:paraId="297464B5" w14:textId="1DCB3CE4"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7" w:history="1">
            <w:r w:rsidR="00A57506" w:rsidRPr="00A57506">
              <w:rPr>
                <w:rStyle w:val="Hyperlink"/>
                <w:noProof/>
                <w:lang w:val="en-US"/>
              </w:rPr>
              <w:t>1.3.</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Limiting the Share of State Participation in Entrepreneurship</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_Toc142467897 \h </w:instrText>
            </w:r>
            <w:r w:rsidR="00A57506" w:rsidRPr="00A57506">
              <w:rPr>
                <w:noProof/>
                <w:webHidden/>
              </w:rPr>
            </w:r>
            <w:r w:rsidR="00A57506" w:rsidRPr="00A57506">
              <w:rPr>
                <w:noProof/>
                <w:webHidden/>
              </w:rPr>
              <w:fldChar w:fldCharType="separate"/>
            </w:r>
            <w:r w:rsidR="00A57506" w:rsidRPr="00A57506">
              <w:rPr>
                <w:noProof/>
                <w:webHidden/>
              </w:rPr>
              <w:t>8</w:t>
            </w:r>
            <w:r w:rsidR="00A57506" w:rsidRPr="00A57506">
              <w:rPr>
                <w:noProof/>
                <w:webHidden/>
              </w:rPr>
              <w:fldChar w:fldCharType="end"/>
            </w:r>
          </w:hyperlink>
        </w:p>
        <w:p w14:paraId="71483FCE" w14:textId="02E39F72"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8" w:history="1">
            <w:r w:rsidR="00A57506" w:rsidRPr="00A57506">
              <w:rPr>
                <w:rStyle w:val="Hyperlink"/>
                <w:noProof/>
              </w:rPr>
              <w:t>1.4.</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Monitoring state support measures</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_Toc142467898 \h </w:instrText>
            </w:r>
            <w:r w:rsidR="00A57506" w:rsidRPr="00A57506">
              <w:rPr>
                <w:noProof/>
                <w:webHidden/>
              </w:rPr>
            </w:r>
            <w:r w:rsidR="00A57506" w:rsidRPr="00A57506">
              <w:rPr>
                <w:noProof/>
                <w:webHidden/>
              </w:rPr>
              <w:fldChar w:fldCharType="separate"/>
            </w:r>
            <w:r w:rsidR="00A57506" w:rsidRPr="00A57506">
              <w:rPr>
                <w:noProof/>
                <w:webHidden/>
              </w:rPr>
              <w:t>13</w:t>
            </w:r>
            <w:r w:rsidR="00A57506" w:rsidRPr="00A57506">
              <w:rPr>
                <w:noProof/>
                <w:webHidden/>
              </w:rPr>
              <w:fldChar w:fldCharType="end"/>
            </w:r>
          </w:hyperlink>
        </w:p>
        <w:p w14:paraId="7BC4A9AF" w14:textId="4A6EB61E"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899" w:history="1">
            <w:r w:rsidR="00A57506" w:rsidRPr="00A57506">
              <w:rPr>
                <w:rStyle w:val="Hyperlink"/>
                <w:noProof/>
                <w:lang w:val="en-US"/>
              </w:rPr>
              <w:t>1.5.</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Working with the Government to promote competition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_Toc142467899 \h </w:instrText>
            </w:r>
            <w:r w:rsidR="00A57506" w:rsidRPr="00A57506">
              <w:rPr>
                <w:noProof/>
                <w:webHidden/>
              </w:rPr>
            </w:r>
            <w:r w:rsidR="00A57506" w:rsidRPr="00A57506">
              <w:rPr>
                <w:noProof/>
                <w:webHidden/>
              </w:rPr>
              <w:fldChar w:fldCharType="separate"/>
            </w:r>
            <w:r w:rsidR="00A57506" w:rsidRPr="00A57506">
              <w:rPr>
                <w:noProof/>
                <w:webHidden/>
              </w:rPr>
              <w:t>15</w:t>
            </w:r>
            <w:r w:rsidR="00A57506" w:rsidRPr="00A57506">
              <w:rPr>
                <w:noProof/>
                <w:webHidden/>
              </w:rPr>
              <w:fldChar w:fldCharType="end"/>
            </w:r>
          </w:hyperlink>
        </w:p>
        <w:p w14:paraId="42AE957C" w14:textId="7CA15B2F"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900" w:history="1">
            <w:r w:rsidR="00A57506" w:rsidRPr="00A57506">
              <w:rPr>
                <w:rStyle w:val="Hyperlink"/>
                <w:noProof/>
                <w:lang w:val="en-US"/>
              </w:rPr>
              <w:t>1.6.</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Identifying and suppressing anti-competitive practices</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_Toc142467900 \h </w:instrText>
            </w:r>
            <w:r w:rsidR="00A57506" w:rsidRPr="00A57506">
              <w:rPr>
                <w:noProof/>
                <w:webHidden/>
              </w:rPr>
            </w:r>
            <w:r w:rsidR="00A57506" w:rsidRPr="00A57506">
              <w:rPr>
                <w:noProof/>
                <w:webHidden/>
              </w:rPr>
              <w:fldChar w:fldCharType="separate"/>
            </w:r>
            <w:r w:rsidR="00A57506" w:rsidRPr="00A57506">
              <w:rPr>
                <w:noProof/>
                <w:webHidden/>
              </w:rPr>
              <w:t>17</w:t>
            </w:r>
            <w:r w:rsidR="00A57506" w:rsidRPr="00A57506">
              <w:rPr>
                <w:noProof/>
                <w:webHidden/>
              </w:rPr>
              <w:fldChar w:fldCharType="end"/>
            </w:r>
          </w:hyperlink>
        </w:p>
        <w:p w14:paraId="3EA99A14" w14:textId="50D0BCC9"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901" w:history="1">
            <w:r w:rsidR="00A57506" w:rsidRPr="00A57506">
              <w:rPr>
                <w:rStyle w:val="Hyperlink"/>
                <w:noProof/>
              </w:rPr>
              <w:t>1.7.</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Regulating economic concentration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_Toc142467901 \h </w:instrText>
            </w:r>
            <w:r w:rsidR="00A57506" w:rsidRPr="00A57506">
              <w:rPr>
                <w:noProof/>
                <w:webHidden/>
              </w:rPr>
            </w:r>
            <w:r w:rsidR="00A57506" w:rsidRPr="00A57506">
              <w:rPr>
                <w:noProof/>
                <w:webHidden/>
              </w:rPr>
              <w:fldChar w:fldCharType="separate"/>
            </w:r>
            <w:r w:rsidR="00A57506" w:rsidRPr="00A57506">
              <w:rPr>
                <w:noProof/>
                <w:webHidden/>
              </w:rPr>
              <w:t>22</w:t>
            </w:r>
            <w:r w:rsidR="00A57506" w:rsidRPr="00A57506">
              <w:rPr>
                <w:noProof/>
                <w:webHidden/>
              </w:rPr>
              <w:fldChar w:fldCharType="end"/>
            </w:r>
          </w:hyperlink>
        </w:p>
        <w:p w14:paraId="0B88B78D" w14:textId="4A4F70BF"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902" w:history="1">
            <w:r w:rsidR="00A57506" w:rsidRPr="00A57506">
              <w:rPr>
                <w:rStyle w:val="Hyperlink"/>
                <w:noProof/>
              </w:rPr>
              <w:t>1.8.</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Monitoring commodity exchanges</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_Toc142467902 \h </w:instrText>
            </w:r>
            <w:r w:rsidR="00A57506" w:rsidRPr="00A57506">
              <w:rPr>
                <w:noProof/>
                <w:webHidden/>
              </w:rPr>
            </w:r>
            <w:r w:rsidR="00A57506" w:rsidRPr="00A57506">
              <w:rPr>
                <w:noProof/>
                <w:webHidden/>
              </w:rPr>
              <w:fldChar w:fldCharType="separate"/>
            </w:r>
            <w:r w:rsidR="00A57506" w:rsidRPr="00A57506">
              <w:rPr>
                <w:noProof/>
                <w:webHidden/>
              </w:rPr>
              <w:t>24</w:t>
            </w:r>
            <w:r w:rsidR="00A57506" w:rsidRPr="00A57506">
              <w:rPr>
                <w:noProof/>
                <w:webHidden/>
              </w:rPr>
              <w:fldChar w:fldCharType="end"/>
            </w:r>
          </w:hyperlink>
        </w:p>
        <w:p w14:paraId="16F65E3D" w14:textId="398DB3BD"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903" w:history="1">
            <w:r w:rsidR="00A57506" w:rsidRPr="00A57506">
              <w:rPr>
                <w:rStyle w:val="Hyperlink"/>
                <w:noProof/>
              </w:rPr>
              <w:t>1.9.</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International cooperation</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_Toc142467903 \h </w:instrText>
            </w:r>
            <w:r w:rsidR="00A57506" w:rsidRPr="00A57506">
              <w:rPr>
                <w:noProof/>
                <w:webHidden/>
              </w:rPr>
            </w:r>
            <w:r w:rsidR="00A57506" w:rsidRPr="00A57506">
              <w:rPr>
                <w:noProof/>
                <w:webHidden/>
              </w:rPr>
              <w:fldChar w:fldCharType="separate"/>
            </w:r>
            <w:r w:rsidR="00A57506" w:rsidRPr="00A57506">
              <w:rPr>
                <w:noProof/>
                <w:webHidden/>
              </w:rPr>
              <w:t>26</w:t>
            </w:r>
            <w:r w:rsidR="00A57506" w:rsidRPr="00A57506">
              <w:rPr>
                <w:noProof/>
                <w:webHidden/>
              </w:rPr>
              <w:fldChar w:fldCharType="end"/>
            </w:r>
          </w:hyperlink>
        </w:p>
        <w:p w14:paraId="0489FE9D" w14:textId="5A823775" w:rsidR="00A57506" w:rsidRPr="00A57506" w:rsidRDefault="000E0FE6">
          <w:pPr>
            <w:pStyle w:val="TOC2"/>
            <w:rPr>
              <w:rFonts w:asciiTheme="minorHAnsi" w:eastAsiaTheme="minorEastAsia" w:hAnsiTheme="minorHAnsi" w:cstheme="minorBidi"/>
              <w:noProof/>
              <w:sz w:val="22"/>
              <w:szCs w:val="22"/>
              <w:lang w:val="en-US" w:eastAsia="en-US"/>
            </w:rPr>
          </w:pPr>
          <w:hyperlink w:anchor="_Toc142467904" w:history="1">
            <w:r w:rsidR="00A57506" w:rsidRPr="00A57506">
              <w:rPr>
                <w:rStyle w:val="Hyperlink"/>
                <w:noProof/>
              </w:rPr>
              <w:t>1.10.</w:t>
            </w:r>
            <w:r w:rsidR="00A57506" w:rsidRPr="00A57506">
              <w:rPr>
                <w:rFonts w:asciiTheme="minorHAnsi" w:eastAsiaTheme="minorEastAsia" w:hAnsiTheme="minorHAnsi" w:cstheme="minorBidi"/>
                <w:noProof/>
                <w:sz w:val="22"/>
                <w:szCs w:val="22"/>
                <w:lang w:val="en-US" w:eastAsia="en-US"/>
              </w:rPr>
              <w:tab/>
            </w:r>
            <w:r w:rsidR="00A57506" w:rsidRPr="00A57506">
              <w:rPr>
                <w:rStyle w:val="Hyperlink"/>
                <w:noProof/>
                <w:lang w:val="en"/>
              </w:rPr>
              <w:t>Implementing operational measures</w:t>
            </w:r>
            <w:r w:rsidR="00A57506" w:rsidRPr="00A57506">
              <w:rPr>
                <w:noProof/>
                <w:webHidden/>
              </w:rPr>
              <w:tab/>
            </w:r>
            <w:r w:rsidR="00A57506" w:rsidRPr="00A57506">
              <w:rPr>
                <w:noProof/>
                <w:webHidden/>
              </w:rPr>
              <w:fldChar w:fldCharType="begin"/>
            </w:r>
            <w:r w:rsidR="00A57506" w:rsidRPr="00A57506">
              <w:rPr>
                <w:noProof/>
                <w:webHidden/>
              </w:rPr>
              <w:instrText xml:space="preserve"> PAGEREF _Toc142467904 \h </w:instrText>
            </w:r>
            <w:r w:rsidR="00A57506" w:rsidRPr="00A57506">
              <w:rPr>
                <w:noProof/>
                <w:webHidden/>
              </w:rPr>
            </w:r>
            <w:r w:rsidR="00A57506" w:rsidRPr="00A57506">
              <w:rPr>
                <w:noProof/>
                <w:webHidden/>
              </w:rPr>
              <w:fldChar w:fldCharType="separate"/>
            </w:r>
            <w:r w:rsidR="00A57506" w:rsidRPr="00A57506">
              <w:rPr>
                <w:noProof/>
                <w:webHidden/>
              </w:rPr>
              <w:t>27</w:t>
            </w:r>
            <w:r w:rsidR="00A57506" w:rsidRPr="00A57506">
              <w:rPr>
                <w:noProof/>
                <w:webHidden/>
              </w:rPr>
              <w:fldChar w:fldCharType="end"/>
            </w:r>
          </w:hyperlink>
        </w:p>
        <w:p w14:paraId="3CF98635" w14:textId="512F03F8" w:rsidR="00A57506" w:rsidRDefault="000E0FE6">
          <w:pPr>
            <w:pStyle w:val="TOC2"/>
            <w:rPr>
              <w:rFonts w:asciiTheme="minorHAnsi" w:eastAsiaTheme="minorEastAsia" w:hAnsiTheme="minorHAnsi" w:cstheme="minorBidi"/>
              <w:noProof/>
              <w:sz w:val="22"/>
              <w:szCs w:val="22"/>
              <w:lang w:val="en-US" w:eastAsia="en-US"/>
            </w:rPr>
          </w:pPr>
          <w:hyperlink w:anchor="_Toc142467905" w:history="1">
            <w:r w:rsidR="00A57506" w:rsidRPr="0028199C">
              <w:rPr>
                <w:rStyle w:val="Hyperlink"/>
                <w:noProof/>
                <w:lang w:val="en"/>
              </w:rPr>
              <w:t>Chapter 2. Analysis of the status competition in certain commodity markets</w:t>
            </w:r>
            <w:r w:rsidR="00A57506">
              <w:rPr>
                <w:noProof/>
                <w:webHidden/>
              </w:rPr>
              <w:tab/>
            </w:r>
            <w:r w:rsidR="00A57506">
              <w:rPr>
                <w:noProof/>
                <w:webHidden/>
              </w:rPr>
              <w:fldChar w:fldCharType="begin"/>
            </w:r>
            <w:r w:rsidR="00A57506">
              <w:rPr>
                <w:noProof/>
                <w:webHidden/>
              </w:rPr>
              <w:instrText xml:space="preserve"> PAGEREF _Toc142467905 \h </w:instrText>
            </w:r>
            <w:r w:rsidR="00A57506">
              <w:rPr>
                <w:noProof/>
                <w:webHidden/>
              </w:rPr>
            </w:r>
            <w:r w:rsidR="00A57506">
              <w:rPr>
                <w:noProof/>
                <w:webHidden/>
              </w:rPr>
              <w:fldChar w:fldCharType="separate"/>
            </w:r>
            <w:r w:rsidR="00A57506">
              <w:rPr>
                <w:noProof/>
                <w:webHidden/>
              </w:rPr>
              <w:t>31</w:t>
            </w:r>
            <w:r w:rsidR="00A57506">
              <w:rPr>
                <w:noProof/>
                <w:webHidden/>
              </w:rPr>
              <w:fldChar w:fldCharType="end"/>
            </w:r>
          </w:hyperlink>
        </w:p>
        <w:p w14:paraId="4B9E696F" w14:textId="1A0BBE5A" w:rsidR="00A57506" w:rsidRDefault="000E0FE6">
          <w:pPr>
            <w:pStyle w:val="TOC2"/>
            <w:rPr>
              <w:rFonts w:asciiTheme="minorHAnsi" w:eastAsiaTheme="minorEastAsia" w:hAnsiTheme="minorHAnsi" w:cstheme="minorBidi"/>
              <w:noProof/>
              <w:sz w:val="22"/>
              <w:szCs w:val="22"/>
              <w:lang w:val="en-US" w:eastAsia="en-US"/>
            </w:rPr>
          </w:pPr>
          <w:hyperlink w:anchor="_Toc142467906" w:history="1">
            <w:r w:rsidR="00A57506" w:rsidRPr="0028199C">
              <w:rPr>
                <w:rStyle w:val="Hyperlink"/>
                <w:noProof/>
                <w:lang w:val="en-US"/>
              </w:rPr>
              <w:t>2.1.</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Wholesale and retail markets of petroleum products</w:t>
            </w:r>
            <w:r w:rsidR="00A57506">
              <w:rPr>
                <w:noProof/>
                <w:webHidden/>
              </w:rPr>
              <w:tab/>
            </w:r>
            <w:r w:rsidR="00A57506">
              <w:rPr>
                <w:noProof/>
                <w:webHidden/>
              </w:rPr>
              <w:fldChar w:fldCharType="begin"/>
            </w:r>
            <w:r w:rsidR="00A57506">
              <w:rPr>
                <w:noProof/>
                <w:webHidden/>
              </w:rPr>
              <w:instrText xml:space="preserve"> PAGEREF _Toc142467906 \h </w:instrText>
            </w:r>
            <w:r w:rsidR="00A57506">
              <w:rPr>
                <w:noProof/>
                <w:webHidden/>
              </w:rPr>
            </w:r>
            <w:r w:rsidR="00A57506">
              <w:rPr>
                <w:noProof/>
                <w:webHidden/>
              </w:rPr>
              <w:fldChar w:fldCharType="separate"/>
            </w:r>
            <w:r w:rsidR="00A57506">
              <w:rPr>
                <w:noProof/>
                <w:webHidden/>
              </w:rPr>
              <w:t>32</w:t>
            </w:r>
            <w:r w:rsidR="00A57506">
              <w:rPr>
                <w:noProof/>
                <w:webHidden/>
              </w:rPr>
              <w:fldChar w:fldCharType="end"/>
            </w:r>
          </w:hyperlink>
        </w:p>
        <w:p w14:paraId="173F9A6C" w14:textId="0F867672" w:rsidR="00A57506" w:rsidRDefault="000E0FE6">
          <w:pPr>
            <w:pStyle w:val="TOC2"/>
            <w:rPr>
              <w:rFonts w:asciiTheme="minorHAnsi" w:eastAsiaTheme="minorEastAsia" w:hAnsiTheme="minorHAnsi" w:cstheme="minorBidi"/>
              <w:noProof/>
              <w:sz w:val="22"/>
              <w:szCs w:val="22"/>
              <w:lang w:val="en-US" w:eastAsia="en-US"/>
            </w:rPr>
          </w:pPr>
          <w:hyperlink w:anchor="_Toc142467907" w:history="1">
            <w:r w:rsidR="00A57506" w:rsidRPr="0028199C">
              <w:rPr>
                <w:rStyle w:val="Hyperlink"/>
                <w:noProof/>
                <w:lang w:val="en-US"/>
              </w:rPr>
              <w:t>2.2.</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Wholesale and retail markets of electric energy</w:t>
            </w:r>
            <w:r w:rsidR="00A57506">
              <w:rPr>
                <w:noProof/>
                <w:webHidden/>
              </w:rPr>
              <w:tab/>
            </w:r>
            <w:r w:rsidR="00A57506">
              <w:rPr>
                <w:noProof/>
                <w:webHidden/>
              </w:rPr>
              <w:fldChar w:fldCharType="begin"/>
            </w:r>
            <w:r w:rsidR="00A57506">
              <w:rPr>
                <w:noProof/>
                <w:webHidden/>
              </w:rPr>
              <w:instrText xml:space="preserve"> PAGEREF _Toc142467907 \h </w:instrText>
            </w:r>
            <w:r w:rsidR="00A57506">
              <w:rPr>
                <w:noProof/>
                <w:webHidden/>
              </w:rPr>
            </w:r>
            <w:r w:rsidR="00A57506">
              <w:rPr>
                <w:noProof/>
                <w:webHidden/>
              </w:rPr>
              <w:fldChar w:fldCharType="separate"/>
            </w:r>
            <w:r w:rsidR="00A57506">
              <w:rPr>
                <w:noProof/>
                <w:webHidden/>
              </w:rPr>
              <w:t>40</w:t>
            </w:r>
            <w:r w:rsidR="00A57506">
              <w:rPr>
                <w:noProof/>
                <w:webHidden/>
              </w:rPr>
              <w:fldChar w:fldCharType="end"/>
            </w:r>
          </w:hyperlink>
        </w:p>
        <w:p w14:paraId="7E13E591" w14:textId="6FE9014E" w:rsidR="00A57506" w:rsidRDefault="000E0FE6">
          <w:pPr>
            <w:pStyle w:val="TOC2"/>
            <w:rPr>
              <w:rFonts w:asciiTheme="minorHAnsi" w:eastAsiaTheme="minorEastAsia" w:hAnsiTheme="minorHAnsi" w:cstheme="minorBidi"/>
              <w:noProof/>
              <w:sz w:val="22"/>
              <w:szCs w:val="22"/>
              <w:lang w:val="en-US" w:eastAsia="en-US"/>
            </w:rPr>
          </w:pPr>
          <w:hyperlink w:anchor="_Toc142467908" w:history="1">
            <w:r w:rsidR="00A57506" w:rsidRPr="0028199C">
              <w:rPr>
                <w:rStyle w:val="Hyperlink"/>
                <w:noProof/>
                <w:lang w:val="en-US"/>
              </w:rPr>
              <w:t>2.3.</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Wholesale and retail markets of coal sales</w:t>
            </w:r>
            <w:r w:rsidR="00A57506">
              <w:rPr>
                <w:noProof/>
                <w:webHidden/>
              </w:rPr>
              <w:tab/>
            </w:r>
            <w:r w:rsidR="00A57506">
              <w:rPr>
                <w:noProof/>
                <w:webHidden/>
              </w:rPr>
              <w:fldChar w:fldCharType="begin"/>
            </w:r>
            <w:r w:rsidR="00A57506">
              <w:rPr>
                <w:noProof/>
                <w:webHidden/>
              </w:rPr>
              <w:instrText xml:space="preserve"> PAGEREF _Toc142467908 \h </w:instrText>
            </w:r>
            <w:r w:rsidR="00A57506">
              <w:rPr>
                <w:noProof/>
                <w:webHidden/>
              </w:rPr>
            </w:r>
            <w:r w:rsidR="00A57506">
              <w:rPr>
                <w:noProof/>
                <w:webHidden/>
              </w:rPr>
              <w:fldChar w:fldCharType="separate"/>
            </w:r>
            <w:r w:rsidR="00A57506">
              <w:rPr>
                <w:noProof/>
                <w:webHidden/>
              </w:rPr>
              <w:t>52</w:t>
            </w:r>
            <w:r w:rsidR="00A57506">
              <w:rPr>
                <w:noProof/>
                <w:webHidden/>
              </w:rPr>
              <w:fldChar w:fldCharType="end"/>
            </w:r>
          </w:hyperlink>
        </w:p>
        <w:p w14:paraId="5C5ADEB0" w14:textId="61316F37" w:rsidR="00A57506" w:rsidRDefault="000E0FE6">
          <w:pPr>
            <w:pStyle w:val="TOC2"/>
            <w:rPr>
              <w:rFonts w:asciiTheme="minorHAnsi" w:eastAsiaTheme="minorEastAsia" w:hAnsiTheme="minorHAnsi" w:cstheme="minorBidi"/>
              <w:noProof/>
              <w:sz w:val="22"/>
              <w:szCs w:val="22"/>
              <w:lang w:val="en-US" w:eastAsia="en-US"/>
            </w:rPr>
          </w:pPr>
          <w:hyperlink w:anchor="_Toc142467909" w:history="1">
            <w:r w:rsidR="00A57506" w:rsidRPr="0028199C">
              <w:rPr>
                <w:rStyle w:val="Hyperlink"/>
                <w:noProof/>
                <w:lang w:val="en-US"/>
              </w:rPr>
              <w:t>2.4.</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Market of construction and installation services for connecting consumers to natural gas networks</w:t>
            </w:r>
            <w:r w:rsidR="00A57506">
              <w:rPr>
                <w:noProof/>
                <w:webHidden/>
              </w:rPr>
              <w:tab/>
            </w:r>
            <w:r w:rsidR="00A57506">
              <w:rPr>
                <w:noProof/>
                <w:webHidden/>
              </w:rPr>
              <w:fldChar w:fldCharType="begin"/>
            </w:r>
            <w:r w:rsidR="00A57506">
              <w:rPr>
                <w:noProof/>
                <w:webHidden/>
              </w:rPr>
              <w:instrText xml:space="preserve"> PAGEREF _Toc142467909 \h </w:instrText>
            </w:r>
            <w:r w:rsidR="00A57506">
              <w:rPr>
                <w:noProof/>
                <w:webHidden/>
              </w:rPr>
            </w:r>
            <w:r w:rsidR="00A57506">
              <w:rPr>
                <w:noProof/>
                <w:webHidden/>
              </w:rPr>
              <w:fldChar w:fldCharType="separate"/>
            </w:r>
            <w:r w:rsidR="00A57506">
              <w:rPr>
                <w:noProof/>
                <w:webHidden/>
              </w:rPr>
              <w:t>60</w:t>
            </w:r>
            <w:r w:rsidR="00A57506">
              <w:rPr>
                <w:noProof/>
                <w:webHidden/>
              </w:rPr>
              <w:fldChar w:fldCharType="end"/>
            </w:r>
          </w:hyperlink>
        </w:p>
        <w:p w14:paraId="251DFF40" w14:textId="62475C1F" w:rsidR="00A57506" w:rsidRDefault="000E0FE6">
          <w:pPr>
            <w:pStyle w:val="TOC2"/>
            <w:rPr>
              <w:rFonts w:asciiTheme="minorHAnsi" w:eastAsiaTheme="minorEastAsia" w:hAnsiTheme="minorHAnsi" w:cstheme="minorBidi"/>
              <w:noProof/>
              <w:sz w:val="22"/>
              <w:szCs w:val="22"/>
              <w:lang w:val="en-US" w:eastAsia="en-US"/>
            </w:rPr>
          </w:pPr>
          <w:hyperlink w:anchor="_Toc142467910" w:history="1">
            <w:r w:rsidR="00A57506" w:rsidRPr="0028199C">
              <w:rPr>
                <w:rStyle w:val="Hyperlink"/>
                <w:noProof/>
              </w:rPr>
              <w:t>2.5.</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Communication services market</w:t>
            </w:r>
            <w:r w:rsidR="00A57506">
              <w:rPr>
                <w:noProof/>
                <w:webHidden/>
              </w:rPr>
              <w:tab/>
            </w:r>
            <w:r w:rsidR="00A57506">
              <w:rPr>
                <w:noProof/>
                <w:webHidden/>
              </w:rPr>
              <w:fldChar w:fldCharType="begin"/>
            </w:r>
            <w:r w:rsidR="00A57506">
              <w:rPr>
                <w:noProof/>
                <w:webHidden/>
              </w:rPr>
              <w:instrText xml:space="preserve"> PAGEREF _Toc142467910 \h </w:instrText>
            </w:r>
            <w:r w:rsidR="00A57506">
              <w:rPr>
                <w:noProof/>
                <w:webHidden/>
              </w:rPr>
            </w:r>
            <w:r w:rsidR="00A57506">
              <w:rPr>
                <w:noProof/>
                <w:webHidden/>
              </w:rPr>
              <w:fldChar w:fldCharType="separate"/>
            </w:r>
            <w:r w:rsidR="00A57506">
              <w:rPr>
                <w:noProof/>
                <w:webHidden/>
              </w:rPr>
              <w:t>71</w:t>
            </w:r>
            <w:r w:rsidR="00A57506">
              <w:rPr>
                <w:noProof/>
                <w:webHidden/>
              </w:rPr>
              <w:fldChar w:fldCharType="end"/>
            </w:r>
          </w:hyperlink>
        </w:p>
        <w:p w14:paraId="0AD5F0A7" w14:textId="23A7300E" w:rsidR="00A57506" w:rsidRDefault="000E0FE6">
          <w:pPr>
            <w:pStyle w:val="TOC2"/>
            <w:rPr>
              <w:rFonts w:asciiTheme="minorHAnsi" w:eastAsiaTheme="minorEastAsia" w:hAnsiTheme="minorHAnsi" w:cstheme="minorBidi"/>
              <w:noProof/>
              <w:sz w:val="22"/>
              <w:szCs w:val="22"/>
              <w:lang w:val="en-US" w:eastAsia="en-US"/>
            </w:rPr>
          </w:pPr>
          <w:hyperlink w:anchor="_Toc142467911" w:history="1">
            <w:r w:rsidR="00A57506" w:rsidRPr="0028199C">
              <w:rPr>
                <w:rStyle w:val="Hyperlink"/>
                <w:noProof/>
                <w:lang w:val="en-US"/>
              </w:rPr>
              <w:t>2.6.</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Digital Terrestrial Broadcasting services market;</w:t>
            </w:r>
            <w:r w:rsidR="00A57506">
              <w:rPr>
                <w:noProof/>
                <w:webHidden/>
              </w:rPr>
              <w:tab/>
            </w:r>
            <w:r w:rsidR="00A57506">
              <w:rPr>
                <w:noProof/>
                <w:webHidden/>
              </w:rPr>
              <w:fldChar w:fldCharType="begin"/>
            </w:r>
            <w:r w:rsidR="00A57506">
              <w:rPr>
                <w:noProof/>
                <w:webHidden/>
              </w:rPr>
              <w:instrText xml:space="preserve"> PAGEREF _Toc142467911 \h </w:instrText>
            </w:r>
            <w:r w:rsidR="00A57506">
              <w:rPr>
                <w:noProof/>
                <w:webHidden/>
              </w:rPr>
            </w:r>
            <w:r w:rsidR="00A57506">
              <w:rPr>
                <w:noProof/>
                <w:webHidden/>
              </w:rPr>
              <w:fldChar w:fldCharType="separate"/>
            </w:r>
            <w:r w:rsidR="00A57506">
              <w:rPr>
                <w:noProof/>
                <w:webHidden/>
              </w:rPr>
              <w:t>76</w:t>
            </w:r>
            <w:r w:rsidR="00A57506">
              <w:rPr>
                <w:noProof/>
                <w:webHidden/>
              </w:rPr>
              <w:fldChar w:fldCharType="end"/>
            </w:r>
          </w:hyperlink>
        </w:p>
        <w:p w14:paraId="4C7DE533" w14:textId="42D99C11" w:rsidR="00A57506" w:rsidRDefault="000E0FE6">
          <w:pPr>
            <w:pStyle w:val="TOC2"/>
            <w:rPr>
              <w:rFonts w:asciiTheme="minorHAnsi" w:eastAsiaTheme="minorEastAsia" w:hAnsiTheme="minorHAnsi" w:cstheme="minorBidi"/>
              <w:noProof/>
              <w:sz w:val="22"/>
              <w:szCs w:val="22"/>
              <w:lang w:val="en-US" w:eastAsia="en-US"/>
            </w:rPr>
          </w:pPr>
          <w:hyperlink w:anchor="_Toc142467912" w:history="1">
            <w:r w:rsidR="00A57506" w:rsidRPr="0028199C">
              <w:rPr>
                <w:rStyle w:val="Hyperlink"/>
                <w:noProof/>
                <w:lang w:val="en"/>
              </w:rPr>
              <w:t>2.7. Railway freight transportation services market</w:t>
            </w:r>
            <w:r w:rsidR="00A57506">
              <w:rPr>
                <w:noProof/>
                <w:webHidden/>
              </w:rPr>
              <w:tab/>
            </w:r>
            <w:r w:rsidR="00A57506">
              <w:rPr>
                <w:noProof/>
                <w:webHidden/>
              </w:rPr>
              <w:fldChar w:fldCharType="begin"/>
            </w:r>
            <w:r w:rsidR="00A57506">
              <w:rPr>
                <w:noProof/>
                <w:webHidden/>
              </w:rPr>
              <w:instrText xml:space="preserve"> PAGEREF _Toc142467912 \h </w:instrText>
            </w:r>
            <w:r w:rsidR="00A57506">
              <w:rPr>
                <w:noProof/>
                <w:webHidden/>
              </w:rPr>
            </w:r>
            <w:r w:rsidR="00A57506">
              <w:rPr>
                <w:noProof/>
                <w:webHidden/>
              </w:rPr>
              <w:fldChar w:fldCharType="separate"/>
            </w:r>
            <w:r w:rsidR="00A57506">
              <w:rPr>
                <w:noProof/>
                <w:webHidden/>
              </w:rPr>
              <w:t>78</w:t>
            </w:r>
            <w:r w:rsidR="00A57506">
              <w:rPr>
                <w:noProof/>
                <w:webHidden/>
              </w:rPr>
              <w:fldChar w:fldCharType="end"/>
            </w:r>
          </w:hyperlink>
        </w:p>
        <w:p w14:paraId="14CEA7A7" w14:textId="4199F634" w:rsidR="00A57506" w:rsidRDefault="000E0FE6">
          <w:pPr>
            <w:pStyle w:val="TOC2"/>
            <w:rPr>
              <w:rFonts w:asciiTheme="minorHAnsi" w:eastAsiaTheme="minorEastAsia" w:hAnsiTheme="minorHAnsi" w:cstheme="minorBidi"/>
              <w:noProof/>
              <w:sz w:val="22"/>
              <w:szCs w:val="22"/>
              <w:lang w:val="en-US" w:eastAsia="en-US"/>
            </w:rPr>
          </w:pPr>
          <w:hyperlink w:anchor="_Toc142467913" w:history="1">
            <w:r w:rsidR="00A57506" w:rsidRPr="0028199C">
              <w:rPr>
                <w:rStyle w:val="Hyperlink"/>
                <w:noProof/>
                <w:lang w:val="en-US"/>
              </w:rPr>
              <w:t>2.8.</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Markets for repair, service and maintenance of locomotives and railway cars in the Republic of Kazakhstan</w:t>
            </w:r>
            <w:r w:rsidR="00A57506">
              <w:rPr>
                <w:noProof/>
                <w:webHidden/>
              </w:rPr>
              <w:tab/>
            </w:r>
            <w:r w:rsidR="00A57506">
              <w:rPr>
                <w:noProof/>
                <w:webHidden/>
              </w:rPr>
              <w:fldChar w:fldCharType="begin"/>
            </w:r>
            <w:r w:rsidR="00A57506">
              <w:rPr>
                <w:noProof/>
                <w:webHidden/>
              </w:rPr>
              <w:instrText xml:space="preserve"> PAGEREF _Toc142467913 \h </w:instrText>
            </w:r>
            <w:r w:rsidR="00A57506">
              <w:rPr>
                <w:noProof/>
                <w:webHidden/>
              </w:rPr>
            </w:r>
            <w:r w:rsidR="00A57506">
              <w:rPr>
                <w:noProof/>
                <w:webHidden/>
              </w:rPr>
              <w:fldChar w:fldCharType="separate"/>
            </w:r>
            <w:r w:rsidR="00A57506">
              <w:rPr>
                <w:noProof/>
                <w:webHidden/>
              </w:rPr>
              <w:t>82</w:t>
            </w:r>
            <w:r w:rsidR="00A57506">
              <w:rPr>
                <w:noProof/>
                <w:webHidden/>
              </w:rPr>
              <w:fldChar w:fldCharType="end"/>
            </w:r>
          </w:hyperlink>
        </w:p>
        <w:p w14:paraId="57026824" w14:textId="480C0273" w:rsidR="00A57506" w:rsidRDefault="000E0FE6">
          <w:pPr>
            <w:pStyle w:val="TOC2"/>
            <w:rPr>
              <w:rFonts w:asciiTheme="minorHAnsi" w:eastAsiaTheme="minorEastAsia" w:hAnsiTheme="minorHAnsi" w:cstheme="minorBidi"/>
              <w:noProof/>
              <w:sz w:val="22"/>
              <w:szCs w:val="22"/>
              <w:lang w:val="en-US" w:eastAsia="en-US"/>
            </w:rPr>
          </w:pPr>
          <w:hyperlink w:anchor="_Toc142467914" w:history="1">
            <w:r w:rsidR="00A57506" w:rsidRPr="0028199C">
              <w:rPr>
                <w:rStyle w:val="Hyperlink"/>
                <w:noProof/>
                <w:lang w:val="en-US"/>
              </w:rPr>
              <w:t>2.9.</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The market of services for regular passenger transportation by air</w:t>
            </w:r>
            <w:r w:rsidR="00A57506">
              <w:rPr>
                <w:noProof/>
                <w:webHidden/>
              </w:rPr>
              <w:tab/>
            </w:r>
            <w:r w:rsidR="00A57506">
              <w:rPr>
                <w:noProof/>
                <w:webHidden/>
              </w:rPr>
              <w:fldChar w:fldCharType="begin"/>
            </w:r>
            <w:r w:rsidR="00A57506">
              <w:rPr>
                <w:noProof/>
                <w:webHidden/>
              </w:rPr>
              <w:instrText xml:space="preserve"> PAGEREF _Toc142467914 \h </w:instrText>
            </w:r>
            <w:r w:rsidR="00A57506">
              <w:rPr>
                <w:noProof/>
                <w:webHidden/>
              </w:rPr>
            </w:r>
            <w:r w:rsidR="00A57506">
              <w:rPr>
                <w:noProof/>
                <w:webHidden/>
              </w:rPr>
              <w:fldChar w:fldCharType="separate"/>
            </w:r>
            <w:r w:rsidR="00A57506">
              <w:rPr>
                <w:noProof/>
                <w:webHidden/>
              </w:rPr>
              <w:t>84</w:t>
            </w:r>
            <w:r w:rsidR="00A57506">
              <w:rPr>
                <w:noProof/>
                <w:webHidden/>
              </w:rPr>
              <w:fldChar w:fldCharType="end"/>
            </w:r>
          </w:hyperlink>
        </w:p>
        <w:p w14:paraId="126208F1" w14:textId="76F837CF" w:rsidR="00A57506" w:rsidRDefault="000E0FE6">
          <w:pPr>
            <w:pStyle w:val="TOC2"/>
            <w:rPr>
              <w:rFonts w:asciiTheme="minorHAnsi" w:eastAsiaTheme="minorEastAsia" w:hAnsiTheme="minorHAnsi" w:cstheme="minorBidi"/>
              <w:noProof/>
              <w:sz w:val="22"/>
              <w:szCs w:val="22"/>
              <w:lang w:val="en-US" w:eastAsia="en-US"/>
            </w:rPr>
          </w:pPr>
          <w:hyperlink w:anchor="_Toc142467915" w:history="1">
            <w:r w:rsidR="00A57506" w:rsidRPr="0028199C">
              <w:rPr>
                <w:rStyle w:val="Hyperlink"/>
                <w:noProof/>
              </w:rPr>
              <w:t>2.10.</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Housing construction market</w:t>
            </w:r>
            <w:r w:rsidR="00A57506">
              <w:rPr>
                <w:noProof/>
                <w:webHidden/>
              </w:rPr>
              <w:tab/>
            </w:r>
            <w:r w:rsidR="00A57506">
              <w:rPr>
                <w:noProof/>
                <w:webHidden/>
              </w:rPr>
              <w:fldChar w:fldCharType="begin"/>
            </w:r>
            <w:r w:rsidR="00A57506">
              <w:rPr>
                <w:noProof/>
                <w:webHidden/>
              </w:rPr>
              <w:instrText xml:space="preserve"> PAGEREF _Toc142467915 \h </w:instrText>
            </w:r>
            <w:r w:rsidR="00A57506">
              <w:rPr>
                <w:noProof/>
                <w:webHidden/>
              </w:rPr>
            </w:r>
            <w:r w:rsidR="00A57506">
              <w:rPr>
                <w:noProof/>
                <w:webHidden/>
              </w:rPr>
              <w:fldChar w:fldCharType="separate"/>
            </w:r>
            <w:r w:rsidR="00A57506">
              <w:rPr>
                <w:noProof/>
                <w:webHidden/>
              </w:rPr>
              <w:t>92</w:t>
            </w:r>
            <w:r w:rsidR="00A57506">
              <w:rPr>
                <w:noProof/>
                <w:webHidden/>
              </w:rPr>
              <w:fldChar w:fldCharType="end"/>
            </w:r>
          </w:hyperlink>
        </w:p>
        <w:p w14:paraId="55FDD38D" w14:textId="0E85FF6D" w:rsidR="00A57506" w:rsidRDefault="000E0FE6">
          <w:pPr>
            <w:pStyle w:val="TOC2"/>
            <w:rPr>
              <w:rFonts w:asciiTheme="minorHAnsi" w:eastAsiaTheme="minorEastAsia" w:hAnsiTheme="minorHAnsi" w:cstheme="minorBidi"/>
              <w:noProof/>
              <w:sz w:val="22"/>
              <w:szCs w:val="22"/>
              <w:lang w:val="en-US" w:eastAsia="en-US"/>
            </w:rPr>
          </w:pPr>
          <w:hyperlink w:anchor="_Toc142467916" w:history="1">
            <w:r w:rsidR="00A57506" w:rsidRPr="0028199C">
              <w:rPr>
                <w:rStyle w:val="Hyperlink"/>
                <w:noProof/>
                <w:lang w:val="en-US"/>
              </w:rPr>
              <w:t>2.11.</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Markets for sale of non-ferrous metals</w:t>
            </w:r>
            <w:r w:rsidR="00A57506">
              <w:rPr>
                <w:noProof/>
                <w:webHidden/>
              </w:rPr>
              <w:tab/>
            </w:r>
            <w:r w:rsidR="00A57506">
              <w:rPr>
                <w:noProof/>
                <w:webHidden/>
              </w:rPr>
              <w:fldChar w:fldCharType="begin"/>
            </w:r>
            <w:r w:rsidR="00A57506">
              <w:rPr>
                <w:noProof/>
                <w:webHidden/>
              </w:rPr>
              <w:instrText xml:space="preserve"> PAGEREF _Toc142467916 \h </w:instrText>
            </w:r>
            <w:r w:rsidR="00A57506">
              <w:rPr>
                <w:noProof/>
                <w:webHidden/>
              </w:rPr>
            </w:r>
            <w:r w:rsidR="00A57506">
              <w:rPr>
                <w:noProof/>
                <w:webHidden/>
              </w:rPr>
              <w:fldChar w:fldCharType="separate"/>
            </w:r>
            <w:r w:rsidR="00A57506">
              <w:rPr>
                <w:noProof/>
                <w:webHidden/>
              </w:rPr>
              <w:t>96</w:t>
            </w:r>
            <w:r w:rsidR="00A57506">
              <w:rPr>
                <w:noProof/>
                <w:webHidden/>
              </w:rPr>
              <w:fldChar w:fldCharType="end"/>
            </w:r>
          </w:hyperlink>
        </w:p>
        <w:p w14:paraId="05A9A570" w14:textId="42CF5D63" w:rsidR="00A57506" w:rsidRDefault="000E0FE6">
          <w:pPr>
            <w:pStyle w:val="TOC2"/>
            <w:rPr>
              <w:rFonts w:asciiTheme="minorHAnsi" w:eastAsiaTheme="minorEastAsia" w:hAnsiTheme="minorHAnsi" w:cstheme="minorBidi"/>
              <w:noProof/>
              <w:sz w:val="22"/>
              <w:szCs w:val="22"/>
              <w:lang w:val="en-US" w:eastAsia="en-US"/>
            </w:rPr>
          </w:pPr>
          <w:hyperlink w:anchor="_Toc142467917" w:history="1">
            <w:r w:rsidR="00A57506" w:rsidRPr="0028199C">
              <w:rPr>
                <w:rStyle w:val="Hyperlink"/>
                <w:noProof/>
              </w:rPr>
              <w:t>2.12.</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Pesticides sales market</w:t>
            </w:r>
            <w:r w:rsidR="00A57506">
              <w:rPr>
                <w:noProof/>
                <w:webHidden/>
              </w:rPr>
              <w:tab/>
            </w:r>
            <w:r w:rsidR="00A57506">
              <w:rPr>
                <w:noProof/>
                <w:webHidden/>
              </w:rPr>
              <w:fldChar w:fldCharType="begin"/>
            </w:r>
            <w:r w:rsidR="00A57506">
              <w:rPr>
                <w:noProof/>
                <w:webHidden/>
              </w:rPr>
              <w:instrText xml:space="preserve"> PAGEREF _Toc142467917 \h </w:instrText>
            </w:r>
            <w:r w:rsidR="00A57506">
              <w:rPr>
                <w:noProof/>
                <w:webHidden/>
              </w:rPr>
            </w:r>
            <w:r w:rsidR="00A57506">
              <w:rPr>
                <w:noProof/>
                <w:webHidden/>
              </w:rPr>
              <w:fldChar w:fldCharType="separate"/>
            </w:r>
            <w:r w:rsidR="00A57506">
              <w:rPr>
                <w:noProof/>
                <w:webHidden/>
              </w:rPr>
              <w:t>98</w:t>
            </w:r>
            <w:r w:rsidR="00A57506">
              <w:rPr>
                <w:noProof/>
                <w:webHidden/>
              </w:rPr>
              <w:fldChar w:fldCharType="end"/>
            </w:r>
          </w:hyperlink>
        </w:p>
        <w:p w14:paraId="583C6BAA" w14:textId="1D15B477" w:rsidR="00A57506" w:rsidRDefault="000E0FE6">
          <w:pPr>
            <w:pStyle w:val="TOC2"/>
            <w:rPr>
              <w:rFonts w:asciiTheme="minorHAnsi" w:eastAsiaTheme="minorEastAsia" w:hAnsiTheme="minorHAnsi" w:cstheme="minorBidi"/>
              <w:noProof/>
              <w:sz w:val="22"/>
              <w:szCs w:val="22"/>
              <w:lang w:val="en-US" w:eastAsia="en-US"/>
            </w:rPr>
          </w:pPr>
          <w:hyperlink w:anchor="_Toc142467918" w:history="1">
            <w:r w:rsidR="00A57506" w:rsidRPr="0028199C">
              <w:rPr>
                <w:rStyle w:val="Hyperlink"/>
                <w:noProof/>
                <w:lang w:val="en-US"/>
              </w:rPr>
              <w:t>2.13.</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The market for sale of crude petroleum coke</w:t>
            </w:r>
            <w:r w:rsidR="00A57506">
              <w:rPr>
                <w:noProof/>
                <w:webHidden/>
              </w:rPr>
              <w:tab/>
            </w:r>
            <w:r w:rsidR="00A57506">
              <w:rPr>
                <w:noProof/>
                <w:webHidden/>
              </w:rPr>
              <w:fldChar w:fldCharType="begin"/>
            </w:r>
            <w:r w:rsidR="00A57506">
              <w:rPr>
                <w:noProof/>
                <w:webHidden/>
              </w:rPr>
              <w:instrText xml:space="preserve"> PAGEREF _Toc142467918 \h </w:instrText>
            </w:r>
            <w:r w:rsidR="00A57506">
              <w:rPr>
                <w:noProof/>
                <w:webHidden/>
              </w:rPr>
            </w:r>
            <w:r w:rsidR="00A57506">
              <w:rPr>
                <w:noProof/>
                <w:webHidden/>
              </w:rPr>
              <w:fldChar w:fldCharType="separate"/>
            </w:r>
            <w:r w:rsidR="00A57506">
              <w:rPr>
                <w:noProof/>
                <w:webHidden/>
              </w:rPr>
              <w:t>100</w:t>
            </w:r>
            <w:r w:rsidR="00A57506">
              <w:rPr>
                <w:noProof/>
                <w:webHidden/>
              </w:rPr>
              <w:fldChar w:fldCharType="end"/>
            </w:r>
          </w:hyperlink>
        </w:p>
        <w:p w14:paraId="20FB3885" w14:textId="10B63898" w:rsidR="00A57506" w:rsidRDefault="000E0FE6">
          <w:pPr>
            <w:pStyle w:val="TOC2"/>
            <w:rPr>
              <w:rFonts w:asciiTheme="minorHAnsi" w:eastAsiaTheme="minorEastAsia" w:hAnsiTheme="minorHAnsi" w:cstheme="minorBidi"/>
              <w:noProof/>
              <w:sz w:val="22"/>
              <w:szCs w:val="22"/>
              <w:lang w:val="en-US" w:eastAsia="en-US"/>
            </w:rPr>
          </w:pPr>
          <w:hyperlink w:anchor="_Toc142467919" w:history="1">
            <w:r w:rsidR="00A57506" w:rsidRPr="0028199C">
              <w:rPr>
                <w:rStyle w:val="Hyperlink"/>
                <w:noProof/>
              </w:rPr>
              <w:t>2.14.</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Ammophos sales market</w:t>
            </w:r>
            <w:r w:rsidR="00A57506">
              <w:rPr>
                <w:noProof/>
                <w:webHidden/>
              </w:rPr>
              <w:tab/>
            </w:r>
            <w:r w:rsidR="00A57506">
              <w:rPr>
                <w:noProof/>
                <w:webHidden/>
              </w:rPr>
              <w:fldChar w:fldCharType="begin"/>
            </w:r>
            <w:r w:rsidR="00A57506">
              <w:rPr>
                <w:noProof/>
                <w:webHidden/>
              </w:rPr>
              <w:instrText xml:space="preserve"> PAGEREF _Toc142467919 \h </w:instrText>
            </w:r>
            <w:r w:rsidR="00A57506">
              <w:rPr>
                <w:noProof/>
                <w:webHidden/>
              </w:rPr>
            </w:r>
            <w:r w:rsidR="00A57506">
              <w:rPr>
                <w:noProof/>
                <w:webHidden/>
              </w:rPr>
              <w:fldChar w:fldCharType="separate"/>
            </w:r>
            <w:r w:rsidR="00A57506">
              <w:rPr>
                <w:noProof/>
                <w:webHidden/>
              </w:rPr>
              <w:t>102</w:t>
            </w:r>
            <w:r w:rsidR="00A57506">
              <w:rPr>
                <w:noProof/>
                <w:webHidden/>
              </w:rPr>
              <w:fldChar w:fldCharType="end"/>
            </w:r>
          </w:hyperlink>
        </w:p>
        <w:p w14:paraId="60B3FF09" w14:textId="7A40DB93" w:rsidR="00A57506" w:rsidRDefault="000E0FE6">
          <w:pPr>
            <w:pStyle w:val="TOC2"/>
            <w:rPr>
              <w:rFonts w:asciiTheme="minorHAnsi" w:eastAsiaTheme="minorEastAsia" w:hAnsiTheme="minorHAnsi" w:cstheme="minorBidi"/>
              <w:noProof/>
              <w:sz w:val="22"/>
              <w:szCs w:val="22"/>
              <w:lang w:val="en-US" w:eastAsia="en-US"/>
            </w:rPr>
          </w:pPr>
          <w:hyperlink w:anchor="_Toc142467920" w:history="1">
            <w:r w:rsidR="00A57506" w:rsidRPr="0028199C">
              <w:rPr>
                <w:rStyle w:val="Hyperlink"/>
                <w:noProof/>
                <w:lang w:val="en-US"/>
              </w:rPr>
              <w:t>2.15.</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Wholesale markets of granulated sugar, processed milk</w:t>
            </w:r>
            <w:r w:rsidR="00A57506">
              <w:rPr>
                <w:noProof/>
                <w:webHidden/>
              </w:rPr>
              <w:tab/>
            </w:r>
            <w:r w:rsidR="00A57506">
              <w:rPr>
                <w:noProof/>
                <w:webHidden/>
              </w:rPr>
              <w:fldChar w:fldCharType="begin"/>
            </w:r>
            <w:r w:rsidR="00A57506">
              <w:rPr>
                <w:noProof/>
                <w:webHidden/>
              </w:rPr>
              <w:instrText xml:space="preserve"> PAGEREF _Toc142467920 \h </w:instrText>
            </w:r>
            <w:r w:rsidR="00A57506">
              <w:rPr>
                <w:noProof/>
                <w:webHidden/>
              </w:rPr>
            </w:r>
            <w:r w:rsidR="00A57506">
              <w:rPr>
                <w:noProof/>
                <w:webHidden/>
              </w:rPr>
              <w:fldChar w:fldCharType="separate"/>
            </w:r>
            <w:r w:rsidR="00A57506">
              <w:rPr>
                <w:noProof/>
                <w:webHidden/>
              </w:rPr>
              <w:t>103</w:t>
            </w:r>
            <w:r w:rsidR="00A57506">
              <w:rPr>
                <w:noProof/>
                <w:webHidden/>
              </w:rPr>
              <w:fldChar w:fldCharType="end"/>
            </w:r>
          </w:hyperlink>
        </w:p>
        <w:p w14:paraId="744BE95D" w14:textId="2A0A32CC" w:rsidR="00A57506" w:rsidRDefault="000E0FE6">
          <w:pPr>
            <w:pStyle w:val="TOC2"/>
            <w:rPr>
              <w:rFonts w:asciiTheme="minorHAnsi" w:eastAsiaTheme="minorEastAsia" w:hAnsiTheme="minorHAnsi" w:cstheme="minorBidi"/>
              <w:noProof/>
              <w:sz w:val="22"/>
              <w:szCs w:val="22"/>
              <w:lang w:val="en-US" w:eastAsia="en-US"/>
            </w:rPr>
          </w:pPr>
          <w:hyperlink w:anchor="_Toc142467921" w:history="1">
            <w:r w:rsidR="00A57506" w:rsidRPr="0028199C">
              <w:rPr>
                <w:rStyle w:val="Hyperlink"/>
                <w:noProof/>
              </w:rPr>
              <w:t>2.16.</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Medicines sales market</w:t>
            </w:r>
            <w:r w:rsidR="00A57506">
              <w:rPr>
                <w:noProof/>
                <w:webHidden/>
              </w:rPr>
              <w:tab/>
            </w:r>
            <w:r w:rsidR="00A57506">
              <w:rPr>
                <w:noProof/>
                <w:webHidden/>
              </w:rPr>
              <w:fldChar w:fldCharType="begin"/>
            </w:r>
            <w:r w:rsidR="00A57506">
              <w:rPr>
                <w:noProof/>
                <w:webHidden/>
              </w:rPr>
              <w:instrText xml:space="preserve"> PAGEREF _Toc142467921 \h </w:instrText>
            </w:r>
            <w:r w:rsidR="00A57506">
              <w:rPr>
                <w:noProof/>
                <w:webHidden/>
              </w:rPr>
            </w:r>
            <w:r w:rsidR="00A57506">
              <w:rPr>
                <w:noProof/>
                <w:webHidden/>
              </w:rPr>
              <w:fldChar w:fldCharType="separate"/>
            </w:r>
            <w:r w:rsidR="00A57506">
              <w:rPr>
                <w:noProof/>
                <w:webHidden/>
              </w:rPr>
              <w:t>109</w:t>
            </w:r>
            <w:r w:rsidR="00A57506">
              <w:rPr>
                <w:noProof/>
                <w:webHidden/>
              </w:rPr>
              <w:fldChar w:fldCharType="end"/>
            </w:r>
          </w:hyperlink>
        </w:p>
        <w:p w14:paraId="1F44809C" w14:textId="4BB982D4" w:rsidR="00A57506" w:rsidRDefault="000E0FE6">
          <w:pPr>
            <w:pStyle w:val="TOC2"/>
            <w:rPr>
              <w:rFonts w:asciiTheme="minorHAnsi" w:eastAsiaTheme="minorEastAsia" w:hAnsiTheme="minorHAnsi" w:cstheme="minorBidi"/>
              <w:noProof/>
              <w:sz w:val="22"/>
              <w:szCs w:val="22"/>
              <w:lang w:val="en-US" w:eastAsia="en-US"/>
            </w:rPr>
          </w:pPr>
          <w:hyperlink w:anchor="_Toc142467922" w:history="1">
            <w:r w:rsidR="00A57506" w:rsidRPr="0028199C">
              <w:rPr>
                <w:rStyle w:val="Hyperlink"/>
                <w:noProof/>
                <w:lang w:val="en-US"/>
              </w:rPr>
              <w:t>2.17.</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Market of services for conducting PCR diagnostics of coronavirus infection;</w:t>
            </w:r>
            <w:r w:rsidR="00A57506">
              <w:rPr>
                <w:noProof/>
                <w:webHidden/>
              </w:rPr>
              <w:tab/>
            </w:r>
            <w:r w:rsidR="00A57506">
              <w:rPr>
                <w:noProof/>
                <w:webHidden/>
              </w:rPr>
              <w:fldChar w:fldCharType="begin"/>
            </w:r>
            <w:r w:rsidR="00A57506">
              <w:rPr>
                <w:noProof/>
                <w:webHidden/>
              </w:rPr>
              <w:instrText xml:space="preserve"> PAGEREF _Toc142467922 \h </w:instrText>
            </w:r>
            <w:r w:rsidR="00A57506">
              <w:rPr>
                <w:noProof/>
                <w:webHidden/>
              </w:rPr>
            </w:r>
            <w:r w:rsidR="00A57506">
              <w:rPr>
                <w:noProof/>
                <w:webHidden/>
              </w:rPr>
              <w:fldChar w:fldCharType="separate"/>
            </w:r>
            <w:r w:rsidR="00A57506">
              <w:rPr>
                <w:noProof/>
                <w:webHidden/>
              </w:rPr>
              <w:t>115</w:t>
            </w:r>
            <w:r w:rsidR="00A57506">
              <w:rPr>
                <w:noProof/>
                <w:webHidden/>
              </w:rPr>
              <w:fldChar w:fldCharType="end"/>
            </w:r>
          </w:hyperlink>
        </w:p>
        <w:p w14:paraId="2206A2D6" w14:textId="0E5E1517" w:rsidR="00A57506" w:rsidRDefault="000E0FE6">
          <w:pPr>
            <w:pStyle w:val="TOC2"/>
            <w:rPr>
              <w:rFonts w:asciiTheme="minorHAnsi" w:eastAsiaTheme="minorEastAsia" w:hAnsiTheme="minorHAnsi" w:cstheme="minorBidi"/>
              <w:noProof/>
              <w:sz w:val="22"/>
              <w:szCs w:val="22"/>
              <w:lang w:val="en-US" w:eastAsia="en-US"/>
            </w:rPr>
          </w:pPr>
          <w:hyperlink w:anchor="_Toc142467923" w:history="1">
            <w:r w:rsidR="00A57506" w:rsidRPr="0028199C">
              <w:rPr>
                <w:rStyle w:val="Hyperlink"/>
                <w:noProof/>
                <w:lang w:val="en-US"/>
              </w:rPr>
              <w:t>2.18.</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Market of services for collection, removal, sorting and disposal of solid waste;</w:t>
            </w:r>
            <w:r w:rsidR="00A57506">
              <w:rPr>
                <w:noProof/>
                <w:webHidden/>
              </w:rPr>
              <w:tab/>
            </w:r>
            <w:r w:rsidR="00A57506">
              <w:rPr>
                <w:noProof/>
                <w:webHidden/>
              </w:rPr>
              <w:fldChar w:fldCharType="begin"/>
            </w:r>
            <w:r w:rsidR="00A57506">
              <w:rPr>
                <w:noProof/>
                <w:webHidden/>
              </w:rPr>
              <w:instrText xml:space="preserve"> PAGEREF _Toc142467923 \h </w:instrText>
            </w:r>
            <w:r w:rsidR="00A57506">
              <w:rPr>
                <w:noProof/>
                <w:webHidden/>
              </w:rPr>
            </w:r>
            <w:r w:rsidR="00A57506">
              <w:rPr>
                <w:noProof/>
                <w:webHidden/>
              </w:rPr>
              <w:fldChar w:fldCharType="separate"/>
            </w:r>
            <w:r w:rsidR="00A57506">
              <w:rPr>
                <w:noProof/>
                <w:webHidden/>
              </w:rPr>
              <w:t>117</w:t>
            </w:r>
            <w:r w:rsidR="00A57506">
              <w:rPr>
                <w:noProof/>
                <w:webHidden/>
              </w:rPr>
              <w:fldChar w:fldCharType="end"/>
            </w:r>
          </w:hyperlink>
        </w:p>
        <w:p w14:paraId="73A1AE20" w14:textId="22958E94" w:rsidR="00A57506" w:rsidRDefault="000E0FE6">
          <w:pPr>
            <w:pStyle w:val="TOC2"/>
            <w:rPr>
              <w:rFonts w:asciiTheme="minorHAnsi" w:eastAsiaTheme="minorEastAsia" w:hAnsiTheme="minorHAnsi" w:cstheme="minorBidi"/>
              <w:noProof/>
              <w:sz w:val="22"/>
              <w:szCs w:val="22"/>
              <w:lang w:val="en-US" w:eastAsia="en-US"/>
            </w:rPr>
          </w:pPr>
          <w:hyperlink w:anchor="_Toc142467924" w:history="1">
            <w:r w:rsidR="00A57506" w:rsidRPr="0028199C">
              <w:rPr>
                <w:rStyle w:val="Hyperlink"/>
                <w:noProof/>
              </w:rPr>
              <w:t>2.19.</w:t>
            </w:r>
            <w:r w:rsidR="00A57506">
              <w:rPr>
                <w:rFonts w:asciiTheme="minorHAnsi" w:eastAsiaTheme="minorEastAsia" w:hAnsiTheme="minorHAnsi" w:cstheme="minorBidi"/>
                <w:noProof/>
                <w:sz w:val="22"/>
                <w:szCs w:val="22"/>
                <w:lang w:val="en-US" w:eastAsia="en-US"/>
              </w:rPr>
              <w:tab/>
            </w:r>
            <w:r w:rsidR="00A57506" w:rsidRPr="0028199C">
              <w:rPr>
                <w:rStyle w:val="Hyperlink"/>
                <w:noProof/>
                <w:lang w:val="en"/>
              </w:rPr>
              <w:t>Car lending services market.</w:t>
            </w:r>
            <w:r w:rsidR="00A57506">
              <w:rPr>
                <w:noProof/>
                <w:webHidden/>
              </w:rPr>
              <w:tab/>
            </w:r>
            <w:r w:rsidR="00A57506">
              <w:rPr>
                <w:noProof/>
                <w:webHidden/>
              </w:rPr>
              <w:fldChar w:fldCharType="begin"/>
            </w:r>
            <w:r w:rsidR="00A57506">
              <w:rPr>
                <w:noProof/>
                <w:webHidden/>
              </w:rPr>
              <w:instrText xml:space="preserve"> PAGEREF _Toc142467924 \h </w:instrText>
            </w:r>
            <w:r w:rsidR="00A57506">
              <w:rPr>
                <w:noProof/>
                <w:webHidden/>
              </w:rPr>
            </w:r>
            <w:r w:rsidR="00A57506">
              <w:rPr>
                <w:noProof/>
                <w:webHidden/>
              </w:rPr>
              <w:fldChar w:fldCharType="separate"/>
            </w:r>
            <w:r w:rsidR="00A57506">
              <w:rPr>
                <w:noProof/>
                <w:webHidden/>
              </w:rPr>
              <w:t>120</w:t>
            </w:r>
            <w:r w:rsidR="00A57506">
              <w:rPr>
                <w:noProof/>
                <w:webHidden/>
              </w:rPr>
              <w:fldChar w:fldCharType="end"/>
            </w:r>
          </w:hyperlink>
        </w:p>
        <w:p w14:paraId="1CA1FF48" w14:textId="2DAB39D7" w:rsidR="00A57506" w:rsidRDefault="000E0FE6">
          <w:pPr>
            <w:pStyle w:val="TOC2"/>
            <w:rPr>
              <w:rFonts w:asciiTheme="minorHAnsi" w:eastAsiaTheme="minorEastAsia" w:hAnsiTheme="minorHAnsi" w:cstheme="minorBidi"/>
              <w:noProof/>
              <w:sz w:val="22"/>
              <w:szCs w:val="22"/>
              <w:lang w:val="en-US" w:eastAsia="en-US"/>
            </w:rPr>
          </w:pPr>
          <w:hyperlink w:anchor="_Toc142467925" w:history="1">
            <w:r w:rsidR="00A57506" w:rsidRPr="0028199C">
              <w:rPr>
                <w:rStyle w:val="Hyperlink"/>
                <w:noProof/>
                <w:lang w:val="en"/>
              </w:rPr>
              <w:t>Chapter 3. Tasks of antimonopoly authority</w:t>
            </w:r>
            <w:r w:rsidR="00A57506">
              <w:rPr>
                <w:noProof/>
                <w:webHidden/>
              </w:rPr>
              <w:tab/>
            </w:r>
            <w:r w:rsidR="00A57506">
              <w:rPr>
                <w:noProof/>
                <w:webHidden/>
              </w:rPr>
              <w:fldChar w:fldCharType="begin"/>
            </w:r>
            <w:r w:rsidR="00A57506">
              <w:rPr>
                <w:noProof/>
                <w:webHidden/>
              </w:rPr>
              <w:instrText xml:space="preserve"> PAGEREF _Toc142467925 \h </w:instrText>
            </w:r>
            <w:r w:rsidR="00A57506">
              <w:rPr>
                <w:noProof/>
                <w:webHidden/>
              </w:rPr>
            </w:r>
            <w:r w:rsidR="00A57506">
              <w:rPr>
                <w:noProof/>
                <w:webHidden/>
              </w:rPr>
              <w:fldChar w:fldCharType="separate"/>
            </w:r>
            <w:r w:rsidR="00A57506">
              <w:rPr>
                <w:noProof/>
                <w:webHidden/>
              </w:rPr>
              <w:t>124</w:t>
            </w:r>
            <w:r w:rsidR="00A57506">
              <w:rPr>
                <w:noProof/>
                <w:webHidden/>
              </w:rPr>
              <w:fldChar w:fldCharType="end"/>
            </w:r>
          </w:hyperlink>
        </w:p>
        <w:p w14:paraId="2EBD0329" w14:textId="0DCB382A" w:rsidR="0057401E" w:rsidRPr="001529C7" w:rsidRDefault="004C4BA9" w:rsidP="00F411E1">
          <w:pPr>
            <w:ind w:firstLine="0"/>
            <w:rPr>
              <w:b/>
              <w:bCs/>
              <w:caps/>
              <w:color w:val="000000" w:themeColor="text1"/>
            </w:rPr>
          </w:pPr>
          <w:r w:rsidRPr="001529C7">
            <w:rPr>
              <w:b/>
              <w:bCs/>
              <w:caps/>
              <w:color w:val="000000" w:themeColor="text1"/>
            </w:rPr>
            <w:fldChar w:fldCharType="end"/>
          </w:r>
        </w:p>
      </w:sdtContent>
    </w:sdt>
    <w:p w14:paraId="242EF4EB" w14:textId="77777777" w:rsidR="00BF54DA" w:rsidRPr="001529C7" w:rsidRDefault="004C4BA9" w:rsidP="000C7F0B">
      <w:pPr>
        <w:pStyle w:val="Heading2"/>
        <w:ind w:firstLine="567"/>
        <w:rPr>
          <w:b w:val="0"/>
          <w:bCs w:val="0"/>
        </w:rPr>
      </w:pPr>
      <w:r w:rsidRPr="001529C7">
        <w:rPr>
          <w:rFonts w:cs="Times New Roman"/>
          <w:szCs w:val="28"/>
        </w:rPr>
        <w:br w:type="page"/>
      </w:r>
    </w:p>
    <w:p w14:paraId="6776194C" w14:textId="77777777" w:rsidR="00A57506" w:rsidRPr="00A57506" w:rsidRDefault="00A57506" w:rsidP="00A57506">
      <w:pPr>
        <w:keepNext/>
        <w:keepLines/>
        <w:numPr>
          <w:ilvl w:val="1"/>
          <w:numId w:val="1"/>
        </w:numPr>
        <w:ind w:firstLine="567"/>
        <w:outlineLvl w:val="1"/>
        <w:rPr>
          <w:color w:val="000000"/>
        </w:rPr>
      </w:pPr>
      <w:bookmarkStart w:id="0" w:name="_Toc137900816"/>
      <w:bookmarkStart w:id="1" w:name="_Toc142467893"/>
      <w:r w:rsidRPr="00A57506">
        <w:rPr>
          <w:b/>
          <w:bCs/>
          <w:color w:val="000000"/>
          <w:lang w:val="en"/>
        </w:rPr>
        <w:lastRenderedPageBreak/>
        <w:t>Introduction</w:t>
      </w:r>
      <w:bookmarkEnd w:id="0"/>
      <w:bookmarkEnd w:id="1"/>
      <w:r w:rsidRPr="00A57506">
        <w:rPr>
          <w:b/>
          <w:bCs/>
          <w:color w:val="000000"/>
          <w:lang w:val="en"/>
        </w:rPr>
        <w:t xml:space="preserve"> </w:t>
      </w:r>
    </w:p>
    <w:p w14:paraId="38B554D9" w14:textId="77777777" w:rsidR="00A57506" w:rsidRPr="00A57506" w:rsidRDefault="00A57506" w:rsidP="00A57506">
      <w:pPr>
        <w:rPr>
          <w:color w:val="000000"/>
        </w:rPr>
      </w:pPr>
    </w:p>
    <w:p w14:paraId="1F84D350" w14:textId="569C52FD" w:rsidR="00A57506" w:rsidRPr="00A57506" w:rsidRDefault="00A57506" w:rsidP="00A57506">
      <w:pPr>
        <w:rPr>
          <w:color w:val="000000"/>
          <w:lang w:val="en-US"/>
        </w:rPr>
      </w:pPr>
      <w:r w:rsidRPr="00A57506">
        <w:rPr>
          <w:color w:val="000000"/>
          <w:lang w:val="en"/>
        </w:rPr>
        <w:t xml:space="preserve">This report has been prepared by the Agency for Protection and Development of Competition of the Republic of Kazakhstan </w:t>
      </w:r>
      <w:r w:rsidRPr="00A57506">
        <w:rPr>
          <w:i/>
          <w:color w:val="000000"/>
          <w:sz w:val="24"/>
          <w:lang w:val="en"/>
        </w:rPr>
        <w:t xml:space="preserve">(hereinafter referred to as the Agency, the </w:t>
      </w:r>
      <w:r>
        <w:rPr>
          <w:i/>
          <w:color w:val="000000"/>
          <w:sz w:val="24"/>
          <w:lang w:val="en"/>
        </w:rPr>
        <w:t>Antimonopoly Authority</w:t>
      </w:r>
      <w:r w:rsidRPr="00A57506">
        <w:rPr>
          <w:i/>
          <w:color w:val="000000"/>
          <w:sz w:val="24"/>
          <w:lang w:val="en"/>
        </w:rPr>
        <w:t>)</w:t>
      </w:r>
      <w:r w:rsidRPr="00A57506">
        <w:rPr>
          <w:color w:val="000000"/>
          <w:lang w:val="en"/>
        </w:rPr>
        <w:t xml:space="preserve"> to inform the President of the Republic of Kazakhstan and the Prime Minister of the Republic of Kazakhstan on the state of competition in certain commodity markets and measures taken to limit monopolistic activities</w:t>
      </w:r>
      <w:r>
        <w:rPr>
          <w:color w:val="000000"/>
          <w:lang w:val="en"/>
        </w:rPr>
        <w:t xml:space="preserve"> </w:t>
      </w:r>
      <w:r w:rsidRPr="00A57506">
        <w:rPr>
          <w:color w:val="000000"/>
          <w:lang w:val="en"/>
        </w:rPr>
        <w:t xml:space="preserve">for 2022 in accordance with subparagraph 26) of Article 90-6 of the </w:t>
      </w:r>
      <w:r>
        <w:rPr>
          <w:color w:val="000000"/>
          <w:lang w:val="en"/>
        </w:rPr>
        <w:t xml:space="preserve">Entrepreneurship Code </w:t>
      </w:r>
      <w:r w:rsidRPr="00A57506">
        <w:rPr>
          <w:color w:val="000000"/>
          <w:lang w:val="en"/>
        </w:rPr>
        <w:t xml:space="preserve">of the Republic of Kazakhstan </w:t>
      </w:r>
      <w:r w:rsidRPr="00A57506">
        <w:rPr>
          <w:i/>
          <w:color w:val="000000"/>
          <w:sz w:val="24"/>
          <w:lang w:val="en"/>
        </w:rPr>
        <w:t>(hereinafter referred to as the Code)</w:t>
      </w:r>
      <w:r w:rsidRPr="00A57506">
        <w:rPr>
          <w:color w:val="000000"/>
          <w:lang w:val="en"/>
        </w:rPr>
        <w:t>.</w:t>
      </w:r>
    </w:p>
    <w:p w14:paraId="45AB6CAB" w14:textId="77777777" w:rsidR="00A57506" w:rsidRPr="00A57506" w:rsidRDefault="00A57506" w:rsidP="00A57506">
      <w:pPr>
        <w:rPr>
          <w:color w:val="000000"/>
          <w:lang w:val="en-US" w:eastAsia="ar-SA"/>
        </w:rPr>
      </w:pPr>
      <w:r w:rsidRPr="00A57506">
        <w:rPr>
          <w:color w:val="000000"/>
          <w:lang w:val="en"/>
        </w:rPr>
        <w:t>The Report provides information on:</w:t>
      </w:r>
    </w:p>
    <w:p w14:paraId="5C74B655" w14:textId="60F3B088" w:rsidR="00A57506" w:rsidRPr="00A57506" w:rsidRDefault="00A57506" w:rsidP="00A57506">
      <w:pPr>
        <w:rPr>
          <w:color w:val="000000"/>
          <w:lang w:val="en-US" w:eastAsia="ar-SA"/>
        </w:rPr>
      </w:pPr>
      <w:r w:rsidRPr="00A57506">
        <w:rPr>
          <w:color w:val="000000"/>
          <w:lang w:val="en" w:eastAsia="ar-SA"/>
        </w:rPr>
        <w:t xml:space="preserve">- the most significant events </w:t>
      </w:r>
      <w:r w:rsidRPr="00A57506">
        <w:rPr>
          <w:i/>
          <w:color w:val="000000"/>
          <w:sz w:val="24"/>
          <w:lang w:val="en" w:eastAsia="ar-SA"/>
        </w:rPr>
        <w:t>(</w:t>
      </w:r>
      <w:r>
        <w:rPr>
          <w:i/>
          <w:color w:val="000000"/>
          <w:sz w:val="24"/>
          <w:lang w:val="en" w:eastAsia="ar-SA"/>
        </w:rPr>
        <w:t>measures</w:t>
      </w:r>
      <w:r w:rsidRPr="00A57506">
        <w:rPr>
          <w:i/>
          <w:color w:val="000000"/>
          <w:sz w:val="24"/>
          <w:lang w:val="en" w:eastAsia="ar-SA"/>
        </w:rPr>
        <w:t>)</w:t>
      </w:r>
      <w:r w:rsidRPr="00A57506">
        <w:rPr>
          <w:color w:val="000000"/>
          <w:lang w:val="en" w:eastAsia="ar-SA"/>
        </w:rPr>
        <w:t xml:space="preserve"> in </w:t>
      </w:r>
      <w:r>
        <w:rPr>
          <w:color w:val="000000"/>
          <w:lang w:val="en" w:eastAsia="ar-SA"/>
        </w:rPr>
        <w:t xml:space="preserve">antimonopoly regulation </w:t>
      </w:r>
      <w:r w:rsidRPr="00A57506">
        <w:rPr>
          <w:color w:val="000000"/>
          <w:lang w:val="en" w:eastAsia="ar-SA"/>
        </w:rPr>
        <w:t>and competition policy in the Republic of Kazakhstan for 2022;</w:t>
      </w:r>
    </w:p>
    <w:p w14:paraId="0483CF65" w14:textId="33E36D6D" w:rsidR="00A57506" w:rsidRPr="00A57506" w:rsidRDefault="00A57506" w:rsidP="00A57506">
      <w:pPr>
        <w:rPr>
          <w:color w:val="000000"/>
          <w:lang w:val="en-US" w:eastAsia="ar-SA"/>
        </w:rPr>
      </w:pPr>
      <w:r w:rsidRPr="00A57506">
        <w:rPr>
          <w:color w:val="000000"/>
          <w:lang w:val="en" w:eastAsia="ar-SA"/>
        </w:rPr>
        <w:t xml:space="preserve">- international co-operation with foreign </w:t>
      </w:r>
      <w:r>
        <w:rPr>
          <w:color w:val="000000"/>
          <w:lang w:val="en" w:eastAsia="ar-SA"/>
        </w:rPr>
        <w:t>Antimonopoly Authorities</w:t>
      </w:r>
      <w:r w:rsidRPr="00A57506">
        <w:rPr>
          <w:color w:val="000000"/>
          <w:lang w:val="en" w:eastAsia="ar-SA"/>
        </w:rPr>
        <w:t>, including within the framework of international integration associations;</w:t>
      </w:r>
    </w:p>
    <w:p w14:paraId="4FB81A7A" w14:textId="6DAAFAFA" w:rsidR="00A57506" w:rsidRPr="00A57506" w:rsidRDefault="00A57506" w:rsidP="00A57506">
      <w:pPr>
        <w:rPr>
          <w:color w:val="000000"/>
          <w:lang w:val="en-US"/>
        </w:rPr>
      </w:pPr>
      <w:r w:rsidRPr="00A57506">
        <w:rPr>
          <w:color w:val="000000"/>
          <w:lang w:val="en" w:eastAsia="ar-SA"/>
        </w:rPr>
        <w:t>- state of competition in certain commodity markets of the Republic of Kazakhstan, factors distorting competition and barriers to entry into commodity markets, information on measures to eliminate them;</w:t>
      </w:r>
    </w:p>
    <w:p w14:paraId="64DC8A6B" w14:textId="40DE6725" w:rsidR="00A57506" w:rsidRPr="00A57506" w:rsidRDefault="00A57506" w:rsidP="00A57506">
      <w:pPr>
        <w:rPr>
          <w:color w:val="000000"/>
          <w:lang w:val="en-US"/>
        </w:rPr>
      </w:pPr>
      <w:r w:rsidRPr="00A57506">
        <w:rPr>
          <w:color w:val="000000"/>
          <w:lang w:val="en"/>
        </w:rPr>
        <w:t xml:space="preserve">- results of work to reduce participation </w:t>
      </w:r>
      <w:r>
        <w:rPr>
          <w:color w:val="000000"/>
          <w:lang w:val="en"/>
        </w:rPr>
        <w:t xml:space="preserve">of state </w:t>
      </w:r>
      <w:r w:rsidRPr="00A57506">
        <w:rPr>
          <w:color w:val="000000"/>
          <w:lang w:val="en"/>
        </w:rPr>
        <w:t xml:space="preserve">in entrepreneurial activities, detection and suppression of </w:t>
      </w:r>
      <w:r>
        <w:rPr>
          <w:color w:val="000000"/>
          <w:lang w:val="en"/>
        </w:rPr>
        <w:t xml:space="preserve">violation of competition protection legislation </w:t>
      </w:r>
      <w:r w:rsidRPr="00A57506">
        <w:rPr>
          <w:color w:val="000000"/>
          <w:lang w:val="en"/>
        </w:rPr>
        <w:t xml:space="preserve">of the Republic of Kazakhstan, indicators of state regulation of economic concentration, information on ongoing work to improve </w:t>
      </w:r>
      <w:r>
        <w:rPr>
          <w:color w:val="000000"/>
          <w:lang w:val="en"/>
        </w:rPr>
        <w:t xml:space="preserve">competition protection legislation </w:t>
      </w:r>
      <w:r w:rsidRPr="00A57506">
        <w:rPr>
          <w:color w:val="000000"/>
          <w:lang w:val="en"/>
        </w:rPr>
        <w:t>of the Republic of Kazakhstan;</w:t>
      </w:r>
    </w:p>
    <w:p w14:paraId="7BB70B60" w14:textId="4FEF4569" w:rsidR="00A57506" w:rsidRPr="00A57506" w:rsidRDefault="00A57506" w:rsidP="00A57506">
      <w:pPr>
        <w:rPr>
          <w:color w:val="000000"/>
          <w:lang w:val="en-US"/>
        </w:rPr>
      </w:pPr>
      <w:r w:rsidRPr="00A57506">
        <w:rPr>
          <w:color w:val="000000"/>
          <w:lang w:val="en"/>
        </w:rPr>
        <w:t>- main tasks</w:t>
      </w:r>
      <w:r>
        <w:rPr>
          <w:color w:val="000000"/>
          <w:lang w:val="en"/>
        </w:rPr>
        <w:t xml:space="preserve">, set before </w:t>
      </w:r>
      <w:r w:rsidRPr="00A57506">
        <w:rPr>
          <w:color w:val="000000"/>
          <w:lang w:val="en"/>
        </w:rPr>
        <w:t xml:space="preserve">the </w:t>
      </w:r>
      <w:r>
        <w:rPr>
          <w:color w:val="000000"/>
          <w:lang w:val="en"/>
        </w:rPr>
        <w:t>Antimonopoly Authority</w:t>
      </w:r>
      <w:r w:rsidRPr="00A57506">
        <w:rPr>
          <w:color w:val="000000"/>
          <w:lang w:val="en"/>
        </w:rPr>
        <w:t xml:space="preserve"> for the coming year</w:t>
      </w:r>
    </w:p>
    <w:p w14:paraId="383C6048" w14:textId="77777777" w:rsidR="00A57506" w:rsidRPr="00A57506" w:rsidRDefault="00A57506" w:rsidP="00A57506">
      <w:pPr>
        <w:tabs>
          <w:tab w:val="clear" w:pos="567"/>
        </w:tabs>
        <w:ind w:firstLine="0"/>
        <w:jc w:val="left"/>
        <w:rPr>
          <w:b/>
          <w:bCs/>
          <w:color w:val="000000"/>
          <w:lang w:val="en-US"/>
        </w:rPr>
      </w:pPr>
      <w:r w:rsidRPr="00A57506">
        <w:rPr>
          <w:color w:val="000000"/>
          <w:lang w:val="en-US"/>
        </w:rPr>
        <w:br w:type="page"/>
      </w:r>
    </w:p>
    <w:p w14:paraId="7F466E1D" w14:textId="77777777" w:rsidR="00A57506" w:rsidRPr="00A57506" w:rsidRDefault="00A57506" w:rsidP="00A57506">
      <w:pPr>
        <w:keepNext/>
        <w:keepLines/>
        <w:numPr>
          <w:ilvl w:val="1"/>
          <w:numId w:val="1"/>
        </w:numPr>
        <w:ind w:firstLine="567"/>
        <w:outlineLvl w:val="1"/>
        <w:rPr>
          <w:b/>
          <w:bCs/>
          <w:color w:val="000000"/>
          <w:lang w:val="en-US"/>
        </w:rPr>
      </w:pPr>
      <w:bookmarkStart w:id="2" w:name="_Toc137900817"/>
      <w:bookmarkStart w:id="3" w:name="_Toc142467894"/>
      <w:r w:rsidRPr="00A57506">
        <w:rPr>
          <w:b/>
          <w:bCs/>
          <w:color w:val="000000"/>
          <w:lang w:val="en"/>
        </w:rPr>
        <w:lastRenderedPageBreak/>
        <w:t>Chapter 1. Competition Policy in the Republic of Kazakhstan</w:t>
      </w:r>
      <w:bookmarkEnd w:id="2"/>
      <w:bookmarkEnd w:id="3"/>
    </w:p>
    <w:p w14:paraId="4BFB4512" w14:textId="77777777" w:rsidR="00A57506" w:rsidRPr="00A57506" w:rsidRDefault="00A57506" w:rsidP="00A57506">
      <w:pPr>
        <w:keepNext/>
        <w:keepLines/>
        <w:numPr>
          <w:ilvl w:val="0"/>
          <w:numId w:val="6"/>
        </w:numPr>
        <w:tabs>
          <w:tab w:val="left" w:pos="1134"/>
        </w:tabs>
        <w:spacing w:before="240" w:after="240"/>
        <w:ind w:left="924" w:hanging="357"/>
        <w:outlineLvl w:val="1"/>
        <w:rPr>
          <w:b/>
          <w:bCs/>
          <w:color w:val="000000"/>
          <w:lang w:val="en-US"/>
        </w:rPr>
      </w:pPr>
      <w:bookmarkStart w:id="4" w:name="_Toc71897811"/>
      <w:bookmarkStart w:id="5" w:name="_Toc137900818"/>
      <w:bookmarkStart w:id="6" w:name="_Toc142467895"/>
      <w:r w:rsidRPr="00A57506">
        <w:rPr>
          <w:b/>
          <w:bCs/>
          <w:color w:val="000000"/>
          <w:lang w:val="en"/>
        </w:rPr>
        <w:t>General Trends of Competition Policy in the Republic of Kazakhstan</w:t>
      </w:r>
      <w:bookmarkEnd w:id="4"/>
      <w:bookmarkEnd w:id="5"/>
      <w:bookmarkEnd w:id="6"/>
      <w:r w:rsidRPr="00A57506">
        <w:rPr>
          <w:b/>
          <w:bCs/>
          <w:color w:val="000000"/>
          <w:lang w:val="en"/>
        </w:rPr>
        <w:t xml:space="preserve"> </w:t>
      </w:r>
    </w:p>
    <w:p w14:paraId="0195AB2B" w14:textId="1403F1FF" w:rsidR="00A57506" w:rsidRPr="00A57506" w:rsidRDefault="00A57506" w:rsidP="00A57506">
      <w:pPr>
        <w:rPr>
          <w:color w:val="000000"/>
          <w:lang w:val="en-US" w:eastAsia="ar-SA"/>
        </w:rPr>
      </w:pPr>
      <w:r w:rsidRPr="00A57506">
        <w:rPr>
          <w:color w:val="000000"/>
          <w:lang w:val="en" w:eastAsia="ar-SA"/>
        </w:rPr>
        <w:t xml:space="preserve">The analysis of the state of competition on commodity markets in the basic sectors of country's economy </w:t>
      </w:r>
      <w:r w:rsidRPr="00A57506">
        <w:rPr>
          <w:i/>
          <w:color w:val="000000"/>
          <w:sz w:val="24"/>
          <w:lang w:val="en" w:eastAsia="ar-SA"/>
        </w:rPr>
        <w:t>(markets of fuel and energy sector, transport, telecommunications, and communications)</w:t>
      </w:r>
      <w:r w:rsidRPr="00A57506">
        <w:rPr>
          <w:color w:val="000000"/>
          <w:lang w:val="en" w:eastAsia="ar-SA"/>
        </w:rPr>
        <w:t xml:space="preserve"> shows that the aggregate share of main market players ranges from 70 to 100%, with a number of markets showing </w:t>
      </w:r>
      <w:r w:rsidRPr="00A57506">
        <w:rPr>
          <w:b/>
          <w:color w:val="000000"/>
          <w:lang w:val="en" w:eastAsia="ar-SA"/>
        </w:rPr>
        <w:t>increased</w:t>
      </w:r>
      <w:r w:rsidRPr="00A57506">
        <w:rPr>
          <w:color w:val="000000"/>
          <w:lang w:val="en" w:eastAsia="ar-SA"/>
        </w:rPr>
        <w:t xml:space="preserve"> </w:t>
      </w:r>
      <w:r w:rsidRPr="00A57506">
        <w:rPr>
          <w:b/>
          <w:color w:val="000000"/>
          <w:lang w:val="en" w:eastAsia="ar-SA"/>
        </w:rPr>
        <w:t>market power concentration ratio</w:t>
      </w:r>
      <w:r w:rsidRPr="00A57506">
        <w:rPr>
          <w:color w:val="000000"/>
          <w:lang w:val="en" w:eastAsia="ar-SA"/>
        </w:rPr>
        <w:t xml:space="preserve"> </w:t>
      </w:r>
      <w:r w:rsidRPr="00A57506">
        <w:rPr>
          <w:i/>
          <w:color w:val="000000"/>
          <w:sz w:val="24"/>
          <w:lang w:val="en" w:eastAsia="ar-SA"/>
        </w:rPr>
        <w:t>(low level of competition) (Figure 1)</w:t>
      </w:r>
      <w:r w:rsidRPr="00A57506">
        <w:rPr>
          <w:color w:val="000000"/>
          <w:lang w:val="en" w:eastAsia="ar-SA"/>
        </w:rPr>
        <w:t>.</w:t>
      </w:r>
    </w:p>
    <w:p w14:paraId="65D44C1D" w14:textId="6F946EE1" w:rsidR="00A57506" w:rsidRDefault="00A22DA1" w:rsidP="00A57506">
      <w:pPr>
        <w:ind w:firstLine="0"/>
        <w:rPr>
          <w:color w:val="000000"/>
        </w:rPr>
      </w:pPr>
      <w:r>
        <w:rPr>
          <w:noProof/>
        </w:rPr>
        <w:drawing>
          <wp:anchor distT="0" distB="0" distL="114300" distR="114300" simplePos="0" relativeHeight="251674624" behindDoc="0" locked="0" layoutInCell="1" allowOverlap="1" wp14:anchorId="05F4E714" wp14:editId="32BFA79D">
            <wp:simplePos x="0" y="0"/>
            <wp:positionH relativeFrom="column">
              <wp:posOffset>845839</wp:posOffset>
            </wp:positionH>
            <wp:positionV relativeFrom="paragraph">
              <wp:posOffset>86228</wp:posOffset>
            </wp:positionV>
            <wp:extent cx="4572000" cy="2743200"/>
            <wp:effectExtent l="0" t="0" r="0" b="0"/>
            <wp:wrapSquare wrapText="bothSides"/>
            <wp:docPr id="17" name="Chart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5FF913A" w14:textId="75BF6D63" w:rsidR="00A22DA1" w:rsidRDefault="00A22DA1" w:rsidP="00A57506">
      <w:pPr>
        <w:ind w:firstLine="0"/>
        <w:rPr>
          <w:color w:val="000000"/>
        </w:rPr>
      </w:pPr>
    </w:p>
    <w:p w14:paraId="410A9E51" w14:textId="216C72F6" w:rsidR="00A22DA1" w:rsidRDefault="00A22DA1" w:rsidP="00A57506">
      <w:pPr>
        <w:ind w:firstLine="0"/>
        <w:rPr>
          <w:color w:val="000000"/>
        </w:rPr>
      </w:pPr>
    </w:p>
    <w:p w14:paraId="727E5BD4" w14:textId="607202D2" w:rsidR="00A22DA1" w:rsidRDefault="00A22DA1" w:rsidP="00A57506">
      <w:pPr>
        <w:ind w:firstLine="0"/>
        <w:rPr>
          <w:color w:val="000000"/>
        </w:rPr>
      </w:pPr>
    </w:p>
    <w:p w14:paraId="3326583A" w14:textId="2C6EB3DD" w:rsidR="00A22DA1" w:rsidRDefault="00A22DA1" w:rsidP="00A57506">
      <w:pPr>
        <w:ind w:firstLine="0"/>
        <w:rPr>
          <w:color w:val="000000"/>
        </w:rPr>
      </w:pPr>
    </w:p>
    <w:p w14:paraId="2DF6DE28" w14:textId="17312D57" w:rsidR="00A22DA1" w:rsidRDefault="00A22DA1" w:rsidP="00A57506">
      <w:pPr>
        <w:ind w:firstLine="0"/>
        <w:rPr>
          <w:color w:val="000000"/>
        </w:rPr>
      </w:pPr>
    </w:p>
    <w:p w14:paraId="54A510AF" w14:textId="5B7DFE9C" w:rsidR="00A22DA1" w:rsidRDefault="00A22DA1" w:rsidP="00A57506">
      <w:pPr>
        <w:ind w:firstLine="0"/>
        <w:rPr>
          <w:color w:val="000000"/>
        </w:rPr>
      </w:pPr>
    </w:p>
    <w:p w14:paraId="0B9D9C3D" w14:textId="387F8369" w:rsidR="00A22DA1" w:rsidRDefault="00A22DA1" w:rsidP="00A57506">
      <w:pPr>
        <w:ind w:firstLine="0"/>
        <w:rPr>
          <w:color w:val="000000"/>
        </w:rPr>
      </w:pPr>
    </w:p>
    <w:p w14:paraId="0EE13647" w14:textId="70EC012E" w:rsidR="00A22DA1" w:rsidRDefault="00A22DA1" w:rsidP="00A57506">
      <w:pPr>
        <w:ind w:firstLine="0"/>
        <w:rPr>
          <w:color w:val="000000"/>
        </w:rPr>
      </w:pPr>
    </w:p>
    <w:p w14:paraId="28F6352D" w14:textId="0862D5BE" w:rsidR="00A22DA1" w:rsidRDefault="00A22DA1" w:rsidP="00A57506">
      <w:pPr>
        <w:ind w:firstLine="0"/>
        <w:rPr>
          <w:color w:val="000000"/>
        </w:rPr>
      </w:pPr>
    </w:p>
    <w:p w14:paraId="52AE9E0F" w14:textId="0FF27C98" w:rsidR="00A22DA1" w:rsidRDefault="00A22DA1" w:rsidP="00A57506">
      <w:pPr>
        <w:ind w:firstLine="0"/>
        <w:rPr>
          <w:color w:val="000000"/>
        </w:rPr>
      </w:pPr>
    </w:p>
    <w:p w14:paraId="64A29035" w14:textId="4B833BE9" w:rsidR="00A22DA1" w:rsidRDefault="00A22DA1" w:rsidP="00A57506">
      <w:pPr>
        <w:ind w:firstLine="0"/>
        <w:rPr>
          <w:color w:val="000000"/>
        </w:rPr>
      </w:pPr>
    </w:p>
    <w:p w14:paraId="049E40C0" w14:textId="4626B6D4" w:rsidR="00A22DA1" w:rsidRDefault="00A22DA1" w:rsidP="00A57506">
      <w:pPr>
        <w:ind w:firstLine="0"/>
        <w:rPr>
          <w:color w:val="000000"/>
        </w:rPr>
      </w:pPr>
    </w:p>
    <w:p w14:paraId="24FC3319" w14:textId="77777777" w:rsidR="00A22DA1" w:rsidRDefault="00A22DA1" w:rsidP="00A57506">
      <w:pPr>
        <w:spacing w:before="240" w:after="240"/>
        <w:ind w:firstLine="0"/>
        <w:jc w:val="center"/>
        <w:rPr>
          <w:bCs/>
          <w:color w:val="000000"/>
          <w:lang w:val="en"/>
        </w:rPr>
      </w:pPr>
    </w:p>
    <w:p w14:paraId="1C78D6EB" w14:textId="0C3694EE"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1</w:t>
      </w:r>
      <w:r w:rsidRPr="00A57506">
        <w:rPr>
          <w:bCs/>
          <w:color w:val="000000"/>
        </w:rPr>
        <w:fldChar w:fldCharType="end"/>
      </w:r>
      <w:r w:rsidRPr="00A57506">
        <w:rPr>
          <w:bCs/>
          <w:color w:val="000000"/>
          <w:lang w:val="en"/>
        </w:rPr>
        <w:t>- Dynamics of changes in the market power concentration ratio (concentration ratio of the three (CR-3) largest suppliers), %.</w:t>
      </w:r>
    </w:p>
    <w:p w14:paraId="62D9C744" w14:textId="58897252" w:rsidR="00A57506" w:rsidRPr="00A57506" w:rsidRDefault="00A57506" w:rsidP="00A57506">
      <w:pPr>
        <w:rPr>
          <w:color w:val="000000"/>
          <w:lang w:val="en-US" w:eastAsia="ar-SA"/>
        </w:rPr>
      </w:pPr>
      <w:r w:rsidRPr="00A57506">
        <w:rPr>
          <w:color w:val="000000"/>
          <w:lang w:val="en" w:eastAsia="ar-SA"/>
        </w:rPr>
        <w:t xml:space="preserve">Moreover, there is a new trend in the economy of the Republic of Kazakhstan: state participation in entrepreneurial activities </w:t>
      </w:r>
      <w:r w:rsidRPr="00A57506">
        <w:rPr>
          <w:b/>
          <w:color w:val="000000"/>
          <w:lang w:val="en" w:eastAsia="ar-SA"/>
        </w:rPr>
        <w:t>is expanding</w:t>
      </w:r>
      <w:r w:rsidRPr="00A57506">
        <w:rPr>
          <w:color w:val="000000"/>
          <w:lang w:val="en" w:eastAsia="ar-SA"/>
        </w:rPr>
        <w:t xml:space="preserve">, and </w:t>
      </w:r>
      <w:r w:rsidRPr="00A57506">
        <w:rPr>
          <w:b/>
          <w:color w:val="000000"/>
          <w:lang w:val="en" w:eastAsia="ar-SA"/>
        </w:rPr>
        <w:t>new monopolies with state participation are emerging</w:t>
      </w:r>
      <w:r w:rsidRPr="00A57506">
        <w:rPr>
          <w:color w:val="000000"/>
          <w:lang w:val="en" w:eastAsia="ar-SA"/>
        </w:rPr>
        <w:t xml:space="preserve">. </w:t>
      </w:r>
    </w:p>
    <w:p w14:paraId="57BE69FF" w14:textId="692ABE68" w:rsidR="00A57506" w:rsidRPr="00A57506" w:rsidRDefault="00A57506" w:rsidP="00A57506">
      <w:pPr>
        <w:rPr>
          <w:bCs/>
          <w:color w:val="000000"/>
          <w:lang w:val="en-US"/>
        </w:rPr>
      </w:pPr>
      <w:r w:rsidRPr="00A57506">
        <w:rPr>
          <w:color w:val="000000"/>
          <w:lang w:val="en" w:eastAsia="ar-SA"/>
        </w:rPr>
        <w:t xml:space="preserve">As a result, the formed </w:t>
      </w:r>
      <w:r w:rsidRPr="00A57506">
        <w:rPr>
          <w:b/>
          <w:color w:val="000000"/>
          <w:lang w:val="en" w:eastAsia="ar-SA"/>
        </w:rPr>
        <w:t>monopolistic / oligopoly structure</w:t>
      </w:r>
      <w:r w:rsidRPr="00A57506">
        <w:rPr>
          <w:color w:val="000000"/>
          <w:lang w:val="en" w:eastAsia="ar-SA"/>
        </w:rPr>
        <w:t xml:space="preserve"> of key commodity markets favors banned monopolistic activities, increasing marginal costs of entrepreneurs and costs </w:t>
      </w:r>
      <w:r>
        <w:rPr>
          <w:color w:val="000000"/>
          <w:lang w:val="en" w:eastAsia="ar-SA"/>
        </w:rPr>
        <w:t xml:space="preserve">for </w:t>
      </w:r>
      <w:r w:rsidRPr="00A57506">
        <w:rPr>
          <w:color w:val="000000"/>
          <w:lang w:val="en" w:eastAsia="ar-SA"/>
        </w:rPr>
        <w:t xml:space="preserve">population: according to experts of Organization for Economic Co-operation and Development </w:t>
      </w:r>
      <w:r w:rsidRPr="00A57506">
        <w:rPr>
          <w:i/>
          <w:color w:val="000000"/>
          <w:sz w:val="24"/>
          <w:lang w:val="en" w:eastAsia="ar-SA"/>
        </w:rPr>
        <w:t>(OECD)</w:t>
      </w:r>
      <w:r w:rsidRPr="00A57506">
        <w:rPr>
          <w:color w:val="000000"/>
          <w:lang w:val="en" w:eastAsia="ar-SA"/>
        </w:rPr>
        <w:t xml:space="preserve">, </w:t>
      </w:r>
      <w:r w:rsidRPr="00A57506">
        <w:rPr>
          <w:b/>
          <w:color w:val="000000"/>
          <w:lang w:val="en" w:eastAsia="ar-SA"/>
        </w:rPr>
        <w:t>weak competition</w:t>
      </w:r>
      <w:r w:rsidRPr="00A57506">
        <w:rPr>
          <w:color w:val="000000"/>
          <w:lang w:val="en" w:eastAsia="ar-SA"/>
        </w:rPr>
        <w:t xml:space="preserve"> can lead to price increases of </w:t>
      </w:r>
      <w:r w:rsidRPr="00A57506">
        <w:rPr>
          <w:b/>
          <w:color w:val="000000"/>
          <w:lang w:val="en" w:eastAsia="ar-SA"/>
        </w:rPr>
        <w:t>up to 10%</w:t>
      </w:r>
      <w:r w:rsidRPr="00A57506">
        <w:rPr>
          <w:color w:val="000000"/>
          <w:vertAlign w:val="superscript"/>
        </w:rPr>
        <w:footnoteReference w:id="1"/>
      </w:r>
      <w:r w:rsidRPr="00A57506">
        <w:rPr>
          <w:color w:val="000000"/>
          <w:lang w:val="en" w:eastAsia="ar-SA"/>
        </w:rPr>
        <w:t xml:space="preserve"> on average. In this regard, development of fair competition and general demonopolization of economy have become a national task and priority of Kazakhstan's state policy.</w:t>
      </w:r>
    </w:p>
    <w:p w14:paraId="3EF543DD" w14:textId="265F0670" w:rsidR="00A57506" w:rsidRPr="00A57506" w:rsidRDefault="00A57506" w:rsidP="00A57506">
      <w:pPr>
        <w:rPr>
          <w:bCs/>
          <w:color w:val="000000"/>
          <w:lang w:val="en-US"/>
        </w:rPr>
      </w:pPr>
      <w:r w:rsidRPr="00A57506">
        <w:rPr>
          <w:bCs/>
          <w:color w:val="000000"/>
          <w:lang w:val="en"/>
        </w:rPr>
        <w:t>Against this background, a number of systemic documents were adopted in 2022, which define key areas of develop</w:t>
      </w:r>
      <w:r w:rsidR="003263B8">
        <w:rPr>
          <w:bCs/>
          <w:color w:val="000000"/>
          <w:lang w:val="en"/>
        </w:rPr>
        <w:t xml:space="preserve">ing </w:t>
      </w:r>
      <w:r w:rsidRPr="00A57506">
        <w:rPr>
          <w:bCs/>
          <w:color w:val="000000"/>
          <w:lang w:val="en"/>
        </w:rPr>
        <w:t>state policy in the field of competition protection and development, including, inter alia, improvement of legislation, adoption of documents of state planning system on competition issues.</w:t>
      </w:r>
    </w:p>
    <w:p w14:paraId="62394229" w14:textId="6C193F31" w:rsidR="00A57506" w:rsidRPr="00A57506" w:rsidRDefault="00A57506" w:rsidP="00A57506">
      <w:pPr>
        <w:rPr>
          <w:color w:val="000000"/>
          <w:lang w:val="en-US"/>
        </w:rPr>
      </w:pPr>
      <w:r w:rsidRPr="00A57506">
        <w:rPr>
          <w:bCs/>
          <w:color w:val="000000"/>
          <w:lang w:val="en"/>
        </w:rPr>
        <w:lastRenderedPageBreak/>
        <w:t xml:space="preserve">Thus, one of important events of the beginning of 2022 was signing </w:t>
      </w:r>
      <w:r w:rsidR="003263B8">
        <w:rPr>
          <w:bCs/>
          <w:color w:val="000000"/>
          <w:lang w:val="en"/>
        </w:rPr>
        <w:t xml:space="preserve">of the </w:t>
      </w:r>
      <w:r w:rsidRPr="00A57506">
        <w:rPr>
          <w:bCs/>
          <w:color w:val="000000"/>
          <w:lang w:val="en"/>
        </w:rPr>
        <w:t>Law "On Amendments and Supplements to Some Legislative Acts of the Republic of Kazakhstan on the Competition Development"</w:t>
      </w:r>
      <w:r w:rsidRPr="00A57506">
        <w:rPr>
          <w:color w:val="000000"/>
          <w:vertAlign w:val="superscript"/>
        </w:rPr>
        <w:footnoteReference w:id="2"/>
      </w:r>
      <w:r w:rsidRPr="00A57506">
        <w:rPr>
          <w:bCs/>
          <w:color w:val="000000"/>
          <w:lang w:val="en"/>
        </w:rPr>
        <w:t xml:space="preserve">, the so-called </w:t>
      </w:r>
      <w:r w:rsidRPr="00A57506">
        <w:rPr>
          <w:b/>
          <w:color w:val="000000"/>
          <w:lang w:val="en"/>
        </w:rPr>
        <w:t>"fifth anti</w:t>
      </w:r>
      <w:r w:rsidR="003263B8">
        <w:rPr>
          <w:b/>
          <w:color w:val="000000"/>
          <w:lang w:val="en"/>
        </w:rPr>
        <w:t xml:space="preserve">monopoly </w:t>
      </w:r>
      <w:r w:rsidRPr="00A57506">
        <w:rPr>
          <w:b/>
          <w:color w:val="000000"/>
          <w:lang w:val="en"/>
        </w:rPr>
        <w:t>package</w:t>
      </w:r>
      <w:r w:rsidR="003263B8">
        <w:rPr>
          <w:b/>
          <w:color w:val="000000"/>
          <w:lang w:val="en"/>
        </w:rPr>
        <w:t>”</w:t>
      </w:r>
      <w:r w:rsidRPr="00A57506">
        <w:rPr>
          <w:bCs/>
          <w:color w:val="000000"/>
          <w:lang w:val="en"/>
        </w:rPr>
        <w:t xml:space="preserve">, by the Head of State </w:t>
      </w:r>
      <w:r w:rsidRPr="00A57506">
        <w:rPr>
          <w:i/>
          <w:color w:val="000000"/>
          <w:sz w:val="24"/>
          <w:lang w:val="en"/>
        </w:rPr>
        <w:t>(hereinafter referred to as the Law dated 3 January 2022)</w:t>
      </w:r>
      <w:r w:rsidRPr="00A57506">
        <w:rPr>
          <w:bCs/>
          <w:color w:val="000000"/>
          <w:lang w:val="en"/>
        </w:rPr>
        <w:t xml:space="preserve">.  </w:t>
      </w:r>
    </w:p>
    <w:p w14:paraId="49AC06AC" w14:textId="4518B91D" w:rsidR="00A57506" w:rsidRPr="00A57506" w:rsidRDefault="00A57506" w:rsidP="00A57506">
      <w:pPr>
        <w:rPr>
          <w:color w:val="000000"/>
          <w:lang w:val="en-US"/>
        </w:rPr>
      </w:pPr>
      <w:r w:rsidRPr="00A57506">
        <w:rPr>
          <w:color w:val="000000"/>
          <w:lang w:val="en"/>
        </w:rPr>
        <w:t xml:space="preserve">The Law dated 3 January 2022 ensures </w:t>
      </w:r>
      <w:r w:rsidR="003263B8">
        <w:rPr>
          <w:color w:val="000000"/>
          <w:lang w:val="en"/>
        </w:rPr>
        <w:t xml:space="preserve">execution </w:t>
      </w:r>
      <w:r w:rsidRPr="00A57506">
        <w:rPr>
          <w:color w:val="000000"/>
          <w:lang w:val="en"/>
        </w:rPr>
        <w:t>of main directions set out in Presidential Decree No. 484 dated 31 December 2020</w:t>
      </w:r>
      <w:r w:rsidRPr="00A57506">
        <w:rPr>
          <w:color w:val="000000"/>
          <w:vertAlign w:val="superscript"/>
        </w:rPr>
        <w:footnoteReference w:id="3"/>
      </w:r>
      <w:r w:rsidRPr="00A57506">
        <w:rPr>
          <w:color w:val="000000"/>
          <w:lang w:val="en"/>
        </w:rPr>
        <w:t xml:space="preserve"> </w:t>
      </w:r>
      <w:r w:rsidRPr="00A57506">
        <w:rPr>
          <w:i/>
          <w:color w:val="000000"/>
          <w:sz w:val="24"/>
          <w:lang w:val="en"/>
        </w:rPr>
        <w:t>(hereinafter referred to as Decree 484)</w:t>
      </w:r>
      <w:r w:rsidRPr="00A57506">
        <w:rPr>
          <w:color w:val="000000"/>
          <w:lang w:val="en"/>
        </w:rPr>
        <w:t xml:space="preserve">. By Decree 484, for the first time in the history of independent Kazakhstan, the active promotion of competition is recognized as </w:t>
      </w:r>
      <w:r w:rsidRPr="00A57506">
        <w:rPr>
          <w:b/>
          <w:bCs/>
          <w:color w:val="000000"/>
          <w:lang w:val="en"/>
        </w:rPr>
        <w:t>a national task</w:t>
      </w:r>
      <w:r w:rsidRPr="00A57506">
        <w:rPr>
          <w:color w:val="000000"/>
          <w:lang w:val="en"/>
        </w:rPr>
        <w:t xml:space="preserve">. In general, the Law dated 3 January 2022 covers the reduction of state participation in entrepreneurship, ensuring equal access of business entities to state support measures and procurement, development of small and medium enterprises, reduction of administrative and economic barriers to entry into commodity markets, as well as price regulation instruments </w:t>
      </w:r>
      <w:r w:rsidRPr="00A57506">
        <w:rPr>
          <w:i/>
          <w:color w:val="000000"/>
          <w:sz w:val="24"/>
          <w:lang w:val="en"/>
        </w:rPr>
        <w:t>(the provisions of the Competition Law are described in more detail in Section 1.2 of this Report)</w:t>
      </w:r>
      <w:r w:rsidRPr="00A57506">
        <w:rPr>
          <w:color w:val="000000"/>
          <w:lang w:val="en"/>
        </w:rPr>
        <w:t xml:space="preserve">. </w:t>
      </w:r>
    </w:p>
    <w:p w14:paraId="6788BDE9" w14:textId="77777777" w:rsidR="00A57506" w:rsidRPr="00A57506" w:rsidRDefault="00A57506" w:rsidP="00A57506">
      <w:pPr>
        <w:rPr>
          <w:color w:val="000000"/>
          <w:lang w:val="en-US"/>
        </w:rPr>
      </w:pPr>
      <w:r w:rsidRPr="00A57506">
        <w:rPr>
          <w:color w:val="000000"/>
          <w:lang w:val="en" w:eastAsia="ar-SA"/>
        </w:rPr>
        <w:t xml:space="preserve">Also in 2022, the </w:t>
      </w:r>
      <w:bookmarkStart w:id="7" w:name="z276"/>
      <w:r w:rsidRPr="00A57506">
        <w:rPr>
          <w:color w:val="000000"/>
          <w:lang w:val="en" w:eastAsia="ar-SA"/>
        </w:rPr>
        <w:t xml:space="preserve">Head of State by his Decree approved the </w:t>
      </w:r>
      <w:r w:rsidRPr="00A57506">
        <w:rPr>
          <w:b/>
          <w:color w:val="000000"/>
          <w:lang w:val="en"/>
        </w:rPr>
        <w:t>Concept of Competition Protection and Development in the Republic of Kazakhstan</w:t>
      </w:r>
      <w:r w:rsidRPr="00A57506">
        <w:rPr>
          <w:color w:val="000000"/>
          <w:vertAlign w:val="superscript"/>
        </w:rPr>
        <w:footnoteReference w:id="4"/>
      </w:r>
      <w:r w:rsidRPr="00A57506">
        <w:rPr>
          <w:color w:val="000000"/>
          <w:lang w:val="en" w:eastAsia="ar-SA"/>
        </w:rPr>
        <w:t xml:space="preserve"> </w:t>
      </w:r>
      <w:r w:rsidRPr="00A57506">
        <w:rPr>
          <w:i/>
          <w:color w:val="000000"/>
          <w:sz w:val="24"/>
          <w:lang w:val="en"/>
        </w:rPr>
        <w:t>(hereinafter referred to as the Concept)</w:t>
      </w:r>
      <w:r w:rsidRPr="00A57506">
        <w:rPr>
          <w:color w:val="000000"/>
          <w:lang w:val="en" w:eastAsia="ar-SA"/>
        </w:rPr>
        <w:t xml:space="preserve">. The Concept is designed to provide </w:t>
      </w:r>
      <w:r w:rsidRPr="00A57506">
        <w:rPr>
          <w:b/>
          <w:color w:val="000000"/>
          <w:lang w:val="en"/>
        </w:rPr>
        <w:t>a vision</w:t>
      </w:r>
      <w:r w:rsidRPr="00A57506">
        <w:rPr>
          <w:color w:val="000000"/>
          <w:lang w:val="en" w:eastAsia="ar-SA"/>
        </w:rPr>
        <w:t xml:space="preserve"> of further development of antimonopoly regulation, as well as the issues of competition development in the country, building a holistic competition policy integrated into the overall economic policy of the country. </w:t>
      </w:r>
    </w:p>
    <w:p w14:paraId="03EA9427" w14:textId="77777777" w:rsidR="00A57506" w:rsidRPr="00A57506" w:rsidRDefault="00A57506" w:rsidP="00A57506">
      <w:pPr>
        <w:rPr>
          <w:color w:val="000000"/>
          <w:lang w:val="en-US" w:eastAsia="ar-SA"/>
        </w:rPr>
      </w:pPr>
      <w:r w:rsidRPr="00A57506">
        <w:rPr>
          <w:color w:val="000000"/>
          <w:lang w:val="en" w:eastAsia="ar-SA"/>
        </w:rPr>
        <w:t xml:space="preserve">Taking into account the tasks outlined in the system documents, active work on the following </w:t>
      </w:r>
      <w:r w:rsidRPr="00A57506">
        <w:rPr>
          <w:b/>
          <w:color w:val="000000"/>
          <w:lang w:val="en" w:eastAsia="ar-SA"/>
        </w:rPr>
        <w:t>strategic directions</w:t>
      </w:r>
      <w:r w:rsidRPr="00A57506">
        <w:rPr>
          <w:color w:val="000000"/>
          <w:lang w:val="en" w:eastAsia="ar-SA"/>
        </w:rPr>
        <w:t xml:space="preserve"> was started in 2022:</w:t>
      </w:r>
    </w:p>
    <w:p w14:paraId="59423CFC" w14:textId="77777777" w:rsidR="00A57506" w:rsidRPr="00A57506" w:rsidRDefault="00A57506" w:rsidP="00A57506">
      <w:pPr>
        <w:tabs>
          <w:tab w:val="left" w:pos="851"/>
        </w:tabs>
        <w:rPr>
          <w:color w:val="000000"/>
          <w:lang w:val="en-US" w:eastAsia="ar-SA"/>
        </w:rPr>
      </w:pPr>
      <w:r w:rsidRPr="00A57506">
        <w:rPr>
          <w:color w:val="000000"/>
          <w:lang w:val="en" w:eastAsia="ar-SA"/>
        </w:rPr>
        <w:t xml:space="preserve">1) limiting the share of state participation in entrepreneurship; </w:t>
      </w:r>
    </w:p>
    <w:p w14:paraId="5D2A7ED0" w14:textId="77777777" w:rsidR="00A57506" w:rsidRPr="00A57506" w:rsidRDefault="00A57506" w:rsidP="00A57506">
      <w:pPr>
        <w:tabs>
          <w:tab w:val="left" w:pos="851"/>
        </w:tabs>
        <w:rPr>
          <w:color w:val="000000"/>
          <w:lang w:val="en-US" w:eastAsia="ar-SA"/>
        </w:rPr>
      </w:pPr>
      <w:r w:rsidRPr="00A57506">
        <w:rPr>
          <w:color w:val="000000"/>
          <w:lang w:val="en" w:eastAsia="ar-SA"/>
        </w:rPr>
        <w:t>2) increasing the coverage of state support measures for private entrepreneurs on competitive principles;</w:t>
      </w:r>
    </w:p>
    <w:p w14:paraId="424FE7A6" w14:textId="77777777" w:rsidR="00A57506" w:rsidRPr="00A57506" w:rsidRDefault="00A57506" w:rsidP="00A57506">
      <w:pPr>
        <w:tabs>
          <w:tab w:val="left" w:pos="851"/>
        </w:tabs>
        <w:rPr>
          <w:color w:val="000000"/>
          <w:lang w:val="en-US" w:eastAsia="ar-SA"/>
        </w:rPr>
      </w:pPr>
      <w:r w:rsidRPr="00A57506">
        <w:rPr>
          <w:color w:val="000000"/>
          <w:lang w:val="en" w:eastAsia="ar-SA"/>
        </w:rPr>
        <w:t xml:space="preserve">3) working with the Government to promote competition. </w:t>
      </w:r>
    </w:p>
    <w:p w14:paraId="0E76AF56" w14:textId="7D64F4E2" w:rsidR="00A57506" w:rsidRPr="00A57506" w:rsidRDefault="00A57506" w:rsidP="00A57506">
      <w:pPr>
        <w:rPr>
          <w:color w:val="000000"/>
          <w:lang w:val="en-US" w:eastAsia="ar-SA"/>
        </w:rPr>
      </w:pPr>
      <w:r w:rsidRPr="00A57506">
        <w:rPr>
          <w:color w:val="000000"/>
          <w:lang w:val="en" w:eastAsia="ar-SA"/>
        </w:rPr>
        <w:t xml:space="preserve">From the point of view of effective implementation of the competition policy, it is not unimportant to implement a number of </w:t>
      </w:r>
      <w:r w:rsidRPr="00A57506">
        <w:rPr>
          <w:b/>
          <w:color w:val="000000"/>
          <w:lang w:val="en" w:eastAsia="ar-SA"/>
        </w:rPr>
        <w:t>operational measures</w:t>
      </w:r>
      <w:r w:rsidRPr="00A57506">
        <w:rPr>
          <w:color w:val="000000"/>
          <w:lang w:val="en" w:eastAsia="ar-SA"/>
        </w:rPr>
        <w:t xml:space="preserve"> on which the overall quality of the </w:t>
      </w:r>
      <w:r>
        <w:rPr>
          <w:color w:val="000000"/>
          <w:lang w:val="en" w:eastAsia="ar-SA"/>
        </w:rPr>
        <w:t>Antimonopoly Authority</w:t>
      </w:r>
      <w:r w:rsidRPr="00A57506">
        <w:rPr>
          <w:color w:val="000000"/>
          <w:lang w:val="en" w:eastAsia="ar-SA"/>
        </w:rPr>
        <w:t>'s work depends, such as digitalization of its activities and introduction of corporate governance principles.</w:t>
      </w:r>
    </w:p>
    <w:p w14:paraId="7A313C86" w14:textId="77777777" w:rsidR="00A57506" w:rsidRPr="00A57506" w:rsidRDefault="00A57506" w:rsidP="00A57506">
      <w:pPr>
        <w:keepNext/>
        <w:keepLines/>
        <w:numPr>
          <w:ilvl w:val="0"/>
          <w:numId w:val="6"/>
        </w:numPr>
        <w:tabs>
          <w:tab w:val="left" w:pos="1134"/>
        </w:tabs>
        <w:spacing w:before="240" w:after="240"/>
        <w:ind w:left="0" w:firstLine="567"/>
        <w:outlineLvl w:val="1"/>
        <w:rPr>
          <w:b/>
          <w:bCs/>
          <w:color w:val="000000"/>
          <w:lang w:val="en-US"/>
        </w:rPr>
      </w:pPr>
      <w:bookmarkStart w:id="8" w:name="_Toc137900819"/>
      <w:bookmarkStart w:id="9" w:name="_Toc142467896"/>
      <w:r w:rsidRPr="00A57506">
        <w:rPr>
          <w:b/>
          <w:bCs/>
          <w:color w:val="000000"/>
          <w:lang w:val="en"/>
        </w:rPr>
        <w:t>Improvement of the Competition Protection Law</w:t>
      </w:r>
      <w:bookmarkEnd w:id="8"/>
      <w:bookmarkEnd w:id="9"/>
    </w:p>
    <w:p w14:paraId="4DEBC90E" w14:textId="60826367" w:rsidR="00A57506" w:rsidRPr="00A57506" w:rsidRDefault="00A57506" w:rsidP="00A57506">
      <w:pPr>
        <w:tabs>
          <w:tab w:val="clear" w:pos="567"/>
        </w:tabs>
        <w:rPr>
          <w:rFonts w:eastAsia="Calibri"/>
          <w:lang w:val="en-US"/>
        </w:rPr>
      </w:pPr>
      <w:r w:rsidRPr="00A57506">
        <w:rPr>
          <w:rFonts w:eastAsia="Calibri"/>
          <w:lang w:val="en"/>
        </w:rPr>
        <w:t xml:space="preserve">In 2022, the Agency continued work on improving the </w:t>
      </w:r>
      <w:r>
        <w:rPr>
          <w:rFonts w:eastAsia="Calibri"/>
          <w:lang w:val="en"/>
        </w:rPr>
        <w:t>competition protection legislation</w:t>
      </w:r>
      <w:r w:rsidR="003263B8">
        <w:rPr>
          <w:rFonts w:eastAsia="Calibri"/>
          <w:lang w:val="en"/>
        </w:rPr>
        <w:t xml:space="preserve"> </w:t>
      </w:r>
      <w:r w:rsidRPr="00A57506">
        <w:rPr>
          <w:rFonts w:eastAsia="Calibri"/>
          <w:lang w:val="en"/>
        </w:rPr>
        <w:t>of the Republic of Kazakhstan, in particular, the following Laws were developed and adopted:</w:t>
      </w:r>
    </w:p>
    <w:p w14:paraId="698CF8F9" w14:textId="77777777" w:rsidR="00A57506" w:rsidRPr="00A57506" w:rsidRDefault="00A57506" w:rsidP="00A57506">
      <w:pPr>
        <w:tabs>
          <w:tab w:val="clear" w:pos="567"/>
        </w:tabs>
        <w:rPr>
          <w:rFonts w:eastAsia="Calibri"/>
          <w:lang w:val="en-US"/>
        </w:rPr>
      </w:pPr>
      <w:r w:rsidRPr="00A57506">
        <w:rPr>
          <w:rFonts w:eastAsia="Calibri"/>
          <w:lang w:val="en"/>
        </w:rPr>
        <w:lastRenderedPageBreak/>
        <w:t xml:space="preserve">1) dated 3 January 2022 "On Amendments and Supplements to Some Legislative Acts of the Republic of Kazakhstan on the Competition Development" </w:t>
      </w:r>
      <w:r w:rsidRPr="00A57506">
        <w:rPr>
          <w:rFonts w:eastAsia="Calibri"/>
          <w:i/>
          <w:sz w:val="24"/>
          <w:lang w:val="en"/>
        </w:rPr>
        <w:t>(hereinafter referred to as the Law dated 3 January 2022)</w:t>
      </w:r>
      <w:r w:rsidRPr="00A57506">
        <w:rPr>
          <w:rFonts w:eastAsia="Calibri"/>
          <w:lang w:val="en"/>
        </w:rPr>
        <w:t>;</w:t>
      </w:r>
    </w:p>
    <w:p w14:paraId="60384EF5" w14:textId="77777777" w:rsidR="00A57506" w:rsidRPr="00A57506" w:rsidRDefault="00A57506" w:rsidP="00A57506">
      <w:pPr>
        <w:tabs>
          <w:tab w:val="clear" w:pos="567"/>
        </w:tabs>
        <w:rPr>
          <w:rFonts w:eastAsia="Calibri"/>
          <w:lang w:val="en-US"/>
        </w:rPr>
      </w:pPr>
      <w:r w:rsidRPr="00A57506">
        <w:rPr>
          <w:lang w:val="en"/>
        </w:rPr>
        <w:t xml:space="preserve">2) dated 1 July 2022 "On Amendments and Supplements to Some Legislative Acts of the Republic of Kazakhstan on Anti-Money Laundering and Counter-Terrorist Financing (AML/CTF), as well as State Price Regulation" </w:t>
      </w:r>
      <w:r w:rsidRPr="00A57506">
        <w:rPr>
          <w:rFonts w:eastAsia="Calibri"/>
          <w:i/>
          <w:sz w:val="24"/>
          <w:lang w:val="en"/>
        </w:rPr>
        <w:t>(hereinafter referred to as the Law dated 1 July 2022)</w:t>
      </w:r>
      <w:r w:rsidRPr="00A57506">
        <w:rPr>
          <w:lang w:val="en"/>
        </w:rPr>
        <w:t>;</w:t>
      </w:r>
    </w:p>
    <w:p w14:paraId="6B39F96C" w14:textId="77777777" w:rsidR="00A57506" w:rsidRPr="00A57506" w:rsidRDefault="00A57506" w:rsidP="00A57506">
      <w:pPr>
        <w:tabs>
          <w:tab w:val="clear" w:pos="567"/>
        </w:tabs>
        <w:rPr>
          <w:lang w:val="en-US"/>
        </w:rPr>
      </w:pPr>
      <w:r w:rsidRPr="00A57506">
        <w:rPr>
          <w:rFonts w:eastAsia="Calibri"/>
          <w:lang w:val="en"/>
        </w:rPr>
        <w:t xml:space="preserve">3) dated 30 December 2022 "On Amendments and Supplements to Some Legislative Acts of the Republic of Kazakhstan the Implementation of Certain Instructions of the Head of State" </w:t>
      </w:r>
      <w:r w:rsidRPr="00A57506">
        <w:rPr>
          <w:i/>
          <w:sz w:val="24"/>
          <w:lang w:val="en"/>
        </w:rPr>
        <w:t>(hereinafter referred to as the Law dated 30 December 2022)</w:t>
      </w:r>
      <w:r w:rsidRPr="00A57506">
        <w:rPr>
          <w:rFonts w:eastAsia="Calibri"/>
          <w:lang w:val="en"/>
        </w:rPr>
        <w:t>.</w:t>
      </w:r>
    </w:p>
    <w:p w14:paraId="2A229E12" w14:textId="77777777" w:rsidR="00A57506" w:rsidRPr="00A57506" w:rsidRDefault="00A57506" w:rsidP="00A57506">
      <w:pPr>
        <w:tabs>
          <w:tab w:val="clear" w:pos="567"/>
        </w:tabs>
        <w:spacing w:before="120"/>
        <w:rPr>
          <w:rFonts w:eastAsia="Calibri"/>
          <w:lang w:val="en-US"/>
        </w:rPr>
      </w:pPr>
      <w:r w:rsidRPr="00A57506">
        <w:rPr>
          <w:rFonts w:eastAsia="Calibri"/>
          <w:b/>
          <w:lang w:val="en"/>
        </w:rPr>
        <w:t xml:space="preserve">The Law dated January 3, 2022 </w:t>
      </w:r>
      <w:r w:rsidRPr="00A57506">
        <w:rPr>
          <w:rFonts w:eastAsia="Calibri"/>
          <w:lang w:val="en"/>
        </w:rPr>
        <w:t>provides for the following:</w:t>
      </w:r>
    </w:p>
    <w:p w14:paraId="0D16D981" w14:textId="77777777" w:rsidR="00A57506" w:rsidRPr="00A57506" w:rsidRDefault="00A57506" w:rsidP="00A57506">
      <w:pPr>
        <w:tabs>
          <w:tab w:val="clear" w:pos="567"/>
        </w:tabs>
        <w:rPr>
          <w:rFonts w:eastAsia="Calibri"/>
          <w:lang w:val="en-US"/>
        </w:rPr>
      </w:pPr>
      <w:r w:rsidRPr="00A57506">
        <w:rPr>
          <w:rFonts w:eastAsia="Calibri"/>
          <w:lang w:val="en"/>
        </w:rPr>
        <w:t xml:space="preserve">1) providing access to </w:t>
      </w:r>
      <w:r w:rsidRPr="00A57506">
        <w:rPr>
          <w:rFonts w:eastAsia="Calibri"/>
          <w:b/>
          <w:lang w:val="en"/>
        </w:rPr>
        <w:t>essential facilities</w:t>
      </w:r>
      <w:r w:rsidRPr="00A57506">
        <w:rPr>
          <w:rFonts w:eastAsia="Calibri"/>
          <w:lang w:val="en"/>
        </w:rPr>
        <w:t>.</w:t>
      </w:r>
    </w:p>
    <w:p w14:paraId="40A2EFD9" w14:textId="77777777" w:rsidR="00A57506" w:rsidRPr="00A57506" w:rsidRDefault="00A57506" w:rsidP="00A57506">
      <w:pPr>
        <w:tabs>
          <w:tab w:val="clear" w:pos="567"/>
        </w:tabs>
        <w:rPr>
          <w:rFonts w:eastAsia="Calibri"/>
          <w:lang w:val="en-US"/>
        </w:rPr>
      </w:pPr>
      <w:r w:rsidRPr="00A57506">
        <w:rPr>
          <w:rFonts w:eastAsia="Calibri"/>
          <w:lang w:val="en"/>
        </w:rPr>
        <w:t>The laws of the Republic of Kazakhstan lacked clear regulation of entry into the relevant commodity market, which was used by monopolists and dominants when refusing to sell goods, including by referring to the concluded long-term contracts with a permanent circle of persons.</w:t>
      </w:r>
    </w:p>
    <w:p w14:paraId="45D82455" w14:textId="77777777" w:rsidR="00A57506" w:rsidRPr="00A57506" w:rsidRDefault="00A57506" w:rsidP="00A57506">
      <w:pPr>
        <w:tabs>
          <w:tab w:val="clear" w:pos="567"/>
        </w:tabs>
        <w:rPr>
          <w:rFonts w:eastAsia="Calibri"/>
          <w:lang w:val="en-US"/>
        </w:rPr>
      </w:pPr>
      <w:r w:rsidRPr="00A57506">
        <w:rPr>
          <w:rFonts w:eastAsia="Calibri"/>
          <w:lang w:val="en"/>
        </w:rPr>
        <w:t xml:space="preserve">In this regard, the Law </w:t>
      </w:r>
      <w:r w:rsidRPr="00A57506">
        <w:rPr>
          <w:rFonts w:eastAsia="Calibri"/>
          <w:i/>
          <w:sz w:val="24"/>
          <w:lang w:val="en"/>
        </w:rPr>
        <w:t>(Articles 174, 176-1 of the Code)</w:t>
      </w:r>
      <w:r w:rsidRPr="00A57506">
        <w:rPr>
          <w:rFonts w:eastAsia="Calibri"/>
          <w:lang w:val="en"/>
        </w:rPr>
        <w:t xml:space="preserve"> defines the concepts of essential facilities, criteria for attribution to essential facilities, and establishes the procedure for equal access to essential facilities </w:t>
      </w:r>
      <w:r w:rsidRPr="00A57506">
        <w:rPr>
          <w:rFonts w:eastAsia="Calibri"/>
          <w:i/>
          <w:sz w:val="24"/>
          <w:lang w:val="en"/>
        </w:rPr>
        <w:t>(approved by Order No. 15 dated 13 June 2022 of the Chairman of the Agency)</w:t>
      </w:r>
      <w:r w:rsidRPr="00A57506">
        <w:rPr>
          <w:rFonts w:eastAsia="Calibri"/>
          <w:lang w:val="en"/>
        </w:rPr>
        <w:t>.</w:t>
      </w:r>
    </w:p>
    <w:p w14:paraId="0FF6BC2E" w14:textId="77777777" w:rsidR="00A57506" w:rsidRPr="00A57506" w:rsidRDefault="00A57506" w:rsidP="00A57506">
      <w:pPr>
        <w:tabs>
          <w:tab w:val="clear" w:pos="567"/>
        </w:tabs>
        <w:rPr>
          <w:rFonts w:eastAsia="Calibri"/>
          <w:lang w:val="en-US"/>
        </w:rPr>
      </w:pPr>
      <w:r w:rsidRPr="00A57506">
        <w:rPr>
          <w:rFonts w:eastAsia="Calibri"/>
          <w:lang w:val="en"/>
        </w:rPr>
        <w:t>These norms in aggregate will ensure equal access of market players to the limited and capital-intensive resources of dominant and monopolists;</w:t>
      </w:r>
    </w:p>
    <w:p w14:paraId="079DE863" w14:textId="77777777" w:rsidR="00A57506" w:rsidRPr="00A57506" w:rsidRDefault="00A57506" w:rsidP="00A57506">
      <w:pPr>
        <w:tabs>
          <w:tab w:val="clear" w:pos="567"/>
        </w:tabs>
        <w:rPr>
          <w:rFonts w:eastAsia="Calibri"/>
          <w:lang w:val="en-US"/>
        </w:rPr>
      </w:pPr>
      <w:bookmarkStart w:id="10" w:name="_Hlk135225649"/>
      <w:r w:rsidRPr="00A57506">
        <w:rPr>
          <w:rFonts w:eastAsia="Calibri"/>
          <w:lang w:val="en"/>
        </w:rPr>
        <w:t xml:space="preserve">2) </w:t>
      </w:r>
      <w:r w:rsidRPr="00A57506">
        <w:rPr>
          <w:rFonts w:eastAsia="Calibri"/>
          <w:b/>
          <w:lang w:val="en"/>
        </w:rPr>
        <w:t>regulating the activities</w:t>
      </w:r>
      <w:r w:rsidRPr="00A57506">
        <w:rPr>
          <w:rFonts w:eastAsia="Calibri"/>
          <w:lang w:val="en"/>
        </w:rPr>
        <w:t xml:space="preserve"> of public and private operators.</w:t>
      </w:r>
    </w:p>
    <w:bookmarkEnd w:id="10"/>
    <w:p w14:paraId="4FE8CFDE" w14:textId="77777777" w:rsidR="00A57506" w:rsidRPr="00A57506" w:rsidRDefault="00A57506" w:rsidP="00A57506">
      <w:pPr>
        <w:tabs>
          <w:tab w:val="clear" w:pos="567"/>
        </w:tabs>
        <w:rPr>
          <w:rFonts w:eastAsia="Calibri"/>
          <w:lang w:val="en-US"/>
        </w:rPr>
      </w:pPr>
      <w:r w:rsidRPr="00A57506">
        <w:rPr>
          <w:rFonts w:eastAsia="Calibri"/>
          <w:lang w:val="en"/>
        </w:rPr>
        <w:t>In Kazakhstan, there is a practice of legislative granting of exclusive rights to certain market players to carry out certain types of activities without creating a state monopoly.</w:t>
      </w:r>
    </w:p>
    <w:p w14:paraId="317B5071" w14:textId="77777777" w:rsidR="00A57506" w:rsidRPr="00A57506" w:rsidRDefault="00A57506" w:rsidP="00A57506">
      <w:pPr>
        <w:tabs>
          <w:tab w:val="clear" w:pos="567"/>
        </w:tabs>
        <w:rPr>
          <w:rFonts w:eastAsia="Calibri"/>
          <w:lang w:val="en-US"/>
        </w:rPr>
      </w:pPr>
      <w:r w:rsidRPr="00A57506">
        <w:rPr>
          <w:rFonts w:eastAsia="Calibri"/>
          <w:lang w:val="en"/>
        </w:rPr>
        <w:t xml:space="preserve">In this regard, to minimize monopoly costs, the Law </w:t>
      </w:r>
      <w:r w:rsidRPr="00A57506">
        <w:rPr>
          <w:rFonts w:eastAsia="Calibri"/>
          <w:i/>
          <w:sz w:val="24"/>
          <w:lang w:val="en"/>
        </w:rPr>
        <w:t>(Articles 120, 172, 193 of the Code, laws on accounting and access to information)</w:t>
      </w:r>
      <w:r w:rsidRPr="00A57506">
        <w:rPr>
          <w:rFonts w:eastAsia="Calibri"/>
          <w:lang w:val="en"/>
        </w:rPr>
        <w:t xml:space="preserve"> extended the legal regime of state monopoly </w:t>
      </w:r>
      <w:r w:rsidRPr="00A57506">
        <w:rPr>
          <w:rFonts w:eastAsia="Calibri"/>
          <w:i/>
          <w:sz w:val="24"/>
          <w:lang w:val="en"/>
        </w:rPr>
        <w:t>(institute of special law)</w:t>
      </w:r>
      <w:r w:rsidRPr="00A57506">
        <w:rPr>
          <w:rFonts w:eastAsia="Calibri"/>
          <w:lang w:val="en"/>
        </w:rPr>
        <w:t xml:space="preserve">, strict regulation </w:t>
      </w:r>
      <w:r w:rsidRPr="00A57506">
        <w:rPr>
          <w:rFonts w:eastAsia="Calibri"/>
          <w:i/>
          <w:sz w:val="24"/>
          <w:lang w:val="en"/>
        </w:rPr>
        <w:t>(prices, ban on other activities)</w:t>
      </w:r>
      <w:r w:rsidRPr="00A57506">
        <w:rPr>
          <w:rFonts w:eastAsia="Calibri"/>
          <w:lang w:val="en"/>
        </w:rPr>
        <w:t xml:space="preserve">, compensation for losses to competitors, publicity to public and private operators, and approved the Rules for determining a state-owned enterprise, joint stock company, limited liability partnership as a subject of special law </w:t>
      </w:r>
      <w:r w:rsidRPr="00A57506">
        <w:rPr>
          <w:rFonts w:eastAsia="Calibri"/>
          <w:i/>
          <w:sz w:val="24"/>
          <w:lang w:val="en"/>
        </w:rPr>
        <w:t>(Government Resolution No. 453 dated 30 June 2022)</w:t>
      </w:r>
      <w:r w:rsidRPr="00A57506">
        <w:rPr>
          <w:rFonts w:eastAsia="Calibri"/>
          <w:lang w:val="en"/>
        </w:rPr>
        <w:t>.</w:t>
      </w:r>
    </w:p>
    <w:p w14:paraId="62C9BBE4" w14:textId="77777777" w:rsidR="00A57506" w:rsidRPr="00A57506" w:rsidRDefault="00A57506" w:rsidP="00A57506">
      <w:pPr>
        <w:tabs>
          <w:tab w:val="clear" w:pos="567"/>
        </w:tabs>
        <w:rPr>
          <w:rFonts w:eastAsia="Calibri"/>
          <w:lang w:val="en-US"/>
        </w:rPr>
      </w:pPr>
      <w:r w:rsidRPr="00A57506">
        <w:rPr>
          <w:rFonts w:eastAsia="Calibri"/>
          <w:lang w:val="en"/>
        </w:rPr>
        <w:t>These amendments will make it possible to eliminate the negative impact of monopolies on adjacent markets and ensure the transparency of their selection and activities;</w:t>
      </w:r>
    </w:p>
    <w:p w14:paraId="703A068C" w14:textId="77777777" w:rsidR="00A57506" w:rsidRPr="00A57506" w:rsidRDefault="00A57506" w:rsidP="00A57506">
      <w:pPr>
        <w:tabs>
          <w:tab w:val="clear" w:pos="567"/>
        </w:tabs>
        <w:rPr>
          <w:rFonts w:eastAsia="Calibri"/>
          <w:lang w:val="en-US"/>
        </w:rPr>
      </w:pPr>
      <w:bookmarkStart w:id="11" w:name="_Hlk135228160"/>
      <w:r w:rsidRPr="00A57506">
        <w:rPr>
          <w:rFonts w:eastAsia="Calibri"/>
          <w:lang w:val="en"/>
        </w:rPr>
        <w:t>3)</w:t>
      </w:r>
      <w:r w:rsidRPr="00A57506">
        <w:rPr>
          <w:rFonts w:eastAsia="Calibri"/>
          <w:b/>
          <w:lang w:val="en"/>
        </w:rPr>
        <w:t xml:space="preserve"> reducing state participation </w:t>
      </w:r>
      <w:r w:rsidRPr="00A57506">
        <w:rPr>
          <w:rFonts w:eastAsia="Calibri"/>
          <w:lang w:val="en"/>
        </w:rPr>
        <w:t>in entrepreneurship.</w:t>
      </w:r>
    </w:p>
    <w:p w14:paraId="7D1A1833" w14:textId="77777777" w:rsidR="00A57506" w:rsidRPr="00A57506" w:rsidRDefault="00A57506" w:rsidP="00A57506">
      <w:pPr>
        <w:tabs>
          <w:tab w:val="clear" w:pos="567"/>
        </w:tabs>
        <w:rPr>
          <w:rFonts w:eastAsia="Calibri"/>
          <w:lang w:val="en-US"/>
        </w:rPr>
      </w:pPr>
      <w:r w:rsidRPr="00A57506">
        <w:rPr>
          <w:rFonts w:eastAsia="Calibri"/>
          <w:lang w:val="en"/>
        </w:rPr>
        <w:t>The serious consequences of the violation of the "Yellow Pages Rules" principle are the displacement of private entrepreneurs by state-owned business entities from public procurement, quasi-public sector procurement. Meanwhile, the current grounds for state participation in entrepreneurship imply a ban on the activities of state-owned business entities in competitive commodity markets.</w:t>
      </w:r>
    </w:p>
    <w:p w14:paraId="6D1F59BB" w14:textId="13B70AB9" w:rsidR="00A57506" w:rsidRPr="00A57506" w:rsidRDefault="00A57506" w:rsidP="00A57506">
      <w:pPr>
        <w:tabs>
          <w:tab w:val="clear" w:pos="567"/>
        </w:tabs>
        <w:rPr>
          <w:rFonts w:eastAsia="Calibri"/>
          <w:lang w:val="en-US"/>
        </w:rPr>
      </w:pPr>
      <w:r w:rsidRPr="00A57506">
        <w:rPr>
          <w:rFonts w:eastAsia="Calibri"/>
          <w:lang w:val="en"/>
        </w:rPr>
        <w:lastRenderedPageBreak/>
        <w:t xml:space="preserve">To solve this problem, monitoring of the activities of quasi-public sector entities has been introduced </w:t>
      </w:r>
      <w:r w:rsidRPr="00A57506">
        <w:rPr>
          <w:rFonts w:eastAsia="Calibri"/>
          <w:i/>
          <w:sz w:val="24"/>
          <w:lang w:val="en"/>
        </w:rPr>
        <w:t>(Article 90-6 of the Code)</w:t>
      </w:r>
      <w:r w:rsidRPr="00A57506">
        <w:rPr>
          <w:rFonts w:eastAsia="Calibri"/>
          <w:lang w:val="en"/>
        </w:rPr>
        <w:t xml:space="preserve"> and the procedure has been established for monitoring the activities of state-owned enterprises, legal entities with more than fifty percent of shares </w:t>
      </w:r>
      <w:r w:rsidRPr="00A57506">
        <w:rPr>
          <w:rFonts w:eastAsia="Calibri"/>
          <w:i/>
          <w:sz w:val="24"/>
          <w:lang w:val="en"/>
        </w:rPr>
        <w:t>(interests in the share capital)</w:t>
      </w:r>
      <w:r w:rsidRPr="00A57506">
        <w:rPr>
          <w:rFonts w:eastAsia="Calibri"/>
          <w:lang w:val="en"/>
        </w:rPr>
        <w:t xml:space="preserve"> owned by the state, and their affiliates for obtaining the approval from the </w:t>
      </w:r>
      <w:r>
        <w:rPr>
          <w:rFonts w:eastAsia="Calibri"/>
          <w:lang w:val="en"/>
        </w:rPr>
        <w:t>Antimonopoly Authority</w:t>
      </w:r>
      <w:r w:rsidRPr="00A57506">
        <w:rPr>
          <w:rFonts w:eastAsia="Calibri"/>
          <w:lang w:val="en"/>
        </w:rPr>
        <w:t xml:space="preserve"> when establishing, expanding and </w:t>
      </w:r>
      <w:r w:rsidRPr="00A57506">
        <w:rPr>
          <w:rFonts w:eastAsia="Calibri"/>
          <w:i/>
          <w:sz w:val="24"/>
          <w:lang w:val="en"/>
        </w:rPr>
        <w:t>(or)</w:t>
      </w:r>
      <w:r w:rsidRPr="00A57506">
        <w:rPr>
          <w:rFonts w:eastAsia="Calibri"/>
          <w:lang w:val="en"/>
        </w:rPr>
        <w:t xml:space="preserve"> changing the types of activities carried out, as well as carrying out only those types of activities for which the approval from the </w:t>
      </w:r>
      <w:r>
        <w:rPr>
          <w:rFonts w:eastAsia="Calibri"/>
          <w:lang w:val="en"/>
        </w:rPr>
        <w:t>Antimonopoly Authority</w:t>
      </w:r>
      <w:r w:rsidRPr="00A57506">
        <w:rPr>
          <w:rFonts w:eastAsia="Calibri"/>
          <w:lang w:val="en"/>
        </w:rPr>
        <w:t xml:space="preserve"> has been obtained" </w:t>
      </w:r>
      <w:r w:rsidRPr="00A57506">
        <w:rPr>
          <w:rFonts w:eastAsia="Calibri"/>
          <w:i/>
          <w:sz w:val="24"/>
          <w:lang w:val="en"/>
        </w:rPr>
        <w:t>(Order No. 4 dated 28 March 2022 of the Chairman of the Agency)</w:t>
      </w:r>
      <w:r w:rsidRPr="00A57506">
        <w:rPr>
          <w:rFonts w:eastAsia="Calibri"/>
          <w:lang w:val="en"/>
        </w:rPr>
        <w:t>.</w:t>
      </w:r>
    </w:p>
    <w:p w14:paraId="66C248DA" w14:textId="052C4668" w:rsidR="00A57506" w:rsidRPr="00A57506" w:rsidRDefault="00A57506" w:rsidP="00A57506">
      <w:pPr>
        <w:tabs>
          <w:tab w:val="clear" w:pos="567"/>
        </w:tabs>
        <w:rPr>
          <w:rFonts w:eastAsia="Calibri"/>
          <w:lang w:val="en-US"/>
        </w:rPr>
      </w:pPr>
      <w:r w:rsidRPr="00A57506">
        <w:rPr>
          <w:rFonts w:eastAsia="Calibri"/>
          <w:lang w:val="en"/>
        </w:rPr>
        <w:t xml:space="preserve">In addition, to reduce state participation, an exhaustive list has been defined and the grounds for allocating state assignments have been reduced </w:t>
      </w:r>
      <w:r w:rsidRPr="00A57506">
        <w:rPr>
          <w:rFonts w:eastAsia="Calibri"/>
          <w:i/>
          <w:sz w:val="24"/>
          <w:lang w:val="en"/>
        </w:rPr>
        <w:t>(Article 41 of the Budget Code)</w:t>
      </w:r>
      <w:r w:rsidRPr="00A57506">
        <w:rPr>
          <w:rFonts w:eastAsia="Calibri"/>
          <w:lang w:val="en"/>
        </w:rPr>
        <w:t xml:space="preserve">, and the procedure for issuing an opinion on compliance with the </w:t>
      </w:r>
      <w:r>
        <w:rPr>
          <w:rFonts w:eastAsia="Calibri"/>
          <w:lang w:val="en"/>
        </w:rPr>
        <w:t>competition protection legislation</w:t>
      </w:r>
      <w:r w:rsidR="003263B8">
        <w:rPr>
          <w:rFonts w:eastAsia="Calibri"/>
          <w:lang w:val="en"/>
        </w:rPr>
        <w:t xml:space="preserve"> </w:t>
      </w:r>
      <w:r w:rsidRPr="00A57506">
        <w:rPr>
          <w:rFonts w:eastAsia="Calibri"/>
          <w:lang w:val="en"/>
        </w:rPr>
        <w:t xml:space="preserve">of the Republic of Kazakhstan has been regulated </w:t>
      </w:r>
      <w:r w:rsidRPr="00A57506">
        <w:rPr>
          <w:rFonts w:eastAsia="Calibri"/>
          <w:i/>
          <w:sz w:val="24"/>
          <w:lang w:val="en"/>
        </w:rPr>
        <w:t>(Order No. 9 dated 20 April 2022 of the Chairman of the Agency)</w:t>
      </w:r>
      <w:r w:rsidRPr="00A57506">
        <w:rPr>
          <w:rFonts w:eastAsia="Calibri"/>
          <w:lang w:val="en"/>
        </w:rPr>
        <w:t>;</w:t>
      </w:r>
    </w:p>
    <w:bookmarkEnd w:id="11"/>
    <w:p w14:paraId="4671BF04" w14:textId="77777777" w:rsidR="00A57506" w:rsidRPr="00A57506" w:rsidRDefault="00A57506" w:rsidP="00A57506">
      <w:pPr>
        <w:tabs>
          <w:tab w:val="clear" w:pos="567"/>
        </w:tabs>
        <w:rPr>
          <w:rFonts w:eastAsia="Calibri"/>
          <w:lang w:val="en-US"/>
        </w:rPr>
      </w:pPr>
      <w:r w:rsidRPr="00A57506">
        <w:rPr>
          <w:rFonts w:eastAsia="Calibri"/>
          <w:lang w:val="en"/>
        </w:rPr>
        <w:t xml:space="preserve">4) ensuring </w:t>
      </w:r>
      <w:r w:rsidRPr="00A57506">
        <w:rPr>
          <w:rFonts w:eastAsia="Calibri"/>
          <w:b/>
          <w:lang w:val="en"/>
        </w:rPr>
        <w:t>equal access</w:t>
      </w:r>
      <w:r w:rsidRPr="00A57506">
        <w:rPr>
          <w:rFonts w:eastAsia="Calibri"/>
          <w:lang w:val="en"/>
        </w:rPr>
        <w:t xml:space="preserve"> to state support measures.</w:t>
      </w:r>
    </w:p>
    <w:p w14:paraId="14B9E4E8" w14:textId="77777777" w:rsidR="00A57506" w:rsidRPr="00A57506" w:rsidRDefault="00A57506" w:rsidP="00A57506">
      <w:pPr>
        <w:tabs>
          <w:tab w:val="clear" w:pos="567"/>
        </w:tabs>
        <w:rPr>
          <w:rFonts w:eastAsia="Calibri"/>
          <w:lang w:val="en-US"/>
        </w:rPr>
      </w:pPr>
      <w:r w:rsidRPr="00A57506">
        <w:rPr>
          <w:rFonts w:eastAsia="Calibri"/>
          <w:lang w:val="en"/>
        </w:rPr>
        <w:t>Focusing on the development of small and medium enterprises is one of the strategic directions of state support.</w:t>
      </w:r>
    </w:p>
    <w:p w14:paraId="3A8F53B3" w14:textId="77777777" w:rsidR="00A57506" w:rsidRPr="00A57506" w:rsidRDefault="00A57506" w:rsidP="00A57506">
      <w:pPr>
        <w:tabs>
          <w:tab w:val="clear" w:pos="567"/>
        </w:tabs>
        <w:rPr>
          <w:rFonts w:eastAsia="Calibri"/>
          <w:lang w:val="en-US"/>
        </w:rPr>
      </w:pPr>
      <w:r w:rsidRPr="00A57506">
        <w:rPr>
          <w:rFonts w:eastAsia="Calibri"/>
          <w:lang w:val="en"/>
        </w:rPr>
        <w:t>At the same time, in fact, much more funds are allocated to support large businesses. Unreasonably high requirements, non-transparent system of access, lack of proper control lead to the creation of conditions for granting state support to a limited circle of persons.</w:t>
      </w:r>
    </w:p>
    <w:p w14:paraId="278AD571" w14:textId="0E782469" w:rsidR="00A57506" w:rsidRPr="00A57506" w:rsidRDefault="00A57506" w:rsidP="00A57506">
      <w:pPr>
        <w:tabs>
          <w:tab w:val="clear" w:pos="567"/>
        </w:tabs>
        <w:rPr>
          <w:rFonts w:eastAsia="Calibri"/>
          <w:lang w:val="en-US"/>
        </w:rPr>
      </w:pPr>
      <w:r w:rsidRPr="00A57506">
        <w:rPr>
          <w:rFonts w:eastAsia="Calibri"/>
          <w:lang w:val="en"/>
        </w:rPr>
        <w:t xml:space="preserve">In this regard, a requirement has been introduced for new state support measures </w:t>
      </w:r>
      <w:r w:rsidRPr="00A57506">
        <w:rPr>
          <w:rFonts w:eastAsia="Calibri"/>
          <w:i/>
          <w:sz w:val="24"/>
          <w:lang w:val="en"/>
        </w:rPr>
        <w:t>(including the rules for their provision)</w:t>
      </w:r>
      <w:r w:rsidRPr="00A57506">
        <w:rPr>
          <w:rFonts w:eastAsia="Calibri"/>
          <w:lang w:val="en"/>
        </w:rPr>
        <w:t xml:space="preserve"> to be approved by the </w:t>
      </w:r>
      <w:r>
        <w:rPr>
          <w:rFonts w:eastAsia="Calibri"/>
          <w:lang w:val="en"/>
        </w:rPr>
        <w:t>Antimonopoly Authority</w:t>
      </w:r>
      <w:r w:rsidRPr="00A57506">
        <w:rPr>
          <w:rFonts w:eastAsia="Calibri"/>
          <w:lang w:val="en"/>
        </w:rPr>
        <w:t xml:space="preserve"> and criteria for determining priority areas for the provision of state support measures have been established </w:t>
      </w:r>
      <w:r w:rsidRPr="00A57506">
        <w:rPr>
          <w:rFonts w:eastAsia="Calibri"/>
          <w:i/>
          <w:sz w:val="24"/>
          <w:lang w:val="en"/>
        </w:rPr>
        <w:t>(Article 194 of the Code)</w:t>
      </w:r>
      <w:r w:rsidRPr="00A57506">
        <w:rPr>
          <w:rFonts w:eastAsia="Calibri"/>
          <w:lang w:val="en"/>
        </w:rPr>
        <w:t>.</w:t>
      </w:r>
    </w:p>
    <w:p w14:paraId="142B1A9C" w14:textId="77777777" w:rsidR="00A57506" w:rsidRPr="00A57506" w:rsidRDefault="00A57506" w:rsidP="00A57506">
      <w:pPr>
        <w:tabs>
          <w:tab w:val="clear" w:pos="567"/>
        </w:tabs>
        <w:rPr>
          <w:rFonts w:eastAsia="Calibri"/>
          <w:lang w:val="en-US"/>
        </w:rPr>
      </w:pPr>
      <w:r w:rsidRPr="00A57506">
        <w:rPr>
          <w:rFonts w:eastAsia="Calibri"/>
          <w:lang w:val="en"/>
        </w:rPr>
        <w:t>Implementation of the norms in practice will create equal conditions of access to state support measures, eliminate the facts of targeted support that distorts competition on commodity markets, and focus the state's attention on supporting new market players and SMEs;</w:t>
      </w:r>
    </w:p>
    <w:p w14:paraId="54A87BE2" w14:textId="77777777" w:rsidR="00A57506" w:rsidRPr="00A57506" w:rsidRDefault="00A57506" w:rsidP="00A57506">
      <w:pPr>
        <w:tabs>
          <w:tab w:val="clear" w:pos="567"/>
        </w:tabs>
        <w:rPr>
          <w:rFonts w:eastAsia="Calibri"/>
          <w:lang w:val="en-US"/>
        </w:rPr>
      </w:pPr>
      <w:r w:rsidRPr="00A57506">
        <w:rPr>
          <w:rFonts w:eastAsia="Calibri"/>
          <w:lang w:val="en"/>
        </w:rPr>
        <w:t xml:space="preserve">5) </w:t>
      </w:r>
      <w:r w:rsidRPr="00A57506">
        <w:rPr>
          <w:rFonts w:eastAsia="Calibri"/>
          <w:b/>
          <w:lang w:val="en"/>
        </w:rPr>
        <w:t>developing antitrust regulation tools</w:t>
      </w:r>
      <w:r w:rsidRPr="00A57506">
        <w:rPr>
          <w:rFonts w:eastAsia="Calibri"/>
          <w:lang w:val="en"/>
        </w:rPr>
        <w:t>.</w:t>
      </w:r>
    </w:p>
    <w:p w14:paraId="5EA56331" w14:textId="180EFA1C" w:rsidR="00A57506" w:rsidRPr="00A57506" w:rsidRDefault="00A57506" w:rsidP="00A57506">
      <w:pPr>
        <w:tabs>
          <w:tab w:val="clear" w:pos="567"/>
        </w:tabs>
        <w:rPr>
          <w:lang w:val="en-US"/>
        </w:rPr>
      </w:pPr>
      <w:bookmarkStart w:id="12" w:name="_Hlk68825143"/>
      <w:r w:rsidRPr="00A57506">
        <w:rPr>
          <w:lang w:val="en"/>
        </w:rPr>
        <w:t xml:space="preserve">Merger and acquisition control is one of the important components of antitrust regulation of market structure aimed at preventing the concentration of market power in single hands. In the course of control over transactions, the </w:t>
      </w:r>
      <w:r>
        <w:rPr>
          <w:lang w:val="en"/>
        </w:rPr>
        <w:t>Antimonopoly Authority</w:t>
      </w:r>
      <w:r w:rsidRPr="00A57506">
        <w:rPr>
          <w:lang w:val="en"/>
        </w:rPr>
        <w:t xml:space="preserve"> may prescribe certain requirements for the approval of a transaction. </w:t>
      </w:r>
    </w:p>
    <w:p w14:paraId="09DB43B1" w14:textId="6AEBA95A" w:rsidR="00A57506" w:rsidRPr="00A57506" w:rsidRDefault="00A57506" w:rsidP="00A57506">
      <w:pPr>
        <w:tabs>
          <w:tab w:val="clear" w:pos="567"/>
        </w:tabs>
        <w:rPr>
          <w:lang w:val="en-US"/>
        </w:rPr>
      </w:pPr>
      <w:bookmarkStart w:id="13" w:name="_Hlk68825228"/>
      <w:bookmarkEnd w:id="12"/>
      <w:r w:rsidRPr="00A57506">
        <w:rPr>
          <w:lang w:val="en"/>
        </w:rPr>
        <w:t xml:space="preserve">The OECD notes that competition agencies in many countries use proxies to effectively facilitate the enforcement of transactions and independent monitoring. </w:t>
      </w:r>
      <w:bookmarkEnd w:id="13"/>
      <w:r w:rsidRPr="00A57506">
        <w:rPr>
          <w:lang w:val="en"/>
        </w:rPr>
        <w:t xml:space="preserve">The proxy must be independent and is appointed or approved by the </w:t>
      </w:r>
      <w:r>
        <w:rPr>
          <w:lang w:val="en"/>
        </w:rPr>
        <w:t>Antimonopoly Authority</w:t>
      </w:r>
      <w:r w:rsidRPr="00A57506">
        <w:rPr>
          <w:lang w:val="en"/>
        </w:rPr>
        <w:t xml:space="preserve"> in the case of both complex unbundling transactions and the need to monitor the enforcement of behavioral conditions. </w:t>
      </w:r>
    </w:p>
    <w:p w14:paraId="3BC09E90" w14:textId="3E995D72" w:rsidR="00A57506" w:rsidRPr="00A57506" w:rsidRDefault="00A57506" w:rsidP="00A57506">
      <w:pPr>
        <w:tabs>
          <w:tab w:val="clear" w:pos="567"/>
        </w:tabs>
        <w:rPr>
          <w:lang w:val="en-US"/>
        </w:rPr>
      </w:pPr>
      <w:r w:rsidRPr="00A57506">
        <w:rPr>
          <w:lang w:val="en"/>
        </w:rPr>
        <w:t xml:space="preserve">Thus, the institution of a proxy has become widespread in the practice of </w:t>
      </w:r>
      <w:r>
        <w:rPr>
          <w:lang w:val="en"/>
        </w:rPr>
        <w:t>Antimonopoly Authorities</w:t>
      </w:r>
      <w:r w:rsidRPr="00A57506">
        <w:rPr>
          <w:lang w:val="en"/>
        </w:rPr>
        <w:t xml:space="preserve"> in foreign countries, as it ensures a professional and expert approach to the implementation of the </w:t>
      </w:r>
      <w:r>
        <w:rPr>
          <w:lang w:val="en"/>
        </w:rPr>
        <w:t>Antimonopoly Authority</w:t>
      </w:r>
      <w:r w:rsidRPr="00A57506">
        <w:rPr>
          <w:lang w:val="en"/>
        </w:rPr>
        <w:t xml:space="preserve">'s decision, developing optimal solutions together with the business and constructive interaction with the </w:t>
      </w:r>
      <w:r>
        <w:rPr>
          <w:lang w:val="en"/>
        </w:rPr>
        <w:t>Antimonopoly Authority</w:t>
      </w:r>
      <w:r w:rsidRPr="00A57506">
        <w:rPr>
          <w:lang w:val="en"/>
        </w:rPr>
        <w:t>.</w:t>
      </w:r>
    </w:p>
    <w:p w14:paraId="678FDC2B" w14:textId="20308972" w:rsidR="00A57506" w:rsidRPr="00A57506" w:rsidRDefault="00A57506" w:rsidP="00A57506">
      <w:pPr>
        <w:tabs>
          <w:tab w:val="clear" w:pos="567"/>
        </w:tabs>
        <w:rPr>
          <w:rFonts w:eastAsia="Calibri"/>
          <w:lang w:val="en-US"/>
        </w:rPr>
      </w:pPr>
      <w:r w:rsidRPr="00A57506">
        <w:rPr>
          <w:lang w:val="en"/>
        </w:rPr>
        <w:lastRenderedPageBreak/>
        <w:t xml:space="preserve">In this regard, to ensure monitoring and facilitate enforcement of the </w:t>
      </w:r>
      <w:r>
        <w:rPr>
          <w:lang w:val="en"/>
        </w:rPr>
        <w:t>Antimonopoly Authority</w:t>
      </w:r>
      <w:r w:rsidRPr="00A57506">
        <w:rPr>
          <w:lang w:val="en"/>
        </w:rPr>
        <w:t xml:space="preserve">'s decisions on actions aimed at ensuring competition, the Law introduced the institution of a proxy to monitor compliance with the terms of economic concentration transactions </w:t>
      </w:r>
      <w:r w:rsidRPr="00A57506">
        <w:rPr>
          <w:rFonts w:eastAsia="Calibri"/>
          <w:i/>
          <w:sz w:val="24"/>
          <w:lang w:val="en"/>
        </w:rPr>
        <w:t>(Article 210-1 of the Code)</w:t>
      </w:r>
      <w:r w:rsidRPr="00A57506">
        <w:rPr>
          <w:lang w:val="en"/>
        </w:rPr>
        <w:t xml:space="preserve"> and approved the procedure for keeping the register of proxies </w:t>
      </w:r>
      <w:r w:rsidRPr="00A57506">
        <w:rPr>
          <w:i/>
          <w:sz w:val="24"/>
          <w:lang w:val="en"/>
        </w:rPr>
        <w:t>(Order No. 5 dated 29 March 2022 of the Chairman of the Agency)</w:t>
      </w:r>
      <w:r w:rsidRPr="00A57506">
        <w:rPr>
          <w:lang w:val="en"/>
        </w:rPr>
        <w:t>.</w:t>
      </w:r>
    </w:p>
    <w:p w14:paraId="14FE4001" w14:textId="77777777" w:rsidR="00A57506" w:rsidRPr="00A57506" w:rsidRDefault="00A57506" w:rsidP="00A57506">
      <w:pPr>
        <w:tabs>
          <w:tab w:val="clear" w:pos="567"/>
        </w:tabs>
        <w:spacing w:before="120"/>
        <w:rPr>
          <w:rFonts w:eastAsia="Calibri"/>
          <w:lang w:val="en-US"/>
        </w:rPr>
      </w:pPr>
      <w:r w:rsidRPr="00A57506">
        <w:rPr>
          <w:rFonts w:eastAsia="Calibri"/>
          <w:lang w:val="en"/>
        </w:rPr>
        <w:t xml:space="preserve">The </w:t>
      </w:r>
      <w:r w:rsidRPr="00A57506">
        <w:rPr>
          <w:rFonts w:eastAsia="Calibri"/>
          <w:b/>
          <w:lang w:val="en"/>
        </w:rPr>
        <w:t>Law dated 1 July 2022</w:t>
      </w:r>
      <w:r w:rsidRPr="00A57506">
        <w:rPr>
          <w:rFonts w:eastAsia="Calibri"/>
          <w:lang w:val="en"/>
        </w:rPr>
        <w:t xml:space="preserve"> was drafted and adopted in pursuance of the instruction from the Head of State.</w:t>
      </w:r>
    </w:p>
    <w:p w14:paraId="78EA2CCB" w14:textId="77777777" w:rsidR="00A57506" w:rsidRPr="00A57506" w:rsidRDefault="00A57506" w:rsidP="00A57506">
      <w:pPr>
        <w:tabs>
          <w:tab w:val="clear" w:pos="567"/>
        </w:tabs>
        <w:rPr>
          <w:lang w:val="en-US"/>
        </w:rPr>
      </w:pPr>
      <w:r w:rsidRPr="00A57506">
        <w:rPr>
          <w:lang w:val="en"/>
        </w:rPr>
        <w:t xml:space="preserve">Thus, in January 2022, the Agency, on the instruction from the Head of State, introduced temporary state price regulation for retail sales of liquefied petroleum gas </w:t>
      </w:r>
      <w:r w:rsidRPr="00A57506">
        <w:rPr>
          <w:i/>
          <w:sz w:val="24"/>
          <w:lang w:val="en"/>
        </w:rPr>
        <w:t>(hereinafter referred to as the LPG)</w:t>
      </w:r>
      <w:r w:rsidRPr="00A57506">
        <w:rPr>
          <w:lang w:val="en"/>
        </w:rPr>
        <w:t>.</w:t>
      </w:r>
    </w:p>
    <w:p w14:paraId="4AC55E0F" w14:textId="77777777" w:rsidR="00A57506" w:rsidRPr="00A57506" w:rsidRDefault="00A57506" w:rsidP="00A57506">
      <w:pPr>
        <w:tabs>
          <w:tab w:val="clear" w:pos="567"/>
        </w:tabs>
        <w:rPr>
          <w:lang w:val="en-US"/>
        </w:rPr>
      </w:pPr>
      <w:r w:rsidRPr="00A57506">
        <w:rPr>
          <w:lang w:val="en"/>
        </w:rPr>
        <w:t xml:space="preserve">Under the Code provisions then in effect, the total period of application of such regulation could not exceed </w:t>
      </w:r>
      <w:r w:rsidRPr="00A57506">
        <w:rPr>
          <w:b/>
          <w:lang w:val="en"/>
        </w:rPr>
        <w:t>one hundred eighty calendar days in any one year</w:t>
      </w:r>
      <w:r w:rsidRPr="00A57506">
        <w:rPr>
          <w:lang w:val="en"/>
        </w:rPr>
        <w:t xml:space="preserve">. In order to extend the price regulation of retail LPG sales, the Law dated 1 July 2022 excludes the norm concerning the general period of application of price regulation </w:t>
      </w:r>
      <w:r w:rsidRPr="00A57506">
        <w:rPr>
          <w:i/>
          <w:sz w:val="24"/>
          <w:lang w:val="en"/>
        </w:rPr>
        <w:t>(Part 2 of Article 119 of the Code)</w:t>
      </w:r>
      <w:r w:rsidRPr="00A57506">
        <w:rPr>
          <w:lang w:val="en"/>
        </w:rPr>
        <w:t>.</w:t>
      </w:r>
    </w:p>
    <w:p w14:paraId="10B63819" w14:textId="77777777" w:rsidR="00A57506" w:rsidRPr="00A57506" w:rsidRDefault="00A57506" w:rsidP="00A57506">
      <w:pPr>
        <w:tabs>
          <w:tab w:val="clear" w:pos="567"/>
        </w:tabs>
        <w:rPr>
          <w:lang w:val="en-US"/>
        </w:rPr>
      </w:pPr>
      <w:r w:rsidRPr="00A57506">
        <w:rPr>
          <w:lang w:val="en"/>
        </w:rPr>
        <w:t>Thus, this amendment made it possible to exclude the risks of sharp price increases and, as a consequence, the emergence of social tension in society.</w:t>
      </w:r>
    </w:p>
    <w:p w14:paraId="3992D7F8" w14:textId="77777777" w:rsidR="00A57506" w:rsidRPr="00A57506" w:rsidRDefault="00A57506" w:rsidP="00A57506">
      <w:pPr>
        <w:tabs>
          <w:tab w:val="clear" w:pos="567"/>
        </w:tabs>
        <w:spacing w:before="120"/>
        <w:rPr>
          <w:rFonts w:eastAsia="Calibri"/>
          <w:lang w:val="en-US"/>
        </w:rPr>
      </w:pPr>
      <w:r w:rsidRPr="00A57506">
        <w:rPr>
          <w:rFonts w:eastAsia="Calibri"/>
          <w:lang w:val="en"/>
        </w:rPr>
        <w:t xml:space="preserve">The </w:t>
      </w:r>
      <w:r w:rsidRPr="00A57506">
        <w:rPr>
          <w:rFonts w:eastAsia="Calibri"/>
          <w:b/>
          <w:lang w:val="en"/>
        </w:rPr>
        <w:t>Law dated 30 December 2022</w:t>
      </w:r>
      <w:r w:rsidRPr="00A57506">
        <w:rPr>
          <w:rFonts w:eastAsia="Calibri"/>
          <w:lang w:val="en"/>
        </w:rPr>
        <w:t xml:space="preserve"> was drafted and adopted in pursuance of the instruction from the Head of State.</w:t>
      </w:r>
    </w:p>
    <w:p w14:paraId="51742A79" w14:textId="77777777" w:rsidR="00A57506" w:rsidRPr="00A57506" w:rsidRDefault="00A57506" w:rsidP="00A57506">
      <w:pPr>
        <w:tabs>
          <w:tab w:val="clear" w:pos="567"/>
        </w:tabs>
        <w:rPr>
          <w:lang w:val="en-US"/>
        </w:rPr>
      </w:pPr>
      <w:r w:rsidRPr="00A57506">
        <w:rPr>
          <w:rFonts w:eastAsia="Calibri"/>
          <w:lang w:val="en"/>
        </w:rPr>
        <w:t xml:space="preserve">In January 2022, during a meeting with representatives of large domestic businesses, the Head of State instructed to establish at the legislative level </w:t>
      </w:r>
      <w:r w:rsidRPr="00A57506">
        <w:rPr>
          <w:rFonts w:eastAsia="Calibri"/>
          <w:b/>
          <w:bCs/>
          <w:lang w:val="en"/>
        </w:rPr>
        <w:t>a ban</w:t>
      </w:r>
      <w:r w:rsidRPr="00A57506">
        <w:rPr>
          <w:rFonts w:eastAsia="Calibri"/>
          <w:lang w:val="en"/>
        </w:rPr>
        <w:t xml:space="preserve"> on the exercise of economic functions of the state by private monopoly operators.</w:t>
      </w:r>
    </w:p>
    <w:p w14:paraId="708E3494" w14:textId="77777777" w:rsidR="00A57506" w:rsidRPr="00A57506" w:rsidRDefault="00A57506" w:rsidP="00A57506">
      <w:pPr>
        <w:rPr>
          <w:color w:val="000000"/>
          <w:lang w:val="en-US" w:eastAsia="ar-SA"/>
        </w:rPr>
      </w:pPr>
      <w:r w:rsidRPr="00A57506">
        <w:rPr>
          <w:rFonts w:eastAsia="Calibri"/>
          <w:lang w:val="en"/>
        </w:rPr>
        <w:t xml:space="preserve">In pursuance of this instruction, the Law dated 30 December 2022 amended the Code, providing that only a legal entity with one hundred percent of shares </w:t>
      </w:r>
      <w:r w:rsidRPr="00A57506">
        <w:rPr>
          <w:i/>
          <w:sz w:val="24"/>
          <w:lang w:val="en"/>
        </w:rPr>
        <w:t>(interests in the share capital)</w:t>
      </w:r>
      <w:r w:rsidRPr="00A57506">
        <w:rPr>
          <w:rFonts w:eastAsia="Calibri"/>
          <w:lang w:val="en"/>
        </w:rPr>
        <w:t xml:space="preserve"> directly or indirectly owned by the state can be a subject of special law</w:t>
      </w:r>
      <w:r w:rsidRPr="00A57506">
        <w:rPr>
          <w:rFonts w:eastAsia="Calibri"/>
          <w:lang w:val="en"/>
        </w:rPr>
        <w:br/>
        <w:t xml:space="preserve"> </w:t>
      </w:r>
      <w:r w:rsidRPr="00A57506">
        <w:rPr>
          <w:i/>
          <w:sz w:val="24"/>
          <w:lang w:val="en"/>
        </w:rPr>
        <w:t>(Article 193 of the Code)</w:t>
      </w:r>
      <w:r w:rsidRPr="00A57506">
        <w:rPr>
          <w:rFonts w:eastAsia="Calibri"/>
          <w:lang w:val="en"/>
        </w:rPr>
        <w:t>. Thus, the procedure for establishing private operators has been made as complicated as possible at the legislative level.</w:t>
      </w:r>
    </w:p>
    <w:p w14:paraId="1A83FCB1" w14:textId="77777777" w:rsidR="00A57506" w:rsidRPr="00A57506" w:rsidRDefault="00A57506" w:rsidP="00A57506">
      <w:pPr>
        <w:keepNext/>
        <w:keepLines/>
        <w:numPr>
          <w:ilvl w:val="0"/>
          <w:numId w:val="6"/>
        </w:numPr>
        <w:tabs>
          <w:tab w:val="left" w:pos="1134"/>
        </w:tabs>
        <w:spacing w:before="240" w:after="240"/>
        <w:ind w:left="924" w:hanging="357"/>
        <w:outlineLvl w:val="1"/>
        <w:rPr>
          <w:b/>
          <w:bCs/>
          <w:color w:val="000000"/>
          <w:lang w:val="en-US"/>
        </w:rPr>
      </w:pPr>
      <w:bookmarkStart w:id="14" w:name="_Toc137900820"/>
      <w:bookmarkStart w:id="15" w:name="_Toc142467897"/>
      <w:r w:rsidRPr="00A57506">
        <w:rPr>
          <w:b/>
          <w:bCs/>
          <w:color w:val="000000"/>
          <w:lang w:val="en"/>
        </w:rPr>
        <w:t>Limiting the Share of State Participation in Entrepreneurship</w:t>
      </w:r>
      <w:bookmarkEnd w:id="14"/>
      <w:bookmarkEnd w:id="15"/>
    </w:p>
    <w:p w14:paraId="5481CD91" w14:textId="77777777" w:rsidR="00A57506" w:rsidRPr="00A57506" w:rsidRDefault="00A57506" w:rsidP="00A57506">
      <w:pPr>
        <w:tabs>
          <w:tab w:val="clear" w:pos="567"/>
        </w:tabs>
        <w:rPr>
          <w:lang w:val="en-US"/>
        </w:rPr>
      </w:pPr>
      <w:r w:rsidRPr="00A57506">
        <w:rPr>
          <w:lang w:val="en"/>
        </w:rPr>
        <w:t xml:space="preserve">The high level of state presence in entrepreneurship is a deterrent to the promotion of competition on commodity markets. To promote private entrepreneurship and competition, the most important task is to reduce the share of state participation in entrepreneurial activity. Work in this direction is carried out through privatization, restriction of activities of quasi-public sector entities </w:t>
      </w:r>
      <w:r w:rsidRPr="00A57506">
        <w:rPr>
          <w:i/>
          <w:sz w:val="24"/>
          <w:lang w:val="en"/>
        </w:rPr>
        <w:t>(approval of establishment, restriction of types of activities)</w:t>
      </w:r>
      <w:r w:rsidRPr="00A57506">
        <w:rPr>
          <w:lang w:val="en"/>
        </w:rPr>
        <w:t>. The measures being implemented to limit state participation in entrepreneurship are aimed, inter alia, at reducing public operators and state assignments.</w:t>
      </w:r>
    </w:p>
    <w:p w14:paraId="12B82785" w14:textId="77777777" w:rsidR="00A57506" w:rsidRPr="00A57506" w:rsidRDefault="00A57506" w:rsidP="00A57506">
      <w:pPr>
        <w:spacing w:before="120"/>
        <w:rPr>
          <w:b/>
          <w:i/>
          <w:color w:val="000000"/>
          <w:lang w:val="en-US"/>
        </w:rPr>
      </w:pPr>
      <w:r w:rsidRPr="00A57506">
        <w:rPr>
          <w:b/>
          <w:i/>
          <w:color w:val="000000"/>
          <w:lang w:val="en"/>
        </w:rPr>
        <w:t>Privatization</w:t>
      </w:r>
    </w:p>
    <w:p w14:paraId="3DD0C5C0" w14:textId="77777777" w:rsidR="00A57506" w:rsidRPr="00A57506" w:rsidRDefault="00A57506" w:rsidP="00A57506">
      <w:pPr>
        <w:tabs>
          <w:tab w:val="clear" w:pos="567"/>
        </w:tabs>
        <w:rPr>
          <w:lang w:val="en-US"/>
        </w:rPr>
      </w:pPr>
      <w:r w:rsidRPr="00A57506">
        <w:rPr>
          <w:lang w:val="en"/>
        </w:rPr>
        <w:t xml:space="preserve">In accordance with the instruction of the Head of State, given following the results of the meeting on stabilization of the socio-economic and socio-political situation dated </w:t>
      </w:r>
      <w:r w:rsidRPr="00A57506">
        <w:rPr>
          <w:lang w:val="en"/>
        </w:rPr>
        <w:lastRenderedPageBreak/>
        <w:t xml:space="preserve">5 January 2022, the Agency has developed proposals to </w:t>
      </w:r>
      <w:r w:rsidRPr="00A57506">
        <w:rPr>
          <w:b/>
          <w:lang w:val="en"/>
        </w:rPr>
        <w:t>improve the privatization processes</w:t>
      </w:r>
      <w:r w:rsidRPr="00A57506">
        <w:rPr>
          <w:lang w:val="en"/>
        </w:rPr>
        <w:t xml:space="preserve"> taking into account the competition policy. To date, these recommendations have been partially adopted. In particular, the privatization plan includes </w:t>
      </w:r>
      <w:r w:rsidRPr="00A57506">
        <w:rPr>
          <w:b/>
          <w:lang w:val="en"/>
        </w:rPr>
        <w:t>criteria</w:t>
      </w:r>
      <w:r w:rsidRPr="00A57506">
        <w:rPr>
          <w:lang w:val="en"/>
        </w:rPr>
        <w:t xml:space="preserve"> </w:t>
      </w:r>
      <w:r w:rsidRPr="00A57506">
        <w:rPr>
          <w:i/>
          <w:sz w:val="24"/>
          <w:lang w:val="en"/>
        </w:rPr>
        <w:t>(principles)</w:t>
      </w:r>
      <w:r w:rsidRPr="00A57506">
        <w:rPr>
          <w:lang w:val="en"/>
        </w:rPr>
        <w:t xml:space="preserve"> according to which enterprises are included in the list of privatized entities.</w:t>
      </w:r>
    </w:p>
    <w:p w14:paraId="0D3F2594" w14:textId="4581D373" w:rsidR="00A57506" w:rsidRPr="00A57506" w:rsidRDefault="00A57506" w:rsidP="00A57506">
      <w:pPr>
        <w:tabs>
          <w:tab w:val="clear" w:pos="567"/>
        </w:tabs>
        <w:rPr>
          <w:i/>
          <w:sz w:val="24"/>
          <w:szCs w:val="24"/>
          <w:lang w:val="en-US"/>
        </w:rPr>
      </w:pPr>
      <w:r w:rsidRPr="00A57506">
        <w:rPr>
          <w:b/>
          <w:i/>
          <w:sz w:val="24"/>
          <w:szCs w:val="24"/>
          <w:lang w:val="en"/>
        </w:rPr>
        <w:t>For reference</w:t>
      </w:r>
      <w:r w:rsidRPr="00A57506">
        <w:rPr>
          <w:i/>
          <w:sz w:val="24"/>
          <w:szCs w:val="24"/>
          <w:lang w:val="en"/>
        </w:rPr>
        <w:t xml:space="preserve">: The criteria (principles) include: 1) non-compliance of the activity with the conditions of state participation in entrepreneurship; 2) SMEs; 3) proposals of the </w:t>
      </w:r>
      <w:r>
        <w:rPr>
          <w:i/>
          <w:sz w:val="24"/>
          <w:szCs w:val="24"/>
          <w:lang w:val="en"/>
        </w:rPr>
        <w:t>Antimonopoly Authority</w:t>
      </w:r>
      <w:r w:rsidRPr="00A57506">
        <w:rPr>
          <w:i/>
          <w:sz w:val="24"/>
          <w:szCs w:val="24"/>
          <w:lang w:val="en"/>
        </w:rPr>
        <w:t xml:space="preserve">; 4) ownership of an uncontrolled block of shares; 5) non-implementation or ineffective implementation of the development plan over the past 3 years; 6) the onset of the payback period of the project; 7) the onset of the period of presence on the commodity market recommended by the </w:t>
      </w:r>
      <w:r>
        <w:rPr>
          <w:i/>
          <w:sz w:val="24"/>
          <w:szCs w:val="24"/>
          <w:lang w:val="en"/>
        </w:rPr>
        <w:t>Antimonopoly Authority</w:t>
      </w:r>
      <w:r w:rsidRPr="00A57506">
        <w:rPr>
          <w:i/>
          <w:sz w:val="24"/>
          <w:szCs w:val="24"/>
          <w:lang w:val="en"/>
        </w:rPr>
        <w:t xml:space="preserve"> 8) applications from private business entities.</w:t>
      </w:r>
    </w:p>
    <w:p w14:paraId="4A91558A" w14:textId="44492228" w:rsidR="00A57506" w:rsidRPr="00A57506" w:rsidRDefault="00A57506" w:rsidP="00A57506">
      <w:pPr>
        <w:tabs>
          <w:tab w:val="clear" w:pos="567"/>
        </w:tabs>
        <w:rPr>
          <w:lang w:val="en-US"/>
        </w:rPr>
      </w:pPr>
      <w:r w:rsidRPr="00A57506">
        <w:rPr>
          <w:lang w:val="en"/>
        </w:rPr>
        <w:t xml:space="preserve">Amendments to the laws on privatization of large enterprises were developed and sent to the Ministry of National Economy, taking into account the </w:t>
      </w:r>
      <w:r>
        <w:rPr>
          <w:lang w:val="en"/>
        </w:rPr>
        <w:t>Antimonopoly Authority</w:t>
      </w:r>
      <w:r w:rsidRPr="00A57506">
        <w:rPr>
          <w:lang w:val="en"/>
        </w:rPr>
        <w:t>'s analysis.</w:t>
      </w:r>
    </w:p>
    <w:p w14:paraId="448B6081" w14:textId="77777777" w:rsidR="00A57506" w:rsidRPr="00A57506" w:rsidRDefault="00A57506" w:rsidP="00A57506">
      <w:pPr>
        <w:tabs>
          <w:tab w:val="clear" w:pos="567"/>
        </w:tabs>
        <w:rPr>
          <w:lang w:val="en-US"/>
        </w:rPr>
      </w:pPr>
      <w:r w:rsidRPr="00A57506">
        <w:rPr>
          <w:lang w:val="en"/>
        </w:rPr>
        <w:t xml:space="preserve">An analysis of the privatization process shows that there are a number of </w:t>
      </w:r>
      <w:r w:rsidRPr="00A57506">
        <w:rPr>
          <w:b/>
          <w:lang w:val="en"/>
        </w:rPr>
        <w:t>problems</w:t>
      </w:r>
      <w:r w:rsidRPr="00A57506">
        <w:rPr>
          <w:lang w:val="en"/>
        </w:rPr>
        <w:t xml:space="preserve"> arising from the sale of state assets. Due to the lack of clear criteria, privatization plans are formed on a residual principle or on the basis of the results of an independent assessment that does not take into account the issues of competition development:</w:t>
      </w:r>
    </w:p>
    <w:p w14:paraId="320218BE" w14:textId="77777777" w:rsidR="00A57506" w:rsidRPr="00A57506" w:rsidRDefault="00A57506" w:rsidP="00A57506">
      <w:pPr>
        <w:tabs>
          <w:tab w:val="clear" w:pos="567"/>
        </w:tabs>
        <w:rPr>
          <w:lang w:val="en-US"/>
        </w:rPr>
      </w:pPr>
      <w:r w:rsidRPr="00A57506">
        <w:rPr>
          <w:lang w:val="en"/>
        </w:rPr>
        <w:t xml:space="preserve">1) in the first case, the objects of privatization are unprofitable enterprises providing social services </w:t>
      </w:r>
      <w:r w:rsidRPr="00A57506">
        <w:rPr>
          <w:i/>
          <w:sz w:val="24"/>
          <w:lang w:val="en"/>
        </w:rPr>
        <w:t>(facilities of life support, culture, sports, education)</w:t>
      </w:r>
      <w:r w:rsidRPr="00A57506">
        <w:rPr>
          <w:lang w:val="en"/>
        </w:rPr>
        <w:t xml:space="preserve"> and, if the object is not sold at the end of three tenders, it is subject to liquidation according to the requirements of the laws. In some cases, due to the lack of alternative suppliers, local executive bodies are forced to reestablish state-owned enterprises carrying out the same types of activities; </w:t>
      </w:r>
    </w:p>
    <w:p w14:paraId="157C0FBC" w14:textId="0E95AB0C" w:rsidR="00A57506" w:rsidRPr="00A57506" w:rsidRDefault="00A57506" w:rsidP="00A57506">
      <w:pPr>
        <w:tabs>
          <w:tab w:val="clear" w:pos="567"/>
        </w:tabs>
        <w:rPr>
          <w:lang w:val="en-US"/>
        </w:rPr>
      </w:pPr>
      <w:r w:rsidRPr="00A57506">
        <w:rPr>
          <w:lang w:val="en"/>
        </w:rPr>
        <w:t xml:space="preserve">2) in the second case, to maximize profits, vertically integrated structures of Samruk-Energy JSC type are included in the privatization plan as one lot. This leads to the establishment of new "private monopolies" or to the strengthening of the position of the existing dominants. </w:t>
      </w:r>
    </w:p>
    <w:p w14:paraId="5374698D" w14:textId="77777777" w:rsidR="00A57506" w:rsidRPr="00A57506" w:rsidRDefault="00A57506" w:rsidP="00A57506">
      <w:pPr>
        <w:tabs>
          <w:tab w:val="clear" w:pos="567"/>
        </w:tabs>
        <w:rPr>
          <w:lang w:val="en-US"/>
        </w:rPr>
      </w:pPr>
      <w:r w:rsidRPr="00A57506">
        <w:rPr>
          <w:lang w:val="en"/>
        </w:rPr>
        <w:t>To systematize and prevent similar facts in the future, the Agency has proposed a number of measures:</w:t>
      </w:r>
    </w:p>
    <w:p w14:paraId="3402204A" w14:textId="36277C95" w:rsidR="00A57506" w:rsidRPr="00A57506" w:rsidRDefault="00A57506" w:rsidP="00A57506">
      <w:pPr>
        <w:tabs>
          <w:tab w:val="clear" w:pos="567"/>
        </w:tabs>
        <w:rPr>
          <w:lang w:val="en-US"/>
        </w:rPr>
      </w:pPr>
      <w:r w:rsidRPr="00A57506">
        <w:rPr>
          <w:lang w:val="en"/>
        </w:rPr>
        <w:t xml:space="preserve">1) legislative regulation of the procedure for forming a privatization plan </w:t>
      </w:r>
      <w:r w:rsidRPr="00A57506">
        <w:rPr>
          <w:b/>
          <w:lang w:val="en"/>
        </w:rPr>
        <w:t xml:space="preserve">in coordination with the </w:t>
      </w:r>
      <w:r>
        <w:rPr>
          <w:b/>
          <w:lang w:val="en"/>
        </w:rPr>
        <w:t>Antimonopoly Authority</w:t>
      </w:r>
      <w:r w:rsidRPr="00A57506">
        <w:rPr>
          <w:lang w:val="en"/>
        </w:rPr>
        <w:t>. Before the financial assessment of the object, the Agency will make proposals on sale options, taking into account the current market structure;</w:t>
      </w:r>
    </w:p>
    <w:p w14:paraId="509D7718" w14:textId="77777777" w:rsidR="00A57506" w:rsidRPr="00A57506" w:rsidRDefault="00A57506" w:rsidP="00A57506">
      <w:pPr>
        <w:tabs>
          <w:tab w:val="clear" w:pos="567"/>
        </w:tabs>
        <w:rPr>
          <w:lang w:val="en-US"/>
        </w:rPr>
      </w:pPr>
      <w:r w:rsidRPr="00A57506">
        <w:rPr>
          <w:lang w:val="en"/>
        </w:rPr>
        <w:t>2) consolidation of the "</w:t>
      </w:r>
      <w:r w:rsidRPr="00A57506">
        <w:rPr>
          <w:b/>
          <w:lang w:val="en"/>
        </w:rPr>
        <w:t>privatization on application</w:t>
      </w:r>
      <w:r w:rsidRPr="00A57506">
        <w:rPr>
          <w:lang w:val="en"/>
        </w:rPr>
        <w:t>" principle, which gives the entrepreneur the right to choose the object of privatization. If case of a private initiative, the object can be sold;</w:t>
      </w:r>
    </w:p>
    <w:p w14:paraId="43EEC71C" w14:textId="77777777" w:rsidR="00A57506" w:rsidRPr="00A57506" w:rsidRDefault="00A57506" w:rsidP="00A57506">
      <w:pPr>
        <w:tabs>
          <w:tab w:val="clear" w:pos="567"/>
        </w:tabs>
        <w:rPr>
          <w:lang w:val="en-US"/>
        </w:rPr>
      </w:pPr>
      <w:r w:rsidRPr="00A57506">
        <w:rPr>
          <w:lang w:val="en"/>
        </w:rPr>
        <w:t xml:space="preserve">3) to ensure transparency of decisions of the State Commission on Economic Modernization in terms of approval of direct targeted sales or exclusion of objects from the privatization plan, the Agency proposed to make publicly available the relevant </w:t>
      </w:r>
      <w:r w:rsidRPr="00A57506">
        <w:rPr>
          <w:b/>
          <w:lang w:val="en"/>
        </w:rPr>
        <w:t>justifications</w:t>
      </w:r>
      <w:r w:rsidRPr="00A57506">
        <w:rPr>
          <w:lang w:val="en"/>
        </w:rPr>
        <w:t xml:space="preserve"> signed by the CEO of the authorized state body;</w:t>
      </w:r>
    </w:p>
    <w:p w14:paraId="3A594C86" w14:textId="5D22C88F" w:rsidR="00A57506" w:rsidRPr="00A57506" w:rsidRDefault="00A57506" w:rsidP="00A57506">
      <w:pPr>
        <w:tabs>
          <w:tab w:val="clear" w:pos="567"/>
        </w:tabs>
        <w:rPr>
          <w:lang w:val="en-US"/>
        </w:rPr>
      </w:pPr>
      <w:r w:rsidRPr="00A57506">
        <w:rPr>
          <w:lang w:val="en"/>
        </w:rPr>
        <w:t xml:space="preserve">4) the proposals of the </w:t>
      </w:r>
      <w:r>
        <w:rPr>
          <w:lang w:val="en"/>
        </w:rPr>
        <w:t>Antimonopoly Authority</w:t>
      </w:r>
      <w:r w:rsidRPr="00A57506">
        <w:rPr>
          <w:lang w:val="en"/>
        </w:rPr>
        <w:t xml:space="preserve"> based on the results of </w:t>
      </w:r>
      <w:r w:rsidRPr="00A57506">
        <w:rPr>
          <w:b/>
          <w:lang w:val="en"/>
        </w:rPr>
        <w:t>the sectoral analysis</w:t>
      </w:r>
      <w:r w:rsidRPr="00A57506">
        <w:rPr>
          <w:lang w:val="en"/>
        </w:rPr>
        <w:t xml:space="preserve"> will be a mandatory basis for inclusion in the privatization plan. </w:t>
      </w:r>
    </w:p>
    <w:p w14:paraId="0ED971DF" w14:textId="77777777" w:rsidR="00A57506" w:rsidRPr="00A57506" w:rsidRDefault="00A57506" w:rsidP="00A57506">
      <w:pPr>
        <w:tabs>
          <w:tab w:val="clear" w:pos="567"/>
        </w:tabs>
        <w:rPr>
          <w:lang w:val="en-US"/>
        </w:rPr>
      </w:pPr>
      <w:r w:rsidRPr="00A57506">
        <w:rPr>
          <w:lang w:val="en"/>
        </w:rPr>
        <w:lastRenderedPageBreak/>
        <w:t>Relevant amendments were made to the draft Law "On Amendments and Supplements to Some Legislative Acts of the Republic of Kazakhstan on the Development of the Quasi-Public Sector", developed by the Ministry of National Economy.</w:t>
      </w:r>
    </w:p>
    <w:p w14:paraId="46F22C89" w14:textId="77777777" w:rsidR="00A57506" w:rsidRPr="00A57506" w:rsidRDefault="00A57506" w:rsidP="00A57506">
      <w:pPr>
        <w:tabs>
          <w:tab w:val="clear" w:pos="567"/>
        </w:tabs>
        <w:rPr>
          <w:lang w:val="en-US"/>
        </w:rPr>
      </w:pPr>
      <w:r w:rsidRPr="00A57506">
        <w:rPr>
          <w:lang w:val="en"/>
        </w:rPr>
        <w:t xml:space="preserve">At the same time, there is a tendency </w:t>
      </w:r>
      <w:r w:rsidRPr="00A57506">
        <w:rPr>
          <w:b/>
          <w:lang w:val="en"/>
        </w:rPr>
        <w:t>to reduce the Privatization Plan</w:t>
      </w:r>
      <w:r w:rsidRPr="00A57506">
        <w:rPr>
          <w:lang w:val="en"/>
        </w:rPr>
        <w:t xml:space="preserve">. This is due to the initiatives of state authorities to exclude enterprises from the Privatization Plan for various reasons and reluctance to include new ones. As a result, in a short period of time, </w:t>
      </w:r>
      <w:r w:rsidRPr="00A57506">
        <w:rPr>
          <w:b/>
          <w:lang w:val="en"/>
        </w:rPr>
        <w:t>without</w:t>
      </w:r>
      <w:r w:rsidRPr="00A57506">
        <w:rPr>
          <w:lang w:val="en"/>
        </w:rPr>
        <w:t xml:space="preserve"> analytical assessment and without taking into account the market structure, decisions are made on the expediency of filling the Privatization Plan or excluding a number of companies from it.</w:t>
      </w:r>
    </w:p>
    <w:p w14:paraId="53A36A45" w14:textId="17757823" w:rsidR="00A57506" w:rsidRPr="00A57506" w:rsidRDefault="00A57506" w:rsidP="00A57506">
      <w:pPr>
        <w:tabs>
          <w:tab w:val="clear" w:pos="567"/>
        </w:tabs>
        <w:rPr>
          <w:lang w:val="en-US"/>
        </w:rPr>
      </w:pPr>
      <w:r w:rsidRPr="00A57506">
        <w:rPr>
          <w:lang w:val="en"/>
        </w:rPr>
        <w:t xml:space="preserve">The role of the </w:t>
      </w:r>
      <w:r>
        <w:rPr>
          <w:lang w:val="en"/>
        </w:rPr>
        <w:t>Antimonopoly Authority</w:t>
      </w:r>
      <w:r w:rsidRPr="00A57506">
        <w:rPr>
          <w:lang w:val="en"/>
        </w:rPr>
        <w:t xml:space="preserve"> in the privatization process is to submit proposals to the Government for the transfer of quasi-public entities to the competitive environment. However, the individual </w:t>
      </w:r>
      <w:r w:rsidRPr="00A57506">
        <w:rPr>
          <w:b/>
          <w:lang w:val="en"/>
        </w:rPr>
        <w:t>privatization proposals of the Agency are not supported</w:t>
      </w:r>
      <w:r w:rsidRPr="00A57506">
        <w:rPr>
          <w:lang w:val="en"/>
        </w:rPr>
        <w:t xml:space="preserve">. So, for example, according to the results of the sectoral </w:t>
      </w:r>
      <w:r w:rsidRPr="00A57506">
        <w:rPr>
          <w:color w:val="000000"/>
          <w:vertAlign w:val="superscript"/>
        </w:rPr>
        <w:footnoteReference w:id="5"/>
      </w:r>
      <w:r w:rsidRPr="00A57506">
        <w:rPr>
          <w:lang w:val="en"/>
        </w:rPr>
        <w:t xml:space="preserve">and antitrust analyses conducted at the end of 2021, 91 enterprises were proposed to the Government for privatization, of which </w:t>
      </w:r>
      <w:r w:rsidRPr="00A57506">
        <w:rPr>
          <w:b/>
          <w:lang w:val="en"/>
        </w:rPr>
        <w:t>only 12 were supported</w:t>
      </w:r>
      <w:r w:rsidRPr="00A57506">
        <w:rPr>
          <w:lang w:val="en"/>
        </w:rPr>
        <w:t xml:space="preserve">. In 2022, as part of the implementation of the </w:t>
      </w:r>
      <w:r w:rsidRPr="00A57506">
        <w:rPr>
          <w:bCs/>
          <w:iCs/>
          <w:color w:val="000000"/>
          <w:lang w:val="en"/>
        </w:rPr>
        <w:t>National Entrepreneurship Development Project</w:t>
      </w:r>
      <w:r w:rsidRPr="00A57506">
        <w:rPr>
          <w:color w:val="000000"/>
          <w:vertAlign w:val="superscript"/>
        </w:rPr>
        <w:footnoteReference w:id="6"/>
      </w:r>
      <w:r w:rsidRPr="00A57506">
        <w:rPr>
          <w:lang w:val="en"/>
        </w:rPr>
        <w:t xml:space="preserve"> </w:t>
      </w:r>
      <w:r w:rsidRPr="00A57506">
        <w:rPr>
          <w:bCs/>
          <w:i/>
          <w:color w:val="000000"/>
          <w:sz w:val="24"/>
          <w:lang w:val="en"/>
        </w:rPr>
        <w:t>(hereinafter referred to as the National Project)</w:t>
      </w:r>
      <w:r w:rsidRPr="00A57506">
        <w:rPr>
          <w:bCs/>
          <w:color w:val="000000"/>
          <w:lang w:val="en"/>
        </w:rPr>
        <w:t>,</w:t>
      </w:r>
      <w:r w:rsidRPr="00A57506">
        <w:rPr>
          <w:lang w:val="en"/>
        </w:rPr>
        <w:t xml:space="preserve"> as well as taking into account the instructions of the Head of State, work was completed to improve the current methodology of sectoral analysis. As a result, a list of 100 quasi-public sector entities to be privatized was determined. </w:t>
      </w:r>
    </w:p>
    <w:p w14:paraId="3F30C57D" w14:textId="77777777" w:rsidR="00A57506" w:rsidRPr="00A57506" w:rsidRDefault="00A57506" w:rsidP="00A57506">
      <w:pPr>
        <w:tabs>
          <w:tab w:val="clear" w:pos="567"/>
        </w:tabs>
        <w:rPr>
          <w:i/>
          <w:sz w:val="24"/>
          <w:lang w:val="en-US"/>
        </w:rPr>
      </w:pPr>
      <w:r w:rsidRPr="00A57506">
        <w:rPr>
          <w:b/>
          <w:i/>
          <w:sz w:val="24"/>
          <w:lang w:val="en"/>
        </w:rPr>
        <w:t>For reference</w:t>
      </w:r>
      <w:r w:rsidRPr="00A57506">
        <w:rPr>
          <w:i/>
          <w:sz w:val="24"/>
          <w:lang w:val="en"/>
        </w:rPr>
        <w:t>: the list includes entities providing services in the following sectors: information and communication, construction; agriculture, forestry and fishery; transport and warehousing; financial and insurance, as well as provision of other types of services.</w:t>
      </w:r>
    </w:p>
    <w:p w14:paraId="4D151FE1" w14:textId="77777777" w:rsidR="00A57506" w:rsidRPr="00A57506" w:rsidRDefault="00A57506" w:rsidP="00A57506">
      <w:pPr>
        <w:tabs>
          <w:tab w:val="clear" w:pos="567"/>
        </w:tabs>
        <w:rPr>
          <w:lang w:val="en-US"/>
        </w:rPr>
      </w:pPr>
      <w:r w:rsidRPr="00A57506">
        <w:rPr>
          <w:lang w:val="en"/>
        </w:rPr>
        <w:t>At the same time, based on the results of antitrust analyses, the Agency proposed to include 5 market players in information technologies, communications and transport into the Comprehensive Privatization Plan.</w:t>
      </w:r>
    </w:p>
    <w:p w14:paraId="3E74E1EA" w14:textId="77777777" w:rsidR="00A57506" w:rsidRPr="00A57506" w:rsidRDefault="00A57506" w:rsidP="00A57506">
      <w:pPr>
        <w:tabs>
          <w:tab w:val="clear" w:pos="567"/>
        </w:tabs>
        <w:rPr>
          <w:lang w:val="en-US"/>
        </w:rPr>
      </w:pPr>
      <w:r w:rsidRPr="00A57506">
        <w:rPr>
          <w:lang w:val="en"/>
        </w:rPr>
        <w:t xml:space="preserve">Thus, based on the results of the analytical work carried out by the Agency in 2022, </w:t>
      </w:r>
      <w:r w:rsidRPr="00A57506">
        <w:rPr>
          <w:b/>
          <w:lang w:val="en"/>
        </w:rPr>
        <w:t>105 enterprises</w:t>
      </w:r>
      <w:r w:rsidRPr="00A57506">
        <w:rPr>
          <w:lang w:val="en"/>
        </w:rPr>
        <w:t xml:space="preserve"> were proposed for privatization. However, the issue is still being worked out.</w:t>
      </w:r>
    </w:p>
    <w:p w14:paraId="250BAC6B" w14:textId="77777777" w:rsidR="00A57506" w:rsidRPr="00A57506" w:rsidRDefault="00A57506" w:rsidP="00A57506">
      <w:pPr>
        <w:spacing w:before="120"/>
        <w:rPr>
          <w:b/>
          <w:i/>
          <w:color w:val="000000"/>
          <w:lang w:val="en-US"/>
        </w:rPr>
      </w:pPr>
      <w:r w:rsidRPr="00A57506">
        <w:rPr>
          <w:b/>
          <w:i/>
          <w:color w:val="000000"/>
          <w:lang w:val="en"/>
        </w:rPr>
        <w:t>Reducing the list of activities authorized for quasi-public sector entities</w:t>
      </w:r>
      <w:r w:rsidRPr="00A57506">
        <w:rPr>
          <w:color w:val="000000"/>
          <w:vertAlign w:val="superscript"/>
        </w:rPr>
        <w:footnoteReference w:id="7"/>
      </w:r>
    </w:p>
    <w:p w14:paraId="4BE2599D" w14:textId="77777777" w:rsidR="00A57506" w:rsidRPr="00A57506" w:rsidRDefault="00A57506" w:rsidP="00A57506">
      <w:pPr>
        <w:tabs>
          <w:tab w:val="clear" w:pos="567"/>
        </w:tabs>
        <w:rPr>
          <w:lang w:val="en-US"/>
        </w:rPr>
      </w:pPr>
      <w:r w:rsidRPr="00A57506">
        <w:rPr>
          <w:lang w:val="en"/>
        </w:rPr>
        <w:t>In 2022, based on the results of the analysis, the Agency established the absence of quasi-public sector entities for certain types of activities or the presence of only one quasi-public sector entity in the relevant commodity markets for 45 types of activities.</w:t>
      </w:r>
    </w:p>
    <w:p w14:paraId="4594C695" w14:textId="77777777" w:rsidR="00A57506" w:rsidRPr="00A57506" w:rsidRDefault="00A57506" w:rsidP="00A57506">
      <w:pPr>
        <w:tabs>
          <w:tab w:val="clear" w:pos="567"/>
        </w:tabs>
        <w:rPr>
          <w:lang w:val="en-US"/>
        </w:rPr>
      </w:pPr>
      <w:r w:rsidRPr="00A57506">
        <w:rPr>
          <w:lang w:val="en"/>
        </w:rPr>
        <w:t>In this regard, at the initiative of the Agency, on 21 July 2022, the Government Resolution was adopted</w:t>
      </w:r>
      <w:r w:rsidRPr="00A57506">
        <w:rPr>
          <w:color w:val="000000"/>
          <w:vertAlign w:val="superscript"/>
        </w:rPr>
        <w:footnoteReference w:id="8"/>
      </w:r>
      <w:r w:rsidRPr="00A57506">
        <w:rPr>
          <w:lang w:val="en"/>
        </w:rPr>
        <w:t xml:space="preserve">, providing for </w:t>
      </w:r>
      <w:r w:rsidRPr="00A57506">
        <w:rPr>
          <w:b/>
          <w:lang w:val="en"/>
        </w:rPr>
        <w:t xml:space="preserve">the reduction of the List of activities carried </w:t>
      </w:r>
      <w:r w:rsidRPr="00A57506">
        <w:rPr>
          <w:b/>
          <w:lang w:val="en"/>
        </w:rPr>
        <w:lastRenderedPageBreak/>
        <w:t>out by state-owned enterprises, legal entities with more than fifty percent of shares (interests in the share capital) owned by the state, and their affiliates</w:t>
      </w:r>
      <w:r w:rsidRPr="00A57506">
        <w:rPr>
          <w:lang w:val="en"/>
        </w:rPr>
        <w:t xml:space="preserve"> </w:t>
      </w:r>
      <w:r w:rsidRPr="00A57506">
        <w:rPr>
          <w:i/>
          <w:sz w:val="24"/>
          <w:szCs w:val="24"/>
          <w:lang w:val="en"/>
        </w:rPr>
        <w:t>(hereinafter referred to as the List 1095)</w:t>
      </w:r>
      <w:r w:rsidRPr="00A57506">
        <w:rPr>
          <w:lang w:val="en"/>
        </w:rPr>
        <w:t xml:space="preserve">, </w:t>
      </w:r>
      <w:r w:rsidRPr="00A57506">
        <w:rPr>
          <w:b/>
          <w:lang w:val="en"/>
        </w:rPr>
        <w:t>by 45 types of activities</w:t>
      </w:r>
      <w:r w:rsidRPr="00A57506">
        <w:rPr>
          <w:lang w:val="en"/>
        </w:rPr>
        <w:t xml:space="preserve"> </w:t>
      </w:r>
      <w:r w:rsidRPr="00A57506">
        <w:rPr>
          <w:i/>
          <w:sz w:val="24"/>
          <w:lang w:val="en"/>
        </w:rPr>
        <w:t>(by 11%)</w:t>
      </w:r>
      <w:r w:rsidRPr="00A57506">
        <w:rPr>
          <w:lang w:val="en"/>
        </w:rPr>
        <w:t xml:space="preserve">, including in the fields of industry, construction, finance, consulting services, transportation. Thus, out of 410 previously authorized activities, </w:t>
      </w:r>
      <w:r w:rsidRPr="00A57506">
        <w:rPr>
          <w:b/>
          <w:bCs/>
          <w:lang w:val="en"/>
        </w:rPr>
        <w:t>365</w:t>
      </w:r>
      <w:r w:rsidRPr="00A57506">
        <w:rPr>
          <w:lang w:val="en"/>
        </w:rPr>
        <w:t xml:space="preserve"> will be authorized for quasi-public sector entities today </w:t>
      </w:r>
      <w:r w:rsidRPr="00A57506">
        <w:rPr>
          <w:i/>
          <w:sz w:val="24"/>
          <w:lang w:val="en"/>
        </w:rPr>
        <w:t>(Figure 2)</w:t>
      </w:r>
      <w:r w:rsidRPr="00A57506">
        <w:rPr>
          <w:lang w:val="en"/>
        </w:rPr>
        <w:t xml:space="preserve">. </w:t>
      </w:r>
    </w:p>
    <w:p w14:paraId="77932734" w14:textId="77777777" w:rsidR="00A57506" w:rsidRPr="00A57506" w:rsidRDefault="00A57506" w:rsidP="00A57506">
      <w:pPr>
        <w:tabs>
          <w:tab w:val="clear" w:pos="567"/>
        </w:tabs>
        <w:ind w:firstLine="0"/>
        <w:rPr>
          <w:lang w:val="en-US"/>
        </w:rPr>
      </w:pPr>
      <w:r w:rsidRPr="00A57506">
        <w:rPr>
          <w:noProof/>
        </w:rPr>
        <w:drawing>
          <wp:anchor distT="0" distB="0" distL="114300" distR="114300" simplePos="0" relativeHeight="251664384" behindDoc="0" locked="0" layoutInCell="1" allowOverlap="1" wp14:anchorId="20BC6A06" wp14:editId="773C1F40">
            <wp:simplePos x="0" y="0"/>
            <wp:positionH relativeFrom="margin">
              <wp:align>left</wp:align>
            </wp:positionH>
            <wp:positionV relativeFrom="paragraph">
              <wp:posOffset>205105</wp:posOffset>
            </wp:positionV>
            <wp:extent cx="6107430" cy="1043305"/>
            <wp:effectExtent l="0" t="0" r="7620" b="4445"/>
            <wp:wrapThrough wrapText="bothSides">
              <wp:wrapPolygon edited="0">
                <wp:start x="0" y="0"/>
                <wp:lineTo x="0" y="21298"/>
                <wp:lineTo x="21560" y="21298"/>
                <wp:lineTo x="21560" y="0"/>
                <wp:lineTo x="0" y="0"/>
              </wp:wrapPolygon>
            </wp:wrapThrough>
            <wp:docPr id="5" name="Диаграмма 5">
              <a:extLst xmlns:a="http://schemas.openxmlformats.org/drawingml/2006/main">
                <a:ext uri="{FF2B5EF4-FFF2-40B4-BE49-F238E27FC236}">
                  <a16:creationId xmlns:a16="http://schemas.microsoft.com/office/drawing/2014/main" id="{D14E8ADE-0814-4D9A-9AF7-FC37D57B4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6353F75D" w14:textId="77777777" w:rsidR="00A57506" w:rsidRPr="00A57506" w:rsidRDefault="00A57506" w:rsidP="00A57506">
      <w:pPr>
        <w:tabs>
          <w:tab w:val="clear" w:pos="567"/>
        </w:tabs>
        <w:spacing w:before="240" w:after="240"/>
        <w:ind w:firstLine="0"/>
        <w:jc w:val="center"/>
        <w:rPr>
          <w:lang w:val="en-US"/>
        </w:rPr>
      </w:pPr>
      <w:r w:rsidRPr="00A57506">
        <w:rPr>
          <w:lang w:val="en"/>
        </w:rPr>
        <w:t xml:space="preserve">Figure </w:t>
      </w:r>
      <w:r w:rsidRPr="00A57506">
        <w:fldChar w:fldCharType="begin"/>
      </w:r>
      <w:r w:rsidRPr="00A57506">
        <w:rPr>
          <w:lang w:val="en"/>
        </w:rPr>
        <w:instrText xml:space="preserve"> SEQ Рис. \* ARABIC </w:instrText>
      </w:r>
      <w:r w:rsidRPr="00A57506">
        <w:fldChar w:fldCharType="separate"/>
      </w:r>
      <w:r w:rsidRPr="00A57506">
        <w:rPr>
          <w:lang w:val="en"/>
        </w:rPr>
        <w:t>2</w:t>
      </w:r>
      <w:r w:rsidRPr="00A57506">
        <w:rPr>
          <w:noProof/>
        </w:rPr>
        <w:fldChar w:fldCharType="end"/>
      </w:r>
      <w:r w:rsidRPr="00A57506">
        <w:rPr>
          <w:lang w:val="en"/>
        </w:rPr>
        <w:t>– Number of authorized activities.</w:t>
      </w:r>
    </w:p>
    <w:p w14:paraId="2745A632" w14:textId="77777777" w:rsidR="00A57506" w:rsidRPr="00A57506" w:rsidRDefault="00A57506" w:rsidP="00A57506">
      <w:pPr>
        <w:tabs>
          <w:tab w:val="clear" w:pos="567"/>
        </w:tabs>
        <w:rPr>
          <w:color w:val="000000"/>
          <w:lang w:val="en-US" w:eastAsia="ar-SA"/>
        </w:rPr>
      </w:pPr>
      <w:r w:rsidRPr="00A57506">
        <w:rPr>
          <w:color w:val="000000"/>
          <w:lang w:val="en" w:eastAsia="ar-SA"/>
        </w:rPr>
        <w:t xml:space="preserve">However, despite the reduction of the 1095 List, </w:t>
      </w:r>
      <w:r w:rsidRPr="00A57506">
        <w:rPr>
          <w:b/>
          <w:color w:val="000000"/>
          <w:lang w:val="en" w:eastAsia="ar-SA"/>
        </w:rPr>
        <w:t>the establishment of new quasi-public sector entities continues</w:t>
      </w:r>
      <w:r w:rsidRPr="00A57506">
        <w:rPr>
          <w:color w:val="000000"/>
          <w:lang w:val="en" w:eastAsia="ar-SA"/>
        </w:rPr>
        <w:t>. This has been facilitated, inter alia, by the expiration of the moratorium on the establishment of quasi-public sector entities in December 2021</w:t>
      </w:r>
      <w:r w:rsidRPr="00A57506">
        <w:rPr>
          <w:color w:val="000000"/>
          <w:vertAlign w:val="superscript"/>
        </w:rPr>
        <w:footnoteReference w:id="9"/>
      </w:r>
      <w:r w:rsidRPr="00A57506">
        <w:rPr>
          <w:color w:val="000000"/>
          <w:lang w:val="en" w:eastAsia="ar-SA"/>
        </w:rPr>
        <w:t xml:space="preserve">. During the moratorium period from 2019 to 2022, the establishment of quasi-public sector entities decreased by an average of </w:t>
      </w:r>
      <w:r w:rsidRPr="00A57506">
        <w:rPr>
          <w:b/>
          <w:color w:val="000000"/>
          <w:lang w:val="en" w:eastAsia="ar-SA"/>
        </w:rPr>
        <w:t>50%</w:t>
      </w:r>
      <w:r w:rsidRPr="00A57506">
        <w:rPr>
          <w:color w:val="000000"/>
          <w:lang w:val="en" w:eastAsia="ar-SA"/>
        </w:rPr>
        <w:t xml:space="preserve">. At the same time, after the moratorium expired, the number of quasi-public sector entities established </w:t>
      </w:r>
      <w:r w:rsidRPr="00A57506">
        <w:rPr>
          <w:b/>
          <w:color w:val="000000"/>
          <w:lang w:val="en" w:eastAsia="ar-SA"/>
        </w:rPr>
        <w:t>exceeded</w:t>
      </w:r>
      <w:r w:rsidRPr="00A57506">
        <w:rPr>
          <w:color w:val="000000"/>
          <w:lang w:val="en" w:eastAsia="ar-SA"/>
        </w:rPr>
        <w:t xml:space="preserve"> the number of privatized enterprises. </w:t>
      </w:r>
    </w:p>
    <w:p w14:paraId="360585DC" w14:textId="77777777" w:rsidR="00A57506" w:rsidRPr="00A57506" w:rsidRDefault="00A57506" w:rsidP="00A57506">
      <w:pPr>
        <w:spacing w:before="120"/>
        <w:rPr>
          <w:b/>
          <w:i/>
          <w:color w:val="000000"/>
          <w:lang w:val="en-US"/>
        </w:rPr>
      </w:pPr>
      <w:r w:rsidRPr="00A57506">
        <w:rPr>
          <w:b/>
          <w:i/>
          <w:color w:val="000000"/>
          <w:lang w:val="en"/>
        </w:rPr>
        <w:t xml:space="preserve">Monitoring of activities </w:t>
      </w:r>
    </w:p>
    <w:p w14:paraId="0CED1D85" w14:textId="0829EB4C" w:rsidR="00A57506" w:rsidRPr="00A57506" w:rsidRDefault="00A57506" w:rsidP="00A57506">
      <w:pPr>
        <w:tabs>
          <w:tab w:val="clear" w:pos="567"/>
        </w:tabs>
        <w:rPr>
          <w:lang w:val="en-US"/>
        </w:rPr>
      </w:pPr>
      <w:r w:rsidRPr="00A57506">
        <w:rPr>
          <w:lang w:val="en"/>
        </w:rPr>
        <w:t xml:space="preserve">At the beginning of 2022, the </w:t>
      </w:r>
      <w:r>
        <w:rPr>
          <w:lang w:val="en"/>
        </w:rPr>
        <w:t>Antimonopoly Authority</w:t>
      </w:r>
      <w:r w:rsidRPr="00A57506">
        <w:rPr>
          <w:lang w:val="en"/>
        </w:rPr>
        <w:t xml:space="preserve"> was empowered </w:t>
      </w:r>
      <w:r w:rsidRPr="00A57506">
        <w:rPr>
          <w:b/>
          <w:lang w:val="en"/>
        </w:rPr>
        <w:t>to monitor</w:t>
      </w:r>
      <w:r w:rsidRPr="00A57506">
        <w:rPr>
          <w:lang w:val="en"/>
        </w:rPr>
        <w:t xml:space="preserve"> the activities of quasi-public entities for obtaining the approval from the </w:t>
      </w:r>
      <w:r>
        <w:rPr>
          <w:lang w:val="en"/>
        </w:rPr>
        <w:t>Antimonopoly Authority</w:t>
      </w:r>
      <w:r w:rsidRPr="00A57506">
        <w:rPr>
          <w:lang w:val="en"/>
        </w:rPr>
        <w:t xml:space="preserve"> when establishing, expanding and</w:t>
      </w:r>
      <w:r w:rsidRPr="00A57506">
        <w:rPr>
          <w:i/>
          <w:sz w:val="24"/>
          <w:szCs w:val="24"/>
          <w:lang w:val="en"/>
        </w:rPr>
        <w:t>(or)</w:t>
      </w:r>
      <w:r w:rsidRPr="00A57506">
        <w:rPr>
          <w:lang w:val="en"/>
        </w:rPr>
        <w:t xml:space="preserve"> changing the activities carried out, as well as carrying out exclusively those activities for which the approval from the </w:t>
      </w:r>
      <w:r>
        <w:rPr>
          <w:lang w:val="en"/>
        </w:rPr>
        <w:t>Antimonopoly Authority</w:t>
      </w:r>
      <w:r w:rsidRPr="00A57506">
        <w:rPr>
          <w:lang w:val="en"/>
        </w:rPr>
        <w:t xml:space="preserve"> has been obtained</w:t>
      </w:r>
      <w:r w:rsidRPr="00A57506">
        <w:rPr>
          <w:color w:val="000000"/>
          <w:vertAlign w:val="superscript"/>
        </w:rPr>
        <w:footnoteReference w:id="10"/>
      </w:r>
      <w:r w:rsidRPr="00A57506">
        <w:rPr>
          <w:lang w:val="en"/>
        </w:rPr>
        <w:t>.</w:t>
      </w:r>
    </w:p>
    <w:p w14:paraId="7F922D90" w14:textId="77777777" w:rsidR="00A57506" w:rsidRPr="00A57506" w:rsidRDefault="00A57506" w:rsidP="00A57506">
      <w:pPr>
        <w:tabs>
          <w:tab w:val="clear" w:pos="567"/>
        </w:tabs>
        <w:rPr>
          <w:lang w:val="en-US"/>
        </w:rPr>
      </w:pPr>
      <w:r w:rsidRPr="00A57506">
        <w:rPr>
          <w:lang w:val="en"/>
        </w:rPr>
        <w:t xml:space="preserve">In accordance with </w:t>
      </w:r>
      <w:r w:rsidRPr="00A57506">
        <w:rPr>
          <w:b/>
          <w:lang w:val="en"/>
        </w:rPr>
        <w:t>the schedule for 2022</w:t>
      </w:r>
      <w:r w:rsidRPr="00A57506">
        <w:rPr>
          <w:lang w:val="en"/>
        </w:rPr>
        <w:t xml:space="preserve">, monitoring was carried out at National Company Kazakhstan Temir Zholy JSC </w:t>
      </w:r>
      <w:r w:rsidRPr="00A57506">
        <w:rPr>
          <w:i/>
          <w:sz w:val="24"/>
          <w:lang w:val="en"/>
        </w:rPr>
        <w:t>(hereinafter referred to as KTZ)</w:t>
      </w:r>
      <w:r w:rsidRPr="00A57506">
        <w:rPr>
          <w:lang w:val="en"/>
        </w:rPr>
        <w:t>. It was found that the statutory activities of KTZ, including its affiliates, totaled more than 400 activities.</w:t>
      </w:r>
    </w:p>
    <w:p w14:paraId="25EADAA3" w14:textId="77777777" w:rsidR="00A57506" w:rsidRPr="00A57506" w:rsidRDefault="00A57506" w:rsidP="00A57506">
      <w:pPr>
        <w:tabs>
          <w:tab w:val="clear" w:pos="567"/>
        </w:tabs>
        <w:rPr>
          <w:i/>
          <w:sz w:val="24"/>
          <w:szCs w:val="24"/>
          <w:lang w:val="en-US"/>
        </w:rPr>
      </w:pPr>
      <w:r w:rsidRPr="00A57506">
        <w:rPr>
          <w:b/>
          <w:i/>
          <w:sz w:val="24"/>
          <w:szCs w:val="24"/>
          <w:lang w:val="en"/>
        </w:rPr>
        <w:t>For reference</w:t>
      </w:r>
      <w:r w:rsidRPr="00A57506">
        <w:rPr>
          <w:i/>
          <w:sz w:val="24"/>
          <w:szCs w:val="24"/>
          <w:lang w:val="en"/>
        </w:rPr>
        <w:t>: out of 42 companies 14 companies are not covered by the monitoring, including: 7 non-residents of the Republic of Kazakhstan, and 7 joint ventures with no more than 50 percent of shares (interests).</w:t>
      </w:r>
    </w:p>
    <w:p w14:paraId="3DD2534A" w14:textId="382FA9D1" w:rsidR="00A57506" w:rsidRPr="00A57506" w:rsidRDefault="00A57506" w:rsidP="00A57506">
      <w:pPr>
        <w:tabs>
          <w:tab w:val="clear" w:pos="567"/>
        </w:tabs>
        <w:rPr>
          <w:lang w:val="en-US"/>
        </w:rPr>
      </w:pPr>
      <w:r w:rsidRPr="00A57506">
        <w:rPr>
          <w:lang w:val="en"/>
        </w:rPr>
        <w:t xml:space="preserve">The results of monitoring at KTZ indicate </w:t>
      </w:r>
      <w:r w:rsidRPr="00A57506">
        <w:rPr>
          <w:b/>
          <w:lang w:val="en"/>
        </w:rPr>
        <w:t>non-compliance with the "Yellow Pages Rule" principle</w:t>
      </w:r>
      <w:r w:rsidRPr="00A57506">
        <w:rPr>
          <w:lang w:val="en"/>
        </w:rPr>
        <w:t>, enshrined in the Code</w:t>
      </w:r>
      <w:r w:rsidRPr="00A57506">
        <w:rPr>
          <w:color w:val="000000"/>
          <w:vertAlign w:val="superscript"/>
        </w:rPr>
        <w:footnoteReference w:id="11"/>
      </w:r>
      <w:r w:rsidRPr="00A57506">
        <w:rPr>
          <w:lang w:val="en"/>
        </w:rPr>
        <w:t xml:space="preserve">. Thus, of the 424 types of activities analyzed, </w:t>
      </w:r>
      <w:r w:rsidRPr="00A57506">
        <w:rPr>
          <w:b/>
          <w:lang w:val="en"/>
        </w:rPr>
        <w:t xml:space="preserve">81 are carried out without approval of the </w:t>
      </w:r>
      <w:r>
        <w:rPr>
          <w:b/>
          <w:lang w:val="en"/>
        </w:rPr>
        <w:t>Antimonopoly Authority</w:t>
      </w:r>
      <w:r w:rsidRPr="00A57506">
        <w:rPr>
          <w:lang w:val="en"/>
        </w:rPr>
        <w:t>.</w:t>
      </w:r>
    </w:p>
    <w:p w14:paraId="48D220F0" w14:textId="77777777" w:rsidR="00A57506" w:rsidRPr="00A57506" w:rsidRDefault="00A57506" w:rsidP="00A57506">
      <w:pPr>
        <w:tabs>
          <w:tab w:val="clear" w:pos="567"/>
        </w:tabs>
        <w:rPr>
          <w:lang w:val="en-US"/>
        </w:rPr>
      </w:pPr>
      <w:r w:rsidRPr="00A57506">
        <w:rPr>
          <w:lang w:val="en"/>
        </w:rPr>
        <w:lastRenderedPageBreak/>
        <w:t xml:space="preserve">Similar work was carried out in the regions, where 251 state-owned social enterprises were monitored. As part of the monitoring, </w:t>
      </w:r>
      <w:r w:rsidRPr="00A57506">
        <w:rPr>
          <w:b/>
          <w:lang w:val="en"/>
        </w:rPr>
        <w:t>violations were identified in the actions of 59 entities</w:t>
      </w:r>
      <w:r w:rsidRPr="00A57506">
        <w:rPr>
          <w:lang w:val="en"/>
        </w:rPr>
        <w:t xml:space="preserve"> and relevant improvement notices were given to them. Similar work continues for individual enterprises that are members of Samruk Kazyna JSC.</w:t>
      </w:r>
    </w:p>
    <w:p w14:paraId="404675F9" w14:textId="77777777" w:rsidR="00A57506" w:rsidRPr="00A57506" w:rsidRDefault="00A57506" w:rsidP="00A57506">
      <w:pPr>
        <w:tabs>
          <w:tab w:val="clear" w:pos="567"/>
        </w:tabs>
        <w:rPr>
          <w:i/>
          <w:sz w:val="24"/>
          <w:lang w:val="en-US"/>
        </w:rPr>
      </w:pPr>
      <w:r w:rsidRPr="00A57506">
        <w:rPr>
          <w:b/>
          <w:i/>
          <w:sz w:val="24"/>
          <w:lang w:val="en"/>
        </w:rPr>
        <w:t>For reference</w:t>
      </w:r>
      <w:r w:rsidRPr="00A57506">
        <w:rPr>
          <w:i/>
          <w:sz w:val="24"/>
          <w:lang w:val="en"/>
        </w:rPr>
        <w:t>: Kazakhtelecom JSC, Kazpost JSC, Samruk-Kazyna Contract LLP, Samruk Kazyna Business Service LLP, Samruk Kazyna Invest LLP, Kazakhstan Nuclear Power Plants LLP.</w:t>
      </w:r>
    </w:p>
    <w:p w14:paraId="6A28A2AD" w14:textId="77777777" w:rsidR="00A57506" w:rsidRPr="00A57506" w:rsidRDefault="00A57506" w:rsidP="00A57506">
      <w:pPr>
        <w:tabs>
          <w:tab w:val="clear" w:pos="567"/>
        </w:tabs>
        <w:rPr>
          <w:lang w:val="en-US"/>
        </w:rPr>
      </w:pPr>
      <w:r w:rsidRPr="00A57506">
        <w:rPr>
          <w:lang w:val="en"/>
        </w:rPr>
        <w:t xml:space="preserve">At the same time, according to the Ministry of Finance, more than 6 thousand state-owned enterprises operate in Kazakhstan. In this regard, the Government should </w:t>
      </w:r>
      <w:r w:rsidRPr="00A57506">
        <w:rPr>
          <w:b/>
          <w:bCs/>
          <w:lang w:val="en"/>
        </w:rPr>
        <w:t>review</w:t>
      </w:r>
      <w:r w:rsidRPr="00A57506">
        <w:rPr>
          <w:lang w:val="en"/>
        </w:rPr>
        <w:t xml:space="preserve"> the activities of all quasi-public sector entities for compliance with the norms of the Code.</w:t>
      </w:r>
    </w:p>
    <w:p w14:paraId="33F5C328" w14:textId="77777777" w:rsidR="00A57506" w:rsidRPr="00A57506" w:rsidRDefault="00A57506" w:rsidP="00A57506">
      <w:pPr>
        <w:spacing w:before="120"/>
        <w:rPr>
          <w:b/>
          <w:i/>
          <w:color w:val="000000"/>
          <w:lang w:val="en-US"/>
        </w:rPr>
      </w:pPr>
      <w:r w:rsidRPr="00A57506">
        <w:rPr>
          <w:b/>
          <w:i/>
          <w:color w:val="000000"/>
          <w:lang w:val="en"/>
        </w:rPr>
        <w:t>Reducing operators</w:t>
      </w:r>
    </w:p>
    <w:p w14:paraId="764C961E" w14:textId="77777777" w:rsidR="00A57506" w:rsidRPr="00A57506" w:rsidRDefault="00A57506" w:rsidP="00A57506">
      <w:pPr>
        <w:tabs>
          <w:tab w:val="clear" w:pos="567"/>
        </w:tabs>
        <w:rPr>
          <w:lang w:val="en-US"/>
        </w:rPr>
      </w:pPr>
      <w:r w:rsidRPr="00A57506">
        <w:rPr>
          <w:lang w:val="en"/>
        </w:rPr>
        <w:t>The Agency continues to work on the reduction of single operators.</w:t>
      </w:r>
    </w:p>
    <w:p w14:paraId="7327ECC3" w14:textId="77777777" w:rsidR="00A57506" w:rsidRPr="00A57506" w:rsidRDefault="00A57506" w:rsidP="00A57506">
      <w:pPr>
        <w:tabs>
          <w:tab w:val="clear" w:pos="567"/>
        </w:tabs>
        <w:rPr>
          <w:lang w:val="en-US"/>
        </w:rPr>
      </w:pPr>
      <w:r w:rsidRPr="00A57506">
        <w:rPr>
          <w:lang w:val="en"/>
        </w:rPr>
        <w:t>In implementation of the instruction of the Head of State, voiced in the Address to the People of Kazakhstan dated 01 September 2022</w:t>
      </w:r>
      <w:r w:rsidRPr="00A57506">
        <w:rPr>
          <w:color w:val="000000"/>
          <w:vertAlign w:val="superscript"/>
        </w:rPr>
        <w:footnoteReference w:id="12"/>
      </w:r>
      <w:r w:rsidRPr="00A57506">
        <w:rPr>
          <w:lang w:val="en"/>
        </w:rPr>
        <w:t xml:space="preserve"> </w:t>
      </w:r>
      <w:r w:rsidRPr="00A57506">
        <w:rPr>
          <w:i/>
          <w:sz w:val="24"/>
          <w:lang w:val="en"/>
        </w:rPr>
        <w:t>(hereinafter referred to as the Address dated 01 September 2022)</w:t>
      </w:r>
      <w:r w:rsidRPr="00A57506">
        <w:rPr>
          <w:lang w:val="en"/>
        </w:rPr>
        <w:t>, as part of activities for the National Project, a list of operators and subjects of state monopoly has been formed for the purpose of depriving them of operator and monopoly status and further transfer to a competitive environment.</w:t>
      </w:r>
    </w:p>
    <w:p w14:paraId="5DB2FC62" w14:textId="77777777" w:rsidR="00A57506" w:rsidRPr="00A57506" w:rsidRDefault="00A57506" w:rsidP="00A57506">
      <w:pPr>
        <w:tabs>
          <w:tab w:val="clear" w:pos="567"/>
        </w:tabs>
        <w:rPr>
          <w:i/>
          <w:sz w:val="24"/>
          <w:szCs w:val="24"/>
          <w:lang w:val="en-US"/>
        </w:rPr>
      </w:pPr>
      <w:r w:rsidRPr="00A57506">
        <w:rPr>
          <w:b/>
          <w:i/>
          <w:sz w:val="24"/>
          <w:szCs w:val="24"/>
          <w:lang w:val="en"/>
        </w:rPr>
        <w:t>For reference</w:t>
      </w:r>
      <w:r w:rsidRPr="00A57506">
        <w:rPr>
          <w:i/>
          <w:sz w:val="24"/>
          <w:szCs w:val="24"/>
          <w:lang w:val="en"/>
        </w:rPr>
        <w:t>: 1) National Information Technologies JSC - deprivation of 3 operator functions out of 5 available ones; 2) Kazaviaspas JSC - limitation of operator scope of activities for the needs of the Ministry of Emergency Situations; 3) Kazteleradio JSC - deprivation of the status of a national broadcasting operator; 4) Kazimpex JSC - deprivation of the status of an operator providing economic support to the national security bodies of the Republic of Kazakhstan; 5) Republican Centre for Space Communications JSC - deprivation of the status of a national operator of the space communications system; 6) Ural-Atyrau Sturgeon Hatchery Republican National Enterprise of the Committee of Fisheries of the Ministry of Ecology, Geology and Natural Resources of the Republic of Kazakhstan – deprivation of the monopoly on the removal of sturgeon species from their natural habitat due to the moratorium on trapping; 7) Kazakhstan Garysh Sapary JSC - an operator of remote sensing of the Earth.</w:t>
      </w:r>
    </w:p>
    <w:p w14:paraId="36892C12" w14:textId="77777777" w:rsidR="00A57506" w:rsidRPr="00A57506" w:rsidRDefault="00A57506" w:rsidP="00A57506">
      <w:pPr>
        <w:tabs>
          <w:tab w:val="clear" w:pos="567"/>
        </w:tabs>
        <w:rPr>
          <w:lang w:val="en-US"/>
        </w:rPr>
      </w:pPr>
      <w:r w:rsidRPr="00A57506">
        <w:rPr>
          <w:lang w:val="en"/>
        </w:rPr>
        <w:t xml:space="preserve">The Law of 03 January 2022 amended the Code, in particular introducing norms regulating </w:t>
      </w:r>
      <w:r w:rsidRPr="00A57506">
        <w:rPr>
          <w:b/>
          <w:lang w:val="en"/>
        </w:rPr>
        <w:t>the institute of special law</w:t>
      </w:r>
      <w:r w:rsidRPr="00A57506">
        <w:rPr>
          <w:lang w:val="en"/>
        </w:rPr>
        <w:t xml:space="preserve"> governing the activities of operators determined to perform certain types of economic activities.</w:t>
      </w:r>
    </w:p>
    <w:p w14:paraId="476C7AAB" w14:textId="77777777" w:rsidR="00A57506" w:rsidRPr="00A57506" w:rsidRDefault="00A57506" w:rsidP="00A57506">
      <w:pPr>
        <w:tabs>
          <w:tab w:val="clear" w:pos="567"/>
        </w:tabs>
        <w:rPr>
          <w:lang w:val="en-US"/>
        </w:rPr>
      </w:pPr>
      <w:r w:rsidRPr="00A57506">
        <w:rPr>
          <w:lang w:val="en"/>
        </w:rPr>
        <w:t xml:space="preserve">Seventeen operators are proposed to be regulated under the special law. These operators are recognized as subjects of special law and are included in </w:t>
      </w:r>
      <w:r w:rsidRPr="00A57506">
        <w:rPr>
          <w:b/>
          <w:lang w:val="en"/>
        </w:rPr>
        <w:t>the register of subjects of special law</w:t>
      </w:r>
      <w:r w:rsidRPr="00A57506">
        <w:rPr>
          <w:color w:val="000000"/>
          <w:vertAlign w:val="superscript"/>
        </w:rPr>
        <w:footnoteReference w:id="13"/>
      </w:r>
      <w:r w:rsidRPr="00A57506">
        <w:rPr>
          <w:lang w:val="en"/>
        </w:rPr>
        <w:t xml:space="preserve">. The remaining 24 operators are not subject to regulation because they have no impact on the market or their activities are already regulated by the laws on natural monopolies. </w:t>
      </w:r>
    </w:p>
    <w:p w14:paraId="27AABA94" w14:textId="77777777" w:rsidR="00A57506" w:rsidRPr="00A57506" w:rsidRDefault="00A57506" w:rsidP="00A57506">
      <w:pPr>
        <w:tabs>
          <w:tab w:val="clear" w:pos="567"/>
        </w:tabs>
        <w:rPr>
          <w:lang w:val="en-US"/>
        </w:rPr>
      </w:pPr>
      <w:r w:rsidRPr="00A57506">
        <w:rPr>
          <w:lang w:val="en"/>
        </w:rPr>
        <w:t xml:space="preserve">However, state authorities do not cease to grant exclusive rights to subordinate organizations. Thus, the Agency has </w:t>
      </w:r>
      <w:r w:rsidRPr="00A57506">
        <w:rPr>
          <w:b/>
          <w:lang w:val="en"/>
        </w:rPr>
        <w:t>identified 17 new operator functions</w:t>
      </w:r>
      <w:r w:rsidRPr="00A57506">
        <w:rPr>
          <w:lang w:val="en"/>
        </w:rPr>
        <w:t xml:space="preserve"> enshrined at the legislative level and having signs of special law. This is due, inter alia, to the </w:t>
      </w:r>
      <w:r w:rsidRPr="00A57506">
        <w:rPr>
          <w:lang w:val="en"/>
        </w:rPr>
        <w:lastRenderedPageBreak/>
        <w:t xml:space="preserve">desire to "circumvent" bidding procedures, thus ensuring that goods and works can be procured from a "single source", from an entity defined by the laws. For example, in 2022, more than a third of all public procurement is single-source procurement </w:t>
      </w:r>
      <w:r w:rsidRPr="00A57506">
        <w:rPr>
          <w:i/>
          <w:sz w:val="24"/>
          <w:lang w:val="en"/>
        </w:rPr>
        <w:t>(about KZT 2.4 trillion).</w:t>
      </w:r>
      <w:r w:rsidRPr="00A57506">
        <w:rPr>
          <w:lang w:val="en"/>
        </w:rPr>
        <w:t xml:space="preserve"> Of this amount, about 8 per cent </w:t>
      </w:r>
      <w:r w:rsidRPr="00A57506">
        <w:rPr>
          <w:i/>
          <w:sz w:val="24"/>
          <w:lang w:val="en"/>
        </w:rPr>
        <w:t>(KZT 191 billion)</w:t>
      </w:r>
      <w:r w:rsidRPr="00A57506">
        <w:rPr>
          <w:lang w:val="en"/>
        </w:rPr>
        <w:t xml:space="preserve"> are single-source procurements from entities defined by the laws. </w:t>
      </w:r>
    </w:p>
    <w:p w14:paraId="5BC48C0B" w14:textId="77777777" w:rsidR="00A57506" w:rsidRPr="00A57506" w:rsidRDefault="00A57506" w:rsidP="00A57506">
      <w:pPr>
        <w:spacing w:before="120"/>
        <w:rPr>
          <w:b/>
          <w:i/>
          <w:color w:val="000000"/>
          <w:lang w:val="en-US"/>
        </w:rPr>
      </w:pPr>
      <w:r w:rsidRPr="00A57506">
        <w:rPr>
          <w:b/>
          <w:i/>
          <w:color w:val="000000"/>
          <w:lang w:val="en"/>
        </w:rPr>
        <w:t>Reducing state assignments</w:t>
      </w:r>
    </w:p>
    <w:p w14:paraId="1E3D5864" w14:textId="77777777" w:rsidR="00A57506" w:rsidRPr="00A57506" w:rsidRDefault="00A57506" w:rsidP="00A57506">
      <w:pPr>
        <w:tabs>
          <w:tab w:val="clear" w:pos="567"/>
        </w:tabs>
        <w:rPr>
          <w:lang w:val="en-US"/>
        </w:rPr>
      </w:pPr>
      <w:r w:rsidRPr="00A57506">
        <w:rPr>
          <w:lang w:val="en"/>
        </w:rPr>
        <w:t xml:space="preserve">The analysis of state assignments has shown an annual dynamics of growth of financial indicators with a systematic decrease in their number. Thus, in the period from 2021 to 2022, the amount of funds allocated for the implementation of state assignments increased from KZT 182.1 billion to KZT 329.1 billion, with the total number of agreed bids 157 and 119 respectively </w:t>
      </w:r>
      <w:r w:rsidRPr="00A57506">
        <w:rPr>
          <w:i/>
          <w:sz w:val="24"/>
          <w:lang w:val="en"/>
        </w:rPr>
        <w:t>(Figure 3)</w:t>
      </w:r>
      <w:r w:rsidRPr="00A57506">
        <w:rPr>
          <w:lang w:val="en"/>
        </w:rPr>
        <w:t>.</w:t>
      </w:r>
    </w:p>
    <w:p w14:paraId="3274B85D" w14:textId="77777777" w:rsidR="00A57506" w:rsidRPr="00A57506" w:rsidRDefault="00A57506" w:rsidP="00A57506">
      <w:pPr>
        <w:tabs>
          <w:tab w:val="clear" w:pos="567"/>
        </w:tabs>
        <w:rPr>
          <w:lang w:val="en-US"/>
        </w:rPr>
      </w:pPr>
      <w:r w:rsidRPr="00A57506">
        <w:rPr>
          <w:noProof/>
        </w:rPr>
        <mc:AlternateContent>
          <mc:Choice Requires="wpg">
            <w:drawing>
              <wp:anchor distT="0" distB="0" distL="114300" distR="114300" simplePos="0" relativeHeight="251663360" behindDoc="0" locked="0" layoutInCell="1" allowOverlap="1" wp14:anchorId="5887C77F" wp14:editId="6BFD26AE">
                <wp:simplePos x="0" y="0"/>
                <wp:positionH relativeFrom="margin">
                  <wp:posOffset>77765</wp:posOffset>
                </wp:positionH>
                <wp:positionV relativeFrom="paragraph">
                  <wp:posOffset>132685</wp:posOffset>
                </wp:positionV>
                <wp:extent cx="5960853" cy="1201480"/>
                <wp:effectExtent l="0" t="0" r="1905" b="0"/>
                <wp:wrapNone/>
                <wp:docPr id="7" name="Группа 8"/>
                <wp:cNvGraphicFramePr/>
                <a:graphic xmlns:a="http://schemas.openxmlformats.org/drawingml/2006/main">
                  <a:graphicData uri="http://schemas.microsoft.com/office/word/2010/wordprocessingGroup">
                    <wpg:wgp>
                      <wpg:cNvGrpSpPr/>
                      <wpg:grpSpPr>
                        <a:xfrm>
                          <a:off x="0" y="0"/>
                          <a:ext cx="5960853" cy="1201480"/>
                          <a:chOff x="0" y="0"/>
                          <a:chExt cx="5477256" cy="2059405"/>
                        </a:xfrm>
                      </wpg:grpSpPr>
                      <wpg:graphicFrame>
                        <wpg:cNvPr id="8" name="Диаграмма 8"/>
                        <wpg:cNvFrPr/>
                        <wpg:xfrm>
                          <a:off x="0" y="0"/>
                          <a:ext cx="5477256" cy="2059405"/>
                        </wpg:xfrm>
                        <a:graphic>
                          <a:graphicData uri="http://schemas.openxmlformats.org/drawingml/2006/chart">
                            <c:chart xmlns:c="http://schemas.openxmlformats.org/drawingml/2006/chart" xmlns:r="http://schemas.openxmlformats.org/officeDocument/2006/relationships" r:id="rId10"/>
                          </a:graphicData>
                        </a:graphic>
                      </wpg:graphicFrame>
                      <wps:wsp>
                        <wps:cNvPr id="10" name="Google Shape;342;p40"/>
                        <wps:cNvCnPr/>
                        <wps:spPr>
                          <a:xfrm flipV="1">
                            <a:off x="667511" y="693045"/>
                            <a:ext cx="0" cy="750189"/>
                          </a:xfrm>
                          <a:prstGeom prst="straightConnector1">
                            <a:avLst/>
                          </a:prstGeom>
                          <a:noFill/>
                          <a:ln w="19050">
                            <a:solidFill>
                              <a:srgbClr val="1B4361"/>
                            </a:solidFill>
                            <a:prstDash val="dot"/>
                            <a:round/>
                            <a:headEnd/>
                            <a:tailEnd/>
                          </a:ln>
                        </wps:spPr>
                        <wps:bodyPr/>
                      </wps:wsp>
                      <wps:wsp>
                        <wps:cNvPr id="11" name="Google Shape;342;p40"/>
                        <wps:cNvCnPr/>
                        <wps:spPr>
                          <a:xfrm flipV="1">
                            <a:off x="1688591" y="650183"/>
                            <a:ext cx="0" cy="793051"/>
                          </a:xfrm>
                          <a:prstGeom prst="straightConnector1">
                            <a:avLst/>
                          </a:prstGeom>
                          <a:noFill/>
                          <a:ln w="19050">
                            <a:solidFill>
                              <a:srgbClr val="1B4361"/>
                            </a:solidFill>
                            <a:prstDash val="dot"/>
                            <a:round/>
                            <a:headEnd/>
                            <a:tailEnd/>
                          </a:ln>
                        </wps:spPr>
                        <wps:bodyPr/>
                      </wps:wsp>
                      <wps:wsp>
                        <wps:cNvPr id="12" name="Google Shape;342;p40"/>
                        <wps:cNvCnPr/>
                        <wps:spPr>
                          <a:xfrm flipV="1">
                            <a:off x="3782567" y="766578"/>
                            <a:ext cx="0" cy="676656"/>
                          </a:xfrm>
                          <a:prstGeom prst="straightConnector1">
                            <a:avLst/>
                          </a:prstGeom>
                          <a:noFill/>
                          <a:ln w="19050">
                            <a:solidFill>
                              <a:srgbClr val="1B4361"/>
                            </a:solidFill>
                            <a:prstDash val="dot"/>
                            <a:round/>
                            <a:headEnd/>
                            <a:tailEnd/>
                          </a:ln>
                        </wps:spPr>
                        <wps:bodyPr/>
                      </wps:wsp>
                      <wps:wsp>
                        <wps:cNvPr id="13" name="Google Shape;342;p40"/>
                        <wps:cNvCnPr/>
                        <wps:spPr>
                          <a:xfrm flipV="1">
                            <a:off x="4815839" y="1046702"/>
                            <a:ext cx="0" cy="396532"/>
                          </a:xfrm>
                          <a:prstGeom prst="straightConnector1">
                            <a:avLst/>
                          </a:prstGeom>
                          <a:noFill/>
                          <a:ln w="19050">
                            <a:solidFill>
                              <a:srgbClr val="1B4361"/>
                            </a:solidFill>
                            <a:prstDash val="dot"/>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1DE3EBE1" id="Группа 8" o:spid="_x0000_s1026" style="position:absolute;margin-left:6.1pt;margin-top:10.45pt;width:469.35pt;height:94.6pt;z-index:251663360;mso-position-horizontal-relative:margin;mso-width-relative:margin;mso-height-relative:margin" coordsize="54772,20594" o:gfxdata="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 o:spid="_x0000_s1027" type="#_x0000_t75" style="position:absolute;width:54782;height:2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">
                  <v:imagedata r:id="rId11" o:title=""/>
                  <o:lock v:ext="edit" aspectratio="f"/>
                </v:shape>
                <v:shapetype id="_x0000_t32" coordsize="21600,21600" o:spt="32" o:oned="t" path="m,l21600,21600e" filled="f">
                  <v:path arrowok="t" fillok="f" o:connecttype="none"/>
                  <o:lock v:ext="edit" shapetype="t"/>
                </v:shapetype>
                <v:shape id="Google Shape;342;p40" o:spid="_x0000_s1028" type="#_x0000_t32" style="position:absolute;left:6675;top:6930;width:0;height:7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" strokecolor="#1b4361" strokeweight="1.5pt">
                  <v:stroke dashstyle="dot"/>
                </v:shape>
                <v:shape id="Google Shape;342;p40" o:spid="_x0000_s1029" type="#_x0000_t32" style="position:absolute;left:16885;top:6501;width:0;height:7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" strokecolor="#1b4361" strokeweight="1.5pt">
                  <v:stroke dashstyle="dot"/>
                </v:shape>
                <v:shape id="Google Shape;342;p40" o:spid="_x0000_s1030" type="#_x0000_t32" style="position:absolute;left:37825;top:7665;width:0;height:6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" strokecolor="#1b4361" strokeweight="1.5pt">
                  <v:stroke dashstyle="dot"/>
                </v:shape>
                <v:shape id="Google Shape;342;p40" o:spid="_x0000_s1031" type="#_x0000_t32" style="position:absolute;left:48158;top:10467;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" strokecolor="#1b4361" strokeweight="1.5pt">
                  <v:stroke dashstyle="dot"/>
                </v:shape>
                <w10:wrap anchorx="margin"/>
              </v:group>
              <o:OLEObject Type="Embed" ProgID="Excel.Chart.8" ShapeID="Диаграмма 8" DrawAspect="Content" ObjectID="_1753086189" r:id="rId12">
                <o:FieldCodes>\s</o:FieldCodes>
              </o:OLEObject>
            </w:pict>
          </mc:Fallback>
        </mc:AlternateContent>
      </w:r>
    </w:p>
    <w:p w14:paraId="42D19EED" w14:textId="77777777" w:rsidR="00A57506" w:rsidRPr="00A57506" w:rsidRDefault="00A57506" w:rsidP="00A57506">
      <w:pPr>
        <w:tabs>
          <w:tab w:val="clear" w:pos="567"/>
        </w:tabs>
        <w:rPr>
          <w:lang w:val="en-US"/>
        </w:rPr>
      </w:pPr>
    </w:p>
    <w:p w14:paraId="7ECACD73" w14:textId="77777777" w:rsidR="00A57506" w:rsidRPr="00A57506" w:rsidRDefault="00A57506" w:rsidP="00A57506">
      <w:pPr>
        <w:tabs>
          <w:tab w:val="clear" w:pos="567"/>
        </w:tabs>
        <w:rPr>
          <w:lang w:val="en-US"/>
        </w:rPr>
      </w:pPr>
    </w:p>
    <w:p w14:paraId="4538AF6F" w14:textId="77777777" w:rsidR="00A57506" w:rsidRPr="00A57506" w:rsidRDefault="00A57506" w:rsidP="00A57506">
      <w:pPr>
        <w:tabs>
          <w:tab w:val="clear" w:pos="567"/>
        </w:tabs>
        <w:rPr>
          <w:lang w:val="en-US"/>
        </w:rPr>
      </w:pPr>
    </w:p>
    <w:p w14:paraId="2AAF1C81" w14:textId="77777777" w:rsidR="00A57506" w:rsidRPr="00A57506" w:rsidRDefault="00A57506" w:rsidP="00A57506">
      <w:pPr>
        <w:tabs>
          <w:tab w:val="clear" w:pos="567"/>
        </w:tabs>
        <w:rPr>
          <w:lang w:val="en-US"/>
        </w:rPr>
      </w:pPr>
    </w:p>
    <w:p w14:paraId="1AE538EA" w14:textId="77777777" w:rsidR="00A57506" w:rsidRPr="00A57506" w:rsidRDefault="00A57506" w:rsidP="00A57506">
      <w:pPr>
        <w:tabs>
          <w:tab w:val="clear" w:pos="567"/>
        </w:tabs>
        <w:rPr>
          <w:lang w:val="en-US"/>
        </w:rPr>
      </w:pPr>
    </w:p>
    <w:p w14:paraId="66C51763" w14:textId="77777777" w:rsidR="00A57506" w:rsidRPr="00A57506" w:rsidRDefault="00A57506" w:rsidP="00A57506">
      <w:pPr>
        <w:tabs>
          <w:tab w:val="clear" w:pos="567"/>
        </w:tabs>
        <w:spacing w:before="240" w:after="240"/>
        <w:ind w:firstLine="0"/>
        <w:jc w:val="center"/>
        <w:rPr>
          <w:lang w:val="en-US"/>
        </w:rPr>
      </w:pPr>
      <w:r w:rsidRPr="00A57506">
        <w:rPr>
          <w:lang w:val="en"/>
        </w:rPr>
        <w:t xml:space="preserve">Figure </w:t>
      </w:r>
      <w:r w:rsidRPr="00A57506">
        <w:fldChar w:fldCharType="begin"/>
      </w:r>
      <w:r w:rsidRPr="00A57506">
        <w:rPr>
          <w:lang w:val="en"/>
        </w:rPr>
        <w:instrText xml:space="preserve"> SEQ Рис. \* ARABIC </w:instrText>
      </w:r>
      <w:r w:rsidRPr="00A57506">
        <w:fldChar w:fldCharType="separate"/>
      </w:r>
      <w:r w:rsidRPr="00A57506">
        <w:rPr>
          <w:lang w:val="en"/>
        </w:rPr>
        <w:t>3</w:t>
      </w:r>
      <w:r w:rsidRPr="00A57506">
        <w:rPr>
          <w:noProof/>
        </w:rPr>
        <w:fldChar w:fldCharType="end"/>
      </w:r>
      <w:r w:rsidRPr="00A57506">
        <w:rPr>
          <w:lang w:val="en"/>
        </w:rPr>
        <w:t>– Number of agreed state assignments.</w:t>
      </w:r>
    </w:p>
    <w:p w14:paraId="321F1B84" w14:textId="77777777" w:rsidR="00A57506" w:rsidRPr="00A57506" w:rsidRDefault="00A57506" w:rsidP="00A57506">
      <w:pPr>
        <w:tabs>
          <w:tab w:val="clear" w:pos="567"/>
        </w:tabs>
        <w:rPr>
          <w:lang w:val="en-US"/>
        </w:rPr>
      </w:pPr>
      <w:r w:rsidRPr="00A57506">
        <w:rPr>
          <w:lang w:val="en"/>
        </w:rPr>
        <w:t xml:space="preserve">At the same time, the number of applications from state authorities to obtain a favorable opinion of the Agency does not decrease. This is due to the existing practice of </w:t>
      </w:r>
      <w:r w:rsidRPr="00A57506">
        <w:rPr>
          <w:b/>
          <w:lang w:val="en"/>
        </w:rPr>
        <w:t>using state assignments for the maintenance of subordinate organizations</w:t>
      </w:r>
      <w:r w:rsidRPr="00A57506">
        <w:rPr>
          <w:lang w:val="en"/>
        </w:rPr>
        <w:t xml:space="preserve">. </w:t>
      </w:r>
    </w:p>
    <w:p w14:paraId="6E6F55AA" w14:textId="63B98089" w:rsidR="00A57506" w:rsidRPr="00A57506" w:rsidRDefault="00A57506" w:rsidP="00A57506">
      <w:pPr>
        <w:tabs>
          <w:tab w:val="clear" w:pos="567"/>
        </w:tabs>
        <w:rPr>
          <w:lang w:val="en-US"/>
        </w:rPr>
      </w:pPr>
      <w:r w:rsidRPr="00A57506">
        <w:rPr>
          <w:lang w:val="en"/>
        </w:rPr>
        <w:t xml:space="preserve">To involve private entrepreneurs in the implementation of state assignments, the </w:t>
      </w:r>
      <w:r>
        <w:rPr>
          <w:lang w:val="en"/>
        </w:rPr>
        <w:t>Antimonopoly Authority</w:t>
      </w:r>
      <w:r w:rsidRPr="00A57506">
        <w:rPr>
          <w:lang w:val="en"/>
        </w:rPr>
        <w:t xml:space="preserve"> today, when approving them, imposes conditions on the transfer of part of the work to private entrepreneurs. In addition, the </w:t>
      </w:r>
      <w:r>
        <w:rPr>
          <w:lang w:val="en"/>
        </w:rPr>
        <w:t>Antimonopoly Authority</w:t>
      </w:r>
      <w:r w:rsidRPr="00A57506">
        <w:rPr>
          <w:lang w:val="en"/>
        </w:rPr>
        <w:t xml:space="preserve"> is empowered to determine the amount of work to be transferred to the competitive environment through a tender </w:t>
      </w:r>
      <w:r w:rsidRPr="00A57506">
        <w:rPr>
          <w:i/>
          <w:sz w:val="24"/>
          <w:lang w:val="en"/>
        </w:rPr>
        <w:t>(about 5% of the amounts intended for the implementation of government assignments)</w:t>
      </w:r>
      <w:r w:rsidRPr="00A57506">
        <w:rPr>
          <w:lang w:val="en"/>
        </w:rPr>
        <w:t>.</w:t>
      </w:r>
    </w:p>
    <w:p w14:paraId="40365C3C" w14:textId="77777777" w:rsidR="00A57506" w:rsidRPr="00A57506" w:rsidRDefault="00A57506" w:rsidP="00A57506">
      <w:pPr>
        <w:tabs>
          <w:tab w:val="clear" w:pos="567"/>
        </w:tabs>
        <w:rPr>
          <w:lang w:val="en-US"/>
        </w:rPr>
      </w:pPr>
      <w:r w:rsidRPr="00A57506">
        <w:rPr>
          <w:lang w:val="en"/>
        </w:rPr>
        <w:t xml:space="preserve">To limit the facts of non-competitive procurement of goods </w:t>
      </w:r>
      <w:r w:rsidRPr="00A57506">
        <w:rPr>
          <w:i/>
          <w:sz w:val="24"/>
          <w:lang w:val="en"/>
        </w:rPr>
        <w:t>(works, services)</w:t>
      </w:r>
      <w:r w:rsidRPr="00A57506">
        <w:rPr>
          <w:lang w:val="en"/>
        </w:rPr>
        <w:t xml:space="preserve"> from subordinate organizations through state assignments, a list of areas </w:t>
      </w:r>
      <w:r w:rsidRPr="00A57506">
        <w:rPr>
          <w:i/>
          <w:sz w:val="24"/>
          <w:lang w:val="en"/>
        </w:rPr>
        <w:t>(sectors)</w:t>
      </w:r>
      <w:r w:rsidRPr="00A57506">
        <w:rPr>
          <w:lang w:val="en"/>
        </w:rPr>
        <w:t xml:space="preserve"> where the implementation of state assignments is possible has been created. It has 26 points and will be reduced in the future, taking into account the level of competition development. There is also an exhaustive list of criteria for attributing services to state assignments </w:t>
      </w:r>
      <w:r w:rsidRPr="00A57506">
        <w:rPr>
          <w:i/>
          <w:sz w:val="24"/>
          <w:lang w:val="en"/>
        </w:rPr>
        <w:t>(ensuring national security, state defense capacity, maintenance of strategic facilities, critical informatization facilities, absence or low level of competition in commodity markets, or uniqueness of goods and intellectual property)</w:t>
      </w:r>
      <w:r w:rsidRPr="00A57506">
        <w:rPr>
          <w:sz w:val="24"/>
          <w:szCs w:val="24"/>
          <w:lang w:val="en"/>
        </w:rPr>
        <w:t>.</w:t>
      </w:r>
      <w:r w:rsidRPr="00A57506">
        <w:rPr>
          <w:lang w:val="en"/>
        </w:rPr>
        <w:t xml:space="preserve"> At the same time, at the legislative level there is a ban on the inclusion in the list of state assignments of orders that do not meet the areas and criteria.</w:t>
      </w:r>
    </w:p>
    <w:p w14:paraId="007D3ED8" w14:textId="77777777" w:rsidR="00A57506" w:rsidRPr="00A57506" w:rsidRDefault="00A57506" w:rsidP="00A57506">
      <w:pPr>
        <w:keepNext/>
        <w:keepLines/>
        <w:numPr>
          <w:ilvl w:val="0"/>
          <w:numId w:val="6"/>
        </w:numPr>
        <w:tabs>
          <w:tab w:val="left" w:pos="1134"/>
        </w:tabs>
        <w:spacing w:before="240" w:after="240"/>
        <w:ind w:left="924" w:hanging="357"/>
        <w:outlineLvl w:val="1"/>
        <w:rPr>
          <w:b/>
          <w:bCs/>
          <w:color w:val="000000"/>
        </w:rPr>
      </w:pPr>
      <w:bookmarkStart w:id="16" w:name="_Toc137900821"/>
      <w:bookmarkStart w:id="17" w:name="_Toc142467898"/>
      <w:r w:rsidRPr="00A57506">
        <w:rPr>
          <w:b/>
          <w:bCs/>
          <w:color w:val="000000"/>
          <w:lang w:val="en"/>
        </w:rPr>
        <w:t>Monitoring state support measures</w:t>
      </w:r>
      <w:bookmarkEnd w:id="16"/>
      <w:bookmarkEnd w:id="17"/>
    </w:p>
    <w:p w14:paraId="5FE09E29" w14:textId="77777777" w:rsidR="00A57506" w:rsidRPr="00A57506" w:rsidRDefault="00A57506" w:rsidP="00A57506">
      <w:pPr>
        <w:tabs>
          <w:tab w:val="left" w:pos="851"/>
        </w:tabs>
        <w:rPr>
          <w:color w:val="000000"/>
          <w:lang w:val="en-US" w:eastAsia="ar-SA"/>
        </w:rPr>
      </w:pPr>
      <w:r w:rsidRPr="00A57506">
        <w:rPr>
          <w:color w:val="000000"/>
          <w:lang w:val="en" w:eastAsia="ar-SA"/>
        </w:rPr>
        <w:t xml:space="preserve">The most important task is to increase the coverage of state support measures for private entrepreneurs on competitive principles. Now there is a personalization of state </w:t>
      </w:r>
      <w:r w:rsidRPr="00A57506">
        <w:rPr>
          <w:color w:val="000000"/>
          <w:lang w:val="en" w:eastAsia="ar-SA"/>
        </w:rPr>
        <w:lastRenderedPageBreak/>
        <w:t>support measures - mainly large businesses are supported. This negatively affects the investment attractiveness of the country, and also reduces the allocative efficiency of competition, contributing to the emergence of so-called "zombie firms".</w:t>
      </w:r>
    </w:p>
    <w:p w14:paraId="472085DA" w14:textId="77777777" w:rsidR="00A57506" w:rsidRPr="00A57506" w:rsidRDefault="00A57506" w:rsidP="00A57506">
      <w:pPr>
        <w:tabs>
          <w:tab w:val="left" w:pos="851"/>
        </w:tabs>
        <w:rPr>
          <w:color w:val="000000"/>
          <w:lang w:val="en-US" w:eastAsia="ar-SA"/>
        </w:rPr>
      </w:pPr>
      <w:r w:rsidRPr="00A57506">
        <w:rPr>
          <w:color w:val="000000"/>
          <w:lang w:val="en" w:eastAsia="ar-SA"/>
        </w:rPr>
        <w:t>The existence of issues of accessibility of state support measures was noted by the Head of State at the meeting of the Majilis of the Parliament on 11 January 2022: "The existing system is focused mainly on servicing large structures on the principle: "to friends - everything, the rest - according to the law". In fact, this system further reinforces the oligopoly in the economy. Large businesses enjoy special privileges, stifling competition and hindering reform.</w:t>
      </w:r>
      <w:r w:rsidRPr="00A57506">
        <w:rPr>
          <w:color w:val="000000"/>
          <w:vertAlign w:val="superscript"/>
        </w:rPr>
        <w:footnoteReference w:id="14"/>
      </w:r>
      <w:r w:rsidRPr="00A57506">
        <w:rPr>
          <w:color w:val="000000"/>
          <w:lang w:val="en" w:eastAsia="ar-SA"/>
        </w:rPr>
        <w:t xml:space="preserve">" </w:t>
      </w:r>
    </w:p>
    <w:p w14:paraId="45BBE445" w14:textId="77777777" w:rsidR="00A57506" w:rsidRPr="00A57506" w:rsidRDefault="00A57506" w:rsidP="00A57506">
      <w:pPr>
        <w:rPr>
          <w:lang w:val="en-US"/>
        </w:rPr>
      </w:pPr>
      <w:r w:rsidRPr="00A57506">
        <w:rPr>
          <w:lang w:val="en"/>
        </w:rPr>
        <w:t xml:space="preserve">In this area, the Agency analyzed the activities of Baiterek Holding </w:t>
      </w:r>
      <w:r w:rsidRPr="00A57506">
        <w:rPr>
          <w:i/>
          <w:sz w:val="24"/>
          <w:szCs w:val="24"/>
          <w:lang w:val="en"/>
        </w:rPr>
        <w:t>(hereinafter referred to as the Holding)</w:t>
      </w:r>
      <w:r w:rsidRPr="00A57506">
        <w:rPr>
          <w:lang w:val="en"/>
        </w:rPr>
        <w:t xml:space="preserve"> to ensure equal access to state support measures.</w:t>
      </w:r>
    </w:p>
    <w:p w14:paraId="5431105E" w14:textId="77777777" w:rsidR="00A57506" w:rsidRPr="00A57506" w:rsidRDefault="00A57506" w:rsidP="00A57506">
      <w:pPr>
        <w:rPr>
          <w:lang w:val="en-US"/>
        </w:rPr>
      </w:pPr>
      <w:r w:rsidRPr="00A57506">
        <w:rPr>
          <w:lang w:val="en"/>
        </w:rPr>
        <w:t xml:space="preserve">Based on the results of the analysis, the actions of the Holding Company's subsidiaries </w:t>
      </w:r>
      <w:r w:rsidRPr="00A57506">
        <w:rPr>
          <w:b/>
          <w:lang w:val="en"/>
        </w:rPr>
        <w:t>showed signs of violation</w:t>
      </w:r>
      <w:r w:rsidRPr="00A57506">
        <w:rPr>
          <w:lang w:val="en"/>
        </w:rPr>
        <w:t xml:space="preserve"> expressed in:</w:t>
      </w:r>
    </w:p>
    <w:p w14:paraId="794DD62A" w14:textId="77777777" w:rsidR="00A57506" w:rsidRPr="00A57506" w:rsidRDefault="00A57506" w:rsidP="00A57506">
      <w:pPr>
        <w:rPr>
          <w:lang w:val="en-US"/>
        </w:rPr>
      </w:pPr>
      <w:r w:rsidRPr="00A57506">
        <w:rPr>
          <w:lang w:val="en"/>
        </w:rPr>
        <w:t xml:space="preserve">- the creation of </w:t>
      </w:r>
      <w:r w:rsidRPr="00A57506">
        <w:rPr>
          <w:b/>
          <w:lang w:val="en"/>
        </w:rPr>
        <w:t>unequal conditions</w:t>
      </w:r>
      <w:r w:rsidRPr="00A57506">
        <w:rPr>
          <w:lang w:val="en"/>
        </w:rPr>
        <w:t xml:space="preserve"> of access to support measures for final recipients, part of the application of different lending rates for large infrastructure projects;</w:t>
      </w:r>
    </w:p>
    <w:p w14:paraId="3A1DF84D" w14:textId="77777777" w:rsidR="00A57506" w:rsidRPr="00A57506" w:rsidRDefault="00A57506" w:rsidP="00A57506">
      <w:pPr>
        <w:rPr>
          <w:lang w:val="en-US"/>
        </w:rPr>
      </w:pPr>
      <w:r w:rsidRPr="00A57506">
        <w:rPr>
          <w:lang w:val="en"/>
        </w:rPr>
        <w:t>-</w:t>
      </w:r>
      <w:r w:rsidRPr="00A57506">
        <w:rPr>
          <w:b/>
          <w:lang w:val="en"/>
        </w:rPr>
        <w:t xml:space="preserve"> favoritism</w:t>
      </w:r>
      <w:r w:rsidRPr="00A57506">
        <w:rPr>
          <w:lang w:val="en"/>
        </w:rPr>
        <w:t xml:space="preserve"> in the actions of the Holding Company's subsidiaries in terms of priority, accelerated consideration of applications for support measures </w:t>
      </w:r>
      <w:r w:rsidRPr="00A57506">
        <w:rPr>
          <w:i/>
          <w:iCs/>
          <w:sz w:val="24"/>
          <w:szCs w:val="24"/>
          <w:lang w:val="en"/>
        </w:rPr>
        <w:t>(instead of 7 calendar days, some projects are approved without queuing within 2-3 days from the moment of receipt, while for other projects the consideration timeframe is violated and exceeds 300 days)</w:t>
      </w:r>
      <w:r w:rsidRPr="00A57506">
        <w:rPr>
          <w:sz w:val="24"/>
          <w:szCs w:val="24"/>
          <w:lang w:val="en"/>
        </w:rPr>
        <w:t>;</w:t>
      </w:r>
    </w:p>
    <w:p w14:paraId="2ACB834E" w14:textId="77777777" w:rsidR="00A57506" w:rsidRPr="00A57506" w:rsidRDefault="00A57506" w:rsidP="00A57506">
      <w:pPr>
        <w:rPr>
          <w:lang w:val="en-US"/>
        </w:rPr>
      </w:pPr>
      <w:r w:rsidRPr="00A57506">
        <w:rPr>
          <w:lang w:val="en"/>
        </w:rPr>
        <w:t xml:space="preserve">- </w:t>
      </w:r>
      <w:r w:rsidRPr="00A57506">
        <w:rPr>
          <w:b/>
          <w:lang w:val="en"/>
        </w:rPr>
        <w:t>the creation of a privileged position</w:t>
      </w:r>
      <w:r w:rsidRPr="00A57506">
        <w:rPr>
          <w:lang w:val="en"/>
        </w:rPr>
        <w:t xml:space="preserve"> by not providing counter-obligations to certain businesses or continuing to provide support measures when they were not actually implemented.</w:t>
      </w:r>
    </w:p>
    <w:p w14:paraId="5C791F4D" w14:textId="77777777" w:rsidR="00A57506" w:rsidRPr="00A57506" w:rsidRDefault="00A57506" w:rsidP="00A57506">
      <w:pPr>
        <w:rPr>
          <w:lang w:val="en-US"/>
        </w:rPr>
      </w:pPr>
      <w:r w:rsidRPr="00A57506">
        <w:rPr>
          <w:lang w:val="en"/>
        </w:rPr>
        <w:t>In this connection, the Holding Company has been issued a Prescription to take actions aimed at ensuring competition. Also, to the address of KazakhExport JSC and Development Bank of Kazakhstan JSC, operators of state support measures, has been notified about presence of signs of violations of the laws in their actions. Currently, the Agency's arguments have been taken into account by the Holding and the operators, and work is underway to bring the processes of providing state support measures into compliance with competition law.</w:t>
      </w:r>
    </w:p>
    <w:p w14:paraId="2DB2B041" w14:textId="77777777" w:rsidR="00A57506" w:rsidRPr="00A57506" w:rsidRDefault="00A57506" w:rsidP="00A57506">
      <w:pPr>
        <w:tabs>
          <w:tab w:val="left" w:pos="1134"/>
        </w:tabs>
        <w:rPr>
          <w:lang w:val="en-US"/>
        </w:rPr>
      </w:pPr>
      <w:r w:rsidRPr="00A57506">
        <w:rPr>
          <w:lang w:val="en"/>
        </w:rPr>
        <w:t>At the same time, in addition to identifying signs of violations, the Agency also identified a number of industry-specific problems affecting the development of competition.</w:t>
      </w:r>
    </w:p>
    <w:p w14:paraId="3B207AF1" w14:textId="77777777" w:rsidR="00A57506" w:rsidRPr="00A57506" w:rsidRDefault="00A57506" w:rsidP="00A57506">
      <w:pPr>
        <w:tabs>
          <w:tab w:val="left" w:pos="1134"/>
        </w:tabs>
        <w:rPr>
          <w:lang w:val="en-US"/>
        </w:rPr>
      </w:pPr>
      <w:r w:rsidRPr="00A57506">
        <w:rPr>
          <w:lang w:val="en"/>
        </w:rPr>
        <w:t xml:space="preserve">1) </w:t>
      </w:r>
      <w:r w:rsidRPr="00A57506">
        <w:rPr>
          <w:b/>
          <w:lang w:val="en"/>
        </w:rPr>
        <w:t>lack of planning</w:t>
      </w:r>
      <w:r w:rsidRPr="00A57506">
        <w:rPr>
          <w:lang w:val="en"/>
        </w:rPr>
        <w:t xml:space="preserve"> for the allocation of funds to specific areas of support within the framework of one state program </w:t>
      </w:r>
      <w:r w:rsidRPr="00A57506">
        <w:rPr>
          <w:i/>
          <w:sz w:val="24"/>
          <w:lang w:val="en"/>
        </w:rPr>
        <w:t>(national project)</w:t>
      </w:r>
      <w:r w:rsidRPr="00A57506">
        <w:rPr>
          <w:lang w:val="en"/>
        </w:rPr>
        <w:t>. At present, when developing program documents, sectoral ministries determine the main approaches and tools to stimulate entrepreneurship, but do not take into account the allocation of funds to specific areas of support. In practice, this leads to a deviation from the main objective of the program document, as a consequence of which monopolized markets do not develop.</w:t>
      </w:r>
    </w:p>
    <w:p w14:paraId="68193468" w14:textId="084A7B5C" w:rsidR="00A57506" w:rsidRPr="00A57506" w:rsidRDefault="00A57506" w:rsidP="00A57506">
      <w:pPr>
        <w:rPr>
          <w:i/>
          <w:sz w:val="24"/>
          <w:szCs w:val="24"/>
          <w:lang w:val="en-US"/>
        </w:rPr>
      </w:pPr>
      <w:r w:rsidRPr="00A57506">
        <w:rPr>
          <w:b/>
          <w:i/>
          <w:sz w:val="24"/>
          <w:szCs w:val="24"/>
          <w:lang w:val="en"/>
        </w:rPr>
        <w:lastRenderedPageBreak/>
        <w:t>For reference</w:t>
      </w:r>
      <w:r w:rsidRPr="00A57506">
        <w:rPr>
          <w:i/>
          <w:sz w:val="24"/>
          <w:szCs w:val="24"/>
          <w:lang w:val="en"/>
        </w:rPr>
        <w:t xml:space="preserve">: the development of transport infrastructure and transit potential of the country was stated as the main objectives of the Nurly Zhol State Programs for 2015-2019, 2020-2025. Monitoring has shown that in fact most of the state's resources are directed to a non-priority area of support - pre-export financing. Since 2015, the total amount of financial support to the above state programs amounted to KZT 711 billion, of which 18.3% was allocated for preferential lending for infrastructure projects, 2.5% for </w:t>
      </w:r>
      <w:r w:rsidR="003263B8" w:rsidRPr="00A57506">
        <w:rPr>
          <w:i/>
          <w:sz w:val="24"/>
          <w:szCs w:val="24"/>
          <w:lang w:val="en"/>
        </w:rPr>
        <w:t>subsidizing</w:t>
      </w:r>
      <w:r w:rsidRPr="00A57506">
        <w:rPr>
          <w:i/>
          <w:sz w:val="24"/>
          <w:szCs w:val="24"/>
          <w:lang w:val="en"/>
        </w:rPr>
        <w:t xml:space="preserve"> leasing rates for the purchase of railcars, and 79.1% for pre-export financing. Only 19 enterprises received this type of incentives, with the majority (55%) allocated to 3 </w:t>
      </w:r>
      <w:r w:rsidR="003263B8" w:rsidRPr="00A57506">
        <w:rPr>
          <w:i/>
          <w:sz w:val="24"/>
          <w:szCs w:val="24"/>
          <w:lang w:val="en"/>
        </w:rPr>
        <w:t>organizations</w:t>
      </w:r>
      <w:r w:rsidRPr="00A57506">
        <w:rPr>
          <w:i/>
          <w:sz w:val="24"/>
          <w:szCs w:val="24"/>
          <w:lang w:val="en"/>
        </w:rPr>
        <w:t>: Kazphosphate LLP, Arcelor Mittal Temirtau JSC, Kazzinc LLP.</w:t>
      </w:r>
    </w:p>
    <w:p w14:paraId="29FC7736" w14:textId="77777777" w:rsidR="00A57506" w:rsidRPr="00A57506" w:rsidRDefault="00A57506" w:rsidP="00A57506">
      <w:pPr>
        <w:rPr>
          <w:lang w:val="en-US"/>
        </w:rPr>
      </w:pPr>
      <w:r w:rsidRPr="00A57506">
        <w:rPr>
          <w:lang w:val="en"/>
        </w:rPr>
        <w:t xml:space="preserve">2) </w:t>
      </w:r>
      <w:r w:rsidRPr="00A57506">
        <w:rPr>
          <w:b/>
          <w:lang w:val="en"/>
        </w:rPr>
        <w:t>low efficiency</w:t>
      </w:r>
      <w:r w:rsidRPr="00A57506">
        <w:rPr>
          <w:lang w:val="en"/>
        </w:rPr>
        <w:t xml:space="preserve"> of state support measures due to the lack of a unified system for monitoring the acceptance of counter-obligations.</w:t>
      </w:r>
    </w:p>
    <w:p w14:paraId="55762F01" w14:textId="77777777" w:rsidR="00A57506" w:rsidRPr="00A57506" w:rsidRDefault="00A57506" w:rsidP="00A57506">
      <w:pPr>
        <w:rPr>
          <w:sz w:val="32"/>
          <w:szCs w:val="32"/>
          <w:lang w:val="en-US"/>
        </w:rPr>
      </w:pPr>
      <w:r w:rsidRPr="00A57506">
        <w:rPr>
          <w:lang w:val="en"/>
        </w:rPr>
        <w:t xml:space="preserve">Based on the results of the analysis, it was found that within the framework of one project, when receiving support measures from different operators, businesses indicate the same final results </w:t>
      </w:r>
      <w:r w:rsidRPr="00A57506">
        <w:rPr>
          <w:i/>
          <w:sz w:val="24"/>
          <w:szCs w:val="24"/>
          <w:lang w:val="en"/>
        </w:rPr>
        <w:t>(job creation, increased tax payments, increased production and (or) export of products)</w:t>
      </w:r>
      <w:r w:rsidRPr="00A57506">
        <w:rPr>
          <w:sz w:val="24"/>
          <w:szCs w:val="24"/>
          <w:lang w:val="en"/>
        </w:rPr>
        <w:t>.</w:t>
      </w:r>
    </w:p>
    <w:p w14:paraId="31F611C8" w14:textId="77777777" w:rsidR="00A57506" w:rsidRPr="00A57506" w:rsidRDefault="00A57506" w:rsidP="00A57506">
      <w:pPr>
        <w:rPr>
          <w:lang w:val="en-US"/>
        </w:rPr>
      </w:pPr>
      <w:r w:rsidRPr="00A57506">
        <w:rPr>
          <w:lang w:val="en"/>
        </w:rPr>
        <w:t xml:space="preserve">Today, the state authorities have developed a unified position on the need to create a monitoring system that excludes the possibility of simultaneous receipt of support measures within the framework of one project and/or enterprise without taking additional amounts of counter obligations. </w:t>
      </w:r>
    </w:p>
    <w:p w14:paraId="4814E605" w14:textId="77777777" w:rsidR="00A57506" w:rsidRPr="00A57506" w:rsidRDefault="00A57506" w:rsidP="00A57506">
      <w:pPr>
        <w:rPr>
          <w:lang w:val="en-US"/>
        </w:rPr>
      </w:pPr>
      <w:r w:rsidRPr="00A57506">
        <w:rPr>
          <w:lang w:val="en"/>
        </w:rPr>
        <w:t>At the same time, the issue of the responsibility of the developers of national projects to determine funding limits for specific areas of support will be worked out within the framework of the Concept and during the development of the new version of the Budget Code.</w:t>
      </w:r>
    </w:p>
    <w:p w14:paraId="64C928C7" w14:textId="77777777" w:rsidR="00A57506" w:rsidRPr="00A57506" w:rsidRDefault="00A57506" w:rsidP="00A57506">
      <w:pPr>
        <w:keepNext/>
        <w:keepLines/>
        <w:numPr>
          <w:ilvl w:val="0"/>
          <w:numId w:val="6"/>
        </w:numPr>
        <w:tabs>
          <w:tab w:val="left" w:pos="1134"/>
        </w:tabs>
        <w:spacing w:before="240" w:after="240"/>
        <w:ind w:left="924" w:hanging="357"/>
        <w:outlineLvl w:val="1"/>
        <w:rPr>
          <w:b/>
          <w:bCs/>
          <w:color w:val="000000"/>
          <w:lang w:val="en-US"/>
        </w:rPr>
      </w:pPr>
      <w:bookmarkStart w:id="18" w:name="_Toc137900822"/>
      <w:bookmarkStart w:id="19" w:name="_Toc142467899"/>
      <w:bookmarkEnd w:id="7"/>
      <w:r w:rsidRPr="00A57506">
        <w:rPr>
          <w:b/>
          <w:bCs/>
          <w:color w:val="000000"/>
          <w:lang w:val="en"/>
        </w:rPr>
        <w:t>Working with the Government to promote competition</w:t>
      </w:r>
      <w:bookmarkEnd w:id="18"/>
      <w:bookmarkEnd w:id="19"/>
    </w:p>
    <w:p w14:paraId="142E47C4" w14:textId="77777777" w:rsidR="00A57506" w:rsidRPr="00A57506" w:rsidRDefault="00A57506" w:rsidP="00A57506">
      <w:pPr>
        <w:tabs>
          <w:tab w:val="left" w:pos="851"/>
        </w:tabs>
        <w:rPr>
          <w:color w:val="000000"/>
          <w:lang w:val="en-US" w:eastAsia="ar-SA"/>
        </w:rPr>
      </w:pPr>
      <w:r w:rsidRPr="00A57506">
        <w:rPr>
          <w:color w:val="000000"/>
          <w:lang w:val="en" w:eastAsia="ar-SA"/>
        </w:rPr>
        <w:t xml:space="preserve">For a long time, there has been </w:t>
      </w:r>
      <w:r w:rsidRPr="00A57506">
        <w:rPr>
          <w:b/>
          <w:color w:val="000000"/>
          <w:lang w:val="en" w:eastAsia="ar-SA"/>
        </w:rPr>
        <w:t>a weak involvement of sectoral government bodies</w:t>
      </w:r>
      <w:r w:rsidRPr="00A57506">
        <w:rPr>
          <w:color w:val="000000"/>
          <w:lang w:val="en" w:eastAsia="ar-SA"/>
        </w:rPr>
        <w:t xml:space="preserve"> in the adoption of measures to promote competition in the implementation of government policy in the relevant sectors of the economy. As a result, administrative barriers to the development of competition remain in the country's economy. </w:t>
      </w:r>
    </w:p>
    <w:p w14:paraId="4E83EC24" w14:textId="77777777" w:rsidR="00A57506" w:rsidRPr="00A57506" w:rsidRDefault="00A57506" w:rsidP="00A57506">
      <w:pPr>
        <w:rPr>
          <w:bCs/>
          <w:color w:val="000000"/>
          <w:lang w:val="en-US"/>
        </w:rPr>
      </w:pPr>
      <w:r w:rsidRPr="00A57506">
        <w:rPr>
          <w:color w:val="000000"/>
          <w:lang w:val="en" w:eastAsia="ar-SA"/>
        </w:rPr>
        <w:t xml:space="preserve">In this regard, in 2022, as part of the Concept implementation, the Agency, together with the Government, in order to optimize the interaction between competition and sectoral policies, started </w:t>
      </w:r>
      <w:r w:rsidRPr="00A57506">
        <w:rPr>
          <w:b/>
          <w:bCs/>
          <w:color w:val="000000"/>
          <w:lang w:val="en"/>
        </w:rPr>
        <w:t>joint work on the development of competition</w:t>
      </w:r>
      <w:r w:rsidRPr="00A57506">
        <w:rPr>
          <w:color w:val="000000"/>
          <w:lang w:val="en" w:eastAsia="ar-SA"/>
        </w:rPr>
        <w:t xml:space="preserve"> in certain commodity markets. In particular, competition development roadmaps are being adopted in this direction. As of today, Kazakhstan has already adopted </w:t>
      </w:r>
      <w:r w:rsidRPr="00A57506">
        <w:rPr>
          <w:b/>
          <w:bCs/>
          <w:color w:val="000000"/>
          <w:lang w:val="en"/>
        </w:rPr>
        <w:t>roadmaps for the development of competition</w:t>
      </w:r>
      <w:r w:rsidRPr="00A57506">
        <w:rPr>
          <w:bCs/>
          <w:i/>
          <w:color w:val="000000"/>
          <w:sz w:val="24"/>
          <w:lang w:val="en"/>
        </w:rPr>
        <w:t xml:space="preserve"> (posted on the Agency's official website)</w:t>
      </w:r>
      <w:r w:rsidRPr="00A57506">
        <w:rPr>
          <w:color w:val="000000"/>
          <w:vertAlign w:val="superscript"/>
        </w:rPr>
        <w:footnoteReference w:id="15"/>
      </w:r>
      <w:r w:rsidRPr="00A57506">
        <w:rPr>
          <w:color w:val="000000"/>
          <w:lang w:val="en" w:eastAsia="ar-SA"/>
        </w:rPr>
        <w:t>:</w:t>
      </w:r>
    </w:p>
    <w:p w14:paraId="3606F4EC" w14:textId="77777777" w:rsidR="00A57506" w:rsidRPr="00A57506" w:rsidRDefault="00A57506" w:rsidP="00A57506">
      <w:pPr>
        <w:rPr>
          <w:bCs/>
          <w:color w:val="000000"/>
          <w:lang w:val="en-US"/>
        </w:rPr>
      </w:pPr>
      <w:r w:rsidRPr="00A57506">
        <w:rPr>
          <w:bCs/>
          <w:color w:val="000000"/>
          <w:lang w:val="en"/>
        </w:rPr>
        <w:t xml:space="preserve">1) in the </w:t>
      </w:r>
      <w:r w:rsidRPr="00A57506">
        <w:rPr>
          <w:b/>
          <w:bCs/>
          <w:color w:val="000000"/>
          <w:lang w:val="en"/>
        </w:rPr>
        <w:t>oil and oil products</w:t>
      </w:r>
      <w:r w:rsidRPr="00A57506">
        <w:rPr>
          <w:bCs/>
          <w:color w:val="000000"/>
          <w:lang w:val="en"/>
        </w:rPr>
        <w:t xml:space="preserve"> market. The Action Plan provides for a number of measures to ensure access to resources, to analyze exchange trading in oil products with a view to increasing it to 20%, to approve the Rules of Equal Access to Essential Facilities for Wholesale Sales of Oil Products, to approve KMG Aero JSC's activities on jet fuel sales by a certificate of antitrust compliance </w:t>
      </w:r>
      <w:r w:rsidRPr="00A57506">
        <w:rPr>
          <w:i/>
          <w:color w:val="000000"/>
          <w:sz w:val="24"/>
          <w:lang w:val="en"/>
        </w:rPr>
        <w:t>(retail sales)</w:t>
      </w:r>
      <w:r w:rsidRPr="00A57506">
        <w:rPr>
          <w:bCs/>
          <w:color w:val="000000"/>
          <w:lang w:val="en"/>
        </w:rPr>
        <w:t xml:space="preserve">, to develop a forecast plan for convergence of the cost of fuels and lubricants within the EAEU by 2025 </w:t>
      </w:r>
      <w:r w:rsidRPr="00A57506">
        <w:rPr>
          <w:i/>
          <w:color w:val="000000"/>
          <w:sz w:val="24"/>
          <w:lang w:val="en"/>
        </w:rPr>
        <w:t>(mechanism of balanced price regulation)</w:t>
      </w:r>
      <w:r w:rsidRPr="00A57506">
        <w:rPr>
          <w:bCs/>
          <w:color w:val="000000"/>
          <w:lang w:val="en"/>
        </w:rPr>
        <w:t>;</w:t>
      </w:r>
    </w:p>
    <w:p w14:paraId="43EEE564" w14:textId="77777777" w:rsidR="00A57506" w:rsidRPr="00A57506" w:rsidRDefault="00A57506" w:rsidP="00A57506">
      <w:pPr>
        <w:rPr>
          <w:color w:val="000000"/>
          <w:lang w:val="en-US"/>
        </w:rPr>
      </w:pPr>
      <w:r w:rsidRPr="00A57506">
        <w:rPr>
          <w:bCs/>
          <w:color w:val="000000"/>
          <w:lang w:val="en"/>
        </w:rPr>
        <w:lastRenderedPageBreak/>
        <w:t xml:space="preserve">2) in the </w:t>
      </w:r>
      <w:r w:rsidRPr="00A57506">
        <w:rPr>
          <w:b/>
          <w:bCs/>
          <w:color w:val="000000"/>
          <w:lang w:val="en"/>
        </w:rPr>
        <w:t>coal</w:t>
      </w:r>
      <w:r w:rsidRPr="00A57506">
        <w:rPr>
          <w:bCs/>
          <w:color w:val="000000"/>
          <w:lang w:val="en"/>
        </w:rPr>
        <w:t xml:space="preserve"> sales market. It is planned to </w:t>
      </w:r>
      <w:r w:rsidRPr="00A57506">
        <w:rPr>
          <w:b/>
          <w:color w:val="000000"/>
          <w:lang w:val="en"/>
        </w:rPr>
        <w:t>eliminate</w:t>
      </w:r>
      <w:r w:rsidRPr="00A57506">
        <w:rPr>
          <w:bCs/>
          <w:color w:val="000000"/>
          <w:lang w:val="en"/>
        </w:rPr>
        <w:t xml:space="preserve"> "unproductive" intermediaries </w:t>
      </w:r>
      <w:r w:rsidRPr="00A57506">
        <w:rPr>
          <w:i/>
          <w:color w:val="000000"/>
          <w:sz w:val="24"/>
          <w:lang w:val="en"/>
        </w:rPr>
        <w:t xml:space="preserve">(by setting requirements to wholesale and retail coal suppliers on the availability of storage infrastructure, ban on coal sales between intermediaries; as well as amending the List of Exchange Commodities and the Rules of Exchange Trading to fix the ratio of sales of 50% share of utility coal through exchanges: 90 per cent long-term annual contracts, 10 per cent spot trades). </w:t>
      </w:r>
      <w:r w:rsidRPr="00A57506">
        <w:rPr>
          <w:bCs/>
          <w:color w:val="000000"/>
          <w:lang w:val="en"/>
        </w:rPr>
        <w:t xml:space="preserve">To cover the demand in the domestic market in a timely manner, priority will be given to rolling stock for the carriage of utility coal purchased by regional operators at the commodity exchange. In addition, a mechanism of regional supply bases for utility coal will be introduced </w:t>
      </w:r>
      <w:r w:rsidRPr="00A57506">
        <w:rPr>
          <w:i/>
          <w:color w:val="000000"/>
          <w:sz w:val="24"/>
          <w:lang w:val="en"/>
        </w:rPr>
        <w:t>(preservation of FCA conditions with division of trades by regions)</w:t>
      </w:r>
      <w:r w:rsidRPr="00A57506">
        <w:rPr>
          <w:bCs/>
          <w:color w:val="000000"/>
          <w:lang w:val="en"/>
        </w:rPr>
        <w:t>, with a possibility to switch to the RoK supply basis in case of non-demanded volumes". In addition, the primary wholesale market of coal sales for the needs of energy producing organizations will be analyzed for classification as a publicly important market;</w:t>
      </w:r>
    </w:p>
    <w:p w14:paraId="3EE2F722" w14:textId="77777777" w:rsidR="00A57506" w:rsidRPr="00A57506" w:rsidRDefault="00A57506" w:rsidP="00A57506">
      <w:pPr>
        <w:rPr>
          <w:bCs/>
          <w:color w:val="000000"/>
          <w:lang w:val="en-US"/>
        </w:rPr>
      </w:pPr>
      <w:r w:rsidRPr="00A57506">
        <w:rPr>
          <w:bCs/>
          <w:color w:val="000000"/>
          <w:lang w:val="en"/>
        </w:rPr>
        <w:t xml:space="preserve">3) in the </w:t>
      </w:r>
      <w:r w:rsidRPr="00A57506">
        <w:rPr>
          <w:b/>
          <w:bCs/>
          <w:color w:val="000000"/>
          <w:lang w:val="en"/>
        </w:rPr>
        <w:t>civil aviation</w:t>
      </w:r>
      <w:r w:rsidRPr="00A57506">
        <w:rPr>
          <w:bCs/>
          <w:color w:val="000000"/>
          <w:lang w:val="en"/>
        </w:rPr>
        <w:t xml:space="preserve"> sector. The Roadmap envisages measures aimed at eliminating key barriers to competition development in civil aviation </w:t>
      </w:r>
      <w:r w:rsidRPr="00A57506">
        <w:rPr>
          <w:bCs/>
          <w:i/>
          <w:color w:val="000000"/>
          <w:sz w:val="24"/>
          <w:lang w:val="en"/>
        </w:rPr>
        <w:t>(excessive state participation, limited access to infrastructure)</w:t>
      </w:r>
      <w:r w:rsidRPr="00A57506">
        <w:rPr>
          <w:bCs/>
          <w:color w:val="000000"/>
          <w:lang w:val="en"/>
        </w:rPr>
        <w:t xml:space="preserve"> and including, inter alia, the implementation of the state block of shares in </w:t>
      </w:r>
      <w:r w:rsidRPr="00A57506">
        <w:rPr>
          <w:b/>
          <w:bCs/>
          <w:color w:val="000000"/>
          <w:lang w:val="en"/>
        </w:rPr>
        <w:t>QazaqAir JSC, AirAstana JSC</w:t>
      </w:r>
      <w:r w:rsidRPr="00A57506">
        <w:rPr>
          <w:bCs/>
          <w:color w:val="000000"/>
          <w:lang w:val="en"/>
        </w:rPr>
        <w:t xml:space="preserve">, separation of </w:t>
      </w:r>
      <w:r w:rsidRPr="00A57506">
        <w:rPr>
          <w:b/>
          <w:bCs/>
          <w:color w:val="000000"/>
          <w:lang w:val="en"/>
        </w:rPr>
        <w:t>FlyArystan</w:t>
      </w:r>
      <w:r w:rsidRPr="00A57506">
        <w:rPr>
          <w:bCs/>
          <w:color w:val="000000"/>
          <w:lang w:val="en"/>
        </w:rPr>
        <w:t xml:space="preserve"> Airlines as a separate market player until privatization, extension of the "</w:t>
      </w:r>
      <w:r w:rsidRPr="00A57506">
        <w:rPr>
          <w:b/>
          <w:bCs/>
          <w:color w:val="000000"/>
          <w:lang w:val="en"/>
        </w:rPr>
        <w:t>open skies</w:t>
      </w:r>
      <w:r w:rsidRPr="00A57506">
        <w:rPr>
          <w:bCs/>
          <w:color w:val="000000"/>
          <w:lang w:val="en"/>
        </w:rPr>
        <w:t xml:space="preserve">" regime until 2028, as well as </w:t>
      </w:r>
      <w:r w:rsidRPr="00A57506">
        <w:rPr>
          <w:b/>
          <w:bCs/>
          <w:color w:val="000000"/>
          <w:lang w:val="en"/>
        </w:rPr>
        <w:t>consolidation of non-discriminatory access</w:t>
      </w:r>
      <w:r w:rsidRPr="00A57506">
        <w:rPr>
          <w:bCs/>
          <w:color w:val="000000"/>
          <w:lang w:val="en"/>
        </w:rPr>
        <w:t xml:space="preserve"> of retailers of aviation fuel to fuel-fueling complexes of airports, as well as elaboration of issues on construction of alternative fuel-fueling complexes in the airports of the Republic;</w:t>
      </w:r>
    </w:p>
    <w:p w14:paraId="242FA9F8" w14:textId="77777777" w:rsidR="00A57506" w:rsidRPr="00A57506" w:rsidRDefault="00A57506" w:rsidP="00A57506">
      <w:pPr>
        <w:rPr>
          <w:bCs/>
          <w:color w:val="000000"/>
          <w:lang w:val="en-US"/>
        </w:rPr>
      </w:pPr>
      <w:r w:rsidRPr="00A57506">
        <w:rPr>
          <w:bCs/>
          <w:color w:val="000000"/>
          <w:lang w:val="en"/>
        </w:rPr>
        <w:t xml:space="preserve">4) in the </w:t>
      </w:r>
      <w:r w:rsidRPr="00A57506">
        <w:rPr>
          <w:b/>
          <w:bCs/>
          <w:color w:val="000000"/>
          <w:lang w:val="en"/>
        </w:rPr>
        <w:t>agro-industrial sector</w:t>
      </w:r>
      <w:r w:rsidRPr="00A57506">
        <w:rPr>
          <w:bCs/>
          <w:color w:val="000000"/>
          <w:lang w:val="en"/>
        </w:rPr>
        <w:t xml:space="preserve">. To stimulate agricultural producers, </w:t>
      </w:r>
      <w:r w:rsidRPr="00A57506">
        <w:rPr>
          <w:b/>
          <w:bCs/>
          <w:color w:val="000000"/>
          <w:lang w:val="en"/>
        </w:rPr>
        <w:t>new approaches to subsidies</w:t>
      </w:r>
      <w:r w:rsidRPr="00A57506">
        <w:rPr>
          <w:bCs/>
          <w:color w:val="000000"/>
          <w:lang w:val="en"/>
        </w:rPr>
        <w:t xml:space="preserve"> are envisaged with a focus on problematic commodity markets. A conceptual </w:t>
      </w:r>
      <w:r w:rsidRPr="00A57506">
        <w:rPr>
          <w:b/>
          <w:bCs/>
          <w:color w:val="000000"/>
          <w:lang w:val="en"/>
        </w:rPr>
        <w:t>revision</w:t>
      </w:r>
      <w:r w:rsidRPr="00A57506">
        <w:rPr>
          <w:bCs/>
          <w:color w:val="000000"/>
          <w:lang w:val="en"/>
        </w:rPr>
        <w:t xml:space="preserve"> of the state price regulation of socially important food products is expected. The plan is to remove barriers in promoting agricultural producers' products to consumers </w:t>
      </w:r>
      <w:r w:rsidRPr="00A57506">
        <w:rPr>
          <w:b/>
          <w:bCs/>
          <w:color w:val="000000"/>
          <w:lang w:val="en"/>
        </w:rPr>
        <w:t>through trade networks/facilities</w:t>
      </w:r>
      <w:r w:rsidRPr="00A57506">
        <w:rPr>
          <w:bCs/>
          <w:color w:val="000000"/>
          <w:lang w:val="en"/>
        </w:rPr>
        <w:t xml:space="preserve">, to balance the interests of domestic producers and food trade organizations, and to develop </w:t>
      </w:r>
      <w:r w:rsidRPr="00A57506">
        <w:rPr>
          <w:b/>
          <w:bCs/>
          <w:color w:val="000000"/>
          <w:lang w:val="en"/>
        </w:rPr>
        <w:t>exchange trade</w:t>
      </w:r>
      <w:r w:rsidRPr="00A57506">
        <w:rPr>
          <w:bCs/>
          <w:color w:val="000000"/>
          <w:lang w:val="en"/>
        </w:rPr>
        <w:t xml:space="preserve"> in agricultural products;</w:t>
      </w:r>
    </w:p>
    <w:p w14:paraId="53986808" w14:textId="77777777" w:rsidR="00A57506" w:rsidRPr="00A57506" w:rsidRDefault="00A57506" w:rsidP="00A57506">
      <w:pPr>
        <w:rPr>
          <w:bCs/>
          <w:color w:val="000000"/>
          <w:lang w:val="en-US"/>
        </w:rPr>
      </w:pPr>
      <w:r w:rsidRPr="00A57506">
        <w:rPr>
          <w:bCs/>
          <w:color w:val="000000"/>
          <w:lang w:val="en"/>
        </w:rPr>
        <w:t xml:space="preserve">5) in the </w:t>
      </w:r>
      <w:r w:rsidRPr="00A57506">
        <w:rPr>
          <w:b/>
          <w:bCs/>
          <w:color w:val="000000"/>
          <w:lang w:val="en"/>
        </w:rPr>
        <w:t>housing construction</w:t>
      </w:r>
      <w:r w:rsidRPr="00A57506">
        <w:rPr>
          <w:bCs/>
          <w:color w:val="000000"/>
          <w:lang w:val="en"/>
        </w:rPr>
        <w:t xml:space="preserve"> sector. By the end of 2023 it is planned to solve the problem of </w:t>
      </w:r>
      <w:r w:rsidRPr="00A57506">
        <w:rPr>
          <w:b/>
          <w:bCs/>
          <w:color w:val="000000"/>
          <w:lang w:val="en"/>
        </w:rPr>
        <w:t>non-competitive allocation</w:t>
      </w:r>
      <w:r w:rsidRPr="00A57506">
        <w:rPr>
          <w:bCs/>
          <w:color w:val="000000"/>
          <w:lang w:val="en"/>
        </w:rPr>
        <w:t xml:space="preserve"> of land plots through mechanisms of special economic zones and socio-entrepreneurial corporations, responsibility of akimats for failure to place information on vacant land plots is toughened, </w:t>
      </w:r>
      <w:r w:rsidRPr="00A57506">
        <w:rPr>
          <w:b/>
          <w:bCs/>
          <w:color w:val="000000"/>
          <w:lang w:val="en"/>
        </w:rPr>
        <w:t>checks</w:t>
      </w:r>
      <w:r w:rsidRPr="00A57506">
        <w:rPr>
          <w:bCs/>
          <w:color w:val="000000"/>
          <w:lang w:val="en"/>
        </w:rPr>
        <w:t xml:space="preserve"> for compliance with the laws in terms of attracting funds of shareholders are introduced . Measures have been included providing for </w:t>
      </w:r>
      <w:r w:rsidRPr="00A57506">
        <w:rPr>
          <w:b/>
          <w:bCs/>
          <w:color w:val="000000"/>
          <w:lang w:val="en"/>
        </w:rPr>
        <w:t>the digitalization</w:t>
      </w:r>
      <w:r w:rsidRPr="00A57506">
        <w:rPr>
          <w:bCs/>
          <w:color w:val="000000"/>
          <w:lang w:val="en"/>
        </w:rPr>
        <w:t xml:space="preserve"> of the processes of acquisition of residential and non-residential premises, shares and units in residential buildings under construction, increasing transparency of the activities of the single operator </w:t>
      </w:r>
      <w:r w:rsidRPr="00A57506">
        <w:rPr>
          <w:bCs/>
          <w:i/>
          <w:color w:val="000000"/>
          <w:sz w:val="24"/>
          <w:lang w:val="en"/>
        </w:rPr>
        <w:t>(Kazakhstan Housing Company JSC)</w:t>
      </w:r>
      <w:r w:rsidRPr="00A57506">
        <w:rPr>
          <w:bCs/>
          <w:color w:val="000000"/>
          <w:lang w:val="en"/>
        </w:rPr>
        <w:t xml:space="preserve"> in the selection of engineering companies, attributing the services of the operator to public services;</w:t>
      </w:r>
    </w:p>
    <w:p w14:paraId="18DBEC0D" w14:textId="77777777" w:rsidR="00A57506" w:rsidRPr="00A57506" w:rsidRDefault="00A57506" w:rsidP="00A57506">
      <w:pPr>
        <w:rPr>
          <w:bCs/>
          <w:color w:val="000000"/>
          <w:lang w:val="en-US"/>
        </w:rPr>
      </w:pPr>
      <w:r w:rsidRPr="00A57506">
        <w:rPr>
          <w:bCs/>
          <w:color w:val="000000"/>
          <w:lang w:val="en"/>
        </w:rPr>
        <w:t xml:space="preserve">6) in the </w:t>
      </w:r>
      <w:r w:rsidRPr="00A57506">
        <w:rPr>
          <w:b/>
          <w:bCs/>
          <w:color w:val="000000"/>
          <w:lang w:val="en"/>
        </w:rPr>
        <w:t>health care</w:t>
      </w:r>
      <w:r w:rsidRPr="00A57506">
        <w:rPr>
          <w:bCs/>
          <w:color w:val="000000"/>
          <w:lang w:val="en"/>
        </w:rPr>
        <w:t xml:space="preserve"> sector and in the market of </w:t>
      </w:r>
      <w:r w:rsidRPr="00A57506">
        <w:rPr>
          <w:b/>
          <w:bCs/>
          <w:color w:val="000000"/>
          <w:lang w:val="en"/>
        </w:rPr>
        <w:t>medicines</w:t>
      </w:r>
      <w:r w:rsidRPr="00A57506">
        <w:rPr>
          <w:bCs/>
          <w:color w:val="000000"/>
          <w:lang w:val="en"/>
        </w:rPr>
        <w:t xml:space="preserve"> storage and transport services. The plan is </w:t>
      </w:r>
      <w:r w:rsidRPr="00A57506">
        <w:rPr>
          <w:b/>
          <w:bCs/>
          <w:color w:val="000000"/>
          <w:lang w:val="en"/>
        </w:rPr>
        <w:t>to reduce excessive price regulation</w:t>
      </w:r>
      <w:r w:rsidRPr="00A57506">
        <w:rPr>
          <w:bCs/>
          <w:color w:val="000000"/>
          <w:lang w:val="en"/>
        </w:rPr>
        <w:t xml:space="preserve"> for medicines in the commercial segment, to provide access to state procurement of medicines within the Statutory Free Medical Assistance and/or the Compulsory Social Health Insurance  system. In addition, it is envisaged to </w:t>
      </w:r>
      <w:r w:rsidRPr="00A57506">
        <w:rPr>
          <w:b/>
          <w:bCs/>
          <w:color w:val="000000"/>
          <w:lang w:val="en"/>
        </w:rPr>
        <w:t xml:space="preserve">reduce the level of state </w:t>
      </w:r>
      <w:r w:rsidRPr="00A57506">
        <w:rPr>
          <w:b/>
          <w:bCs/>
          <w:color w:val="000000"/>
          <w:lang w:val="en"/>
        </w:rPr>
        <w:lastRenderedPageBreak/>
        <w:t>participation</w:t>
      </w:r>
      <w:r w:rsidRPr="00A57506">
        <w:rPr>
          <w:bCs/>
          <w:color w:val="000000"/>
          <w:lang w:val="en"/>
        </w:rPr>
        <w:t xml:space="preserve"> in the health care sector and </w:t>
      </w:r>
      <w:r w:rsidRPr="00A57506">
        <w:rPr>
          <w:b/>
          <w:bCs/>
          <w:color w:val="000000"/>
          <w:lang w:val="en"/>
        </w:rPr>
        <w:t>eliminate administrative barriers</w:t>
      </w:r>
      <w:r w:rsidRPr="00A57506">
        <w:rPr>
          <w:bCs/>
          <w:color w:val="000000"/>
          <w:lang w:val="en"/>
        </w:rPr>
        <w:t xml:space="preserve"> to health care services. The business processes of market entry of medicines will be digitized. It is also envisaged to reduce the share of single-source procurement for the service of storage and transport of medicines and medical devices;</w:t>
      </w:r>
    </w:p>
    <w:p w14:paraId="47FB6CD7" w14:textId="77777777" w:rsidR="00A57506" w:rsidRPr="00A57506" w:rsidRDefault="00A57506" w:rsidP="00A57506">
      <w:pPr>
        <w:rPr>
          <w:bCs/>
          <w:color w:val="000000"/>
          <w:lang w:val="en-US"/>
        </w:rPr>
      </w:pPr>
      <w:r w:rsidRPr="00A57506">
        <w:rPr>
          <w:bCs/>
          <w:color w:val="000000"/>
          <w:lang w:val="en"/>
        </w:rPr>
        <w:t xml:space="preserve">7) in the </w:t>
      </w:r>
      <w:r w:rsidRPr="00A57506">
        <w:rPr>
          <w:b/>
          <w:bCs/>
          <w:color w:val="000000"/>
          <w:lang w:val="en"/>
        </w:rPr>
        <w:t>telecommunication</w:t>
      </w:r>
      <w:r w:rsidRPr="00A57506">
        <w:rPr>
          <w:bCs/>
          <w:color w:val="000000"/>
          <w:lang w:val="en"/>
        </w:rPr>
        <w:t xml:space="preserve"> sector. The roadmap includes measures aimed at </w:t>
      </w:r>
      <w:r w:rsidRPr="00A57506">
        <w:rPr>
          <w:b/>
          <w:bCs/>
          <w:color w:val="000000"/>
          <w:lang w:val="en"/>
        </w:rPr>
        <w:t>reducing the state's share</w:t>
      </w:r>
      <w:r w:rsidRPr="00A57506">
        <w:rPr>
          <w:bCs/>
          <w:color w:val="000000"/>
          <w:lang w:val="en"/>
        </w:rPr>
        <w:t xml:space="preserve"> in the telecommunication market, including, inter alia, analysis of the current procedure for conducting auctions for radio frequency allocation </w:t>
      </w:r>
      <w:r w:rsidRPr="00A57506">
        <w:rPr>
          <w:bCs/>
          <w:i/>
          <w:color w:val="000000"/>
          <w:sz w:val="24"/>
          <w:lang w:val="en"/>
        </w:rPr>
        <w:t>(taking into account international experience)</w:t>
      </w:r>
      <w:r w:rsidRPr="00A57506">
        <w:rPr>
          <w:bCs/>
          <w:color w:val="000000"/>
          <w:lang w:val="en"/>
        </w:rPr>
        <w:t xml:space="preserve">, the demonopolization of the Kazakhtelecom Group by means of phased establishment of subsidiaries </w:t>
      </w:r>
      <w:r w:rsidRPr="00A57506">
        <w:rPr>
          <w:bCs/>
          <w:i/>
          <w:color w:val="000000"/>
          <w:sz w:val="24"/>
          <w:lang w:val="en"/>
        </w:rPr>
        <w:t>(cellular operators)</w:t>
      </w:r>
      <w:r w:rsidRPr="00A57506">
        <w:rPr>
          <w:bCs/>
          <w:color w:val="000000"/>
          <w:lang w:val="en"/>
        </w:rPr>
        <w:t xml:space="preserve">. The measures also included aimed at ensuring </w:t>
      </w:r>
      <w:r w:rsidRPr="00A57506">
        <w:rPr>
          <w:b/>
          <w:bCs/>
          <w:color w:val="000000"/>
          <w:lang w:val="en"/>
        </w:rPr>
        <w:t>equal access to infrastructure</w:t>
      </w:r>
      <w:r w:rsidRPr="00A57506">
        <w:rPr>
          <w:bCs/>
          <w:color w:val="000000"/>
          <w:lang w:val="en"/>
        </w:rPr>
        <w:t xml:space="preserve">, including such as establishing the competence of the authorized body in the field of telecommunication to reallocate radio frequency spectrum </w:t>
      </w:r>
      <w:r w:rsidRPr="00A57506">
        <w:rPr>
          <w:bCs/>
          <w:i/>
          <w:color w:val="000000"/>
          <w:sz w:val="24"/>
          <w:lang w:val="en"/>
        </w:rPr>
        <w:t>(the RFS)</w:t>
      </w:r>
      <w:r w:rsidRPr="00A57506">
        <w:rPr>
          <w:bCs/>
          <w:color w:val="000000"/>
          <w:lang w:val="en"/>
        </w:rPr>
        <w:t xml:space="preserve">, introducing mandatory sharing of RFS, infrastructure </w:t>
      </w:r>
      <w:r w:rsidRPr="00A57506">
        <w:rPr>
          <w:bCs/>
          <w:i/>
          <w:color w:val="000000"/>
          <w:sz w:val="24"/>
          <w:lang w:val="en"/>
        </w:rPr>
        <w:t>(sharing)</w:t>
      </w:r>
      <w:r w:rsidRPr="00A57506">
        <w:rPr>
          <w:bCs/>
          <w:color w:val="000000"/>
          <w:lang w:val="en"/>
        </w:rPr>
        <w:t>, analyzing the procedure for connection and interaction of telecommunication networks of telecommunication operators, determining the competence to approve the competitive procedure for the transfer of utility tunnel built at the expense of budgetary funds.</w:t>
      </w:r>
    </w:p>
    <w:p w14:paraId="138B3DD7" w14:textId="77777777" w:rsidR="00A57506" w:rsidRPr="00A57506" w:rsidRDefault="00A57506" w:rsidP="00A57506">
      <w:pPr>
        <w:rPr>
          <w:bCs/>
          <w:color w:val="000000"/>
          <w:lang w:val="en-US"/>
        </w:rPr>
      </w:pPr>
      <w:r w:rsidRPr="00A57506">
        <w:rPr>
          <w:color w:val="000000"/>
          <w:lang w:val="en"/>
        </w:rPr>
        <w:t xml:space="preserve">Thus, </w:t>
      </w:r>
      <w:r w:rsidRPr="00A57506">
        <w:rPr>
          <w:b/>
          <w:color w:val="000000"/>
          <w:lang w:val="en"/>
        </w:rPr>
        <w:t>government agencies are involved</w:t>
      </w:r>
      <w:r w:rsidRPr="00A57506">
        <w:rPr>
          <w:color w:val="000000"/>
          <w:lang w:val="en"/>
        </w:rPr>
        <w:t xml:space="preserve"> in promoting competition in the relevant sectors of the economy. </w:t>
      </w:r>
    </w:p>
    <w:p w14:paraId="5FD00A64" w14:textId="2C6B3484" w:rsidR="00A57506" w:rsidRPr="00A57506" w:rsidRDefault="00A57506" w:rsidP="00A57506">
      <w:pPr>
        <w:rPr>
          <w:bCs/>
          <w:color w:val="000000"/>
          <w:lang w:val="en-US"/>
        </w:rPr>
      </w:pPr>
      <w:r w:rsidRPr="00A57506">
        <w:rPr>
          <w:bCs/>
          <w:color w:val="000000"/>
          <w:lang w:val="en"/>
        </w:rPr>
        <w:t xml:space="preserve">The remarkable fact is that the need for </w:t>
      </w:r>
      <w:r w:rsidRPr="00A57506">
        <w:rPr>
          <w:b/>
          <w:bCs/>
          <w:color w:val="000000"/>
          <w:lang w:val="en"/>
        </w:rPr>
        <w:t>a whole-of-government approach</w:t>
      </w:r>
      <w:r w:rsidRPr="00A57506">
        <w:rPr>
          <w:bCs/>
          <w:color w:val="000000"/>
          <w:lang w:val="en"/>
        </w:rPr>
        <w:t xml:space="preserve"> to address the problems of excessive concentration, monopolization and unfair competition is also noted in </w:t>
      </w:r>
      <w:r w:rsidRPr="00A57506">
        <w:rPr>
          <w:b/>
          <w:bCs/>
          <w:color w:val="000000"/>
          <w:lang w:val="en"/>
        </w:rPr>
        <w:t>the Executive Order on Promoting Competition in the American Economy</w:t>
      </w:r>
      <w:r w:rsidRPr="00A57506">
        <w:rPr>
          <w:color w:val="000000"/>
          <w:vertAlign w:val="superscript"/>
        </w:rPr>
        <w:footnoteReference w:id="16"/>
      </w:r>
      <w:r w:rsidRPr="00A57506">
        <w:rPr>
          <w:bCs/>
          <w:color w:val="000000"/>
          <w:lang w:val="en"/>
        </w:rPr>
        <w:t xml:space="preserve">. In this Decree, in addition to the classic antitrust line of defense against monopolization </w:t>
      </w:r>
      <w:r w:rsidRPr="00A57506">
        <w:rPr>
          <w:i/>
          <w:color w:val="000000"/>
          <w:sz w:val="24"/>
          <w:lang w:val="en"/>
        </w:rPr>
        <w:t>(</w:t>
      </w:r>
      <w:r>
        <w:rPr>
          <w:i/>
          <w:color w:val="000000"/>
          <w:sz w:val="24"/>
          <w:lang w:val="en"/>
        </w:rPr>
        <w:t>antimonopoly regulation</w:t>
      </w:r>
      <w:r w:rsidRPr="00A57506">
        <w:rPr>
          <w:i/>
          <w:color w:val="000000"/>
          <w:sz w:val="24"/>
          <w:lang w:val="en"/>
        </w:rPr>
        <w:t>s, including Sherman and Clayton Acts)</w:t>
      </w:r>
      <w:r w:rsidRPr="00A57506">
        <w:rPr>
          <w:bCs/>
          <w:color w:val="000000"/>
          <w:lang w:val="en"/>
        </w:rPr>
        <w:t xml:space="preserve"> the Executive Order includes measures requiring industry regulators to protect fair competition conditions and to cooperate with the </w:t>
      </w:r>
      <w:r>
        <w:rPr>
          <w:bCs/>
          <w:color w:val="000000"/>
          <w:lang w:val="en"/>
        </w:rPr>
        <w:t>Antimonopoly Authorities</w:t>
      </w:r>
      <w:r w:rsidRPr="00A57506">
        <w:rPr>
          <w:bCs/>
          <w:color w:val="000000"/>
          <w:lang w:val="en"/>
        </w:rPr>
        <w:t xml:space="preserve"> </w:t>
      </w:r>
      <w:r w:rsidRPr="00A57506">
        <w:rPr>
          <w:i/>
          <w:color w:val="000000"/>
          <w:sz w:val="24"/>
          <w:lang w:val="en"/>
        </w:rPr>
        <w:t>(the Federal Trade Commission and the Department of Justice)</w:t>
      </w:r>
      <w:r w:rsidRPr="00A57506">
        <w:rPr>
          <w:bCs/>
          <w:color w:val="000000"/>
          <w:lang w:val="en"/>
        </w:rPr>
        <w:t>.</w:t>
      </w:r>
    </w:p>
    <w:p w14:paraId="4B2B7B64" w14:textId="77777777" w:rsidR="00A57506" w:rsidRPr="00A57506" w:rsidRDefault="00A57506" w:rsidP="00A57506">
      <w:pPr>
        <w:keepNext/>
        <w:keepLines/>
        <w:numPr>
          <w:ilvl w:val="0"/>
          <w:numId w:val="6"/>
        </w:numPr>
        <w:tabs>
          <w:tab w:val="left" w:pos="1134"/>
        </w:tabs>
        <w:spacing w:before="240" w:after="240"/>
        <w:ind w:left="0" w:firstLine="567"/>
        <w:outlineLvl w:val="1"/>
        <w:rPr>
          <w:b/>
          <w:bCs/>
          <w:color w:val="000000"/>
          <w:lang w:val="en-US"/>
        </w:rPr>
      </w:pPr>
      <w:bookmarkStart w:id="20" w:name="_Toc137900823"/>
      <w:bookmarkStart w:id="21" w:name="_Toc142467900"/>
      <w:r w:rsidRPr="00A57506">
        <w:rPr>
          <w:b/>
          <w:bCs/>
          <w:color w:val="000000"/>
          <w:lang w:val="en"/>
        </w:rPr>
        <w:t>Identifying and suppressing anti-competitive practices</w:t>
      </w:r>
      <w:bookmarkEnd w:id="20"/>
      <w:bookmarkEnd w:id="21"/>
      <w:r w:rsidRPr="00A57506">
        <w:rPr>
          <w:b/>
          <w:bCs/>
          <w:color w:val="000000"/>
          <w:lang w:val="en"/>
        </w:rPr>
        <w:t xml:space="preserve"> </w:t>
      </w:r>
    </w:p>
    <w:p w14:paraId="5E2975BB" w14:textId="77777777" w:rsidR="00A57506" w:rsidRPr="00A57506" w:rsidRDefault="00A57506" w:rsidP="00A57506">
      <w:pPr>
        <w:rPr>
          <w:color w:val="000000"/>
          <w:lang w:val="en-US" w:eastAsia="ar-SA"/>
        </w:rPr>
      </w:pPr>
      <w:r w:rsidRPr="00A57506">
        <w:rPr>
          <w:color w:val="000000"/>
          <w:lang w:val="en" w:eastAsia="ar-SA"/>
        </w:rPr>
        <w:t xml:space="preserve">An important feature of the new competition policy was its focus on the transition from </w:t>
      </w:r>
      <w:r w:rsidRPr="00A57506">
        <w:rPr>
          <w:b/>
          <w:color w:val="000000"/>
          <w:lang w:val="en" w:eastAsia="ar-SA"/>
        </w:rPr>
        <w:t>a punitive</w:t>
      </w:r>
      <w:r w:rsidRPr="00A57506">
        <w:rPr>
          <w:color w:val="000000"/>
          <w:lang w:val="en" w:eastAsia="ar-SA"/>
        </w:rPr>
        <w:t xml:space="preserve"> orientation </w:t>
      </w:r>
      <w:r w:rsidRPr="00A57506">
        <w:rPr>
          <w:i/>
          <w:color w:val="000000"/>
          <w:sz w:val="24"/>
          <w:lang w:val="en" w:eastAsia="ar-SA"/>
        </w:rPr>
        <w:t>("ex-post")</w:t>
      </w:r>
      <w:r w:rsidRPr="00A57506">
        <w:rPr>
          <w:color w:val="000000"/>
          <w:lang w:val="en" w:eastAsia="ar-SA"/>
        </w:rPr>
        <w:t xml:space="preserve"> to the active use of </w:t>
      </w:r>
      <w:r w:rsidRPr="00A57506">
        <w:rPr>
          <w:b/>
          <w:color w:val="000000"/>
          <w:lang w:val="en" w:eastAsia="ar-SA"/>
        </w:rPr>
        <w:t>"ex-ante" measures</w:t>
      </w:r>
      <w:r w:rsidRPr="00A57506">
        <w:rPr>
          <w:color w:val="000000"/>
          <w:lang w:val="en" w:eastAsia="ar-SA"/>
        </w:rPr>
        <w:t xml:space="preserve"> stimulating market players to pro-competitive behavior. </w:t>
      </w:r>
    </w:p>
    <w:p w14:paraId="77966EEE" w14:textId="77777777" w:rsidR="00A57506" w:rsidRPr="00A57506" w:rsidRDefault="00A57506" w:rsidP="00A57506">
      <w:pPr>
        <w:rPr>
          <w:color w:val="000000"/>
          <w:lang w:val="en-US" w:eastAsia="ar-SA"/>
        </w:rPr>
      </w:pPr>
      <w:r w:rsidRPr="00A57506">
        <w:rPr>
          <w:color w:val="000000"/>
          <w:lang w:val="en" w:eastAsia="ar-SA"/>
        </w:rPr>
        <w:t xml:space="preserve">Such measures include, inter alia, notices of the existence of signs of violation in actions </w:t>
      </w:r>
      <w:r w:rsidRPr="00A57506">
        <w:rPr>
          <w:i/>
          <w:color w:val="000000"/>
          <w:sz w:val="24"/>
          <w:lang w:val="en" w:eastAsia="ar-SA"/>
        </w:rPr>
        <w:t>(inaction)</w:t>
      </w:r>
      <w:r w:rsidRPr="00A57506">
        <w:rPr>
          <w:color w:val="000000"/>
          <w:lang w:val="en" w:eastAsia="ar-SA"/>
        </w:rPr>
        <w:t>, warnings about the inadmissibility of anti-competitive practices, antitrust compliance.</w:t>
      </w:r>
    </w:p>
    <w:p w14:paraId="612AA528" w14:textId="77777777" w:rsidR="00A57506" w:rsidRPr="00A57506" w:rsidRDefault="00A57506" w:rsidP="00A57506">
      <w:pPr>
        <w:rPr>
          <w:color w:val="000000"/>
          <w:lang w:val="en-US" w:eastAsia="ar-SA"/>
        </w:rPr>
      </w:pPr>
      <w:r w:rsidRPr="00A57506">
        <w:rPr>
          <w:color w:val="000000"/>
          <w:lang w:val="en" w:eastAsia="ar-SA"/>
        </w:rPr>
        <w:t xml:space="preserve">Thus, the focus of the Agency's activities is shifted to the </w:t>
      </w:r>
      <w:r w:rsidRPr="00A57506">
        <w:rPr>
          <w:b/>
          <w:color w:val="000000"/>
          <w:lang w:val="en" w:eastAsia="ar-SA"/>
        </w:rPr>
        <w:t>prevention of anti-competitive practices</w:t>
      </w:r>
      <w:r w:rsidRPr="00A57506">
        <w:rPr>
          <w:color w:val="000000"/>
          <w:lang w:val="en" w:eastAsia="ar-SA"/>
        </w:rPr>
        <w:t xml:space="preserve">. </w:t>
      </w:r>
    </w:p>
    <w:p w14:paraId="3C0EE3BF" w14:textId="77777777" w:rsidR="00A57506" w:rsidRPr="00A57506" w:rsidRDefault="00A57506" w:rsidP="00A57506">
      <w:pPr>
        <w:rPr>
          <w:color w:val="000000"/>
          <w:lang w:val="en-US" w:eastAsia="ar-SA"/>
        </w:rPr>
      </w:pPr>
      <w:r w:rsidRPr="00A57506">
        <w:rPr>
          <w:color w:val="000000"/>
          <w:lang w:val="en" w:eastAsia="ar-SA"/>
        </w:rPr>
        <w:t>The relevant approaches are enshrined in Decree 484</w:t>
      </w:r>
      <w:r w:rsidRPr="00A57506">
        <w:rPr>
          <w:color w:val="000000"/>
          <w:vertAlign w:val="superscript"/>
        </w:rPr>
        <w:footnoteReference w:id="17"/>
      </w:r>
      <w:r w:rsidRPr="00A57506">
        <w:rPr>
          <w:color w:val="000000"/>
          <w:lang w:val="en" w:eastAsia="ar-SA"/>
        </w:rPr>
        <w:t xml:space="preserve"> and the Concept, which </w:t>
      </w:r>
      <w:r w:rsidRPr="00A57506">
        <w:rPr>
          <w:b/>
          <w:color w:val="000000"/>
          <w:lang w:val="en" w:eastAsia="ar-SA"/>
        </w:rPr>
        <w:t>prioritizes preventive antitrust regulation measures</w:t>
      </w:r>
      <w:r w:rsidRPr="00A57506">
        <w:rPr>
          <w:color w:val="000000"/>
          <w:lang w:val="en" w:eastAsia="ar-SA"/>
        </w:rPr>
        <w:t xml:space="preserve"> as one of the principles of the state policy for the development of competition.</w:t>
      </w:r>
    </w:p>
    <w:p w14:paraId="2243E5AA" w14:textId="77777777" w:rsidR="00A57506" w:rsidRPr="00A57506" w:rsidRDefault="00A57506" w:rsidP="00A57506">
      <w:pPr>
        <w:rPr>
          <w:iCs/>
          <w:color w:val="000000"/>
          <w:lang w:val="en-US"/>
        </w:rPr>
      </w:pPr>
      <w:r w:rsidRPr="00A57506">
        <w:rPr>
          <w:color w:val="000000"/>
          <w:lang w:val="en"/>
        </w:rPr>
        <w:lastRenderedPageBreak/>
        <w:t xml:space="preserve">In general, in 2022, the antimonopoly authority issued </w:t>
      </w:r>
      <w:r w:rsidRPr="00A57506">
        <w:rPr>
          <w:b/>
          <w:color w:val="000000"/>
          <w:lang w:val="en"/>
        </w:rPr>
        <w:t>508 notices</w:t>
      </w:r>
      <w:r w:rsidRPr="00A57506">
        <w:rPr>
          <w:color w:val="000000"/>
          <w:lang w:val="en"/>
        </w:rPr>
        <w:t xml:space="preserve"> of the existence of signs of violation in actions </w:t>
      </w:r>
      <w:r w:rsidRPr="00A57506">
        <w:rPr>
          <w:i/>
          <w:color w:val="000000"/>
          <w:sz w:val="24"/>
          <w:lang w:val="en" w:eastAsia="ar-SA"/>
        </w:rPr>
        <w:t>(inaction)</w:t>
      </w:r>
      <w:r w:rsidRPr="00A57506">
        <w:rPr>
          <w:color w:val="000000"/>
          <w:lang w:val="en"/>
        </w:rPr>
        <w:t xml:space="preserve"> in the field of competition protection </w:t>
      </w:r>
      <w:r w:rsidRPr="00A57506">
        <w:rPr>
          <w:i/>
          <w:color w:val="000000"/>
          <w:sz w:val="24"/>
          <w:lang w:val="en"/>
        </w:rPr>
        <w:t>(Figure 4)</w:t>
      </w:r>
      <w:r w:rsidRPr="00A57506">
        <w:rPr>
          <w:color w:val="000000"/>
          <w:lang w:val="en"/>
        </w:rPr>
        <w:t xml:space="preserve">, of which 430 notices or 84.6% were closed </w:t>
      </w:r>
      <w:r w:rsidRPr="00A57506">
        <w:rPr>
          <w:i/>
          <w:iCs/>
          <w:color w:val="000000"/>
          <w:sz w:val="24"/>
          <w:lang w:val="en"/>
        </w:rPr>
        <w:t>(79.2% in 2021)</w:t>
      </w:r>
      <w:r w:rsidRPr="00A57506">
        <w:rPr>
          <w:color w:val="000000"/>
          <w:lang w:val="en"/>
        </w:rPr>
        <w:t xml:space="preserve">. </w:t>
      </w:r>
    </w:p>
    <w:p w14:paraId="21CE64FB" w14:textId="77777777" w:rsidR="00A57506" w:rsidRPr="00A57506" w:rsidRDefault="00A57506" w:rsidP="00A57506">
      <w:pPr>
        <w:rPr>
          <w:color w:val="000000"/>
          <w:lang w:val="en-US" w:eastAsia="ar-SA"/>
        </w:rPr>
      </w:pPr>
      <w:r w:rsidRPr="00A57506">
        <w:rPr>
          <w:iCs/>
          <w:color w:val="000000"/>
          <w:lang w:val="en"/>
        </w:rPr>
        <w:t xml:space="preserve">However, there is an increase </w:t>
      </w:r>
      <w:r w:rsidRPr="00A57506">
        <w:rPr>
          <w:i/>
          <w:color w:val="000000"/>
          <w:sz w:val="24"/>
          <w:lang w:val="en" w:eastAsia="ar-SA"/>
        </w:rPr>
        <w:t>(relative to 2021)</w:t>
      </w:r>
      <w:r w:rsidRPr="00A57506">
        <w:rPr>
          <w:iCs/>
          <w:color w:val="000000"/>
          <w:lang w:val="en"/>
        </w:rPr>
        <w:t xml:space="preserve"> in the number of notices issued in 2022 </w:t>
      </w:r>
      <w:r w:rsidRPr="00A57506">
        <w:rPr>
          <w:i/>
          <w:color w:val="000000"/>
          <w:sz w:val="24"/>
          <w:lang w:val="en" w:eastAsia="ar-SA"/>
        </w:rPr>
        <w:t>(a 27% increase)</w:t>
      </w:r>
      <w:r w:rsidRPr="00A57506">
        <w:rPr>
          <w:iCs/>
          <w:color w:val="000000"/>
          <w:lang w:val="en"/>
        </w:rPr>
        <w:t>.</w:t>
      </w:r>
    </w:p>
    <w:p w14:paraId="0604A9D5" w14:textId="77777777" w:rsidR="00A57506" w:rsidRPr="00A57506" w:rsidRDefault="00A57506" w:rsidP="00A57506">
      <w:pPr>
        <w:ind w:firstLine="0"/>
        <w:jc w:val="center"/>
        <w:rPr>
          <w:color w:val="000000"/>
          <w:lang w:eastAsia="ar-SA"/>
        </w:rPr>
      </w:pPr>
      <w:r w:rsidRPr="00A57506">
        <w:rPr>
          <w:noProof/>
          <w:color w:val="000000"/>
          <w:shd w:val="clear" w:color="auto" w:fill="C00000"/>
        </w:rPr>
        <w:drawing>
          <wp:inline distT="0" distB="0" distL="0" distR="0" wp14:anchorId="69C1CF5A" wp14:editId="4B3CB07F">
            <wp:extent cx="5929630" cy="1558456"/>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F41024" w14:textId="77777777"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4</w:t>
      </w:r>
      <w:r w:rsidRPr="00A57506">
        <w:rPr>
          <w:bCs/>
          <w:color w:val="000000"/>
        </w:rPr>
        <w:fldChar w:fldCharType="end"/>
      </w:r>
      <w:r w:rsidRPr="00A57506">
        <w:rPr>
          <w:bCs/>
          <w:color w:val="000000"/>
          <w:lang w:val="en"/>
        </w:rPr>
        <w:t>– Dynamics of notices issued.</w:t>
      </w:r>
    </w:p>
    <w:p w14:paraId="5D1C2505" w14:textId="77777777" w:rsidR="00A57506" w:rsidRPr="00A57506" w:rsidRDefault="00A57506" w:rsidP="00A57506">
      <w:pPr>
        <w:rPr>
          <w:color w:val="000000"/>
          <w:lang w:val="en-US" w:eastAsia="ar-SA"/>
        </w:rPr>
      </w:pPr>
      <w:r w:rsidRPr="00A57506">
        <w:rPr>
          <w:color w:val="000000"/>
          <w:lang w:val="en"/>
        </w:rPr>
        <w:t xml:space="preserve">In addition, in 2022, </w:t>
      </w:r>
      <w:r w:rsidRPr="00A57506">
        <w:rPr>
          <w:b/>
          <w:color w:val="000000"/>
          <w:lang w:val="en"/>
        </w:rPr>
        <w:t>33 warnings</w:t>
      </w:r>
      <w:r w:rsidRPr="00A57506">
        <w:rPr>
          <w:color w:val="000000"/>
          <w:lang w:val="en"/>
        </w:rPr>
        <w:t xml:space="preserve"> on the inadmissibility of violating competition law were issued </w:t>
      </w:r>
      <w:r w:rsidRPr="00A57506">
        <w:rPr>
          <w:i/>
          <w:color w:val="000000"/>
          <w:sz w:val="24"/>
          <w:lang w:val="en"/>
        </w:rPr>
        <w:t>(Figure 5)</w:t>
      </w:r>
      <w:r w:rsidRPr="00A57506">
        <w:rPr>
          <w:color w:val="000000"/>
          <w:lang w:val="en"/>
        </w:rPr>
        <w:t xml:space="preserve">, with a 43% increase in the number of </w:t>
      </w:r>
      <w:r w:rsidRPr="00A57506">
        <w:rPr>
          <w:b/>
          <w:color w:val="000000"/>
          <w:lang w:val="en" w:eastAsia="ar-SA"/>
        </w:rPr>
        <w:t>warnings issued</w:t>
      </w:r>
      <w:r w:rsidRPr="00A57506">
        <w:rPr>
          <w:color w:val="000000"/>
          <w:lang w:val="en"/>
        </w:rPr>
        <w:t xml:space="preserve"> compared to 2021.</w:t>
      </w:r>
    </w:p>
    <w:p w14:paraId="1BC5190B" w14:textId="77777777" w:rsidR="00A57506" w:rsidRPr="00A57506" w:rsidRDefault="00A57506" w:rsidP="00A57506">
      <w:pPr>
        <w:pBdr>
          <w:top w:val="nil"/>
          <w:left w:val="nil"/>
          <w:bottom w:val="nil"/>
          <w:right w:val="nil"/>
          <w:between w:val="nil"/>
        </w:pBdr>
        <w:ind w:firstLine="0"/>
        <w:jc w:val="left"/>
        <w:rPr>
          <w:color w:val="FFFFFF"/>
        </w:rPr>
      </w:pPr>
      <w:r w:rsidRPr="00A57506">
        <w:rPr>
          <w:noProof/>
          <w:color w:val="000000"/>
          <w:shd w:val="clear" w:color="auto" w:fill="C00000"/>
        </w:rPr>
        <w:drawing>
          <wp:inline distT="0" distB="0" distL="0" distR="0" wp14:anchorId="724BDB30" wp14:editId="6324C595">
            <wp:extent cx="6086475" cy="177314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5E87DF" w14:textId="77777777"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5</w:t>
      </w:r>
      <w:r w:rsidRPr="00A57506">
        <w:rPr>
          <w:bCs/>
          <w:color w:val="000000"/>
        </w:rPr>
        <w:fldChar w:fldCharType="end"/>
      </w:r>
      <w:r w:rsidRPr="00A57506">
        <w:rPr>
          <w:bCs/>
          <w:color w:val="000000"/>
          <w:lang w:val="en"/>
        </w:rPr>
        <w:t>– Dynamics of warnings issued.</w:t>
      </w:r>
    </w:p>
    <w:p w14:paraId="0C8F5DCA" w14:textId="77777777" w:rsidR="00A57506" w:rsidRPr="00A57506" w:rsidRDefault="00A57506" w:rsidP="00A57506">
      <w:pPr>
        <w:rPr>
          <w:color w:val="000000"/>
          <w:lang w:val="en-US"/>
        </w:rPr>
      </w:pPr>
      <w:r w:rsidRPr="00A57506">
        <w:rPr>
          <w:color w:val="000000"/>
          <w:lang w:val="en"/>
        </w:rPr>
        <w:t xml:space="preserve">Stable growth is also observed in the number of agreed drafts of the external act of </w:t>
      </w:r>
      <w:r w:rsidRPr="00A57506">
        <w:rPr>
          <w:b/>
          <w:color w:val="000000"/>
          <w:lang w:val="en"/>
        </w:rPr>
        <w:t>antitrust compliance</w:t>
      </w:r>
      <w:r w:rsidRPr="00A57506">
        <w:rPr>
          <w:color w:val="000000"/>
          <w:lang w:val="en"/>
        </w:rPr>
        <w:t xml:space="preserve">. In 2022, </w:t>
      </w:r>
      <w:r w:rsidRPr="00A57506">
        <w:rPr>
          <w:b/>
          <w:color w:val="000000"/>
          <w:lang w:val="en"/>
        </w:rPr>
        <w:t>251 drafts</w:t>
      </w:r>
      <w:r w:rsidRPr="00A57506">
        <w:rPr>
          <w:color w:val="000000"/>
          <w:lang w:val="en"/>
        </w:rPr>
        <w:t xml:space="preserve"> of the external act of antitrust compliance were agreed, in 2021, 236 drafts were agreed, and in 2020, 82 drafts were agreed </w:t>
      </w:r>
      <w:r w:rsidRPr="00A57506">
        <w:rPr>
          <w:i/>
          <w:color w:val="000000"/>
          <w:sz w:val="24"/>
          <w:lang w:val="en"/>
        </w:rPr>
        <w:t>(Figure 6)</w:t>
      </w:r>
      <w:r w:rsidRPr="00A57506">
        <w:rPr>
          <w:color w:val="000000"/>
          <w:lang w:val="en"/>
        </w:rPr>
        <w:t xml:space="preserve">. </w:t>
      </w:r>
    </w:p>
    <w:p w14:paraId="730DD7E2" w14:textId="77777777" w:rsidR="00A57506" w:rsidRPr="00A57506" w:rsidRDefault="00A57506" w:rsidP="00A57506">
      <w:pPr>
        <w:rPr>
          <w:color w:val="000000"/>
          <w:lang w:val="en-US" w:eastAsia="ar-SA"/>
        </w:rPr>
      </w:pPr>
    </w:p>
    <w:p w14:paraId="75200092" w14:textId="77777777" w:rsidR="00A57506" w:rsidRPr="00A57506" w:rsidRDefault="00A57506" w:rsidP="00A57506">
      <w:pPr>
        <w:ind w:firstLine="0"/>
        <w:jc w:val="center"/>
        <w:rPr>
          <w:color w:val="000000"/>
        </w:rPr>
      </w:pPr>
      <w:r w:rsidRPr="00A57506">
        <w:rPr>
          <w:noProof/>
          <w:color w:val="000000"/>
        </w:rPr>
        <w:drawing>
          <wp:inline distT="0" distB="0" distL="0" distR="0" wp14:anchorId="14BCDCCB" wp14:editId="2C6F0E4C">
            <wp:extent cx="6011545" cy="1784350"/>
            <wp:effectExtent l="0" t="0" r="8255"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C2CA76" w14:textId="77777777" w:rsidR="00A57506" w:rsidRPr="00A57506" w:rsidRDefault="00A57506" w:rsidP="00A57506">
      <w:pPr>
        <w:spacing w:before="240" w:after="240"/>
        <w:ind w:firstLine="0"/>
        <w:jc w:val="center"/>
        <w:rPr>
          <w:bCs/>
          <w:color w:val="000000"/>
          <w:lang w:val="en-US"/>
        </w:rPr>
      </w:pPr>
      <w:r w:rsidRPr="00A57506">
        <w:rPr>
          <w:bCs/>
          <w:color w:val="000000"/>
          <w:lang w:val="en"/>
        </w:rPr>
        <w:lastRenderedPageBreak/>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6</w:t>
      </w:r>
      <w:r w:rsidRPr="00A57506">
        <w:rPr>
          <w:bCs/>
          <w:color w:val="000000"/>
        </w:rPr>
        <w:fldChar w:fldCharType="end"/>
      </w:r>
      <w:r w:rsidRPr="00A57506">
        <w:rPr>
          <w:bCs/>
          <w:color w:val="000000"/>
          <w:lang w:val="en"/>
        </w:rPr>
        <w:t>– Dynamics of agreed drafts of the external act of antitrust compliance.</w:t>
      </w:r>
    </w:p>
    <w:p w14:paraId="36DE0096" w14:textId="77777777"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 xml:space="preserve">The </w:t>
      </w:r>
      <w:r w:rsidRPr="00A57506">
        <w:rPr>
          <w:b/>
          <w:color w:val="000000"/>
          <w:lang w:val="en"/>
        </w:rPr>
        <w:t>Agency's law enforcement practice</w:t>
      </w:r>
      <w:r w:rsidRPr="00A57506">
        <w:rPr>
          <w:color w:val="000000"/>
          <w:lang w:val="en"/>
        </w:rPr>
        <w:t xml:space="preserve">, including antitrust response measures, </w:t>
      </w:r>
      <w:r w:rsidRPr="00A57506">
        <w:rPr>
          <w:b/>
          <w:bCs/>
          <w:color w:val="000000"/>
          <w:lang w:val="en"/>
        </w:rPr>
        <w:t>is being modified</w:t>
      </w:r>
      <w:r w:rsidRPr="00A57506">
        <w:rPr>
          <w:color w:val="000000"/>
          <w:lang w:val="en"/>
        </w:rPr>
        <w:t xml:space="preserve"> in view of changes in approaches to the development of competition protection and development, improvement of competition protection laws.</w:t>
      </w:r>
    </w:p>
    <w:p w14:paraId="7DC94DA9" w14:textId="77777777"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 xml:space="preserve">The antimonopoly authority focuses on the more </w:t>
      </w:r>
      <w:r w:rsidRPr="00A57506">
        <w:rPr>
          <w:b/>
          <w:color w:val="000000"/>
          <w:lang w:val="en"/>
        </w:rPr>
        <w:t>"malicious" anti-competitive practices</w:t>
      </w:r>
      <w:r w:rsidRPr="00A57506">
        <w:rPr>
          <w:color w:val="000000"/>
          <w:lang w:val="en"/>
        </w:rPr>
        <w:t xml:space="preserve"> that cause the most tangible economic damage, including such practices as anti-competitive agreements, abuse of dominant or monopolistic position. </w:t>
      </w:r>
    </w:p>
    <w:p w14:paraId="2EB53E10" w14:textId="77777777"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 xml:space="preserve">OECD experts estimate that violations related to cartels and abuse of dominant or monopolistic position can lead to unjustified </w:t>
      </w:r>
      <w:r w:rsidRPr="00A57506">
        <w:rPr>
          <w:b/>
          <w:color w:val="000000"/>
          <w:lang w:val="en"/>
        </w:rPr>
        <w:t>price increases of up to 15% on average</w:t>
      </w:r>
      <w:r w:rsidRPr="00A57506">
        <w:rPr>
          <w:color w:val="000000"/>
          <w:vertAlign w:val="superscript"/>
        </w:rPr>
        <w:footnoteReference w:id="18"/>
      </w:r>
      <w:r w:rsidRPr="00A57506">
        <w:rPr>
          <w:color w:val="000000"/>
          <w:lang w:val="en"/>
        </w:rPr>
        <w:t xml:space="preserve">. </w:t>
      </w:r>
    </w:p>
    <w:p w14:paraId="7A1AB46A" w14:textId="0FEB7578"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 xml:space="preserve">As a result, for example, while in 2016 the </w:t>
      </w:r>
      <w:r>
        <w:rPr>
          <w:color w:val="000000"/>
          <w:lang w:val="en"/>
        </w:rPr>
        <w:t>Antimonopoly Authority</w:t>
      </w:r>
      <w:r w:rsidRPr="00A57506">
        <w:rPr>
          <w:color w:val="000000"/>
          <w:lang w:val="en"/>
        </w:rPr>
        <w:t xml:space="preserve">'s investigations into </w:t>
      </w:r>
      <w:r w:rsidRPr="00A57506">
        <w:rPr>
          <w:b/>
          <w:color w:val="000000"/>
          <w:lang w:val="en"/>
        </w:rPr>
        <w:t>anti-competitive agreements</w:t>
      </w:r>
      <w:r w:rsidRPr="00A57506">
        <w:rPr>
          <w:color w:val="000000"/>
          <w:lang w:val="en"/>
        </w:rPr>
        <w:t xml:space="preserve"> accounted for </w:t>
      </w:r>
      <w:r w:rsidRPr="00A57506">
        <w:rPr>
          <w:b/>
          <w:color w:val="000000"/>
          <w:lang w:val="en"/>
        </w:rPr>
        <w:t>3%</w:t>
      </w:r>
      <w:r w:rsidRPr="00A57506">
        <w:rPr>
          <w:color w:val="000000"/>
          <w:lang w:val="en"/>
        </w:rPr>
        <w:t xml:space="preserve"> of the total structure of investigations, by the end of 2022 this indicator has reached </w:t>
      </w:r>
      <w:r w:rsidRPr="00A57506">
        <w:rPr>
          <w:b/>
          <w:color w:val="000000"/>
          <w:lang w:val="en"/>
        </w:rPr>
        <w:t>35%</w:t>
      </w:r>
      <w:r w:rsidRPr="00A57506">
        <w:rPr>
          <w:color w:val="000000"/>
          <w:lang w:val="en"/>
        </w:rPr>
        <w:t xml:space="preserve">, thus topping the list. </w:t>
      </w:r>
    </w:p>
    <w:p w14:paraId="6D884715" w14:textId="77777777"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In second place are investigations related to abuse of dominant or monopolistic position. In general, the structure of investigations by type of violations is shown in Figure 7.</w:t>
      </w:r>
    </w:p>
    <w:p w14:paraId="201BE525" w14:textId="77777777" w:rsidR="00A57506" w:rsidRPr="00A57506" w:rsidRDefault="00A57506" w:rsidP="00A57506">
      <w:pPr>
        <w:pBdr>
          <w:top w:val="nil"/>
          <w:left w:val="nil"/>
          <w:bottom w:val="nil"/>
          <w:right w:val="nil"/>
          <w:between w:val="nil"/>
        </w:pBdr>
        <w:tabs>
          <w:tab w:val="left" w:pos="1418"/>
        </w:tabs>
        <w:ind w:firstLine="0"/>
        <w:rPr>
          <w:color w:val="000000"/>
          <w:lang w:val="en-US"/>
        </w:rPr>
      </w:pPr>
    </w:p>
    <w:p w14:paraId="6932814C" w14:textId="77777777" w:rsidR="00A57506" w:rsidRPr="00A57506" w:rsidRDefault="00A57506" w:rsidP="00A57506">
      <w:pPr>
        <w:pBdr>
          <w:top w:val="nil"/>
          <w:left w:val="nil"/>
          <w:bottom w:val="nil"/>
          <w:right w:val="nil"/>
          <w:between w:val="nil"/>
        </w:pBdr>
        <w:tabs>
          <w:tab w:val="left" w:pos="1418"/>
        </w:tabs>
        <w:ind w:firstLine="0"/>
        <w:rPr>
          <w:color w:val="000000"/>
        </w:rPr>
      </w:pPr>
      <w:r w:rsidRPr="00A57506">
        <w:rPr>
          <w:noProof/>
          <w:color w:val="000000"/>
        </w:rPr>
        <w:drawing>
          <wp:inline distT="0" distB="0" distL="0" distR="0" wp14:anchorId="3B843614" wp14:editId="5A1B6725">
            <wp:extent cx="6055360" cy="2708695"/>
            <wp:effectExtent l="0" t="0" r="2540" b="0"/>
            <wp:docPr id="9" name="Диаграмма 9">
              <a:extLst xmlns:a="http://schemas.openxmlformats.org/drawingml/2006/main">
                <a:ext uri="{FF2B5EF4-FFF2-40B4-BE49-F238E27FC236}">
                  <a16:creationId xmlns:a16="http://schemas.microsoft.com/office/drawing/2014/main" id="{69E92E3F-F03D-4AA7-B0C2-04BA4F9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973E0A" w14:textId="77777777"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7</w:t>
      </w:r>
      <w:r w:rsidRPr="00A57506">
        <w:rPr>
          <w:bCs/>
          <w:color w:val="000000"/>
        </w:rPr>
        <w:fldChar w:fldCharType="end"/>
      </w:r>
      <w:r w:rsidRPr="00A57506">
        <w:rPr>
          <w:bCs/>
          <w:color w:val="000000"/>
          <w:lang w:val="en"/>
        </w:rPr>
        <w:t>– Structure of investigations by type of violation in 2022.</w:t>
      </w:r>
    </w:p>
    <w:p w14:paraId="3233E205" w14:textId="77777777" w:rsidR="00A57506" w:rsidRPr="00A57506" w:rsidRDefault="00A57506" w:rsidP="00A57506">
      <w:pPr>
        <w:pBdr>
          <w:top w:val="nil"/>
          <w:left w:val="nil"/>
          <w:bottom w:val="nil"/>
          <w:right w:val="nil"/>
          <w:between w:val="nil"/>
        </w:pBdr>
        <w:tabs>
          <w:tab w:val="left" w:pos="1418"/>
        </w:tabs>
        <w:rPr>
          <w:i/>
          <w:color w:val="000000"/>
          <w:sz w:val="24"/>
          <w:lang w:val="en-US"/>
        </w:rPr>
      </w:pPr>
      <w:r w:rsidRPr="00A57506">
        <w:rPr>
          <w:b/>
          <w:i/>
          <w:color w:val="000000"/>
          <w:sz w:val="24"/>
          <w:lang w:val="en"/>
        </w:rPr>
        <w:t>For reference</w:t>
      </w:r>
      <w:r w:rsidRPr="00A57506">
        <w:rPr>
          <w:i/>
          <w:color w:val="000000"/>
          <w:sz w:val="24"/>
          <w:lang w:val="en"/>
        </w:rPr>
        <w:t>: In total, 133 investigations were completed in 2022 with respect to more than 283 market players (the increase in the number of market players in the scope of investigations is due to investigations of wholesale and retail sellers of liquefied gas) and 13 state, central and local executive bodies:</w:t>
      </w:r>
    </w:p>
    <w:p w14:paraId="0B72B23C"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rPr>
      </w:pPr>
      <w:r w:rsidRPr="00A57506">
        <w:rPr>
          <w:i/>
          <w:color w:val="000000"/>
          <w:sz w:val="24"/>
          <w:lang w:val="en"/>
        </w:rPr>
        <w:t>anti-competitive agreements - 46 investigations;</w:t>
      </w:r>
    </w:p>
    <w:p w14:paraId="4A2C6829"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lang w:val="en-US"/>
        </w:rPr>
      </w:pPr>
      <w:r w:rsidRPr="00A57506">
        <w:rPr>
          <w:i/>
          <w:color w:val="000000"/>
          <w:sz w:val="24"/>
          <w:lang w:val="en"/>
        </w:rPr>
        <w:t>abuse of dominant or monopolistic position – 37 investigations;</w:t>
      </w:r>
    </w:p>
    <w:p w14:paraId="24A4C7DC"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lang w:val="en-US"/>
        </w:rPr>
      </w:pPr>
      <w:r w:rsidRPr="00A57506">
        <w:rPr>
          <w:i/>
          <w:color w:val="000000"/>
          <w:sz w:val="24"/>
          <w:lang w:val="en"/>
        </w:rPr>
        <w:t>anti-competitive actions (inaction) of state and local executive bodies - 17 investigations;</w:t>
      </w:r>
    </w:p>
    <w:p w14:paraId="60940A07"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rPr>
      </w:pPr>
      <w:r w:rsidRPr="00A57506">
        <w:rPr>
          <w:i/>
          <w:color w:val="000000"/>
          <w:sz w:val="24"/>
          <w:lang w:val="en"/>
        </w:rPr>
        <w:t>unfair competition – 4 investigations;</w:t>
      </w:r>
    </w:p>
    <w:p w14:paraId="2A5196D8"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lang w:val="en-US"/>
        </w:rPr>
      </w:pPr>
      <w:r w:rsidRPr="00A57506">
        <w:rPr>
          <w:i/>
          <w:color w:val="000000"/>
          <w:sz w:val="24"/>
          <w:lang w:val="en"/>
        </w:rPr>
        <w:lastRenderedPageBreak/>
        <w:t>coordination of economic activities - 3 investigations;</w:t>
      </w:r>
    </w:p>
    <w:p w14:paraId="1714B051" w14:textId="77777777" w:rsidR="00A57506" w:rsidRPr="00A57506" w:rsidRDefault="00A57506" w:rsidP="00A57506">
      <w:pPr>
        <w:numPr>
          <w:ilvl w:val="0"/>
          <w:numId w:val="2"/>
        </w:numPr>
        <w:pBdr>
          <w:top w:val="nil"/>
          <w:left w:val="nil"/>
          <w:bottom w:val="nil"/>
          <w:right w:val="nil"/>
          <w:between w:val="nil"/>
        </w:pBdr>
        <w:tabs>
          <w:tab w:val="left" w:pos="851"/>
        </w:tabs>
        <w:ind w:left="0" w:firstLine="567"/>
        <w:contextualSpacing/>
        <w:rPr>
          <w:i/>
          <w:color w:val="000000"/>
          <w:sz w:val="24"/>
          <w:lang w:val="en-US"/>
        </w:rPr>
      </w:pPr>
      <w:r w:rsidRPr="00A57506">
        <w:rPr>
          <w:i/>
          <w:color w:val="000000"/>
          <w:sz w:val="24"/>
          <w:lang w:val="en"/>
        </w:rPr>
        <w:t>anti-competitive concerted actions - 26 investigations.</w:t>
      </w:r>
    </w:p>
    <w:p w14:paraId="0FBCD0B8" w14:textId="77777777" w:rsidR="00A57506" w:rsidRPr="00A57506" w:rsidRDefault="00A57506" w:rsidP="00A57506">
      <w:pPr>
        <w:pBdr>
          <w:top w:val="nil"/>
          <w:left w:val="nil"/>
          <w:bottom w:val="nil"/>
          <w:right w:val="nil"/>
          <w:between w:val="nil"/>
        </w:pBdr>
        <w:tabs>
          <w:tab w:val="left" w:pos="1418"/>
        </w:tabs>
        <w:rPr>
          <w:bCs/>
          <w:iCs/>
          <w:color w:val="000000"/>
          <w:lang w:val="en-US"/>
        </w:rPr>
      </w:pPr>
      <w:r w:rsidRPr="00A57506">
        <w:rPr>
          <w:color w:val="000000"/>
          <w:lang w:val="en"/>
        </w:rPr>
        <w:t xml:space="preserve">Examples of </w:t>
      </w:r>
      <w:r w:rsidRPr="00A57506">
        <w:rPr>
          <w:b/>
          <w:color w:val="000000"/>
          <w:lang w:val="en"/>
        </w:rPr>
        <w:t>significant</w:t>
      </w:r>
      <w:r w:rsidRPr="00A57506">
        <w:rPr>
          <w:color w:val="000000"/>
          <w:lang w:val="en"/>
        </w:rPr>
        <w:t xml:space="preserve"> ones  include investigations into:</w:t>
      </w:r>
    </w:p>
    <w:p w14:paraId="599FECA6" w14:textId="77777777" w:rsidR="00A57506" w:rsidRPr="00A57506" w:rsidRDefault="00A57506" w:rsidP="00A57506">
      <w:pPr>
        <w:pBdr>
          <w:top w:val="nil"/>
          <w:left w:val="nil"/>
          <w:bottom w:val="nil"/>
          <w:right w:val="nil"/>
          <w:between w:val="nil"/>
        </w:pBdr>
        <w:tabs>
          <w:tab w:val="left" w:pos="1418"/>
        </w:tabs>
        <w:rPr>
          <w:bCs/>
          <w:iCs/>
          <w:color w:val="000000"/>
          <w:lang w:val="en-US"/>
        </w:rPr>
      </w:pPr>
      <w:r w:rsidRPr="00A57506">
        <w:rPr>
          <w:bCs/>
          <w:iCs/>
          <w:color w:val="000000"/>
          <w:lang w:val="en"/>
        </w:rPr>
        <w:t xml:space="preserve">- the establishment of </w:t>
      </w:r>
      <w:r w:rsidRPr="00A57506">
        <w:rPr>
          <w:b/>
          <w:iCs/>
          <w:color w:val="000000"/>
          <w:lang w:val="en"/>
        </w:rPr>
        <w:t>monopolistically high prices</w:t>
      </w:r>
      <w:r w:rsidRPr="00A57506">
        <w:rPr>
          <w:bCs/>
          <w:iCs/>
          <w:color w:val="000000"/>
          <w:lang w:val="en"/>
        </w:rPr>
        <w:t xml:space="preserve"> revealed in the actions of Kamkor</w:t>
      </w:r>
      <w:r w:rsidRPr="00A57506">
        <w:rPr>
          <w:b/>
          <w:iCs/>
          <w:color w:val="000000"/>
          <w:lang w:val="en"/>
        </w:rPr>
        <w:t xml:space="preserve"> Locomotive LLP</w:t>
      </w:r>
      <w:r w:rsidRPr="00A57506">
        <w:rPr>
          <w:bCs/>
          <w:iCs/>
          <w:color w:val="000000"/>
          <w:lang w:val="en"/>
        </w:rPr>
        <w:t xml:space="preserve">, which provides locomotive maintenance services. The court imposed an administrative penalty of </w:t>
      </w:r>
      <w:r w:rsidRPr="00A57506">
        <w:rPr>
          <w:b/>
          <w:iCs/>
          <w:color w:val="000000"/>
          <w:lang w:val="en"/>
        </w:rPr>
        <w:t>KZT 240 million</w:t>
      </w:r>
      <w:r w:rsidRPr="00A57506">
        <w:rPr>
          <w:bCs/>
          <w:iCs/>
          <w:color w:val="000000"/>
          <w:lang w:val="en"/>
        </w:rPr>
        <w:t xml:space="preserve"> on Kamkor Locomotive LLP for these actions;</w:t>
      </w:r>
    </w:p>
    <w:p w14:paraId="674672EB" w14:textId="77777777" w:rsidR="00A57506" w:rsidRPr="00A57506" w:rsidRDefault="00A57506" w:rsidP="00A57506">
      <w:pPr>
        <w:pBdr>
          <w:top w:val="nil"/>
          <w:left w:val="nil"/>
          <w:bottom w:val="nil"/>
          <w:right w:val="nil"/>
          <w:between w:val="nil"/>
        </w:pBdr>
        <w:tabs>
          <w:tab w:val="left" w:pos="1418"/>
        </w:tabs>
        <w:rPr>
          <w:bCs/>
          <w:iCs/>
          <w:color w:val="000000"/>
          <w:sz w:val="24"/>
          <w:szCs w:val="24"/>
          <w:lang w:val="en-US"/>
        </w:rPr>
      </w:pPr>
      <w:r w:rsidRPr="00A57506">
        <w:rPr>
          <w:bCs/>
          <w:iCs/>
          <w:color w:val="000000"/>
          <w:lang w:val="en"/>
        </w:rPr>
        <w:t xml:space="preserve">- abuse of dominant position, expressed in </w:t>
      </w:r>
      <w:r w:rsidRPr="00A57506">
        <w:rPr>
          <w:b/>
          <w:iCs/>
          <w:color w:val="000000"/>
          <w:lang w:val="en"/>
        </w:rPr>
        <w:t>the systematic refusal</w:t>
      </w:r>
      <w:r w:rsidRPr="00A57506">
        <w:rPr>
          <w:bCs/>
          <w:iCs/>
          <w:color w:val="000000"/>
          <w:lang w:val="en"/>
        </w:rPr>
        <w:t xml:space="preserve"> to sell oil products to certain buyers while satisfying the requests of other buyers, revealed in the actions of </w:t>
      </w:r>
      <w:r w:rsidRPr="00A57506">
        <w:rPr>
          <w:b/>
          <w:iCs/>
          <w:color w:val="000000"/>
          <w:lang w:val="en"/>
        </w:rPr>
        <w:t>Petrosun LLP</w:t>
      </w:r>
      <w:r w:rsidRPr="00A57506">
        <w:rPr>
          <w:bCs/>
          <w:iCs/>
          <w:color w:val="000000"/>
          <w:lang w:val="en"/>
        </w:rPr>
        <w:t xml:space="preserve"> following the results of joint work with the prosecutor's office </w:t>
      </w:r>
      <w:r w:rsidRPr="00A57506">
        <w:rPr>
          <w:bCs/>
          <w:i/>
          <w:iCs/>
          <w:color w:val="000000"/>
          <w:sz w:val="24"/>
          <w:szCs w:val="24"/>
          <w:lang w:val="en"/>
        </w:rPr>
        <w:t>(KZT 607 million was recovered)</w:t>
      </w:r>
      <w:r w:rsidRPr="00A57506">
        <w:rPr>
          <w:bCs/>
          <w:iCs/>
          <w:color w:val="000000"/>
          <w:lang w:val="en"/>
        </w:rPr>
        <w:t>;</w:t>
      </w:r>
    </w:p>
    <w:p w14:paraId="14B3A0AD" w14:textId="6E5E26F8" w:rsidR="00A57506" w:rsidRPr="00A57506" w:rsidRDefault="00A57506" w:rsidP="00A57506">
      <w:pPr>
        <w:pBdr>
          <w:top w:val="nil"/>
          <w:left w:val="nil"/>
          <w:bottom w:val="nil"/>
          <w:right w:val="nil"/>
          <w:between w:val="nil"/>
        </w:pBdr>
        <w:tabs>
          <w:tab w:val="left" w:pos="1418"/>
        </w:tabs>
        <w:rPr>
          <w:bCs/>
          <w:iCs/>
          <w:color w:val="000000"/>
          <w:lang w:val="en-US"/>
        </w:rPr>
      </w:pPr>
      <w:r w:rsidRPr="00A57506">
        <w:rPr>
          <w:bCs/>
          <w:iCs/>
          <w:color w:val="000000"/>
          <w:lang w:val="en"/>
        </w:rPr>
        <w:t xml:space="preserve">- </w:t>
      </w:r>
      <w:r w:rsidRPr="00A57506">
        <w:rPr>
          <w:b/>
          <w:color w:val="000000"/>
          <w:lang w:val="en"/>
        </w:rPr>
        <w:t>cartel agreement</w:t>
      </w:r>
      <w:r w:rsidRPr="00A57506">
        <w:rPr>
          <w:bCs/>
          <w:iCs/>
          <w:color w:val="000000"/>
          <w:lang w:val="en"/>
        </w:rPr>
        <w:t xml:space="preserve"> revealed as a result of the completed investigation of </w:t>
      </w:r>
      <w:r w:rsidRPr="00A57506">
        <w:rPr>
          <w:b/>
          <w:color w:val="000000"/>
          <w:lang w:val="en"/>
        </w:rPr>
        <w:t>KF</w:t>
      </w:r>
      <w:r w:rsidR="00035D14">
        <w:rPr>
          <w:b/>
          <w:color w:val="000000"/>
          <w:lang w:val="en"/>
        </w:rPr>
        <w:t>K</w:t>
      </w:r>
      <w:r w:rsidRPr="00A57506">
        <w:rPr>
          <w:b/>
          <w:color w:val="000000"/>
          <w:lang w:val="en"/>
        </w:rPr>
        <w:t xml:space="preserve"> Medservice Plus LLP, Akniyet LLP, Stopharm LLP</w:t>
      </w:r>
      <w:r w:rsidRPr="00A57506">
        <w:rPr>
          <w:bCs/>
          <w:iCs/>
          <w:color w:val="000000"/>
          <w:lang w:val="en"/>
        </w:rPr>
        <w:t xml:space="preserve">. These companies, when participating in the procurement of transport and storage services for medicines conducted by SK-Pharmacia LLP, created </w:t>
      </w:r>
      <w:r w:rsidRPr="00A57506">
        <w:rPr>
          <w:b/>
          <w:color w:val="000000"/>
          <w:lang w:val="en"/>
        </w:rPr>
        <w:t>phantom competition</w:t>
      </w:r>
      <w:r w:rsidRPr="00A57506">
        <w:rPr>
          <w:bCs/>
          <w:iCs/>
          <w:color w:val="000000"/>
          <w:lang w:val="en"/>
        </w:rPr>
        <w:t xml:space="preserve"> by agreeing and allocating lots in advance;</w:t>
      </w:r>
    </w:p>
    <w:p w14:paraId="4A27D7A0" w14:textId="27CA795B" w:rsidR="00A57506" w:rsidRPr="00A57506" w:rsidRDefault="00A57506" w:rsidP="00A57506">
      <w:pPr>
        <w:pBdr>
          <w:top w:val="nil"/>
          <w:left w:val="nil"/>
          <w:bottom w:val="nil"/>
          <w:right w:val="nil"/>
          <w:between w:val="nil"/>
        </w:pBdr>
        <w:tabs>
          <w:tab w:val="left" w:pos="1418"/>
        </w:tabs>
        <w:rPr>
          <w:color w:val="000000"/>
          <w:lang w:val="en-US"/>
        </w:rPr>
      </w:pPr>
      <w:r w:rsidRPr="00A57506">
        <w:rPr>
          <w:bCs/>
          <w:iCs/>
          <w:color w:val="000000"/>
          <w:lang w:val="en"/>
        </w:rPr>
        <w:t xml:space="preserve">- evidence of abuse by </w:t>
      </w:r>
      <w:r w:rsidRPr="00A57506">
        <w:rPr>
          <w:b/>
          <w:iCs/>
          <w:color w:val="000000"/>
          <w:lang w:val="en"/>
        </w:rPr>
        <w:t>Halyk Bank of Kazakhstan JSC</w:t>
      </w:r>
      <w:r w:rsidRPr="00A57506">
        <w:rPr>
          <w:bCs/>
          <w:iCs/>
          <w:color w:val="000000"/>
          <w:lang w:val="en"/>
        </w:rPr>
        <w:t xml:space="preserve"> of its dominant position, which was expressed in </w:t>
      </w:r>
      <w:r w:rsidRPr="00A57506">
        <w:rPr>
          <w:b/>
          <w:iCs/>
          <w:color w:val="000000"/>
          <w:lang w:val="en"/>
        </w:rPr>
        <w:t>the imposition of life insurance services</w:t>
      </w:r>
      <w:r w:rsidRPr="00A57506">
        <w:rPr>
          <w:bCs/>
          <w:iCs/>
          <w:color w:val="000000"/>
          <w:lang w:val="en"/>
        </w:rPr>
        <w:t xml:space="preserve">. The investigation was initiated in connection with the failure to close the notice of the existence of signs of violation of </w:t>
      </w:r>
      <w:r>
        <w:rPr>
          <w:bCs/>
          <w:iCs/>
          <w:color w:val="000000"/>
          <w:lang w:val="en"/>
        </w:rPr>
        <w:t>competition protection legislation</w:t>
      </w:r>
      <w:r w:rsidR="003263B8">
        <w:rPr>
          <w:bCs/>
          <w:iCs/>
          <w:color w:val="000000"/>
          <w:lang w:val="en"/>
        </w:rPr>
        <w:t xml:space="preserve"> </w:t>
      </w:r>
      <w:r w:rsidRPr="00A57506">
        <w:rPr>
          <w:bCs/>
          <w:iCs/>
          <w:color w:val="000000"/>
          <w:lang w:val="en"/>
        </w:rPr>
        <w:t>in the actions of the bank;</w:t>
      </w:r>
    </w:p>
    <w:p w14:paraId="7587F99A" w14:textId="77777777" w:rsidR="00A57506" w:rsidRPr="00A57506" w:rsidRDefault="00A57506" w:rsidP="00A57506">
      <w:pPr>
        <w:pBdr>
          <w:top w:val="nil"/>
          <w:left w:val="nil"/>
          <w:bottom w:val="nil"/>
          <w:right w:val="nil"/>
          <w:between w:val="nil"/>
        </w:pBdr>
        <w:tabs>
          <w:tab w:val="left" w:pos="1418"/>
        </w:tabs>
        <w:rPr>
          <w:color w:val="000000"/>
          <w:lang w:val="en-US"/>
        </w:rPr>
      </w:pPr>
      <w:r w:rsidRPr="00A57506">
        <w:rPr>
          <w:color w:val="000000"/>
          <w:lang w:val="en"/>
        </w:rPr>
        <w:t xml:space="preserve">- evidence of </w:t>
      </w:r>
      <w:r w:rsidRPr="00A57506">
        <w:rPr>
          <w:b/>
          <w:color w:val="000000"/>
          <w:lang w:val="en"/>
        </w:rPr>
        <w:t>monopolistically high prices</w:t>
      </w:r>
      <w:r w:rsidRPr="00A57506">
        <w:rPr>
          <w:color w:val="000000"/>
          <w:lang w:val="en"/>
        </w:rPr>
        <w:t xml:space="preserve"> for metrology services </w:t>
      </w:r>
      <w:r w:rsidRPr="00A57506">
        <w:rPr>
          <w:i/>
          <w:color w:val="000000"/>
          <w:sz w:val="24"/>
          <w:szCs w:val="24"/>
          <w:lang w:val="en"/>
        </w:rPr>
        <w:t>(verification and calibration of measuring instruments),</w:t>
      </w:r>
      <w:r w:rsidRPr="00A57506">
        <w:rPr>
          <w:color w:val="000000"/>
          <w:lang w:val="en"/>
        </w:rPr>
        <w:t xml:space="preserve"> for confirmation of conformity of goods </w:t>
      </w:r>
      <w:r w:rsidRPr="00A57506">
        <w:rPr>
          <w:i/>
          <w:color w:val="000000"/>
          <w:sz w:val="24"/>
          <w:szCs w:val="24"/>
          <w:lang w:val="en"/>
        </w:rPr>
        <w:t>(testing, certification, declaration of products and services)</w:t>
      </w:r>
      <w:r w:rsidRPr="00A57506">
        <w:rPr>
          <w:color w:val="000000"/>
          <w:sz w:val="24"/>
          <w:szCs w:val="24"/>
          <w:lang w:val="en"/>
        </w:rPr>
        <w:t xml:space="preserve">. </w:t>
      </w:r>
      <w:r w:rsidRPr="00A57506">
        <w:rPr>
          <w:color w:val="000000"/>
          <w:lang w:val="en"/>
        </w:rPr>
        <w:t xml:space="preserve">Investigations on these facts were initiated against </w:t>
      </w:r>
      <w:r w:rsidRPr="00A57506">
        <w:rPr>
          <w:b/>
          <w:bCs/>
          <w:color w:val="000000"/>
          <w:lang w:val="en"/>
        </w:rPr>
        <w:t>National Center for Expertise and Certification JSC</w:t>
      </w:r>
      <w:r w:rsidRPr="00A57506">
        <w:rPr>
          <w:color w:val="000000"/>
          <w:lang w:val="en"/>
        </w:rPr>
        <w:t xml:space="preserve">; </w:t>
      </w:r>
    </w:p>
    <w:p w14:paraId="7C7F7909" w14:textId="77777777" w:rsidR="00A57506" w:rsidRPr="00A57506" w:rsidRDefault="00A57506" w:rsidP="00A57506">
      <w:pPr>
        <w:pBdr>
          <w:top w:val="nil"/>
          <w:left w:val="nil"/>
          <w:bottom w:val="nil"/>
          <w:right w:val="nil"/>
          <w:between w:val="nil"/>
        </w:pBdr>
        <w:tabs>
          <w:tab w:val="clear" w:pos="567"/>
          <w:tab w:val="left" w:pos="1418"/>
        </w:tabs>
        <w:rPr>
          <w:color w:val="000000"/>
          <w:lang w:val="en-US"/>
        </w:rPr>
      </w:pPr>
      <w:r w:rsidRPr="00A57506">
        <w:rPr>
          <w:color w:val="000000"/>
          <w:lang w:val="en"/>
        </w:rPr>
        <w:t xml:space="preserve">- evidence of </w:t>
      </w:r>
      <w:r w:rsidRPr="00A57506">
        <w:rPr>
          <w:b/>
          <w:bCs/>
          <w:color w:val="000000"/>
          <w:lang w:val="en"/>
        </w:rPr>
        <w:t>monopolistically low prices for petroleum coke</w:t>
      </w:r>
      <w:r w:rsidRPr="00A57506">
        <w:rPr>
          <w:color w:val="000000"/>
          <w:lang w:val="en"/>
        </w:rPr>
        <w:t xml:space="preserve">. An investigation was initiated against </w:t>
      </w:r>
      <w:r w:rsidRPr="00A57506">
        <w:rPr>
          <w:b/>
          <w:bCs/>
          <w:color w:val="000000"/>
          <w:lang w:val="en"/>
        </w:rPr>
        <w:t>UPNK-PV LLP</w:t>
      </w:r>
      <w:r w:rsidRPr="00A57506">
        <w:rPr>
          <w:color w:val="000000"/>
          <w:lang w:val="en"/>
        </w:rPr>
        <w:t xml:space="preserve"> on this fact.</w:t>
      </w:r>
    </w:p>
    <w:p w14:paraId="41534448" w14:textId="77777777" w:rsidR="00A57506" w:rsidRPr="00A57506" w:rsidRDefault="00A57506" w:rsidP="00A57506">
      <w:pPr>
        <w:pBdr>
          <w:top w:val="nil"/>
          <w:left w:val="nil"/>
          <w:bottom w:val="nil"/>
          <w:right w:val="nil"/>
          <w:between w:val="nil"/>
        </w:pBdr>
        <w:tabs>
          <w:tab w:val="clear" w:pos="567"/>
          <w:tab w:val="left" w:pos="1418"/>
        </w:tabs>
        <w:rPr>
          <w:color w:val="000000"/>
          <w:lang w:val="en-US"/>
        </w:rPr>
      </w:pPr>
      <w:r w:rsidRPr="00A57506">
        <w:rPr>
          <w:color w:val="000000"/>
          <w:lang w:val="en"/>
        </w:rPr>
        <w:t xml:space="preserve">In its turn, the Agency's practice for the last 3 years on investigations of </w:t>
      </w:r>
      <w:r w:rsidRPr="00A57506">
        <w:rPr>
          <w:b/>
          <w:color w:val="000000"/>
          <w:lang w:val="en"/>
        </w:rPr>
        <w:t>unfair competition</w:t>
      </w:r>
      <w:r w:rsidRPr="00A57506">
        <w:rPr>
          <w:color w:val="000000"/>
          <w:lang w:val="en"/>
        </w:rPr>
        <w:t xml:space="preserve"> facts that do not have a significant impact on the general conditions of goods circulation in the relevant commodity market shows the opposite dynamics </w:t>
      </w:r>
      <w:r w:rsidRPr="00A57506">
        <w:rPr>
          <w:i/>
          <w:color w:val="000000"/>
          <w:sz w:val="24"/>
          <w:lang w:val="en"/>
        </w:rPr>
        <w:t>(in 2020 - 11 investigations (10%), in 2021 - 7 investigations (5.7%), in 2022 - 4 investigations (3%))</w:t>
      </w:r>
      <w:r w:rsidRPr="00A57506">
        <w:rPr>
          <w:color w:val="000000"/>
          <w:lang w:val="en"/>
        </w:rPr>
        <w:t>.</w:t>
      </w:r>
    </w:p>
    <w:p w14:paraId="326F5B4B" w14:textId="77777777" w:rsidR="00A57506" w:rsidRPr="00A57506" w:rsidRDefault="00A57506" w:rsidP="00A57506">
      <w:pPr>
        <w:rPr>
          <w:color w:val="000000"/>
          <w:lang w:val="en-US"/>
        </w:rPr>
      </w:pPr>
      <w:r w:rsidRPr="00A57506">
        <w:rPr>
          <w:color w:val="000000"/>
          <w:lang w:val="en"/>
        </w:rPr>
        <w:t xml:space="preserve">At the same time, as the statistics of the notices issued by the Agency show, one of the significant factors distorting competition is </w:t>
      </w:r>
      <w:r w:rsidRPr="00A57506">
        <w:rPr>
          <w:b/>
          <w:color w:val="000000"/>
          <w:lang w:val="en"/>
        </w:rPr>
        <w:t>the anti-competitive actions of state bodies</w:t>
      </w:r>
      <w:r w:rsidRPr="00A57506">
        <w:rPr>
          <w:color w:val="000000"/>
          <w:lang w:val="en"/>
        </w:rPr>
        <w:t xml:space="preserve">, the indicators for which reached </w:t>
      </w:r>
      <w:r w:rsidRPr="00A57506">
        <w:rPr>
          <w:b/>
          <w:color w:val="000000"/>
          <w:lang w:val="en"/>
        </w:rPr>
        <w:t>27%</w:t>
      </w:r>
      <w:r w:rsidRPr="00A57506">
        <w:rPr>
          <w:color w:val="000000"/>
          <w:lang w:val="en"/>
        </w:rPr>
        <w:t xml:space="preserve"> in 2022 </w:t>
      </w:r>
      <w:r w:rsidRPr="00A57506">
        <w:rPr>
          <w:i/>
          <w:color w:val="000000"/>
          <w:sz w:val="24"/>
          <w:lang w:val="en"/>
        </w:rPr>
        <w:t>(Figure 8).</w:t>
      </w:r>
    </w:p>
    <w:p w14:paraId="750E1D9E" w14:textId="77777777" w:rsidR="00A57506" w:rsidRPr="00A57506" w:rsidRDefault="00A57506" w:rsidP="00A57506">
      <w:pPr>
        <w:ind w:firstLine="0"/>
        <w:rPr>
          <w:color w:val="000000"/>
          <w:lang w:val="en-US"/>
        </w:rPr>
      </w:pPr>
    </w:p>
    <w:p w14:paraId="39931A47" w14:textId="77777777" w:rsidR="00A57506" w:rsidRPr="00A57506" w:rsidRDefault="00A57506" w:rsidP="00A57506">
      <w:pPr>
        <w:ind w:firstLine="0"/>
        <w:rPr>
          <w:color w:val="000000"/>
        </w:rPr>
      </w:pPr>
      <w:r w:rsidRPr="00A57506">
        <w:rPr>
          <w:noProof/>
          <w:color w:val="000000"/>
        </w:rPr>
        <w:lastRenderedPageBreak/>
        <w:drawing>
          <wp:inline distT="0" distB="0" distL="0" distR="0" wp14:anchorId="6850D406" wp14:editId="7FE2E55C">
            <wp:extent cx="6055360" cy="2708695"/>
            <wp:effectExtent l="0" t="0" r="2540" b="0"/>
            <wp:docPr id="21" name="Диаграмма 21">
              <a:extLst xmlns:a="http://schemas.openxmlformats.org/drawingml/2006/main">
                <a:ext uri="{FF2B5EF4-FFF2-40B4-BE49-F238E27FC236}">
                  <a16:creationId xmlns:a16="http://schemas.microsoft.com/office/drawing/2014/main" id="{69E92E3F-F03D-4AA7-B0C2-04BA4F9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63F493" w14:textId="77777777"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8</w:t>
      </w:r>
      <w:r w:rsidRPr="00A57506">
        <w:rPr>
          <w:bCs/>
          <w:color w:val="000000"/>
        </w:rPr>
        <w:fldChar w:fldCharType="end"/>
      </w:r>
      <w:r w:rsidRPr="00A57506">
        <w:rPr>
          <w:bCs/>
          <w:color w:val="000000"/>
          <w:lang w:val="en"/>
        </w:rPr>
        <w:t>– Structure of notices by type of violations in 2022.</w:t>
      </w:r>
    </w:p>
    <w:p w14:paraId="24AAA2FD" w14:textId="77777777" w:rsidR="00A57506" w:rsidRPr="00A57506" w:rsidRDefault="00A57506" w:rsidP="00A57506">
      <w:pPr>
        <w:rPr>
          <w:i/>
          <w:color w:val="000000"/>
          <w:sz w:val="24"/>
          <w:lang w:val="en-US"/>
        </w:rPr>
      </w:pPr>
      <w:r w:rsidRPr="00A57506">
        <w:rPr>
          <w:b/>
          <w:i/>
          <w:color w:val="000000"/>
          <w:sz w:val="24"/>
          <w:lang w:val="en"/>
        </w:rPr>
        <w:t>For reference</w:t>
      </w:r>
      <w:r w:rsidRPr="00A57506">
        <w:rPr>
          <w:i/>
          <w:color w:val="000000"/>
          <w:sz w:val="24"/>
          <w:lang w:val="en"/>
        </w:rPr>
        <w:t>: By type of violation, the statistics of notices issued are as follows:</w:t>
      </w:r>
    </w:p>
    <w:p w14:paraId="413B99DA" w14:textId="77777777" w:rsidR="00A57506" w:rsidRPr="00A57506" w:rsidRDefault="00A57506" w:rsidP="00A57506">
      <w:pPr>
        <w:numPr>
          <w:ilvl w:val="0"/>
          <w:numId w:val="7"/>
        </w:numPr>
        <w:ind w:left="0" w:firstLine="567"/>
        <w:contextualSpacing/>
        <w:rPr>
          <w:i/>
          <w:color w:val="000000"/>
          <w:sz w:val="24"/>
          <w:lang w:val="en-US"/>
        </w:rPr>
      </w:pPr>
      <w:r w:rsidRPr="00A57506">
        <w:rPr>
          <w:i/>
          <w:color w:val="000000"/>
          <w:sz w:val="24"/>
          <w:lang w:val="en"/>
        </w:rPr>
        <w:t>196 on the grounds of abuse of dominant or monopolistic position (except for the grounds specified in subparagraph 1) of Article 174 of the PC RoK);</w:t>
      </w:r>
    </w:p>
    <w:p w14:paraId="268A2726" w14:textId="77777777" w:rsidR="00A57506" w:rsidRPr="00A57506" w:rsidRDefault="00A57506" w:rsidP="00A57506">
      <w:pPr>
        <w:numPr>
          <w:ilvl w:val="0"/>
          <w:numId w:val="7"/>
        </w:numPr>
        <w:ind w:left="0" w:firstLine="567"/>
        <w:contextualSpacing/>
        <w:rPr>
          <w:i/>
          <w:color w:val="000000"/>
          <w:sz w:val="24"/>
          <w:lang w:val="en-US"/>
        </w:rPr>
      </w:pPr>
      <w:r w:rsidRPr="00A57506">
        <w:rPr>
          <w:i/>
          <w:color w:val="000000"/>
          <w:sz w:val="24"/>
          <w:lang w:val="en"/>
        </w:rPr>
        <w:t>136 on the grounds of anti-competitive actions (inaction), agreements of state and local executive bodies, organizations vested by the state with the functions of regulating the activities of market players;</w:t>
      </w:r>
    </w:p>
    <w:p w14:paraId="1D0CA650" w14:textId="77777777" w:rsidR="00A57506" w:rsidRPr="00A57506" w:rsidRDefault="00A57506" w:rsidP="00A57506">
      <w:pPr>
        <w:numPr>
          <w:ilvl w:val="0"/>
          <w:numId w:val="7"/>
        </w:numPr>
        <w:ind w:left="0" w:firstLine="567"/>
        <w:contextualSpacing/>
        <w:rPr>
          <w:i/>
          <w:color w:val="000000"/>
          <w:sz w:val="24"/>
          <w:lang w:val="en-US"/>
        </w:rPr>
      </w:pPr>
      <w:r w:rsidRPr="00A57506">
        <w:rPr>
          <w:i/>
          <w:color w:val="000000"/>
          <w:sz w:val="24"/>
          <w:lang w:val="en"/>
        </w:rPr>
        <w:t>97 on the grounds of anticompetitive concerted actions of market players;</w:t>
      </w:r>
    </w:p>
    <w:p w14:paraId="095505CF" w14:textId="77777777" w:rsidR="00A57506" w:rsidRPr="00A57506" w:rsidRDefault="00A57506" w:rsidP="00A57506">
      <w:pPr>
        <w:numPr>
          <w:ilvl w:val="0"/>
          <w:numId w:val="7"/>
        </w:numPr>
        <w:ind w:left="0" w:firstLine="567"/>
        <w:contextualSpacing/>
        <w:rPr>
          <w:i/>
          <w:color w:val="000000"/>
          <w:sz w:val="24"/>
          <w:lang w:val="en-US"/>
        </w:rPr>
      </w:pPr>
      <w:r w:rsidRPr="00A57506">
        <w:rPr>
          <w:i/>
          <w:color w:val="000000"/>
          <w:sz w:val="24"/>
          <w:lang w:val="en"/>
        </w:rPr>
        <w:t>74 on the grounds of unfair competition;</w:t>
      </w:r>
    </w:p>
    <w:p w14:paraId="1DCC9943" w14:textId="77777777" w:rsidR="00A57506" w:rsidRPr="00A57506" w:rsidRDefault="00A57506" w:rsidP="00A57506">
      <w:pPr>
        <w:numPr>
          <w:ilvl w:val="0"/>
          <w:numId w:val="7"/>
        </w:numPr>
        <w:ind w:left="0" w:firstLine="567"/>
        <w:contextualSpacing/>
        <w:rPr>
          <w:i/>
          <w:color w:val="000000"/>
          <w:sz w:val="24"/>
          <w:lang w:val="en-US"/>
        </w:rPr>
      </w:pPr>
      <w:r w:rsidRPr="00A57506">
        <w:rPr>
          <w:i/>
          <w:color w:val="000000"/>
          <w:sz w:val="24"/>
          <w:lang w:val="en"/>
        </w:rPr>
        <w:t>5 on the grounds of anti-competitive vertical agreements.</w:t>
      </w:r>
    </w:p>
    <w:p w14:paraId="4D20689F" w14:textId="77777777" w:rsidR="00A57506" w:rsidRPr="00A57506" w:rsidRDefault="00A57506" w:rsidP="00A57506">
      <w:pPr>
        <w:rPr>
          <w:color w:val="000000"/>
          <w:lang w:val="en-US"/>
        </w:rPr>
      </w:pPr>
      <w:r w:rsidRPr="00A57506">
        <w:rPr>
          <w:color w:val="000000"/>
          <w:lang w:val="en"/>
        </w:rPr>
        <w:t xml:space="preserve">In this case, it should be noted that by possessing power-administrative competence, the state, local executive bodies, organizations vested with the functions of regulating the activities of market players have the ability to influence the state of competition. </w:t>
      </w:r>
    </w:p>
    <w:p w14:paraId="6F5A67F6" w14:textId="77777777" w:rsidR="00A57506" w:rsidRPr="00A57506" w:rsidRDefault="00A57506" w:rsidP="00A57506">
      <w:pPr>
        <w:rPr>
          <w:color w:val="000000"/>
          <w:lang w:val="en-US"/>
        </w:rPr>
      </w:pPr>
      <w:r w:rsidRPr="00A57506">
        <w:rPr>
          <w:color w:val="000000"/>
          <w:lang w:val="en"/>
        </w:rPr>
        <w:t xml:space="preserve">In this regard, the practice of favoritism and the creation of unequal conditions for doing business </w:t>
      </w:r>
      <w:r w:rsidRPr="00A57506">
        <w:rPr>
          <w:b/>
          <w:color w:val="000000"/>
          <w:lang w:val="en"/>
        </w:rPr>
        <w:t>by the state</w:t>
      </w:r>
      <w:r w:rsidRPr="00A57506">
        <w:rPr>
          <w:color w:val="000000"/>
          <w:lang w:val="en"/>
        </w:rPr>
        <w:t xml:space="preserve"> causes significant damage to entrepreneurship and the investment climate. The main risks of such actions are contained in the procedures for granting state support measures, land plots, public procurement, and business regulation. Thus, the implementation of investment projects with the participation of Social and Entrepreneurial Corporations (SECs) with the right to provide land plots and other support measures, due to the absence of strict selection rules, has become the most common practice of creating a privileged position for certain market players.</w:t>
      </w:r>
    </w:p>
    <w:p w14:paraId="7A533E27" w14:textId="77777777" w:rsidR="00A57506" w:rsidRPr="00A57506" w:rsidRDefault="00A57506" w:rsidP="00A57506">
      <w:pPr>
        <w:rPr>
          <w:color w:val="000000"/>
          <w:lang w:val="en-US"/>
        </w:rPr>
      </w:pPr>
      <w:r w:rsidRPr="00A57506">
        <w:rPr>
          <w:color w:val="000000"/>
          <w:lang w:val="en"/>
        </w:rPr>
        <w:t xml:space="preserve">Overall, the investigations completed in 2022 resulted in decisions to: </w:t>
      </w:r>
    </w:p>
    <w:p w14:paraId="66844CAF" w14:textId="77777777" w:rsidR="00A57506" w:rsidRPr="00A57506" w:rsidRDefault="00A57506" w:rsidP="00A57506">
      <w:pPr>
        <w:rPr>
          <w:color w:val="000000"/>
          <w:lang w:val="en-US"/>
        </w:rPr>
      </w:pPr>
      <w:r w:rsidRPr="00A57506">
        <w:rPr>
          <w:color w:val="000000"/>
          <w:lang w:val="en"/>
        </w:rPr>
        <w:t xml:space="preserve">- initiate administrative offence proceedings and issue orders to eliminate violations of law in 65 investigations </w:t>
      </w:r>
      <w:r w:rsidRPr="00A57506">
        <w:rPr>
          <w:i/>
          <w:color w:val="000000"/>
          <w:sz w:val="24"/>
          <w:lang w:val="en"/>
        </w:rPr>
        <w:t>(134 in 2017, 117 in 2018, 50 in 2019, 50 in 2021)</w:t>
      </w:r>
      <w:r w:rsidRPr="00A57506">
        <w:rPr>
          <w:color w:val="000000"/>
          <w:lang w:val="en"/>
        </w:rPr>
        <w:t>;</w:t>
      </w:r>
    </w:p>
    <w:p w14:paraId="7C7ED2C7" w14:textId="77777777" w:rsidR="00A57506" w:rsidRPr="00A57506" w:rsidRDefault="00A57506" w:rsidP="00A57506">
      <w:pPr>
        <w:rPr>
          <w:color w:val="000000"/>
          <w:lang w:val="en-US"/>
        </w:rPr>
      </w:pPr>
      <w:r w:rsidRPr="00A57506">
        <w:rPr>
          <w:color w:val="000000"/>
          <w:lang w:val="en"/>
        </w:rPr>
        <w:t xml:space="preserve">- terminate investigations on the grounds provided for in Article 223 of the Code for 34 investigations </w:t>
      </w:r>
      <w:r w:rsidRPr="00A57506">
        <w:rPr>
          <w:i/>
          <w:color w:val="000000"/>
          <w:sz w:val="24"/>
          <w:lang w:val="en"/>
        </w:rPr>
        <w:t>(23 in 2017, 28 in 2018, 18 in 2019, 51 in 2020, 43 in 2021)</w:t>
      </w:r>
      <w:r w:rsidRPr="00A57506">
        <w:rPr>
          <w:color w:val="000000"/>
          <w:lang w:val="en"/>
        </w:rPr>
        <w:t>;</w:t>
      </w:r>
    </w:p>
    <w:p w14:paraId="28690A24" w14:textId="77777777" w:rsidR="00A57506" w:rsidRPr="00A57506" w:rsidRDefault="00A57506" w:rsidP="00A57506">
      <w:pPr>
        <w:rPr>
          <w:color w:val="000000"/>
          <w:lang w:val="en-US"/>
        </w:rPr>
      </w:pPr>
      <w:r w:rsidRPr="00A57506">
        <w:rPr>
          <w:color w:val="000000"/>
          <w:lang w:val="en"/>
        </w:rPr>
        <w:t>-</w:t>
      </w:r>
      <w:r w:rsidRPr="00A57506">
        <w:rPr>
          <w:color w:val="000000"/>
          <w:lang w:val="en"/>
        </w:rPr>
        <w:tab/>
        <w:t xml:space="preserve">issue prescriptions to eliminate violations of law in 10 investigations </w:t>
      </w:r>
      <w:r w:rsidRPr="00A57506">
        <w:rPr>
          <w:i/>
          <w:color w:val="000000"/>
          <w:sz w:val="24"/>
          <w:lang w:val="en"/>
        </w:rPr>
        <w:t>(53 in 2017, 23 in 2018, 5 in 2019, 8 in 2020, and 10 in 2021)</w:t>
      </w:r>
      <w:r w:rsidRPr="00A57506">
        <w:rPr>
          <w:color w:val="000000"/>
          <w:lang w:val="en"/>
        </w:rPr>
        <w:t>;</w:t>
      </w:r>
    </w:p>
    <w:p w14:paraId="60B6C5A4" w14:textId="77777777" w:rsidR="00A57506" w:rsidRPr="00A57506" w:rsidRDefault="00A57506" w:rsidP="00A57506">
      <w:pPr>
        <w:rPr>
          <w:color w:val="000000"/>
          <w:lang w:val="en-US"/>
        </w:rPr>
      </w:pPr>
      <w:r w:rsidRPr="00A57506">
        <w:rPr>
          <w:color w:val="000000"/>
          <w:lang w:val="en"/>
        </w:rPr>
        <w:lastRenderedPageBreak/>
        <w:t xml:space="preserve">- transfer materials to law enforcement agencies for pre-trial investigation in 24 investigations </w:t>
      </w:r>
      <w:r w:rsidRPr="00A57506">
        <w:rPr>
          <w:i/>
          <w:color w:val="000000"/>
          <w:sz w:val="24"/>
          <w:lang w:val="en"/>
        </w:rPr>
        <w:t>(2 in 2017, 3 in 2018, 0 in 2019, 0 in 2020, 4 in 2021)</w:t>
      </w:r>
      <w:r w:rsidRPr="00A57506">
        <w:rPr>
          <w:color w:val="000000"/>
          <w:lang w:val="en"/>
        </w:rPr>
        <w:t>.</w:t>
      </w:r>
    </w:p>
    <w:p w14:paraId="5EC9181E" w14:textId="77777777" w:rsidR="00A57506" w:rsidRPr="00A57506" w:rsidRDefault="00A57506" w:rsidP="00A57506">
      <w:pPr>
        <w:rPr>
          <w:color w:val="000000"/>
          <w:lang w:val="en-US"/>
        </w:rPr>
      </w:pPr>
      <w:r w:rsidRPr="00A57506">
        <w:rPr>
          <w:color w:val="000000"/>
          <w:lang w:val="en"/>
        </w:rPr>
        <w:t xml:space="preserve">For 2022, fines totaling </w:t>
      </w:r>
      <w:r w:rsidRPr="00A57506">
        <w:rPr>
          <w:b/>
          <w:color w:val="000000"/>
          <w:lang w:val="en"/>
        </w:rPr>
        <w:t>KZT 2.1 billion</w:t>
      </w:r>
      <w:r w:rsidRPr="00A57506">
        <w:rPr>
          <w:color w:val="000000"/>
          <w:lang w:val="en"/>
        </w:rPr>
        <w:t xml:space="preserve"> were imposed for violations of competition law, of which </w:t>
      </w:r>
      <w:r w:rsidRPr="00A57506">
        <w:rPr>
          <w:b/>
          <w:color w:val="000000"/>
          <w:lang w:val="en"/>
        </w:rPr>
        <w:t>KZT 1.9 billion</w:t>
      </w:r>
      <w:r w:rsidRPr="00A57506">
        <w:rPr>
          <w:color w:val="000000"/>
          <w:lang w:val="en"/>
        </w:rPr>
        <w:t xml:space="preserve"> or 90.5 per cent were recovered </w:t>
      </w:r>
      <w:r w:rsidRPr="00A57506">
        <w:rPr>
          <w:i/>
          <w:color w:val="000000"/>
          <w:sz w:val="24"/>
          <w:szCs w:val="24"/>
          <w:lang w:val="en"/>
        </w:rPr>
        <w:t>(in 2017 - KZT 3.2 billion, in 2018 - KZT 2.4 billion, in 2019 - KZT 1.3 billion, in 2020 - KZT 675 million, in 2021 - KZT 1.1 billion)</w:t>
      </w:r>
      <w:r w:rsidRPr="00A57506">
        <w:rPr>
          <w:color w:val="000000"/>
          <w:sz w:val="24"/>
          <w:szCs w:val="24"/>
          <w:lang w:val="en"/>
        </w:rPr>
        <w:t>.</w:t>
      </w:r>
      <w:r w:rsidRPr="00A57506">
        <w:rPr>
          <w:color w:val="000000"/>
          <w:lang w:val="en"/>
        </w:rPr>
        <w:t xml:space="preserve"> The upward trend in the amount of fines is related to a number of investigations into cartel agreements and abuse of dominant or monopolistic position. At the same time, as part of joint work with law enforcement authorities on anti-competitive practices, more than </w:t>
      </w:r>
      <w:r w:rsidRPr="00A57506">
        <w:rPr>
          <w:b/>
          <w:color w:val="000000"/>
          <w:lang w:val="en"/>
        </w:rPr>
        <w:t>KZT 12 billion</w:t>
      </w:r>
      <w:r w:rsidRPr="00A57506">
        <w:rPr>
          <w:color w:val="000000"/>
          <w:lang w:val="en"/>
        </w:rPr>
        <w:t xml:space="preserve"> in damages were </w:t>
      </w:r>
      <w:r w:rsidRPr="00A57506">
        <w:rPr>
          <w:b/>
          <w:color w:val="000000"/>
          <w:lang w:val="en"/>
        </w:rPr>
        <w:t>reimbursed</w:t>
      </w:r>
      <w:r w:rsidRPr="00A57506">
        <w:rPr>
          <w:color w:val="000000"/>
          <w:lang w:val="en"/>
        </w:rPr>
        <w:t xml:space="preserve"> to the state income.  </w:t>
      </w:r>
    </w:p>
    <w:p w14:paraId="63AF142F" w14:textId="606ACE69" w:rsidR="00A57506" w:rsidRPr="00A57506" w:rsidRDefault="00A57506" w:rsidP="00A57506">
      <w:pPr>
        <w:rPr>
          <w:color w:val="000000"/>
          <w:lang w:val="en-US"/>
        </w:rPr>
      </w:pPr>
      <w:r w:rsidRPr="00A57506">
        <w:rPr>
          <w:color w:val="000000"/>
          <w:lang w:val="en"/>
        </w:rPr>
        <w:t xml:space="preserve">At the same time, </w:t>
      </w:r>
      <w:r w:rsidRPr="00A57506">
        <w:rPr>
          <w:b/>
          <w:color w:val="000000"/>
          <w:lang w:val="en"/>
        </w:rPr>
        <w:t>the effectiveness of antitrust response measures</w:t>
      </w:r>
      <w:r w:rsidRPr="00A57506">
        <w:rPr>
          <w:color w:val="000000"/>
          <w:lang w:val="en"/>
        </w:rPr>
        <w:t xml:space="preserve"> deserves special attention. Practice shows that antitrust investigation procedures are unreasonably prolonged, which is a consequence of unnecessary bureaucratic procedures and </w:t>
      </w:r>
      <w:r w:rsidRPr="00A57506">
        <w:rPr>
          <w:b/>
          <w:color w:val="000000"/>
          <w:lang w:val="en"/>
        </w:rPr>
        <w:t>abuse of procedural rights</w:t>
      </w:r>
      <w:r w:rsidRPr="00A57506">
        <w:rPr>
          <w:color w:val="000000"/>
          <w:lang w:val="en"/>
        </w:rPr>
        <w:t xml:space="preserve"> by appealing burdensome administrative acts. Litigation to appeal the acts of investigation can stretch up to two years.</w:t>
      </w:r>
    </w:p>
    <w:p w14:paraId="4EA62E62" w14:textId="77777777" w:rsidR="00A57506" w:rsidRPr="00A57506" w:rsidRDefault="00A57506" w:rsidP="00A57506">
      <w:pPr>
        <w:keepNext/>
        <w:keepLines/>
        <w:numPr>
          <w:ilvl w:val="0"/>
          <w:numId w:val="6"/>
        </w:numPr>
        <w:tabs>
          <w:tab w:val="left" w:pos="1134"/>
        </w:tabs>
        <w:spacing w:before="240" w:after="240"/>
        <w:outlineLvl w:val="1"/>
        <w:rPr>
          <w:b/>
          <w:bCs/>
          <w:color w:val="000000"/>
        </w:rPr>
      </w:pPr>
      <w:bookmarkStart w:id="22" w:name="_Toc137900824"/>
      <w:bookmarkStart w:id="23" w:name="_Toc142467901"/>
      <w:r w:rsidRPr="00A57506">
        <w:rPr>
          <w:b/>
          <w:bCs/>
          <w:color w:val="000000"/>
          <w:lang w:val="en"/>
        </w:rPr>
        <w:t>Regulating economic concentration</w:t>
      </w:r>
      <w:bookmarkEnd w:id="22"/>
      <w:bookmarkEnd w:id="23"/>
      <w:r w:rsidRPr="00A57506">
        <w:rPr>
          <w:b/>
          <w:bCs/>
          <w:color w:val="000000"/>
          <w:lang w:val="en"/>
        </w:rPr>
        <w:t xml:space="preserve"> </w:t>
      </w:r>
    </w:p>
    <w:p w14:paraId="584E413D" w14:textId="77777777" w:rsidR="00A57506" w:rsidRPr="00A57506" w:rsidRDefault="00A57506" w:rsidP="00A57506">
      <w:pPr>
        <w:tabs>
          <w:tab w:val="clear" w:pos="567"/>
        </w:tabs>
        <w:rPr>
          <w:lang w:val="en-US"/>
        </w:rPr>
      </w:pPr>
      <w:r w:rsidRPr="00A57506">
        <w:rPr>
          <w:lang w:val="en"/>
        </w:rPr>
        <w:t xml:space="preserve">At the same time, significant work has been done as part of </w:t>
      </w:r>
      <w:r w:rsidRPr="00A57506">
        <w:rPr>
          <w:b/>
          <w:i/>
          <w:lang w:val="en"/>
        </w:rPr>
        <w:t>regulating economic concentration</w:t>
      </w:r>
      <w:r w:rsidRPr="00A57506">
        <w:rPr>
          <w:lang w:val="en"/>
        </w:rPr>
        <w:t>.</w:t>
      </w:r>
    </w:p>
    <w:p w14:paraId="4D29A09E" w14:textId="77777777" w:rsidR="00A57506" w:rsidRPr="00A57506" w:rsidRDefault="00A57506" w:rsidP="00A57506">
      <w:pPr>
        <w:tabs>
          <w:tab w:val="clear" w:pos="567"/>
        </w:tabs>
        <w:rPr>
          <w:lang w:val="en-US"/>
        </w:rPr>
      </w:pPr>
      <w:r w:rsidRPr="00A57506">
        <w:rPr>
          <w:lang w:val="en"/>
        </w:rPr>
        <w:t xml:space="preserve">1) For example, a joint audit </w:t>
      </w:r>
      <w:r w:rsidRPr="00A57506">
        <w:rPr>
          <w:i/>
          <w:sz w:val="24"/>
          <w:lang w:val="en"/>
        </w:rPr>
        <w:t>(with the Prosecutor's Office of the Atyrau Oblast)</w:t>
      </w:r>
      <w:r w:rsidRPr="00A57506">
        <w:rPr>
          <w:lang w:val="en"/>
        </w:rPr>
        <w:t xml:space="preserve"> has been completed regarding the legality of the alienation of a 50% interest in the LPG Storage Park LLP </w:t>
      </w:r>
      <w:r w:rsidRPr="00A57506">
        <w:rPr>
          <w:i/>
          <w:sz w:val="24"/>
          <w:lang w:val="en"/>
        </w:rPr>
        <w:t>(hereinafter - the Storage Park)</w:t>
      </w:r>
      <w:r w:rsidRPr="00A57506">
        <w:rPr>
          <w:lang w:val="en"/>
        </w:rPr>
        <w:t xml:space="preserve"> from Atyrau Oil Refinery LLP </w:t>
      </w:r>
      <w:r w:rsidRPr="00A57506">
        <w:rPr>
          <w:i/>
          <w:sz w:val="24"/>
          <w:lang w:val="en"/>
        </w:rPr>
        <w:t>(hereinafter - the Atyrau Oil Refinery)</w:t>
      </w:r>
      <w:r w:rsidRPr="00A57506">
        <w:rPr>
          <w:lang w:val="en"/>
        </w:rPr>
        <w:t xml:space="preserve"> in favor of Joint Technologies LLP.</w:t>
      </w:r>
    </w:p>
    <w:p w14:paraId="5103B6F9" w14:textId="77777777" w:rsidR="00A57506" w:rsidRPr="00A57506" w:rsidRDefault="00A57506" w:rsidP="00A57506">
      <w:pPr>
        <w:tabs>
          <w:tab w:val="clear" w:pos="567"/>
        </w:tabs>
        <w:rPr>
          <w:i/>
          <w:sz w:val="24"/>
          <w:lang w:val="en-US"/>
        </w:rPr>
      </w:pPr>
      <w:r w:rsidRPr="00A57506">
        <w:rPr>
          <w:b/>
          <w:i/>
          <w:sz w:val="24"/>
          <w:lang w:val="en"/>
        </w:rPr>
        <w:t>For reference</w:t>
      </w:r>
      <w:r w:rsidRPr="00A57506">
        <w:rPr>
          <w:i/>
          <w:sz w:val="24"/>
          <w:lang w:val="en"/>
        </w:rPr>
        <w:t xml:space="preserve">: Earlier, on 16 March 2021, s consent was granted for economic concentration, subject to the fulfillment of a number of requirements (the Consent Order). </w:t>
      </w:r>
    </w:p>
    <w:p w14:paraId="168F45AD" w14:textId="77777777" w:rsidR="00A57506" w:rsidRPr="00A57506" w:rsidRDefault="00A57506" w:rsidP="00A57506">
      <w:pPr>
        <w:tabs>
          <w:tab w:val="clear" w:pos="567"/>
        </w:tabs>
        <w:rPr>
          <w:lang w:val="en-US"/>
        </w:rPr>
      </w:pPr>
      <w:r w:rsidRPr="00A57506">
        <w:rPr>
          <w:lang w:val="en"/>
        </w:rPr>
        <w:t>As a result of the audit of the Storage Park's actions, the facts of abuse of dominant position were revealed, which is a violation of the requirements.</w:t>
      </w:r>
    </w:p>
    <w:p w14:paraId="1170C1D0" w14:textId="21E805CD" w:rsidR="00A57506" w:rsidRPr="00A57506" w:rsidRDefault="00A57506" w:rsidP="00A57506">
      <w:pPr>
        <w:tabs>
          <w:tab w:val="clear" w:pos="567"/>
        </w:tabs>
        <w:rPr>
          <w:i/>
          <w:sz w:val="24"/>
          <w:lang w:val="en-US"/>
        </w:rPr>
      </w:pPr>
      <w:r w:rsidRPr="00A57506">
        <w:rPr>
          <w:b/>
          <w:i/>
          <w:sz w:val="24"/>
          <w:lang w:val="en"/>
        </w:rPr>
        <w:t>For reference</w:t>
      </w:r>
      <w:r w:rsidRPr="00A57506">
        <w:rPr>
          <w:i/>
          <w:sz w:val="24"/>
          <w:lang w:val="en"/>
        </w:rPr>
        <w:t xml:space="preserve">: failure to fulfil one or more requirements of the </w:t>
      </w:r>
      <w:r>
        <w:rPr>
          <w:i/>
          <w:sz w:val="24"/>
          <w:lang w:val="en"/>
        </w:rPr>
        <w:t>Antimonopoly Authority</w:t>
      </w:r>
      <w:r w:rsidRPr="00A57506">
        <w:rPr>
          <w:i/>
          <w:sz w:val="24"/>
          <w:lang w:val="en"/>
        </w:rPr>
        <w:t xml:space="preserve"> is grounds for revision of a previous ruling (Article 208(5)(3) of the Code).</w:t>
      </w:r>
    </w:p>
    <w:p w14:paraId="2DC7F260" w14:textId="7C7D6EE7" w:rsidR="00A57506" w:rsidRPr="00A57506" w:rsidRDefault="00A57506" w:rsidP="00A57506">
      <w:pPr>
        <w:tabs>
          <w:tab w:val="clear" w:pos="567"/>
        </w:tabs>
        <w:rPr>
          <w:lang w:val="en-US"/>
        </w:rPr>
      </w:pPr>
      <w:r w:rsidRPr="00A57506">
        <w:rPr>
          <w:lang w:val="en"/>
        </w:rPr>
        <w:t>On 23 January 2023 the consent ruling was cancelled. On 8 February 2023 this ruling was appealed by Joint Technologies LLP to the Specialized Inter</w:t>
      </w:r>
      <w:r w:rsidR="003263B8">
        <w:rPr>
          <w:lang w:val="en"/>
        </w:rPr>
        <w:t>-</w:t>
      </w:r>
      <w:r w:rsidRPr="00A57506">
        <w:rPr>
          <w:lang w:val="en"/>
        </w:rPr>
        <w:t>district Administrative Court of Astana.</w:t>
      </w:r>
    </w:p>
    <w:p w14:paraId="6AAA0DFC" w14:textId="73148F2C" w:rsidR="00A57506" w:rsidRPr="00A57506" w:rsidRDefault="00A57506" w:rsidP="00A57506">
      <w:pPr>
        <w:tabs>
          <w:tab w:val="clear" w:pos="567"/>
        </w:tabs>
        <w:rPr>
          <w:lang w:val="en-US"/>
        </w:rPr>
      </w:pPr>
      <w:r w:rsidRPr="00A57506">
        <w:rPr>
          <w:lang w:val="en"/>
        </w:rPr>
        <w:t>By the ruling of the Specialized Inter</w:t>
      </w:r>
      <w:r w:rsidR="003263B8">
        <w:rPr>
          <w:lang w:val="en"/>
        </w:rPr>
        <w:t>-</w:t>
      </w:r>
      <w:r w:rsidRPr="00A57506">
        <w:rPr>
          <w:lang w:val="en"/>
        </w:rPr>
        <w:t>district Administrative Court of Astana dated 05 April 2023, the claims of Joint Technologies LLP were dismissed. Consequently, the order to cancel the Economic Concentration Order was held by the court to be lawful.</w:t>
      </w:r>
    </w:p>
    <w:p w14:paraId="18E776D5" w14:textId="76C5838A" w:rsidR="00A57506" w:rsidRPr="00A57506" w:rsidRDefault="00A57506" w:rsidP="00A57506">
      <w:pPr>
        <w:tabs>
          <w:tab w:val="clear" w:pos="567"/>
        </w:tabs>
        <w:rPr>
          <w:lang w:val="en-US"/>
        </w:rPr>
      </w:pPr>
      <w:r w:rsidRPr="00A57506">
        <w:rPr>
          <w:lang w:val="en"/>
        </w:rPr>
        <w:t>The Agency filed a similar claim to the Specialized Inter</w:t>
      </w:r>
      <w:r w:rsidR="003263B8">
        <w:rPr>
          <w:lang w:val="en"/>
        </w:rPr>
        <w:t>-</w:t>
      </w:r>
      <w:r w:rsidRPr="00A57506">
        <w:rPr>
          <w:lang w:val="en"/>
        </w:rPr>
        <w:t xml:space="preserve">district Administrative Court of Atyrau Oblast </w:t>
      </w:r>
      <w:r w:rsidRPr="00A57506">
        <w:rPr>
          <w:i/>
          <w:sz w:val="24"/>
          <w:lang w:val="en"/>
        </w:rPr>
        <w:t>(to cancel the ruling on re-registration of 50% share of the Storage Park)</w:t>
      </w:r>
      <w:r w:rsidRPr="00A57506">
        <w:rPr>
          <w:lang w:val="en"/>
        </w:rPr>
        <w:t xml:space="preserve">. </w:t>
      </w:r>
    </w:p>
    <w:p w14:paraId="02C68DA5" w14:textId="77777777" w:rsidR="00A57506" w:rsidRPr="00A57506" w:rsidRDefault="00A57506" w:rsidP="00A57506">
      <w:pPr>
        <w:tabs>
          <w:tab w:val="clear" w:pos="567"/>
        </w:tabs>
        <w:rPr>
          <w:lang w:val="en-US"/>
        </w:rPr>
      </w:pPr>
      <w:r w:rsidRPr="00A57506">
        <w:rPr>
          <w:lang w:val="en"/>
        </w:rPr>
        <w:t xml:space="preserve">On 3 May 2023, the Agency's claim was granted. The Agency's motion to reverse the ruling in terms of immediate enforcement of the court ruling is also granted. </w:t>
      </w:r>
    </w:p>
    <w:p w14:paraId="16349244" w14:textId="77777777" w:rsidR="00A57506" w:rsidRPr="00A57506" w:rsidRDefault="00A57506" w:rsidP="00A57506">
      <w:pPr>
        <w:tabs>
          <w:tab w:val="clear" w:pos="567"/>
        </w:tabs>
        <w:rPr>
          <w:lang w:val="en-US"/>
        </w:rPr>
      </w:pPr>
      <w:r w:rsidRPr="00A57506">
        <w:rPr>
          <w:lang w:val="en"/>
        </w:rPr>
        <w:t>Order No. 1047 dated 3 May 2023 of the Atyrau Oblast Branch of Government for Citizens Public Corporation Non-Commercial Joint-Stock Company cancelled the ruling on state registration of the Storage Park dated 13 May 2021.</w:t>
      </w:r>
    </w:p>
    <w:p w14:paraId="79DBEB55" w14:textId="12544F61" w:rsidR="00A57506" w:rsidRPr="00A57506" w:rsidRDefault="00A57506" w:rsidP="00A57506">
      <w:pPr>
        <w:tabs>
          <w:tab w:val="clear" w:pos="567"/>
        </w:tabs>
        <w:rPr>
          <w:lang w:val="en-US"/>
        </w:rPr>
      </w:pPr>
      <w:r w:rsidRPr="00A57506">
        <w:rPr>
          <w:lang w:val="en"/>
        </w:rPr>
        <w:lastRenderedPageBreak/>
        <w:t>Consequently, the ruling of the Specialized Inter</w:t>
      </w:r>
      <w:r w:rsidR="003263B8">
        <w:rPr>
          <w:lang w:val="en"/>
        </w:rPr>
        <w:t>-</w:t>
      </w:r>
      <w:r w:rsidRPr="00A57506">
        <w:rPr>
          <w:lang w:val="en"/>
        </w:rPr>
        <w:t>district Administrative Court of Atyrau Oblast entered into legal force and 50% of Storage Park's interest was transferred to the Atyrau Oil Refinery.</w:t>
      </w:r>
    </w:p>
    <w:p w14:paraId="04E0084E" w14:textId="77777777" w:rsidR="00A57506" w:rsidRPr="00A57506" w:rsidRDefault="00A57506" w:rsidP="00A57506">
      <w:pPr>
        <w:tabs>
          <w:tab w:val="clear" w:pos="567"/>
        </w:tabs>
        <w:rPr>
          <w:lang w:val="en-US"/>
        </w:rPr>
      </w:pPr>
      <w:r w:rsidRPr="00A57506">
        <w:rPr>
          <w:lang w:val="en"/>
        </w:rPr>
        <w:t xml:space="preserve">2) Also previously, by Order No. 257/NK dated 16 September 2022 of the Chairman of the Agency </w:t>
      </w:r>
      <w:r w:rsidRPr="00A57506">
        <w:rPr>
          <w:i/>
          <w:sz w:val="24"/>
          <w:lang w:val="en"/>
        </w:rPr>
        <w:t>(hereinafter referred to as the Consent Order)</w:t>
      </w:r>
      <w:r w:rsidRPr="00A57506">
        <w:rPr>
          <w:lang w:val="en"/>
        </w:rPr>
        <w:t xml:space="preserve">, TEK Acquisition Corp LLP </w:t>
      </w:r>
      <w:r w:rsidRPr="00A57506">
        <w:rPr>
          <w:i/>
          <w:sz w:val="24"/>
          <w:lang w:val="en"/>
        </w:rPr>
        <w:t>(hereinafter referred to as the Buyer)</w:t>
      </w:r>
      <w:r w:rsidRPr="00A57506">
        <w:rPr>
          <w:lang w:val="en"/>
        </w:rPr>
        <w:t xml:space="preserve"> submitted its consent to the economic concentration with the imposition of a number of conditions.</w:t>
      </w:r>
    </w:p>
    <w:p w14:paraId="21AB4585" w14:textId="1525A061" w:rsidR="00A57506" w:rsidRPr="00A57506" w:rsidRDefault="00A57506" w:rsidP="00A57506">
      <w:pPr>
        <w:tabs>
          <w:tab w:val="clear" w:pos="567"/>
        </w:tabs>
        <w:rPr>
          <w:lang w:val="en-US"/>
        </w:rPr>
      </w:pPr>
      <w:r w:rsidRPr="00A57506">
        <w:rPr>
          <w:lang w:val="en"/>
        </w:rPr>
        <w:t xml:space="preserve">One of the conditions was to develop and agree with the </w:t>
      </w:r>
      <w:r>
        <w:rPr>
          <w:lang w:val="en"/>
        </w:rPr>
        <w:t>Antimonopoly Authority</w:t>
      </w:r>
      <w:r w:rsidRPr="00A57506">
        <w:rPr>
          <w:lang w:val="en"/>
        </w:rPr>
        <w:t xml:space="preserve"> a system of measures to prevent violations of competition law </w:t>
      </w:r>
      <w:r w:rsidRPr="00A57506">
        <w:rPr>
          <w:i/>
          <w:sz w:val="24"/>
          <w:lang w:val="en"/>
        </w:rPr>
        <w:t>(external and internal antitrust compliance)</w:t>
      </w:r>
      <w:r w:rsidRPr="00A57506">
        <w:rPr>
          <w:lang w:val="en"/>
        </w:rPr>
        <w:t xml:space="preserve">, providing for a sales and pricing policy aimed at ensuring equal and non-discriminatory conditions in the market for services of acceptance, storage and dispensing of liquid, bulk and tare cargoes </w:t>
      </w:r>
      <w:r w:rsidRPr="00A57506">
        <w:rPr>
          <w:i/>
          <w:sz w:val="24"/>
          <w:lang w:val="en"/>
        </w:rPr>
        <w:t>(diesel fuel)</w:t>
      </w:r>
      <w:r w:rsidRPr="00A57506">
        <w:rPr>
          <w:lang w:val="en"/>
        </w:rPr>
        <w:t xml:space="preserve"> until 31 November 2022.</w:t>
      </w:r>
    </w:p>
    <w:p w14:paraId="4296C719" w14:textId="77777777" w:rsidR="00A57506" w:rsidRPr="00A57506" w:rsidRDefault="00A57506" w:rsidP="00A57506">
      <w:pPr>
        <w:tabs>
          <w:tab w:val="clear" w:pos="567"/>
        </w:tabs>
        <w:rPr>
          <w:lang w:val="en-US"/>
        </w:rPr>
      </w:pPr>
      <w:r w:rsidRPr="00A57506">
        <w:rPr>
          <w:lang w:val="en"/>
        </w:rPr>
        <w:t xml:space="preserve">In turn, due to the existence of an arbitration dispute between Kamkor Management LLP </w:t>
      </w:r>
      <w:r w:rsidRPr="00A57506">
        <w:rPr>
          <w:i/>
          <w:sz w:val="24"/>
          <w:lang w:val="en"/>
        </w:rPr>
        <w:t>(hereinafter referred to as the Seller)</w:t>
      </w:r>
      <w:r w:rsidRPr="00A57506">
        <w:rPr>
          <w:lang w:val="en"/>
        </w:rPr>
        <w:t xml:space="preserve"> and the Buyer in respect of the sale and purchase agreement due to the Seller's waiver of its contractual obligations, it is not possible for the Buyer to fulfil this condition.</w:t>
      </w:r>
    </w:p>
    <w:p w14:paraId="2D60E45F" w14:textId="77777777" w:rsidR="00A57506" w:rsidRPr="00A57506" w:rsidRDefault="00A57506" w:rsidP="00A57506">
      <w:pPr>
        <w:tabs>
          <w:tab w:val="clear" w:pos="567"/>
        </w:tabs>
        <w:rPr>
          <w:lang w:val="en-US"/>
        </w:rPr>
      </w:pPr>
      <w:r w:rsidRPr="00A57506">
        <w:rPr>
          <w:lang w:val="en"/>
        </w:rPr>
        <w:t>Thus, due to the Buyer's lack of control over the executive body of Fuel and Energy Complex - KAZAKHSTAN Trade House LLP, it is not possible to agree the act of external and internal antitrust compliance. Consequently, the Buyer is not in compliance with the conditions of the Economic Concentration Consent Order.</w:t>
      </w:r>
    </w:p>
    <w:p w14:paraId="7925E5A1" w14:textId="70F3CF56" w:rsidR="00A57506" w:rsidRPr="00A57506" w:rsidRDefault="00A57506" w:rsidP="00A57506">
      <w:pPr>
        <w:tabs>
          <w:tab w:val="clear" w:pos="567"/>
        </w:tabs>
        <w:rPr>
          <w:lang w:val="en-US"/>
        </w:rPr>
      </w:pPr>
      <w:r w:rsidRPr="00A57506">
        <w:rPr>
          <w:lang w:val="en"/>
        </w:rPr>
        <w:t xml:space="preserve">In accordance with Article 208(5)(3) of the Code, if participants in economic concentration fail to fulfil the requirements that conditioned the </w:t>
      </w:r>
      <w:r>
        <w:rPr>
          <w:lang w:val="en"/>
        </w:rPr>
        <w:t>Antimonopoly Authority</w:t>
      </w:r>
      <w:r w:rsidRPr="00A57506">
        <w:rPr>
          <w:lang w:val="en"/>
        </w:rPr>
        <w:t xml:space="preserve">'s decision, the </w:t>
      </w:r>
      <w:r>
        <w:rPr>
          <w:lang w:val="en"/>
        </w:rPr>
        <w:t>Antimonopoly Authority</w:t>
      </w:r>
      <w:r w:rsidRPr="00A57506">
        <w:rPr>
          <w:lang w:val="en"/>
        </w:rPr>
        <w:t xml:space="preserve"> shall, on its own initiative or at the request of an interested party, reconsider its decision to consent to or ban economic concentration.</w:t>
      </w:r>
    </w:p>
    <w:p w14:paraId="3DE73884" w14:textId="77777777" w:rsidR="00A57506" w:rsidRPr="00A57506" w:rsidRDefault="00A57506" w:rsidP="00A57506">
      <w:pPr>
        <w:tabs>
          <w:tab w:val="clear" w:pos="567"/>
        </w:tabs>
        <w:rPr>
          <w:lang w:val="en-US"/>
        </w:rPr>
      </w:pPr>
      <w:r w:rsidRPr="00A57506">
        <w:rPr>
          <w:lang w:val="en"/>
        </w:rPr>
        <w:t xml:space="preserve">Meanwhile, earlier, on 20 January 2023, at the regular meeting of the Economy Demonopolization Commission of KTZ JSC </w:t>
      </w:r>
      <w:r w:rsidRPr="00A57506">
        <w:rPr>
          <w:i/>
          <w:sz w:val="24"/>
          <w:lang w:val="en"/>
        </w:rPr>
        <w:t>(together with the Agency for Financial Monitoring, Agency for Protection and Development of Competition, Ministry of Industry and Infrastructural Development, Samruk-Kazyna JSC)</w:t>
      </w:r>
      <w:r w:rsidRPr="00A57506">
        <w:rPr>
          <w:lang w:val="en"/>
        </w:rPr>
        <w:t xml:space="preserve"> was instructed to ensure the return of assets to state ownership in accordance with the established procedure. A similar position was expressed by the Commission on 17 May this year. In this regard, the Agency has started work on cancellation of the previously issued consent with subsequent consideration of this issue at the next meeting of the Agency Board.</w:t>
      </w:r>
    </w:p>
    <w:p w14:paraId="6A6FF080" w14:textId="77777777" w:rsidR="00A57506" w:rsidRPr="00A57506" w:rsidRDefault="00A57506" w:rsidP="00A57506">
      <w:pPr>
        <w:tabs>
          <w:tab w:val="clear" w:pos="567"/>
        </w:tabs>
        <w:rPr>
          <w:lang w:val="en-US"/>
        </w:rPr>
      </w:pPr>
      <w:r w:rsidRPr="00A57506">
        <w:rPr>
          <w:lang w:val="en"/>
        </w:rPr>
        <w:t>3) Another example is the revision of Order No. 170-OD dated 10 July 2018of the Chairman of the Committee for Regulation of Natural Monopolies, Protection of Competition and Consumer Rights of the Ministry of National Economy of the Republic of Kazakhstan "On Granting Consent to Economic Concentration on the Application of Kazakhtelecom JSC".</w:t>
      </w:r>
    </w:p>
    <w:p w14:paraId="636A4274" w14:textId="77777777" w:rsidR="00A57506" w:rsidRPr="00A57506" w:rsidRDefault="00A57506" w:rsidP="00A57506">
      <w:pPr>
        <w:tabs>
          <w:tab w:val="clear" w:pos="567"/>
        </w:tabs>
        <w:rPr>
          <w:lang w:val="en-US"/>
        </w:rPr>
      </w:pPr>
      <w:r w:rsidRPr="00A57506">
        <w:rPr>
          <w:lang w:val="en"/>
        </w:rPr>
        <w:t xml:space="preserve">Thus, the order was amended to ensure the alienation of 100% of participation shares of KazNet Media LLP, Kcell JSC's subsidiary, on contractual terms determined taking into account the cost of their acquisition, in case of interest in the purchase of 100% of participation shares by market players, not included in the group of persons of Kazakhtelecom JSC and not participating in the Agreement on transfer at least 20 </w:t>
      </w:r>
      <w:r w:rsidRPr="00A57506">
        <w:rPr>
          <w:lang w:val="en"/>
        </w:rPr>
        <w:lastRenderedPageBreak/>
        <w:t>MHz for reception / at least 20 MHz for transmission in the 2500-2570/2620-2690 MHz bands, as well as at least 20 MHz in the 2570-2620 MHz band to other players of the commodity market for provision of cellular communication services.</w:t>
      </w:r>
    </w:p>
    <w:p w14:paraId="7E8441D1" w14:textId="6C2FDCE2" w:rsidR="00A57506" w:rsidRPr="00A57506" w:rsidRDefault="00A57506" w:rsidP="00A57506">
      <w:pPr>
        <w:tabs>
          <w:tab w:val="clear" w:pos="567"/>
        </w:tabs>
        <w:rPr>
          <w:lang w:val="en-US"/>
        </w:rPr>
      </w:pPr>
      <w:r w:rsidRPr="00A57506">
        <w:rPr>
          <w:lang w:val="en"/>
        </w:rPr>
        <w:t xml:space="preserve">In total, in 2022, the </w:t>
      </w:r>
      <w:r>
        <w:rPr>
          <w:lang w:val="en"/>
        </w:rPr>
        <w:t>Antimonopoly Authority</w:t>
      </w:r>
      <w:r w:rsidRPr="00A57506">
        <w:rPr>
          <w:lang w:val="en"/>
        </w:rPr>
        <w:t xml:space="preserve"> was applied to the state service "Consideration of applications for consent to economic concentration" 80 times, of which 29 transactions were consented and 1 transaction was banned, 2 transactions were terminated due to revocation:</w:t>
      </w:r>
    </w:p>
    <w:p w14:paraId="32DDDB6C" w14:textId="77777777" w:rsidR="00A57506" w:rsidRPr="00A57506" w:rsidRDefault="00A57506" w:rsidP="00A57506">
      <w:pPr>
        <w:tabs>
          <w:tab w:val="clear" w:pos="567"/>
        </w:tabs>
        <w:rPr>
          <w:lang w:val="en-US"/>
        </w:rPr>
      </w:pPr>
      <w:r w:rsidRPr="00A57506">
        <w:rPr>
          <w:lang w:val="en"/>
        </w:rPr>
        <w:t>- in Q1: 0 consented;</w:t>
      </w:r>
    </w:p>
    <w:p w14:paraId="043798AD" w14:textId="77777777" w:rsidR="00A57506" w:rsidRPr="00A57506" w:rsidRDefault="00A57506" w:rsidP="00A57506">
      <w:pPr>
        <w:tabs>
          <w:tab w:val="clear" w:pos="567"/>
        </w:tabs>
        <w:rPr>
          <w:lang w:val="en-US"/>
        </w:rPr>
      </w:pPr>
      <w:r w:rsidRPr="00A57506">
        <w:rPr>
          <w:lang w:val="en"/>
        </w:rPr>
        <w:t>- in Q2: 20 consented, 1 banned, 2 terminated;</w:t>
      </w:r>
    </w:p>
    <w:p w14:paraId="63E8E18A" w14:textId="77777777" w:rsidR="00A57506" w:rsidRPr="00A57506" w:rsidRDefault="00A57506" w:rsidP="00A57506">
      <w:pPr>
        <w:tabs>
          <w:tab w:val="clear" w:pos="567"/>
        </w:tabs>
        <w:rPr>
          <w:lang w:val="en-US"/>
        </w:rPr>
      </w:pPr>
      <w:r w:rsidRPr="00A57506">
        <w:rPr>
          <w:lang w:val="en"/>
        </w:rPr>
        <w:t>- in Q3: 6 consented;</w:t>
      </w:r>
    </w:p>
    <w:p w14:paraId="782149EA" w14:textId="77777777" w:rsidR="00A57506" w:rsidRPr="00A57506" w:rsidRDefault="00A57506" w:rsidP="00A57506">
      <w:pPr>
        <w:tabs>
          <w:tab w:val="clear" w:pos="567"/>
        </w:tabs>
        <w:rPr>
          <w:lang w:val="en-US"/>
        </w:rPr>
      </w:pPr>
      <w:r w:rsidRPr="00A57506">
        <w:rPr>
          <w:lang w:val="en"/>
        </w:rPr>
        <w:t>- in Q4: 3 consented;</w:t>
      </w:r>
    </w:p>
    <w:p w14:paraId="301D8D98" w14:textId="77777777" w:rsidR="00A57506" w:rsidRPr="00A57506" w:rsidRDefault="00A57506" w:rsidP="00A57506">
      <w:pPr>
        <w:keepNext/>
        <w:keepLines/>
        <w:numPr>
          <w:ilvl w:val="0"/>
          <w:numId w:val="6"/>
        </w:numPr>
        <w:tabs>
          <w:tab w:val="left" w:pos="1134"/>
        </w:tabs>
        <w:spacing w:before="240" w:after="240"/>
        <w:ind w:left="0" w:firstLine="567"/>
        <w:outlineLvl w:val="1"/>
        <w:rPr>
          <w:b/>
          <w:bCs/>
          <w:color w:val="000000"/>
        </w:rPr>
      </w:pPr>
      <w:bookmarkStart w:id="24" w:name="_Hlk130564895"/>
      <w:bookmarkStart w:id="25" w:name="_Toc137900825"/>
      <w:bookmarkStart w:id="26" w:name="_Toc142467902"/>
      <w:r w:rsidRPr="00A57506">
        <w:rPr>
          <w:b/>
          <w:bCs/>
          <w:color w:val="000000"/>
          <w:lang w:val="en"/>
        </w:rPr>
        <w:t>Monitoring commodity exchanges</w:t>
      </w:r>
      <w:bookmarkEnd w:id="24"/>
      <w:bookmarkEnd w:id="25"/>
      <w:bookmarkEnd w:id="26"/>
    </w:p>
    <w:p w14:paraId="78CDD629" w14:textId="77777777" w:rsidR="00A57506" w:rsidRPr="00A57506" w:rsidRDefault="00A57506" w:rsidP="00A57506">
      <w:pPr>
        <w:widowControl w:val="0"/>
        <w:shd w:val="clear" w:color="auto" w:fill="FFFFFF"/>
        <w:rPr>
          <w:color w:val="000000"/>
          <w:lang w:val="en-US"/>
        </w:rPr>
      </w:pPr>
      <w:r w:rsidRPr="00A57506">
        <w:rPr>
          <w:color w:val="000000"/>
          <w:lang w:val="en"/>
        </w:rPr>
        <w:t xml:space="preserve">Exchange trading in accordance with international practice in conditions of stable monopolistic / oligopolistic market structure acts as a key tool to ensure </w:t>
      </w:r>
      <w:r w:rsidRPr="00A57506">
        <w:rPr>
          <w:b/>
          <w:color w:val="000000"/>
          <w:lang w:val="en"/>
        </w:rPr>
        <w:t>equal access</w:t>
      </w:r>
      <w:r w:rsidRPr="00A57506">
        <w:rPr>
          <w:color w:val="000000"/>
          <w:lang w:val="en"/>
        </w:rPr>
        <w:t xml:space="preserve"> to limited resources of monopolists for all categories of business, mainly small and medium-sized businesses, and to form informative </w:t>
      </w:r>
      <w:r w:rsidRPr="00A57506">
        <w:rPr>
          <w:i/>
          <w:color w:val="000000"/>
          <w:sz w:val="24"/>
          <w:szCs w:val="24"/>
          <w:lang w:val="en"/>
        </w:rPr>
        <w:t>(transparent)</w:t>
      </w:r>
      <w:r w:rsidRPr="00A57506">
        <w:rPr>
          <w:color w:val="000000"/>
          <w:lang w:val="en"/>
        </w:rPr>
        <w:t xml:space="preserve"> </w:t>
      </w:r>
      <w:r w:rsidRPr="00A57506">
        <w:rPr>
          <w:b/>
          <w:color w:val="000000"/>
          <w:lang w:val="en"/>
        </w:rPr>
        <w:t>market pricing</w:t>
      </w:r>
      <w:r w:rsidRPr="00A57506">
        <w:rPr>
          <w:color w:val="000000"/>
          <w:lang w:val="en"/>
        </w:rPr>
        <w:t xml:space="preserve"> with indicators that can be used by all market players and regulators </w:t>
      </w:r>
      <w:r w:rsidRPr="00A57506">
        <w:rPr>
          <w:i/>
          <w:color w:val="000000"/>
          <w:sz w:val="24"/>
          <w:szCs w:val="24"/>
          <w:lang w:val="en"/>
        </w:rPr>
        <w:t>(benchmarking)</w:t>
      </w:r>
      <w:r w:rsidRPr="00A57506">
        <w:rPr>
          <w:color w:val="000000"/>
          <w:lang w:val="en"/>
        </w:rPr>
        <w:t>.</w:t>
      </w:r>
    </w:p>
    <w:p w14:paraId="0B9DC9D9" w14:textId="77777777" w:rsidR="00A57506" w:rsidRPr="00A57506" w:rsidRDefault="00A57506" w:rsidP="00A57506">
      <w:pPr>
        <w:widowControl w:val="0"/>
        <w:shd w:val="clear" w:color="auto" w:fill="FFFFFF"/>
        <w:rPr>
          <w:color w:val="000000"/>
          <w:lang w:val="en-US"/>
        </w:rPr>
      </w:pPr>
      <w:r w:rsidRPr="00A57506">
        <w:rPr>
          <w:color w:val="000000"/>
          <w:lang w:val="en"/>
        </w:rPr>
        <w:t xml:space="preserve">At the same time, for many years in Kazakhstan, the situation in the exchange trading market has been characterized by systemic gaps that cause </w:t>
      </w:r>
      <w:r w:rsidRPr="00A57506">
        <w:rPr>
          <w:b/>
          <w:color w:val="000000"/>
          <w:lang w:val="en"/>
        </w:rPr>
        <w:t>non-transparent operation</w:t>
      </w:r>
      <w:r w:rsidRPr="00A57506">
        <w:rPr>
          <w:color w:val="000000"/>
          <w:lang w:val="en"/>
        </w:rPr>
        <w:t xml:space="preserve"> of commodity exchanges and </w:t>
      </w:r>
      <w:r w:rsidRPr="00A57506">
        <w:rPr>
          <w:b/>
          <w:color w:val="000000"/>
          <w:lang w:val="en"/>
        </w:rPr>
        <w:t>focus on large business</w:t>
      </w:r>
      <w:r w:rsidRPr="00A57506">
        <w:rPr>
          <w:color w:val="000000"/>
          <w:lang w:val="en"/>
        </w:rPr>
        <w:t xml:space="preserve">, which does not allow for the proper use of all positive effects </w:t>
      </w:r>
      <w:r w:rsidRPr="00A57506">
        <w:rPr>
          <w:i/>
          <w:color w:val="000000"/>
          <w:sz w:val="24"/>
          <w:szCs w:val="24"/>
          <w:lang w:val="en"/>
        </w:rPr>
        <w:t>(advantages)</w:t>
      </w:r>
      <w:r w:rsidRPr="00A57506">
        <w:rPr>
          <w:color w:val="000000"/>
          <w:lang w:val="en"/>
        </w:rPr>
        <w:t xml:space="preserve"> of exchange trading.</w:t>
      </w:r>
    </w:p>
    <w:p w14:paraId="3F55537D" w14:textId="77777777" w:rsidR="00A57506" w:rsidRPr="00A57506" w:rsidRDefault="00A57506" w:rsidP="00A57506">
      <w:pPr>
        <w:widowControl w:val="0"/>
        <w:shd w:val="clear" w:color="auto" w:fill="FFFFFF"/>
        <w:rPr>
          <w:color w:val="000000"/>
          <w:lang w:val="en-US"/>
        </w:rPr>
      </w:pPr>
      <w:r w:rsidRPr="00A57506">
        <w:rPr>
          <w:color w:val="000000"/>
          <w:lang w:val="en"/>
        </w:rPr>
        <w:t>In particular, the following systemic problems should be noted:</w:t>
      </w:r>
    </w:p>
    <w:p w14:paraId="4770AB17" w14:textId="77777777" w:rsidR="00A57506" w:rsidRPr="00A57506" w:rsidRDefault="00A57506" w:rsidP="00A57506">
      <w:pPr>
        <w:widowControl w:val="0"/>
        <w:shd w:val="clear" w:color="auto" w:fill="FFFFFF"/>
        <w:rPr>
          <w:i/>
          <w:iCs/>
          <w:color w:val="000000"/>
          <w:sz w:val="24"/>
          <w:szCs w:val="24"/>
          <w:lang w:val="en-US"/>
        </w:rPr>
      </w:pPr>
      <w:r w:rsidRPr="00A57506">
        <w:rPr>
          <w:color w:val="000000"/>
          <w:lang w:val="en"/>
        </w:rPr>
        <w:t xml:space="preserve">- </w:t>
      </w:r>
      <w:r w:rsidRPr="00A57506">
        <w:rPr>
          <w:b/>
          <w:color w:val="000000"/>
          <w:lang w:val="en"/>
        </w:rPr>
        <w:t>excessive</w:t>
      </w:r>
      <w:r w:rsidRPr="00A57506">
        <w:rPr>
          <w:color w:val="000000"/>
          <w:lang w:val="en"/>
        </w:rPr>
        <w:t xml:space="preserve"> </w:t>
      </w:r>
      <w:r w:rsidRPr="00A57506">
        <w:rPr>
          <w:b/>
          <w:color w:val="000000"/>
          <w:lang w:val="en"/>
        </w:rPr>
        <w:t>diversity</w:t>
      </w:r>
      <w:r w:rsidRPr="00A57506">
        <w:rPr>
          <w:color w:val="000000"/>
          <w:lang w:val="en"/>
        </w:rPr>
        <w:t xml:space="preserve"> of commodity exchanges given the small capacity of commodity markets in Kazakhstan </w:t>
      </w:r>
      <w:r w:rsidRPr="00A57506">
        <w:rPr>
          <w:i/>
          <w:color w:val="000000"/>
          <w:sz w:val="24"/>
          <w:szCs w:val="24"/>
          <w:lang w:val="en"/>
        </w:rPr>
        <w:t>(as of the end of 2022, there were 13 commodity exchanges in the country, while Uzbekistan and Belarus have only one exchange each)</w:t>
      </w:r>
      <w:r w:rsidRPr="00A57506">
        <w:rPr>
          <w:color w:val="000000"/>
          <w:lang w:val="en"/>
        </w:rPr>
        <w:t>, which leads to fluctuations in the results of exchange quotations and does not allow for the formation of reliable price indicators;</w:t>
      </w:r>
    </w:p>
    <w:p w14:paraId="4860728A" w14:textId="77777777" w:rsidR="00A57506" w:rsidRPr="00A57506" w:rsidRDefault="00A57506" w:rsidP="00A57506">
      <w:pPr>
        <w:widowControl w:val="0"/>
        <w:shd w:val="clear" w:color="auto" w:fill="FFFFFF"/>
        <w:rPr>
          <w:color w:val="000000"/>
          <w:lang w:val="en-US"/>
        </w:rPr>
      </w:pPr>
      <w:r w:rsidRPr="00A57506">
        <w:rPr>
          <w:color w:val="000000"/>
          <w:lang w:val="en"/>
        </w:rPr>
        <w:t xml:space="preserve">- </w:t>
      </w:r>
      <w:r w:rsidRPr="00A57506">
        <w:rPr>
          <w:b/>
          <w:color w:val="000000"/>
          <w:lang w:val="en"/>
        </w:rPr>
        <w:t>non-compliance</w:t>
      </w:r>
      <w:r w:rsidRPr="00A57506">
        <w:rPr>
          <w:i/>
          <w:color w:val="000000"/>
          <w:sz w:val="24"/>
          <w:szCs w:val="24"/>
          <w:lang w:val="en"/>
        </w:rPr>
        <w:t xml:space="preserve"> </w:t>
      </w:r>
      <w:r w:rsidRPr="00A57506">
        <w:rPr>
          <w:color w:val="000000"/>
          <w:lang w:val="en"/>
        </w:rPr>
        <w:t xml:space="preserve">of the electronic trading system </w:t>
      </w:r>
      <w:r w:rsidRPr="00A57506">
        <w:rPr>
          <w:i/>
          <w:color w:val="000000"/>
          <w:sz w:val="24"/>
          <w:szCs w:val="24"/>
          <w:lang w:val="en"/>
        </w:rPr>
        <w:t>(ETS)</w:t>
      </w:r>
      <w:r w:rsidRPr="00A57506">
        <w:rPr>
          <w:color w:val="000000"/>
          <w:lang w:val="en"/>
        </w:rPr>
        <w:t xml:space="preserve"> of the majority of commodity exchanges with information security requirements </w:t>
      </w:r>
      <w:r w:rsidRPr="00A57506">
        <w:rPr>
          <w:i/>
          <w:color w:val="000000"/>
          <w:sz w:val="24"/>
          <w:szCs w:val="24"/>
          <w:lang w:val="en"/>
        </w:rPr>
        <w:t>(the existing mandatory requirements for ETSs are generalized, the existence of ETSs is confirmed by Acceptance and Commissioning Certificates, as a result, ETSs are based on 1C Enterprise software and web interfaces)</w:t>
      </w:r>
      <w:r w:rsidRPr="00A57506">
        <w:rPr>
          <w:iCs/>
          <w:color w:val="000000"/>
          <w:lang w:val="en"/>
        </w:rPr>
        <w:t>, which creates conditions for manipulation of trading results in the interests of certain groups of persons;</w:t>
      </w:r>
    </w:p>
    <w:p w14:paraId="3716E22A" w14:textId="77777777" w:rsidR="00A57506" w:rsidRPr="00A57506" w:rsidRDefault="00A57506" w:rsidP="00A57506">
      <w:pPr>
        <w:widowControl w:val="0"/>
        <w:shd w:val="clear" w:color="auto" w:fill="FFFFFF"/>
        <w:rPr>
          <w:i/>
          <w:iCs/>
          <w:color w:val="000000"/>
          <w:sz w:val="24"/>
          <w:szCs w:val="24"/>
          <w:lang w:val="en-US"/>
        </w:rPr>
      </w:pPr>
      <w:r w:rsidRPr="00A57506">
        <w:rPr>
          <w:color w:val="000000"/>
          <w:lang w:val="en"/>
        </w:rPr>
        <w:t xml:space="preserve">- </w:t>
      </w:r>
      <w:r w:rsidRPr="00A57506">
        <w:rPr>
          <w:b/>
          <w:color w:val="000000"/>
          <w:lang w:val="en"/>
        </w:rPr>
        <w:t>circumvention</w:t>
      </w:r>
      <w:r w:rsidRPr="00A57506">
        <w:rPr>
          <w:color w:val="000000"/>
          <w:lang w:val="en"/>
        </w:rPr>
        <w:t xml:space="preserve"> of mandatory requirements of public procurement laws</w:t>
      </w:r>
      <w:r w:rsidRPr="00A57506">
        <w:rPr>
          <w:i/>
          <w:color w:val="000000"/>
          <w:sz w:val="24"/>
          <w:szCs w:val="24"/>
          <w:lang w:val="en"/>
        </w:rPr>
        <w:t xml:space="preserve"> (persons without qualification and bad-faith bidders of the public procurement system may participate)</w:t>
      </w:r>
      <w:r w:rsidRPr="00A57506">
        <w:rPr>
          <w:color w:val="000000"/>
          <w:lang w:val="en"/>
        </w:rPr>
        <w:t xml:space="preserve"> through procurement on the commodity exchange </w:t>
      </w:r>
      <w:r w:rsidRPr="00A57506">
        <w:rPr>
          <w:i/>
          <w:color w:val="000000"/>
          <w:sz w:val="24"/>
          <w:szCs w:val="24"/>
          <w:lang w:val="en"/>
        </w:rPr>
        <w:t>(selective monitoring by the General Prosecutor's Office revealed 496 contracts with 9 bad-faith suppliers in the amount of KZT 1.3 billion, as well as facts of formal procurement of brokers' services for KZT 1, which creates risks of collusion and corruption);</w:t>
      </w:r>
    </w:p>
    <w:p w14:paraId="03EF2A6C" w14:textId="77777777" w:rsidR="00A57506" w:rsidRPr="00A57506" w:rsidRDefault="00A57506" w:rsidP="00A57506">
      <w:pPr>
        <w:widowControl w:val="0"/>
        <w:shd w:val="clear" w:color="auto" w:fill="FFFFFF"/>
        <w:rPr>
          <w:iCs/>
          <w:color w:val="000000"/>
          <w:lang w:val="en-US"/>
        </w:rPr>
      </w:pPr>
      <w:r w:rsidRPr="00A57506">
        <w:rPr>
          <w:color w:val="000000"/>
          <w:lang w:val="en"/>
        </w:rPr>
        <w:t xml:space="preserve">- </w:t>
      </w:r>
      <w:r w:rsidRPr="00A57506">
        <w:rPr>
          <w:b/>
          <w:color w:val="000000"/>
          <w:lang w:val="en"/>
        </w:rPr>
        <w:t>circumvention</w:t>
      </w:r>
      <w:r w:rsidRPr="00A57506">
        <w:rPr>
          <w:color w:val="000000"/>
          <w:lang w:val="en"/>
        </w:rPr>
        <w:t xml:space="preserve"> of mandatory requirements of subsoil use laws </w:t>
      </w:r>
      <w:r w:rsidRPr="00A57506">
        <w:rPr>
          <w:i/>
          <w:color w:val="000000"/>
          <w:sz w:val="24"/>
          <w:szCs w:val="24"/>
          <w:lang w:val="en"/>
        </w:rPr>
        <w:t>(for local content)</w:t>
      </w:r>
      <w:r w:rsidRPr="00A57506">
        <w:rPr>
          <w:color w:val="000000"/>
          <w:lang w:val="en"/>
        </w:rPr>
        <w:t xml:space="preserve"> allows to conclude deals with known suppliers;</w:t>
      </w:r>
    </w:p>
    <w:p w14:paraId="093B1774" w14:textId="77777777" w:rsidR="00A57506" w:rsidRPr="00A57506" w:rsidRDefault="00A57506" w:rsidP="00A57506">
      <w:pPr>
        <w:widowControl w:val="0"/>
        <w:shd w:val="clear" w:color="auto" w:fill="FFFFFF"/>
        <w:rPr>
          <w:color w:val="000000"/>
          <w:lang w:val="en-US"/>
        </w:rPr>
      </w:pPr>
      <w:r w:rsidRPr="00A57506">
        <w:rPr>
          <w:color w:val="000000"/>
          <w:lang w:val="en"/>
        </w:rPr>
        <w:t xml:space="preserve">- </w:t>
      </w:r>
      <w:r w:rsidRPr="00A57506">
        <w:rPr>
          <w:b/>
          <w:color w:val="000000"/>
          <w:lang w:val="en"/>
        </w:rPr>
        <w:t>lack</w:t>
      </w:r>
      <w:r w:rsidRPr="00A57506">
        <w:rPr>
          <w:color w:val="000000"/>
          <w:lang w:val="en"/>
        </w:rPr>
        <w:t xml:space="preserve"> of state control over the activities of clearing organizations, which creates </w:t>
      </w:r>
      <w:r w:rsidRPr="00A57506">
        <w:rPr>
          <w:color w:val="000000"/>
          <w:lang w:val="en"/>
        </w:rPr>
        <w:lastRenderedPageBreak/>
        <w:t>conditions for the functioning of "unproductive" intermediaries and artificially created monopoly structures;</w:t>
      </w:r>
    </w:p>
    <w:p w14:paraId="3AFF62AE" w14:textId="77777777" w:rsidR="00A57506" w:rsidRPr="00A57506" w:rsidRDefault="00A57506" w:rsidP="00A57506">
      <w:pPr>
        <w:widowControl w:val="0"/>
        <w:shd w:val="clear" w:color="auto" w:fill="FFFFFF"/>
        <w:rPr>
          <w:color w:val="000000"/>
          <w:lang w:val="en-US"/>
        </w:rPr>
      </w:pPr>
      <w:r w:rsidRPr="00A57506">
        <w:rPr>
          <w:color w:val="000000"/>
          <w:lang w:val="en"/>
        </w:rPr>
        <w:t xml:space="preserve">- the </w:t>
      </w:r>
      <w:r w:rsidRPr="00A57506">
        <w:rPr>
          <w:b/>
          <w:color w:val="000000"/>
          <w:lang w:val="en"/>
        </w:rPr>
        <w:t>absence</w:t>
      </w:r>
      <w:r w:rsidRPr="00A57506">
        <w:rPr>
          <w:color w:val="000000"/>
          <w:lang w:val="en"/>
        </w:rPr>
        <w:t xml:space="preserve"> of a single authorized state body ensuring comprehensive and effective state regulation of the exchange trading sphere</w:t>
      </w:r>
      <w:r w:rsidRPr="00A57506">
        <w:rPr>
          <w:i/>
          <w:iCs/>
          <w:color w:val="000000"/>
          <w:sz w:val="24"/>
          <w:szCs w:val="24"/>
          <w:lang w:val="en"/>
        </w:rPr>
        <w:t>.</w:t>
      </w:r>
    </w:p>
    <w:p w14:paraId="7279871F" w14:textId="77777777" w:rsidR="00A57506" w:rsidRPr="00A57506" w:rsidRDefault="00A57506" w:rsidP="00A57506">
      <w:pPr>
        <w:rPr>
          <w:color w:val="000000"/>
          <w:lang w:val="en-US"/>
        </w:rPr>
      </w:pPr>
      <w:r w:rsidRPr="00A57506">
        <w:rPr>
          <w:color w:val="000000"/>
          <w:lang w:val="en"/>
        </w:rPr>
        <w:t xml:space="preserve">The imperfection of the current exchange trading system is </w:t>
      </w:r>
      <w:r w:rsidRPr="00A57506">
        <w:rPr>
          <w:b/>
          <w:color w:val="000000"/>
          <w:lang w:val="en"/>
        </w:rPr>
        <w:t>abused</w:t>
      </w:r>
      <w:r w:rsidRPr="00A57506">
        <w:rPr>
          <w:color w:val="000000"/>
          <w:lang w:val="en"/>
        </w:rPr>
        <w:t xml:space="preserve"> by bad-faith commodity exchanges and traders. These facts were confirmed by the results of </w:t>
      </w:r>
      <w:r w:rsidRPr="00A57506">
        <w:rPr>
          <w:b/>
          <w:color w:val="000000"/>
          <w:lang w:val="en"/>
        </w:rPr>
        <w:t>the audit</w:t>
      </w:r>
      <w:r w:rsidRPr="00A57506">
        <w:rPr>
          <w:color w:val="000000"/>
          <w:lang w:val="en"/>
        </w:rPr>
        <w:t xml:space="preserve"> conducted in 2022 by the Prosecutor's Offices with the involvement of concerned state bodies on the instructions of the Head of State </w:t>
      </w:r>
      <w:r w:rsidRPr="00A57506">
        <w:rPr>
          <w:i/>
          <w:color w:val="000000"/>
          <w:sz w:val="24"/>
          <w:szCs w:val="24"/>
          <w:lang w:val="en"/>
        </w:rPr>
        <w:t xml:space="preserve">(audit of commodity exchanges </w:t>
      </w:r>
      <w:r w:rsidRPr="00A57506">
        <w:rPr>
          <w:b/>
          <w:i/>
          <w:color w:val="000000"/>
          <w:sz w:val="24"/>
          <w:szCs w:val="24"/>
          <w:lang w:val="en"/>
        </w:rPr>
        <w:t>have not been conducted</w:t>
      </w:r>
      <w:r w:rsidRPr="00A57506">
        <w:rPr>
          <w:i/>
          <w:color w:val="000000"/>
          <w:sz w:val="24"/>
          <w:szCs w:val="24"/>
          <w:lang w:val="en"/>
        </w:rPr>
        <w:t xml:space="preserve"> for at least the last 5-7 years, including due to the current moratorium on audit of micro-businesses)</w:t>
      </w:r>
      <w:r w:rsidRPr="00A57506">
        <w:rPr>
          <w:color w:val="000000"/>
          <w:lang w:val="en"/>
        </w:rPr>
        <w:t xml:space="preserve">. </w:t>
      </w:r>
    </w:p>
    <w:p w14:paraId="3B41AF44" w14:textId="77777777" w:rsidR="00A57506" w:rsidRPr="00A57506" w:rsidRDefault="00A57506" w:rsidP="00A57506">
      <w:pPr>
        <w:rPr>
          <w:color w:val="000000"/>
          <w:lang w:val="en-US"/>
        </w:rPr>
      </w:pPr>
      <w:r w:rsidRPr="00A57506">
        <w:rPr>
          <w:color w:val="000000"/>
          <w:lang w:val="en"/>
        </w:rPr>
        <w:t>In addition, violations of the requirements of the laws on commodity exchanges were revealed in the activities of commodity exchanges, expressed in:</w:t>
      </w:r>
    </w:p>
    <w:p w14:paraId="61ED990B" w14:textId="77777777" w:rsidR="00A57506" w:rsidRPr="00A57506" w:rsidRDefault="00A57506" w:rsidP="00A57506">
      <w:pPr>
        <w:widowControl w:val="0"/>
        <w:rPr>
          <w:color w:val="000000"/>
          <w:lang w:val="en-US"/>
        </w:rPr>
      </w:pPr>
      <w:r w:rsidRPr="00A57506">
        <w:rPr>
          <w:color w:val="000000"/>
          <w:lang w:val="en"/>
        </w:rPr>
        <w:t>- violation of the requirements for the re-issuance of licenses;</w:t>
      </w:r>
    </w:p>
    <w:p w14:paraId="731536ED" w14:textId="77777777" w:rsidR="00A57506" w:rsidRPr="00A57506" w:rsidRDefault="00A57506" w:rsidP="00A57506">
      <w:pPr>
        <w:widowControl w:val="0"/>
        <w:rPr>
          <w:color w:val="000000"/>
          <w:lang w:val="en-US"/>
        </w:rPr>
      </w:pPr>
      <w:r w:rsidRPr="00A57506">
        <w:rPr>
          <w:color w:val="000000"/>
          <w:lang w:val="en"/>
        </w:rPr>
        <w:t>- non-compliance with the qualification requirements;</w:t>
      </w:r>
    </w:p>
    <w:p w14:paraId="0FE90C93" w14:textId="77777777" w:rsidR="00A57506" w:rsidRPr="00A57506" w:rsidRDefault="00A57506" w:rsidP="00A57506">
      <w:pPr>
        <w:widowControl w:val="0"/>
        <w:rPr>
          <w:color w:val="000000"/>
          <w:lang w:val="en-US"/>
        </w:rPr>
      </w:pPr>
      <w:r w:rsidRPr="00A57506">
        <w:rPr>
          <w:color w:val="000000"/>
          <w:lang w:val="en"/>
        </w:rPr>
        <w:t>- participation of commodity exchange employees in exchange transactions.</w:t>
      </w:r>
    </w:p>
    <w:p w14:paraId="7A941B38" w14:textId="77777777" w:rsidR="00A57506" w:rsidRPr="00A57506" w:rsidRDefault="00A57506" w:rsidP="00A57506">
      <w:pPr>
        <w:widowControl w:val="0"/>
        <w:rPr>
          <w:color w:val="000000"/>
          <w:lang w:val="en-US"/>
        </w:rPr>
      </w:pPr>
      <w:r w:rsidRPr="00A57506">
        <w:rPr>
          <w:color w:val="000000"/>
          <w:lang w:val="en"/>
        </w:rPr>
        <w:t xml:space="preserve">On these facts, the Agency initiated 19 cases on administrative offences against commodity exchanges with imposition of fines for a total amount of only KZT 2.2 million, while the judicial bodies did not apply an additional measure of administrative penalty in the form of suspension of the license, however, the fact of payment of administrative fines </w:t>
      </w:r>
      <w:r w:rsidRPr="00A57506">
        <w:rPr>
          <w:b/>
          <w:color w:val="000000"/>
          <w:lang w:val="en"/>
        </w:rPr>
        <w:t>does not ensure further actual elimination of violations</w:t>
      </w:r>
      <w:r w:rsidRPr="00A57506">
        <w:rPr>
          <w:color w:val="000000"/>
          <w:lang w:val="en"/>
        </w:rPr>
        <w:t>.</w:t>
      </w:r>
    </w:p>
    <w:p w14:paraId="1EE53FE9" w14:textId="08392623" w:rsidR="00A57506" w:rsidRPr="00A57506" w:rsidRDefault="00A57506" w:rsidP="00A57506">
      <w:pPr>
        <w:widowControl w:val="0"/>
        <w:rPr>
          <w:color w:val="000000"/>
          <w:lang w:val="en-US"/>
        </w:rPr>
      </w:pPr>
      <w:r w:rsidRPr="00A57506">
        <w:rPr>
          <w:color w:val="000000"/>
          <w:lang w:val="en"/>
        </w:rPr>
        <w:t>At the same time, in 2022, 4 commodity exchanges</w:t>
      </w:r>
      <w:r w:rsidRPr="00A57506">
        <w:rPr>
          <w:b/>
          <w:color w:val="000000"/>
          <w:lang w:val="en"/>
        </w:rPr>
        <w:t xml:space="preserve"> before the audit</w:t>
      </w:r>
      <w:r w:rsidRPr="00A57506">
        <w:rPr>
          <w:i/>
          <w:iCs/>
          <w:color w:val="000000"/>
          <w:sz w:val="24"/>
          <w:szCs w:val="24"/>
          <w:lang w:val="en"/>
        </w:rPr>
        <w:t xml:space="preserve"> </w:t>
      </w:r>
      <w:r w:rsidRPr="00A57506">
        <w:rPr>
          <w:color w:val="000000"/>
          <w:lang w:val="en"/>
        </w:rPr>
        <w:t>voluntarily</w:t>
      </w:r>
      <w:r w:rsidRPr="00A57506">
        <w:rPr>
          <w:b/>
          <w:color w:val="000000"/>
          <w:lang w:val="en"/>
        </w:rPr>
        <w:t xml:space="preserve"> returned licenses</w:t>
      </w:r>
      <w:r w:rsidRPr="00A57506">
        <w:rPr>
          <w:color w:val="000000"/>
          <w:lang w:val="en"/>
        </w:rPr>
        <w:t xml:space="preserve"> for the right to engage in commodity exchange activities </w:t>
      </w:r>
      <w:r w:rsidRPr="00A57506">
        <w:rPr>
          <w:i/>
          <w:iCs/>
          <w:color w:val="000000"/>
          <w:sz w:val="24"/>
          <w:szCs w:val="24"/>
          <w:lang w:val="en"/>
        </w:rPr>
        <w:t>(Shygys International Universal Commodity Exchange JSC, Universal Commodity Exchange of Eurasian Cooperation JSC, Silk Way Universal Commodity Exchange JSC and Qazaqstan Universal Commodity Exchange JSC)</w:t>
      </w:r>
      <w:r w:rsidRPr="00A57506">
        <w:rPr>
          <w:color w:val="000000"/>
          <w:lang w:val="en"/>
        </w:rPr>
        <w:t>,</w:t>
      </w:r>
      <w:r w:rsidRPr="00A57506">
        <w:rPr>
          <w:i/>
          <w:iCs/>
          <w:color w:val="000000"/>
          <w:sz w:val="24"/>
          <w:szCs w:val="24"/>
          <w:lang w:val="en"/>
        </w:rPr>
        <w:t xml:space="preserve"> 2 exchanges were </w:t>
      </w:r>
      <w:r w:rsidRPr="00A57506">
        <w:rPr>
          <w:b/>
          <w:color w:val="000000"/>
          <w:lang w:val="en"/>
        </w:rPr>
        <w:t>liquidated</w:t>
      </w:r>
      <w:r w:rsidRPr="00A57506">
        <w:rPr>
          <w:color w:val="000000"/>
          <w:lang w:val="en"/>
        </w:rPr>
        <w:t xml:space="preserve"> by court ruling due to mismatch in the size of authorized capitals</w:t>
      </w:r>
      <w:r w:rsidRPr="00A57506">
        <w:rPr>
          <w:i/>
          <w:iCs/>
          <w:color w:val="000000"/>
          <w:sz w:val="24"/>
          <w:szCs w:val="24"/>
          <w:lang w:val="en"/>
        </w:rPr>
        <w:t xml:space="preserve"> (Asian Commodity Exchange JSC, Green Climate Exchange JSC)</w:t>
      </w:r>
      <w:r w:rsidRPr="00A57506">
        <w:rPr>
          <w:color w:val="000000"/>
          <w:sz w:val="24"/>
          <w:szCs w:val="24"/>
          <w:lang w:val="en"/>
        </w:rPr>
        <w:t>.</w:t>
      </w:r>
    </w:p>
    <w:p w14:paraId="5BD19E31" w14:textId="77777777" w:rsidR="00A57506" w:rsidRPr="00A57506" w:rsidRDefault="00A57506" w:rsidP="00A57506">
      <w:pPr>
        <w:widowControl w:val="0"/>
        <w:rPr>
          <w:iCs/>
          <w:color w:val="000000"/>
          <w:lang w:val="en-US"/>
        </w:rPr>
      </w:pPr>
      <w:r w:rsidRPr="00A57506">
        <w:rPr>
          <w:color w:val="000000"/>
          <w:lang w:val="en"/>
        </w:rPr>
        <w:t xml:space="preserve">On the Agency's initiative, the authorized body in the field of regulation of trading activities sent lawsuits to judicial bodies </w:t>
      </w:r>
      <w:r w:rsidRPr="00A57506">
        <w:rPr>
          <w:b/>
          <w:color w:val="000000"/>
          <w:lang w:val="en"/>
        </w:rPr>
        <w:t>for forced liquidation</w:t>
      </w:r>
      <w:r w:rsidRPr="00A57506">
        <w:rPr>
          <w:color w:val="000000"/>
          <w:lang w:val="en"/>
        </w:rPr>
        <w:t xml:space="preserve"> of 8 commodity exchanges whose activities do not meet the legal requirements </w:t>
      </w:r>
      <w:r w:rsidRPr="00A57506">
        <w:rPr>
          <w:i/>
          <w:iCs/>
          <w:color w:val="000000"/>
          <w:sz w:val="24"/>
          <w:szCs w:val="24"/>
          <w:lang w:val="en"/>
        </w:rPr>
        <w:t>(positive rulings were made on 3 lawsuits, Commodity Exchange of Agricultural Producers, Subsoil Users and State Institutions JSC, Halyk Commodity Exchange JSC, Qazaqstan Universal Commodity Exchange JSC were liquidated)</w:t>
      </w:r>
      <w:r w:rsidRPr="00A57506">
        <w:rPr>
          <w:iCs/>
          <w:color w:val="000000"/>
          <w:kern w:val="24"/>
          <w:sz w:val="24"/>
          <w:szCs w:val="24"/>
          <w:lang w:val="en"/>
        </w:rPr>
        <w:t>.</w:t>
      </w:r>
    </w:p>
    <w:p w14:paraId="13AEA1C2" w14:textId="77777777" w:rsidR="00A57506" w:rsidRPr="00A57506" w:rsidRDefault="00A57506" w:rsidP="00A57506">
      <w:pPr>
        <w:widowControl w:val="0"/>
        <w:rPr>
          <w:color w:val="000000"/>
          <w:lang w:val="en-US"/>
        </w:rPr>
      </w:pPr>
      <w:r w:rsidRPr="00A57506">
        <w:rPr>
          <w:color w:val="000000"/>
          <w:lang w:val="en"/>
        </w:rPr>
        <w:t>The solution to the existing problems is seen in the adoption of a set of measures aimed at ensuring a proper level of state control in the sphere of exchange trading, improving the activities of commodity exchanges and increasing the transparency of trading, including:</w:t>
      </w:r>
    </w:p>
    <w:p w14:paraId="2D804ECB" w14:textId="77777777" w:rsidR="00A57506" w:rsidRPr="00A57506" w:rsidRDefault="00A57506" w:rsidP="00A57506">
      <w:pPr>
        <w:widowControl w:val="0"/>
        <w:rPr>
          <w:color w:val="000000"/>
          <w:lang w:val="en-US"/>
        </w:rPr>
      </w:pPr>
      <w:r w:rsidRPr="00A57506">
        <w:rPr>
          <w:color w:val="000000"/>
          <w:lang w:val="en"/>
        </w:rPr>
        <w:t xml:space="preserve">1) the </w:t>
      </w:r>
      <w:r w:rsidRPr="00A57506">
        <w:rPr>
          <w:b/>
          <w:bCs/>
          <w:color w:val="000000"/>
          <w:lang w:val="en"/>
        </w:rPr>
        <w:t>amendments</w:t>
      </w:r>
      <w:r w:rsidRPr="00A57506">
        <w:rPr>
          <w:color w:val="000000"/>
          <w:lang w:val="en"/>
        </w:rPr>
        <w:t xml:space="preserve"> to the existing laws providing for:</w:t>
      </w:r>
    </w:p>
    <w:p w14:paraId="2E5B87E1" w14:textId="77777777" w:rsidR="00A57506" w:rsidRPr="00A57506" w:rsidRDefault="00A57506" w:rsidP="00A57506">
      <w:pPr>
        <w:widowControl w:val="0"/>
        <w:rPr>
          <w:color w:val="000000"/>
          <w:lang w:val="en-US"/>
        </w:rPr>
      </w:pPr>
      <w:r w:rsidRPr="00A57506">
        <w:rPr>
          <w:color w:val="000000"/>
          <w:lang w:val="en"/>
        </w:rPr>
        <w:t>- the tougher requirements for commodity exchanges and their ETSs;</w:t>
      </w:r>
    </w:p>
    <w:p w14:paraId="08789D2E" w14:textId="77777777" w:rsidR="00A57506" w:rsidRPr="00A57506" w:rsidRDefault="00A57506" w:rsidP="00A57506">
      <w:pPr>
        <w:widowControl w:val="0"/>
        <w:rPr>
          <w:color w:val="000000"/>
          <w:lang w:val="en-US"/>
        </w:rPr>
      </w:pPr>
      <w:r w:rsidRPr="00A57506">
        <w:rPr>
          <w:color w:val="000000"/>
          <w:lang w:val="en"/>
        </w:rPr>
        <w:t>- the removal of commodity exchanges from the category of SMEs;</w:t>
      </w:r>
    </w:p>
    <w:p w14:paraId="1632AA68" w14:textId="77777777" w:rsidR="00A57506" w:rsidRPr="00A57506" w:rsidRDefault="00A57506" w:rsidP="00A57506">
      <w:pPr>
        <w:widowControl w:val="0"/>
        <w:rPr>
          <w:color w:val="000000"/>
          <w:lang w:val="en-US"/>
        </w:rPr>
      </w:pPr>
      <w:r w:rsidRPr="00A57506">
        <w:rPr>
          <w:color w:val="000000"/>
          <w:lang w:val="en"/>
        </w:rPr>
        <w:t>- a ban on the sale of non-standardized goods through commodity exchanges;</w:t>
      </w:r>
    </w:p>
    <w:p w14:paraId="30C01034" w14:textId="77777777" w:rsidR="00A57506" w:rsidRPr="00A57506" w:rsidRDefault="00A57506" w:rsidP="00A57506">
      <w:pPr>
        <w:widowControl w:val="0"/>
        <w:rPr>
          <w:color w:val="000000"/>
          <w:lang w:val="en-US"/>
        </w:rPr>
      </w:pPr>
      <w:r w:rsidRPr="00A57506">
        <w:rPr>
          <w:color w:val="000000"/>
          <w:lang w:val="en"/>
        </w:rPr>
        <w:t>- the exclusion of the procurement method "through commodity exchanges" from the public procurement laws;</w:t>
      </w:r>
    </w:p>
    <w:p w14:paraId="533A6C1D" w14:textId="77777777" w:rsidR="00A57506" w:rsidRPr="00A57506" w:rsidRDefault="00A57506" w:rsidP="00A57506">
      <w:pPr>
        <w:widowControl w:val="0"/>
        <w:rPr>
          <w:color w:val="000000"/>
          <w:lang w:val="en-US"/>
        </w:rPr>
      </w:pPr>
      <w:r w:rsidRPr="00A57506">
        <w:rPr>
          <w:color w:val="000000"/>
          <w:lang w:val="en"/>
        </w:rPr>
        <w:t>- the extension of state control to the integral participants of exchange trading - exchange brokers and clearing organizations;</w:t>
      </w:r>
    </w:p>
    <w:p w14:paraId="03526A7B" w14:textId="77777777" w:rsidR="00A57506" w:rsidRPr="00A57506" w:rsidRDefault="00A57506" w:rsidP="00A57506">
      <w:pPr>
        <w:widowControl w:val="0"/>
        <w:rPr>
          <w:color w:val="000000"/>
          <w:lang w:val="en-US"/>
        </w:rPr>
      </w:pPr>
      <w:r w:rsidRPr="00A57506">
        <w:rPr>
          <w:color w:val="000000"/>
          <w:lang w:val="en"/>
        </w:rPr>
        <w:lastRenderedPageBreak/>
        <w:t>- increased administrative liability for violation of the Commodity Exchanges Act, etc.;</w:t>
      </w:r>
    </w:p>
    <w:p w14:paraId="0BCBB146" w14:textId="77777777" w:rsidR="00A57506" w:rsidRPr="00A57506" w:rsidRDefault="00A57506" w:rsidP="00A57506">
      <w:pPr>
        <w:widowControl w:val="0"/>
        <w:rPr>
          <w:color w:val="000000"/>
          <w:lang w:val="en-US"/>
        </w:rPr>
      </w:pPr>
      <w:r w:rsidRPr="00A57506">
        <w:rPr>
          <w:color w:val="000000"/>
          <w:lang w:val="en"/>
        </w:rPr>
        <w:t xml:space="preserve">2) the definition of </w:t>
      </w:r>
      <w:r w:rsidRPr="00A57506">
        <w:rPr>
          <w:b/>
          <w:color w:val="000000"/>
          <w:lang w:val="en"/>
        </w:rPr>
        <w:t>a single regulator</w:t>
      </w:r>
      <w:r w:rsidRPr="00A57506">
        <w:rPr>
          <w:color w:val="000000"/>
          <w:lang w:val="en"/>
        </w:rPr>
        <w:t xml:space="preserve"> in the sphere of exchange trading represented by the Agency, since one of its main functions is the development and protection of competition </w:t>
      </w:r>
      <w:r w:rsidRPr="00A57506">
        <w:rPr>
          <w:i/>
          <w:iCs/>
          <w:color w:val="000000"/>
          <w:sz w:val="24"/>
          <w:szCs w:val="24"/>
          <w:lang w:val="en"/>
        </w:rPr>
        <w:t>(it has an independent structural subdivision of 5 units, territorial subdivisions)</w:t>
      </w:r>
      <w:r w:rsidRPr="00A57506">
        <w:rPr>
          <w:color w:val="000000"/>
          <w:lang w:val="en"/>
        </w:rPr>
        <w:t>, which is confirmed by the actual results in this area.</w:t>
      </w:r>
    </w:p>
    <w:p w14:paraId="205C93F0" w14:textId="77777777" w:rsidR="00A57506" w:rsidRPr="00A57506" w:rsidRDefault="00A57506" w:rsidP="00A57506">
      <w:pPr>
        <w:widowControl w:val="0"/>
        <w:rPr>
          <w:i/>
          <w:iCs/>
          <w:color w:val="000000"/>
          <w:sz w:val="24"/>
          <w:szCs w:val="24"/>
          <w:lang w:val="en-US"/>
        </w:rPr>
      </w:pPr>
      <w:r w:rsidRPr="00A57506">
        <w:rPr>
          <w:b/>
          <w:i/>
          <w:iCs/>
          <w:color w:val="000000"/>
          <w:sz w:val="24"/>
          <w:szCs w:val="24"/>
          <w:lang w:val="en"/>
        </w:rPr>
        <w:t>For reference</w:t>
      </w:r>
      <w:r w:rsidRPr="00A57506">
        <w:rPr>
          <w:i/>
          <w:iCs/>
          <w:color w:val="000000"/>
          <w:sz w:val="24"/>
          <w:szCs w:val="24"/>
          <w:lang w:val="en"/>
        </w:rPr>
        <w:t>: Since the establishment of the Agency, transparent exchange trading in oil products (gasoline, diesel fuel, jet fuel) and bitumen has been launched. Direct trading of utility coal directly from coal mines, in small batches to regional operators bypassing intermediaries have been launched, business games have been organized and held on these markets using new approaches to trading, market players have been trained to freely enter exchange trading, sectional rules were developed, taking into account the features and specifics of each market (which formed the basis of the Rules of Exchange Trading), and direct access to electronic trading systems of commodity exchanges have been provided. Under the National Project, the development of exchange trading is included as a tool to ensure access to "essential facilities" and eliminate distorted pricing</w:t>
      </w:r>
      <w:r w:rsidRPr="00A57506">
        <w:rPr>
          <w:color w:val="000000"/>
          <w:lang w:val="en"/>
        </w:rPr>
        <w:t xml:space="preserve">. </w:t>
      </w:r>
      <w:r w:rsidRPr="00A57506">
        <w:rPr>
          <w:i/>
          <w:iCs/>
          <w:color w:val="000000"/>
          <w:sz w:val="24"/>
          <w:szCs w:val="24"/>
          <w:lang w:val="en"/>
        </w:rPr>
        <w:t>A number of roadmaps for the development of competition in the relevant industries have been developed, which include measures concerning priority provision of rolling stock for the transportation of coal purchased by regional operators at the commodity exchange, development of sectional rules for exchange trading in sugar, amendments to the List of Exchange Commodities in terms of implementation of exchange trading in sugar, etc.</w:t>
      </w:r>
    </w:p>
    <w:p w14:paraId="1AA42FED" w14:textId="77777777" w:rsidR="00A57506" w:rsidRPr="00A57506" w:rsidRDefault="00A57506" w:rsidP="00A57506">
      <w:pPr>
        <w:widowControl w:val="0"/>
        <w:rPr>
          <w:color w:val="000000"/>
          <w:lang w:val="en-US"/>
        </w:rPr>
      </w:pPr>
      <w:r w:rsidRPr="00A57506">
        <w:rPr>
          <w:color w:val="000000"/>
          <w:lang w:val="en"/>
        </w:rPr>
        <w:t>According to the Agency's estimates, the implementation of these measures will create a healthy competitive environment and contribute to the development of import substitution processes and the development of regional entrepreneurship.</w:t>
      </w:r>
    </w:p>
    <w:p w14:paraId="27CF6836" w14:textId="77777777" w:rsidR="00A57506" w:rsidRPr="00A57506" w:rsidRDefault="00A57506" w:rsidP="00A57506">
      <w:pPr>
        <w:keepNext/>
        <w:keepLines/>
        <w:numPr>
          <w:ilvl w:val="0"/>
          <w:numId w:val="6"/>
        </w:numPr>
        <w:tabs>
          <w:tab w:val="left" w:pos="1134"/>
        </w:tabs>
        <w:spacing w:before="240" w:after="240"/>
        <w:ind w:left="0" w:firstLine="567"/>
        <w:outlineLvl w:val="1"/>
        <w:rPr>
          <w:b/>
          <w:bCs/>
          <w:color w:val="000000"/>
        </w:rPr>
      </w:pPr>
      <w:bookmarkStart w:id="27" w:name="_Toc71897812"/>
      <w:bookmarkStart w:id="28" w:name="_Toc137900826"/>
      <w:bookmarkStart w:id="29" w:name="_Toc142467903"/>
      <w:r w:rsidRPr="00A57506">
        <w:rPr>
          <w:b/>
          <w:bCs/>
          <w:color w:val="000000"/>
          <w:lang w:val="en"/>
        </w:rPr>
        <w:t>International cooperation</w:t>
      </w:r>
      <w:bookmarkEnd w:id="27"/>
      <w:bookmarkEnd w:id="28"/>
      <w:bookmarkEnd w:id="29"/>
    </w:p>
    <w:p w14:paraId="5ADD97ED" w14:textId="7640E674" w:rsidR="00A57506" w:rsidRPr="00A57506" w:rsidRDefault="00A57506" w:rsidP="00A57506">
      <w:pPr>
        <w:rPr>
          <w:color w:val="000000"/>
          <w:lang w:val="en-US"/>
        </w:rPr>
      </w:pPr>
      <w:r w:rsidRPr="00A57506">
        <w:rPr>
          <w:color w:val="000000"/>
          <w:lang w:val="en"/>
        </w:rPr>
        <w:t xml:space="preserve">The Agency is working to strengthen international cooperation with foreign </w:t>
      </w:r>
      <w:r>
        <w:rPr>
          <w:color w:val="000000"/>
          <w:lang w:val="en"/>
        </w:rPr>
        <w:t>Antimonopoly Authorities</w:t>
      </w:r>
      <w:r w:rsidRPr="00A57506">
        <w:rPr>
          <w:color w:val="000000"/>
          <w:lang w:val="en"/>
        </w:rPr>
        <w:t>, both within the framework of international integration associations and on a bilateral basis.</w:t>
      </w:r>
    </w:p>
    <w:p w14:paraId="021A390E" w14:textId="77777777" w:rsidR="00A57506" w:rsidRPr="00A57506" w:rsidRDefault="00A57506" w:rsidP="00A57506">
      <w:pPr>
        <w:spacing w:before="120"/>
        <w:rPr>
          <w:b/>
          <w:i/>
          <w:color w:val="000000"/>
          <w:lang w:val="en-US"/>
        </w:rPr>
      </w:pPr>
      <w:r w:rsidRPr="00A57506">
        <w:rPr>
          <w:b/>
          <w:i/>
          <w:color w:val="000000"/>
          <w:lang w:val="en"/>
        </w:rPr>
        <w:t xml:space="preserve">Interaction with OECD </w:t>
      </w:r>
    </w:p>
    <w:p w14:paraId="430B70B4" w14:textId="77777777" w:rsidR="00A57506" w:rsidRPr="00A57506" w:rsidRDefault="00A57506" w:rsidP="00A57506">
      <w:pPr>
        <w:rPr>
          <w:lang w:val="en-US"/>
        </w:rPr>
      </w:pPr>
      <w:r w:rsidRPr="00A57506">
        <w:rPr>
          <w:lang w:val="en"/>
        </w:rPr>
        <w:t>The Agency is preparing</w:t>
      </w:r>
      <w:bookmarkStart w:id="30" w:name="_Hlk135668435"/>
      <w:r w:rsidRPr="00A57506">
        <w:rPr>
          <w:lang w:val="en"/>
        </w:rPr>
        <w:t xml:space="preserve"> for </w:t>
      </w:r>
      <w:r w:rsidRPr="00A57506">
        <w:rPr>
          <w:b/>
          <w:lang w:val="en"/>
        </w:rPr>
        <w:t>the Second OECD Expert Review</w:t>
      </w:r>
      <w:r w:rsidRPr="00A57506">
        <w:rPr>
          <w:lang w:val="en"/>
        </w:rPr>
        <w:t xml:space="preserve"> "Competition Law and Policy in Kazakhstan": it is planned to sign an agreement with the OECD on the Second Review</w:t>
      </w:r>
      <w:bookmarkEnd w:id="30"/>
      <w:r w:rsidRPr="00A57506">
        <w:rPr>
          <w:lang w:val="en"/>
        </w:rPr>
        <w:t xml:space="preserve">. The purpose of the Second Review is to obtain OECD experts' recommendations </w:t>
      </w:r>
      <w:r w:rsidRPr="00A57506">
        <w:rPr>
          <w:b/>
          <w:lang w:val="en"/>
        </w:rPr>
        <w:t>for improving the competition policy system</w:t>
      </w:r>
      <w:r w:rsidRPr="00A57506">
        <w:rPr>
          <w:lang w:val="en"/>
        </w:rPr>
        <w:t xml:space="preserve"> based on the analysis of the existing competition law of the Republic of Kazakhstan </w:t>
      </w:r>
      <w:r w:rsidRPr="00A57506">
        <w:rPr>
          <w:i/>
          <w:sz w:val="24"/>
          <w:lang w:val="en"/>
        </w:rPr>
        <w:t>(identifying advantages and disadvantages)</w:t>
      </w:r>
      <w:r w:rsidRPr="00A57506">
        <w:rPr>
          <w:lang w:val="en"/>
        </w:rPr>
        <w:t xml:space="preserve"> and the experience of other countries. The recommendations will provide a useful basis for revising laws, changing procedures and strengthening institutions in the country. </w:t>
      </w:r>
    </w:p>
    <w:p w14:paraId="28EF8016" w14:textId="77777777" w:rsidR="00A57506" w:rsidRPr="00A57506" w:rsidRDefault="00A57506" w:rsidP="00A57506">
      <w:pPr>
        <w:rPr>
          <w:lang w:val="en-US"/>
        </w:rPr>
      </w:pPr>
      <w:r w:rsidRPr="00A57506">
        <w:rPr>
          <w:lang w:val="en"/>
        </w:rPr>
        <w:t xml:space="preserve">The review is also useful for documenting the country's progress since the first OECD review. The first expert review was conducted in Kazakhstan in 2015, and its results served as a basis for a radical reformatting of the work of the antitrust service and the system of antitrust regulation of the economy as a whole. </w:t>
      </w:r>
    </w:p>
    <w:p w14:paraId="07119C8B" w14:textId="77777777" w:rsidR="00A57506" w:rsidRPr="00A57506" w:rsidRDefault="00A57506" w:rsidP="00A57506">
      <w:pPr>
        <w:spacing w:before="120"/>
        <w:rPr>
          <w:b/>
          <w:i/>
          <w:color w:val="000000"/>
          <w:lang w:val="en-US"/>
        </w:rPr>
      </w:pPr>
      <w:r w:rsidRPr="00A57506">
        <w:rPr>
          <w:b/>
          <w:i/>
          <w:color w:val="000000"/>
          <w:lang w:val="en"/>
        </w:rPr>
        <w:t xml:space="preserve">Interaction in the context of cooperation with the EAEU and the CIS </w:t>
      </w:r>
    </w:p>
    <w:p w14:paraId="49AF3E16" w14:textId="531C2108" w:rsidR="00A57506" w:rsidRPr="00A57506" w:rsidRDefault="00A57506" w:rsidP="00A57506">
      <w:pPr>
        <w:rPr>
          <w:color w:val="000000"/>
          <w:lang w:val="en-US"/>
        </w:rPr>
      </w:pPr>
      <w:r w:rsidRPr="00A57506">
        <w:rPr>
          <w:color w:val="000000"/>
          <w:lang w:val="en"/>
        </w:rPr>
        <w:t xml:space="preserve">On 25 May and 6 September 2022, the Agency participated in the meetings of the Eurasian Economic Commission </w:t>
      </w:r>
      <w:r w:rsidRPr="00A57506">
        <w:rPr>
          <w:i/>
          <w:color w:val="000000"/>
          <w:sz w:val="24"/>
          <w:lang w:val="en"/>
        </w:rPr>
        <w:t>(hereinafter referred to as the EEC) (in the "5+1" format)</w:t>
      </w:r>
      <w:r w:rsidRPr="00A57506">
        <w:rPr>
          <w:color w:val="000000"/>
          <w:lang w:val="en"/>
        </w:rPr>
        <w:t xml:space="preserve"> </w:t>
      </w:r>
      <w:r w:rsidRPr="00A57506">
        <w:rPr>
          <w:color w:val="000000"/>
          <w:lang w:val="en"/>
        </w:rPr>
        <w:lastRenderedPageBreak/>
        <w:t xml:space="preserve">together with the heads of </w:t>
      </w:r>
      <w:r>
        <w:rPr>
          <w:color w:val="000000"/>
          <w:lang w:val="en"/>
        </w:rPr>
        <w:t>Antimonopoly Authorities</w:t>
      </w:r>
      <w:r w:rsidRPr="00A57506">
        <w:rPr>
          <w:color w:val="000000"/>
          <w:lang w:val="en"/>
        </w:rPr>
        <w:t xml:space="preserve"> of the EAEU member states and a member of the Board </w:t>
      </w:r>
      <w:r w:rsidRPr="00A57506">
        <w:rPr>
          <w:i/>
          <w:color w:val="000000"/>
          <w:sz w:val="24"/>
          <w:lang w:val="en"/>
        </w:rPr>
        <w:t>(Minister)</w:t>
      </w:r>
      <w:r w:rsidRPr="00A57506">
        <w:rPr>
          <w:color w:val="000000"/>
          <w:lang w:val="en"/>
        </w:rPr>
        <w:t xml:space="preserve"> for Competition and Antitrust Regulation. On this platform, the parties discussed </w:t>
      </w:r>
      <w:r w:rsidRPr="00A57506">
        <w:rPr>
          <w:lang w:val="en"/>
        </w:rPr>
        <w:t>the issues of participation of the authorized bodies</w:t>
      </w:r>
      <w:r w:rsidRPr="00A57506">
        <w:rPr>
          <w:color w:val="000000"/>
          <w:lang w:val="en"/>
        </w:rPr>
        <w:t xml:space="preserve"> of the EAEU member states in the implementation of a list of measures to improve the regulatory legal framework and methodological foundations in the field of competition protection, both the national law of the EAEU member states and the EAEU law on antitrust regulation, as well as state regulation of prices for socially important goods. </w:t>
      </w:r>
    </w:p>
    <w:p w14:paraId="62EDB7AB" w14:textId="77777777" w:rsidR="00A57506" w:rsidRPr="00A57506" w:rsidRDefault="00A57506" w:rsidP="00A57506">
      <w:pPr>
        <w:rPr>
          <w:rFonts w:eastAsia="Calibri"/>
          <w:color w:val="000000"/>
          <w:lang w:val="en-US"/>
        </w:rPr>
      </w:pPr>
      <w:r w:rsidRPr="00A57506">
        <w:rPr>
          <w:rFonts w:eastAsia="Calibri"/>
          <w:color w:val="000000"/>
          <w:lang w:val="en"/>
        </w:rPr>
        <w:t xml:space="preserve">The Agency has also developed </w:t>
      </w:r>
      <w:r w:rsidRPr="00A57506">
        <w:rPr>
          <w:rFonts w:eastAsia="Calibri"/>
          <w:b/>
          <w:color w:val="000000"/>
          <w:lang w:val="en"/>
        </w:rPr>
        <w:t>amendments to the Agreement</w:t>
      </w:r>
      <w:r w:rsidRPr="00A57506">
        <w:rPr>
          <w:rFonts w:eastAsia="Calibri"/>
          <w:color w:val="000000"/>
          <w:lang w:val="en"/>
        </w:rPr>
        <w:t xml:space="preserve"> on the Procedure for the Protection of Confidential Information and Responsibility for its Disclosure in the Exercise by the EEC of its Powers to Control Compliance with Uniform Competition Rules dated 12 November 2014 </w:t>
      </w:r>
      <w:r w:rsidRPr="00A57506">
        <w:rPr>
          <w:rFonts w:eastAsia="Calibri"/>
          <w:i/>
          <w:color w:val="000000"/>
          <w:sz w:val="24"/>
          <w:lang w:val="en"/>
        </w:rPr>
        <w:t>(hereinafter referred to as the Agreement)</w:t>
      </w:r>
      <w:r w:rsidRPr="00A57506">
        <w:rPr>
          <w:rFonts w:eastAsia="Calibri"/>
          <w:color w:val="000000"/>
          <w:lang w:val="en"/>
        </w:rPr>
        <w:t>. On 16 March 2022, the Law on Ratification of the Protocol on Amendments to the Agreement was signed by the Head of State. The ratified Protocol is aimed at bringing the text of the Agreement in line with the provisions of the Treaty on the EAEU.</w:t>
      </w:r>
    </w:p>
    <w:p w14:paraId="54AC079E" w14:textId="4B5041A8" w:rsidR="00A57506" w:rsidRPr="00A57506" w:rsidRDefault="00A57506" w:rsidP="00A57506">
      <w:pPr>
        <w:tabs>
          <w:tab w:val="left" w:pos="993"/>
        </w:tabs>
        <w:rPr>
          <w:bCs/>
          <w:iCs/>
          <w:lang w:val="en-US"/>
        </w:rPr>
      </w:pPr>
      <w:r w:rsidRPr="00A57506">
        <w:rPr>
          <w:rFonts w:eastAsia="Calibri"/>
          <w:color w:val="000000"/>
          <w:lang w:val="en"/>
        </w:rPr>
        <w:t xml:space="preserve">In 2022, </w:t>
      </w:r>
      <w:r w:rsidRPr="00A57506">
        <w:rPr>
          <w:bCs/>
          <w:iCs/>
          <w:lang w:val="en"/>
        </w:rPr>
        <w:t>the Agency participated in the 53rd meeting</w:t>
      </w:r>
      <w:r w:rsidRPr="00A57506">
        <w:rPr>
          <w:rFonts w:eastAsia="Calibri"/>
          <w:color w:val="000000"/>
          <w:lang w:val="en"/>
        </w:rPr>
        <w:t xml:space="preserve"> of </w:t>
      </w:r>
      <w:r w:rsidRPr="00A57506">
        <w:rPr>
          <w:rFonts w:eastAsia="Calibri"/>
          <w:b/>
          <w:color w:val="000000"/>
          <w:lang w:val="en"/>
        </w:rPr>
        <w:t>the Interstate Council</w:t>
      </w:r>
      <w:r w:rsidRPr="00A57506">
        <w:rPr>
          <w:rFonts w:eastAsia="Calibri"/>
          <w:color w:val="000000"/>
          <w:lang w:val="en"/>
        </w:rPr>
        <w:t xml:space="preserve"> on Antitrust Policy of the CIS Member States </w:t>
      </w:r>
      <w:r w:rsidRPr="00A57506">
        <w:rPr>
          <w:rFonts w:eastAsia="Calibri"/>
          <w:i/>
          <w:color w:val="000000"/>
          <w:sz w:val="24"/>
          <w:lang w:val="en"/>
        </w:rPr>
        <w:t>(hereinafter referred to as the ICAP)</w:t>
      </w:r>
      <w:r w:rsidRPr="00A57506">
        <w:rPr>
          <w:rFonts w:eastAsia="Calibri"/>
          <w:color w:val="000000"/>
          <w:lang w:val="en"/>
        </w:rPr>
        <w:t xml:space="preserve"> </w:t>
      </w:r>
      <w:r w:rsidRPr="00A57506">
        <w:rPr>
          <w:bCs/>
          <w:iCs/>
          <w:lang w:val="en"/>
        </w:rPr>
        <w:t>and</w:t>
      </w:r>
      <w:r w:rsidRPr="00A57506">
        <w:rPr>
          <w:rFonts w:eastAsia="Calibri"/>
          <w:color w:val="000000"/>
          <w:lang w:val="en"/>
        </w:rPr>
        <w:t xml:space="preserve"> </w:t>
      </w:r>
      <w:r w:rsidRPr="00A57506">
        <w:rPr>
          <w:b/>
          <w:bCs/>
          <w:iCs/>
          <w:lang w:val="en"/>
        </w:rPr>
        <w:t>the Headquarters</w:t>
      </w:r>
      <w:r w:rsidRPr="00A57506">
        <w:rPr>
          <w:rFonts w:eastAsia="Calibri"/>
          <w:color w:val="000000"/>
          <w:lang w:val="en"/>
        </w:rPr>
        <w:t xml:space="preserve"> for Joint Investigations of Violations of </w:t>
      </w:r>
      <w:r>
        <w:rPr>
          <w:rFonts w:eastAsia="Calibri"/>
          <w:color w:val="000000"/>
          <w:lang w:val="en"/>
        </w:rPr>
        <w:t xml:space="preserve">Antimonopoly regulation </w:t>
      </w:r>
      <w:r w:rsidRPr="00A57506">
        <w:rPr>
          <w:rFonts w:eastAsia="Calibri"/>
          <w:color w:val="000000"/>
          <w:lang w:val="en"/>
        </w:rPr>
        <w:t>s of the CIS Member States</w:t>
      </w:r>
      <w:r w:rsidRPr="00A57506">
        <w:rPr>
          <w:bCs/>
          <w:iCs/>
          <w:lang w:val="en"/>
        </w:rPr>
        <w:t>.</w:t>
      </w:r>
    </w:p>
    <w:p w14:paraId="66AD12D6" w14:textId="77777777" w:rsidR="00A57506" w:rsidRPr="00A57506" w:rsidRDefault="00A57506" w:rsidP="00A57506">
      <w:pPr>
        <w:tabs>
          <w:tab w:val="left" w:pos="993"/>
        </w:tabs>
        <w:rPr>
          <w:lang w:val="en-US"/>
        </w:rPr>
      </w:pPr>
      <w:r w:rsidRPr="00A57506">
        <w:rPr>
          <w:bCs/>
          <w:iCs/>
          <w:lang w:val="en"/>
        </w:rPr>
        <w:t>The parties discussed the issues of competition development in the digital era, tools of antitrust and price regulation in modern conditions, as well as</w:t>
      </w:r>
      <w:r w:rsidRPr="00A57506">
        <w:rPr>
          <w:rFonts w:eastAsia="Calibri"/>
          <w:bCs/>
          <w:color w:val="000000"/>
          <w:lang w:val="en"/>
        </w:rPr>
        <w:t xml:space="preserve"> the need to conduct research on the markets of medicines and socially important goods in the CIS. </w:t>
      </w:r>
      <w:r w:rsidRPr="00A57506">
        <w:rPr>
          <w:bCs/>
          <w:iCs/>
          <w:lang w:val="en"/>
        </w:rPr>
        <w:t xml:space="preserve">As part of the Headquarters' activities, research was initiated in the CIS countries on unfair competition, </w:t>
      </w:r>
      <w:r w:rsidRPr="00A57506">
        <w:rPr>
          <w:rFonts w:eastAsia="Calibri"/>
          <w:bCs/>
          <w:color w:val="000000"/>
          <w:lang w:val="en"/>
        </w:rPr>
        <w:t>application of competition law to intellectual property objects</w:t>
      </w:r>
      <w:r w:rsidRPr="00A57506">
        <w:rPr>
          <w:bCs/>
          <w:iCs/>
          <w:lang w:val="en"/>
        </w:rPr>
        <w:t xml:space="preserve">. </w:t>
      </w:r>
    </w:p>
    <w:p w14:paraId="18B87ECD" w14:textId="77777777" w:rsidR="00A57506" w:rsidRPr="00A57506" w:rsidRDefault="00A57506" w:rsidP="00A57506">
      <w:pPr>
        <w:pBdr>
          <w:bottom w:val="single" w:sz="4" w:space="1" w:color="FFFFFF"/>
        </w:pBdr>
        <w:contextualSpacing/>
        <w:rPr>
          <w:lang w:val="en-US"/>
        </w:rPr>
      </w:pPr>
      <w:r w:rsidRPr="00A57506">
        <w:rPr>
          <w:rFonts w:eastAsia="Calibri"/>
          <w:bCs/>
          <w:color w:val="000000"/>
          <w:lang w:val="en"/>
        </w:rPr>
        <w:t>The work within the framework of the ICAP allows to develop</w:t>
      </w:r>
      <w:r w:rsidRPr="00A57506">
        <w:rPr>
          <w:lang w:val="en"/>
        </w:rPr>
        <w:t xml:space="preserve"> common approaches to the harmonize competition law, improve law enforcement practice, and exchange experience in combating anti-competitive practices.</w:t>
      </w:r>
    </w:p>
    <w:p w14:paraId="78E536E4" w14:textId="77777777" w:rsidR="00A57506" w:rsidRPr="00A57506" w:rsidRDefault="00A57506" w:rsidP="00A57506">
      <w:pPr>
        <w:keepNext/>
        <w:keepLines/>
        <w:numPr>
          <w:ilvl w:val="0"/>
          <w:numId w:val="6"/>
        </w:numPr>
        <w:tabs>
          <w:tab w:val="left" w:pos="1134"/>
        </w:tabs>
        <w:spacing w:before="240" w:after="240"/>
        <w:ind w:left="0" w:firstLine="567"/>
        <w:outlineLvl w:val="1"/>
        <w:rPr>
          <w:b/>
          <w:bCs/>
          <w:color w:val="000000"/>
        </w:rPr>
      </w:pPr>
      <w:bookmarkStart w:id="31" w:name="_Toc137900827"/>
      <w:bookmarkStart w:id="32" w:name="_Toc142467904"/>
      <w:r w:rsidRPr="00A57506">
        <w:rPr>
          <w:b/>
          <w:bCs/>
          <w:color w:val="000000"/>
          <w:lang w:val="en"/>
        </w:rPr>
        <w:t>Implementing operational measures</w:t>
      </w:r>
      <w:bookmarkEnd w:id="31"/>
      <w:bookmarkEnd w:id="32"/>
    </w:p>
    <w:p w14:paraId="0C77C06B" w14:textId="570532D8" w:rsidR="00A57506" w:rsidRPr="00A57506" w:rsidRDefault="00A57506" w:rsidP="00A57506">
      <w:pPr>
        <w:rPr>
          <w:color w:val="000000"/>
          <w:lang w:val="en-US"/>
        </w:rPr>
      </w:pPr>
      <w:r w:rsidRPr="00A57506">
        <w:rPr>
          <w:color w:val="000000"/>
          <w:lang w:val="en"/>
        </w:rPr>
        <w:t xml:space="preserve">Important from the point of view of the effective implementation of competition policy is the implementation of a number of operational measures, on which the overall quality of the work of the </w:t>
      </w:r>
      <w:r>
        <w:rPr>
          <w:color w:val="000000"/>
          <w:lang w:val="en"/>
        </w:rPr>
        <w:t>Antimonopoly Authority</w:t>
      </w:r>
      <w:r w:rsidRPr="00A57506">
        <w:rPr>
          <w:color w:val="000000"/>
          <w:lang w:val="en"/>
        </w:rPr>
        <w:t xml:space="preserve"> depends.</w:t>
      </w:r>
    </w:p>
    <w:p w14:paraId="691D7873" w14:textId="2894F0B6" w:rsidR="00A57506" w:rsidRPr="00A57506" w:rsidRDefault="00A57506" w:rsidP="00A57506">
      <w:pPr>
        <w:spacing w:before="120"/>
        <w:rPr>
          <w:b/>
          <w:i/>
          <w:color w:val="000000"/>
          <w:lang w:val="en-US"/>
        </w:rPr>
      </w:pPr>
      <w:r w:rsidRPr="00A57506">
        <w:rPr>
          <w:b/>
          <w:i/>
          <w:color w:val="000000"/>
          <w:lang w:val="en"/>
        </w:rPr>
        <w:t xml:space="preserve">Digitalization of the </w:t>
      </w:r>
      <w:r>
        <w:rPr>
          <w:b/>
          <w:i/>
          <w:color w:val="000000"/>
          <w:lang w:val="en"/>
        </w:rPr>
        <w:t>Antimonopoly Authority</w:t>
      </w:r>
      <w:r w:rsidRPr="00A57506">
        <w:rPr>
          <w:b/>
          <w:i/>
          <w:color w:val="000000"/>
          <w:lang w:val="en"/>
        </w:rPr>
        <w:t>'s activities</w:t>
      </w:r>
    </w:p>
    <w:p w14:paraId="2AA2BABB" w14:textId="77777777" w:rsidR="00A57506" w:rsidRPr="00A57506" w:rsidRDefault="00A57506" w:rsidP="00A57506">
      <w:pPr>
        <w:rPr>
          <w:color w:val="000000"/>
          <w:lang w:val="en-US"/>
        </w:rPr>
      </w:pPr>
      <w:r w:rsidRPr="00A57506">
        <w:rPr>
          <w:color w:val="000000"/>
          <w:lang w:val="en"/>
        </w:rPr>
        <w:t xml:space="preserve">An important area of focus here, taking into account leading international practices, is the development of new approaches to </w:t>
      </w:r>
      <w:r w:rsidRPr="00A57506">
        <w:rPr>
          <w:b/>
          <w:color w:val="000000"/>
          <w:lang w:val="en"/>
        </w:rPr>
        <w:t>the digitalization of the Agency's activities</w:t>
      </w:r>
      <w:r w:rsidRPr="00A57506">
        <w:rPr>
          <w:color w:val="000000"/>
          <w:lang w:val="en"/>
        </w:rPr>
        <w:t>.</w:t>
      </w:r>
    </w:p>
    <w:p w14:paraId="3FE26170" w14:textId="4CEFD929" w:rsidR="00A57506" w:rsidRPr="00A57506" w:rsidRDefault="00A57506" w:rsidP="00A57506">
      <w:pPr>
        <w:rPr>
          <w:color w:val="000000"/>
          <w:lang w:val="en-US"/>
        </w:rPr>
      </w:pPr>
      <w:r w:rsidRPr="00A57506">
        <w:rPr>
          <w:color w:val="000000"/>
          <w:lang w:val="en"/>
        </w:rPr>
        <w:t xml:space="preserve">Thus, one of the main tasks of the </w:t>
      </w:r>
      <w:r>
        <w:rPr>
          <w:color w:val="000000"/>
          <w:lang w:val="en"/>
        </w:rPr>
        <w:t>Antimonopoly Authority</w:t>
      </w:r>
      <w:r w:rsidRPr="00A57506">
        <w:rPr>
          <w:color w:val="000000"/>
          <w:lang w:val="en"/>
        </w:rPr>
        <w:t xml:space="preserve"> is to prevent, detect and investigate, suppress violations of the competition law. At the same time, the Agency's fundamental tool in the implementation of this task is the collection of necessary information and evidence to confirm or refute the violation.</w:t>
      </w:r>
    </w:p>
    <w:p w14:paraId="6AC0E6CB" w14:textId="281284E6" w:rsidR="00A57506" w:rsidRPr="00A57506" w:rsidRDefault="00A57506" w:rsidP="00A57506">
      <w:pPr>
        <w:rPr>
          <w:color w:val="000000"/>
          <w:lang w:val="en-US"/>
        </w:rPr>
      </w:pPr>
      <w:r w:rsidRPr="00A57506">
        <w:rPr>
          <w:color w:val="000000"/>
          <w:lang w:val="en"/>
        </w:rPr>
        <w:t xml:space="preserve">In practice, analyses conducted under the old scheme have a number of disadvantages related to the lengthy procedure of information retrieval </w:t>
      </w:r>
      <w:r w:rsidRPr="00A57506">
        <w:rPr>
          <w:i/>
          <w:color w:val="000000"/>
          <w:sz w:val="24"/>
          <w:lang w:val="en"/>
        </w:rPr>
        <w:t>(sending and processing of numerous requests to market players, competent authorities, etc.)</w:t>
      </w:r>
      <w:r w:rsidRPr="00A57506">
        <w:rPr>
          <w:color w:val="000000"/>
          <w:lang w:val="en"/>
        </w:rPr>
        <w:t xml:space="preserve">, drawing </w:t>
      </w:r>
      <w:r w:rsidRPr="00A57506">
        <w:rPr>
          <w:color w:val="000000"/>
          <w:lang w:val="en"/>
        </w:rPr>
        <w:lastRenderedPageBreak/>
        <w:t xml:space="preserve">conclusions and, as a result, making decisions ex post facto, when the effect of such actions lose their relevance </w:t>
      </w:r>
      <w:r w:rsidRPr="00A57506">
        <w:rPr>
          <w:i/>
          <w:color w:val="000000"/>
          <w:sz w:val="24"/>
          <w:lang w:val="en"/>
        </w:rPr>
        <w:t>(individual cases take 2-3 years)</w:t>
      </w:r>
      <w:r w:rsidRPr="00A57506">
        <w:rPr>
          <w:color w:val="000000"/>
          <w:lang w:val="en"/>
        </w:rPr>
        <w:t xml:space="preserve">. Today, the </w:t>
      </w:r>
      <w:r>
        <w:rPr>
          <w:color w:val="000000"/>
          <w:lang w:val="en"/>
        </w:rPr>
        <w:t>Antimonopoly Authority</w:t>
      </w:r>
      <w:r w:rsidRPr="00A57506">
        <w:rPr>
          <w:color w:val="000000"/>
          <w:lang w:val="en"/>
        </w:rPr>
        <w:t xml:space="preserve"> is focused on re-engineering its activities with an emphasis on automating the processes of monitoring and analyzing commodity markets.</w:t>
      </w:r>
    </w:p>
    <w:p w14:paraId="0562E32D" w14:textId="77777777" w:rsidR="00A57506" w:rsidRPr="00A57506" w:rsidRDefault="00A57506" w:rsidP="00A57506">
      <w:pPr>
        <w:rPr>
          <w:color w:val="000000"/>
          <w:lang w:val="en-US"/>
        </w:rPr>
      </w:pPr>
      <w:r w:rsidRPr="00A57506">
        <w:rPr>
          <w:color w:val="000000"/>
          <w:lang w:val="en"/>
        </w:rPr>
        <w:t xml:space="preserve">The Agency jointly with the Bureau of National Statistics of the Agency for Strategic Planning and Reforms of the Republic of Kazakhstan </w:t>
      </w:r>
      <w:r w:rsidRPr="00A57506">
        <w:rPr>
          <w:i/>
          <w:color w:val="000000"/>
          <w:sz w:val="24"/>
          <w:lang w:val="en"/>
        </w:rPr>
        <w:t>(hereinafter referred to as the BNS)</w:t>
      </w:r>
      <w:r w:rsidRPr="00A57506">
        <w:rPr>
          <w:color w:val="000000"/>
          <w:lang w:val="en"/>
        </w:rPr>
        <w:t xml:space="preserve"> started work on the creation of </w:t>
      </w:r>
      <w:r w:rsidRPr="00A57506">
        <w:rPr>
          <w:b/>
          <w:color w:val="000000"/>
          <w:lang w:val="en"/>
        </w:rPr>
        <w:t>an analytical map of the state of competition</w:t>
      </w:r>
      <w:r w:rsidRPr="00A57506">
        <w:rPr>
          <w:color w:val="000000"/>
          <w:lang w:val="en"/>
        </w:rPr>
        <w:t xml:space="preserve">. The analytical map of the state of competition is a dashboard </w:t>
      </w:r>
      <w:r w:rsidRPr="00A57506">
        <w:rPr>
          <w:i/>
          <w:color w:val="000000"/>
          <w:sz w:val="24"/>
          <w:lang w:val="en"/>
        </w:rPr>
        <w:t>(Figure 9)</w:t>
      </w:r>
      <w:r w:rsidRPr="00A57506">
        <w:rPr>
          <w:color w:val="000000"/>
          <w:lang w:val="en"/>
        </w:rPr>
        <w:t>.</w:t>
      </w:r>
    </w:p>
    <w:p w14:paraId="3DB1D844" w14:textId="77777777" w:rsidR="00A57506" w:rsidRPr="00A57506" w:rsidRDefault="00A57506" w:rsidP="00A57506">
      <w:pPr>
        <w:rPr>
          <w:color w:val="000000"/>
          <w:lang w:val="en-US"/>
        </w:rPr>
      </w:pPr>
    </w:p>
    <w:p w14:paraId="6AC274E7" w14:textId="77777777" w:rsidR="00A57506" w:rsidRPr="00A57506" w:rsidRDefault="00A57506" w:rsidP="00A57506">
      <w:pPr>
        <w:ind w:firstLine="0"/>
        <w:jc w:val="center"/>
        <w:rPr>
          <w:color w:val="000000"/>
        </w:rPr>
      </w:pPr>
      <w:r w:rsidRPr="00A57506">
        <w:rPr>
          <w:noProof/>
        </w:rPr>
        <w:drawing>
          <wp:inline distT="0" distB="0" distL="0" distR="0" wp14:anchorId="3E85EBF0" wp14:editId="32B93739">
            <wp:extent cx="5940425" cy="33369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36925"/>
                    </a:xfrm>
                    <a:prstGeom prst="rect">
                      <a:avLst/>
                    </a:prstGeom>
                    <a:noFill/>
                    <a:ln>
                      <a:noFill/>
                    </a:ln>
                  </pic:spPr>
                </pic:pic>
              </a:graphicData>
            </a:graphic>
          </wp:inline>
        </w:drawing>
      </w:r>
    </w:p>
    <w:p w14:paraId="410BB7B5" w14:textId="77777777" w:rsidR="00A57506" w:rsidRPr="00A57506" w:rsidRDefault="00A57506" w:rsidP="00A57506">
      <w:pPr>
        <w:spacing w:before="240" w:after="240"/>
        <w:ind w:firstLine="0"/>
        <w:jc w:val="center"/>
        <w:rPr>
          <w:bCs/>
          <w:color w:val="000000"/>
          <w:lang w:val="en-US"/>
        </w:rPr>
      </w:pPr>
      <w:r w:rsidRPr="00A57506">
        <w:rPr>
          <w:bCs/>
          <w:color w:val="000000"/>
          <w:lang w:val="en"/>
        </w:rPr>
        <w:t xml:space="preserve">Figure </w:t>
      </w:r>
      <w:r w:rsidRPr="00A57506">
        <w:rPr>
          <w:bCs/>
          <w:color w:val="000000"/>
        </w:rPr>
        <w:fldChar w:fldCharType="begin"/>
      </w:r>
      <w:r w:rsidRPr="00A57506">
        <w:rPr>
          <w:bCs/>
          <w:color w:val="000000"/>
          <w:lang w:val="en"/>
        </w:rPr>
        <w:instrText xml:space="preserve"> SEQ Рис. \* ARABIC </w:instrText>
      </w:r>
      <w:r w:rsidRPr="00A57506">
        <w:rPr>
          <w:bCs/>
          <w:color w:val="000000"/>
        </w:rPr>
        <w:fldChar w:fldCharType="separate"/>
      </w:r>
      <w:r w:rsidRPr="00A57506">
        <w:rPr>
          <w:bCs/>
          <w:color w:val="000000"/>
          <w:lang w:val="en"/>
        </w:rPr>
        <w:t>9</w:t>
      </w:r>
      <w:r w:rsidRPr="00A57506">
        <w:rPr>
          <w:bCs/>
          <w:color w:val="000000"/>
        </w:rPr>
        <w:fldChar w:fldCharType="end"/>
      </w:r>
      <w:r w:rsidRPr="00A57506">
        <w:rPr>
          <w:bCs/>
          <w:color w:val="000000"/>
          <w:lang w:val="en"/>
        </w:rPr>
        <w:t>- Dashboard interface.</w:t>
      </w:r>
    </w:p>
    <w:p w14:paraId="799362E8" w14:textId="77777777" w:rsidR="00A57506" w:rsidRPr="00A57506" w:rsidRDefault="00A57506" w:rsidP="00A57506">
      <w:pPr>
        <w:rPr>
          <w:color w:val="000000"/>
          <w:lang w:val="en-US"/>
        </w:rPr>
      </w:pPr>
      <w:r w:rsidRPr="00A57506">
        <w:rPr>
          <w:color w:val="000000"/>
          <w:lang w:val="en"/>
        </w:rPr>
        <w:t xml:space="preserve">The dashboard is at the testing stage. </w:t>
      </w:r>
    </w:p>
    <w:p w14:paraId="26465B6A" w14:textId="77777777" w:rsidR="00A57506" w:rsidRPr="00A57506" w:rsidRDefault="00A57506" w:rsidP="00A57506">
      <w:pPr>
        <w:rPr>
          <w:color w:val="000000"/>
          <w:lang w:val="en-US"/>
        </w:rPr>
      </w:pPr>
      <w:r w:rsidRPr="00A57506">
        <w:rPr>
          <w:color w:val="000000"/>
          <w:lang w:val="en"/>
        </w:rPr>
        <w:t xml:space="preserve">To be included in the dashboard at the initial stage, the Agency has worked with the Bureau of National Statistics to develop a list of 16 commodity markets with historically problematic issues. </w:t>
      </w:r>
    </w:p>
    <w:p w14:paraId="742DB22B" w14:textId="77777777" w:rsidR="00A57506" w:rsidRPr="00A57506" w:rsidRDefault="00A57506" w:rsidP="00A57506">
      <w:pPr>
        <w:rPr>
          <w:color w:val="000000"/>
          <w:lang w:val="en-US"/>
        </w:rPr>
      </w:pPr>
      <w:r w:rsidRPr="00A57506">
        <w:rPr>
          <w:color w:val="000000"/>
          <w:lang w:val="en"/>
        </w:rPr>
        <w:t>The markets will be quoted by 15 basic indicators.</w:t>
      </w:r>
    </w:p>
    <w:p w14:paraId="18191276" w14:textId="77777777" w:rsidR="00A57506" w:rsidRPr="00A57506" w:rsidRDefault="00A57506" w:rsidP="00A57506">
      <w:pPr>
        <w:keepNext/>
        <w:ind w:firstLine="0"/>
        <w:rPr>
          <w:bCs/>
          <w:color w:val="000000"/>
          <w:lang w:val="en-US"/>
        </w:rPr>
      </w:pPr>
    </w:p>
    <w:p w14:paraId="14E5EFA5" w14:textId="77777777" w:rsidR="00A57506" w:rsidRPr="00A57506" w:rsidRDefault="00A57506" w:rsidP="00A57506">
      <w:pPr>
        <w:keepNext/>
        <w:ind w:firstLine="0"/>
        <w:rPr>
          <w:bCs/>
          <w:color w:val="000000"/>
          <w:lang w:val="en-US"/>
        </w:rPr>
      </w:pPr>
      <w:r w:rsidRPr="00A57506">
        <w:rPr>
          <w:bCs/>
          <w:color w:val="000000"/>
          <w:lang w:val="en"/>
        </w:rPr>
        <w:t xml:space="preserve">Table </w:t>
      </w:r>
      <w:r w:rsidRPr="00A57506">
        <w:rPr>
          <w:bCs/>
          <w:color w:val="000000"/>
        </w:rPr>
        <w:fldChar w:fldCharType="begin"/>
      </w:r>
      <w:r w:rsidRPr="00A57506">
        <w:rPr>
          <w:bCs/>
          <w:color w:val="000000"/>
          <w:lang w:val="en"/>
        </w:rPr>
        <w:instrText xml:space="preserve"> SEQ Таблица \* ARABIC </w:instrText>
      </w:r>
      <w:r w:rsidRPr="00A57506">
        <w:rPr>
          <w:bCs/>
          <w:color w:val="000000"/>
        </w:rPr>
        <w:fldChar w:fldCharType="separate"/>
      </w:r>
      <w:r w:rsidRPr="00A57506">
        <w:rPr>
          <w:bCs/>
          <w:color w:val="000000"/>
          <w:lang w:val="en"/>
        </w:rPr>
        <w:t>1</w:t>
      </w:r>
      <w:r w:rsidRPr="00A57506">
        <w:rPr>
          <w:bCs/>
          <w:color w:val="000000"/>
        </w:rPr>
        <w:fldChar w:fldCharType="end"/>
      </w:r>
      <w:r w:rsidRPr="00A57506">
        <w:rPr>
          <w:bCs/>
          <w:color w:val="000000"/>
          <w:lang w:val="en"/>
        </w:rPr>
        <w:t>. List of commodity markets and basic indicators to be included in the dashboard at the stage of system launch.</w:t>
      </w:r>
    </w:p>
    <w:tbl>
      <w:tblPr>
        <w:tblStyle w:val="TableGrid1"/>
        <w:tblW w:w="9634" w:type="dxa"/>
        <w:tblLook w:val="04A0" w:firstRow="1" w:lastRow="0" w:firstColumn="1" w:lastColumn="0" w:noHBand="0" w:noVBand="1"/>
      </w:tblPr>
      <w:tblGrid>
        <w:gridCol w:w="4390"/>
        <w:gridCol w:w="5244"/>
      </w:tblGrid>
      <w:tr w:rsidR="00A57506" w:rsidRPr="00A57506" w14:paraId="7D2BE25A" w14:textId="77777777" w:rsidTr="00410278">
        <w:tc>
          <w:tcPr>
            <w:tcW w:w="4390" w:type="dxa"/>
          </w:tcPr>
          <w:p w14:paraId="542737F3" w14:textId="77777777" w:rsidR="00A57506" w:rsidRPr="00A57506" w:rsidRDefault="00A57506" w:rsidP="00A57506">
            <w:pPr>
              <w:jc w:val="center"/>
              <w:rPr>
                <w:b/>
                <w:color w:val="000000"/>
                <w:sz w:val="24"/>
              </w:rPr>
            </w:pPr>
            <w:r w:rsidRPr="00A57506">
              <w:rPr>
                <w:b/>
                <w:color w:val="000000"/>
                <w:sz w:val="24"/>
                <w:lang w:val="en"/>
              </w:rPr>
              <w:t>Commodity markets</w:t>
            </w:r>
          </w:p>
          <w:p w14:paraId="7F9A4927" w14:textId="77777777" w:rsidR="00A57506" w:rsidRPr="00A57506" w:rsidRDefault="00A57506" w:rsidP="00A57506">
            <w:pPr>
              <w:jc w:val="center"/>
              <w:rPr>
                <w:b/>
                <w:color w:val="000000"/>
                <w:sz w:val="24"/>
              </w:rPr>
            </w:pPr>
          </w:p>
        </w:tc>
        <w:tc>
          <w:tcPr>
            <w:tcW w:w="5244" w:type="dxa"/>
          </w:tcPr>
          <w:p w14:paraId="5CF5623D" w14:textId="77777777" w:rsidR="00A57506" w:rsidRPr="00A57506" w:rsidRDefault="00A57506" w:rsidP="00A57506">
            <w:pPr>
              <w:jc w:val="center"/>
              <w:rPr>
                <w:b/>
                <w:color w:val="000000"/>
                <w:sz w:val="24"/>
              </w:rPr>
            </w:pPr>
            <w:r w:rsidRPr="00A57506">
              <w:rPr>
                <w:b/>
                <w:color w:val="000000"/>
                <w:sz w:val="24"/>
                <w:lang w:val="en"/>
              </w:rPr>
              <w:t>Basic indicators</w:t>
            </w:r>
          </w:p>
          <w:p w14:paraId="4CC6AEC7" w14:textId="77777777" w:rsidR="00A57506" w:rsidRPr="00A57506" w:rsidRDefault="00A57506" w:rsidP="00A57506">
            <w:pPr>
              <w:jc w:val="center"/>
              <w:rPr>
                <w:b/>
                <w:color w:val="000000"/>
                <w:sz w:val="24"/>
              </w:rPr>
            </w:pPr>
          </w:p>
        </w:tc>
      </w:tr>
      <w:tr w:rsidR="00A57506" w:rsidRPr="00A57506" w14:paraId="5C51F0A8" w14:textId="77777777" w:rsidTr="00410278">
        <w:tc>
          <w:tcPr>
            <w:tcW w:w="4390" w:type="dxa"/>
          </w:tcPr>
          <w:p w14:paraId="1797A3A3"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 AI-92, 95 (96) gasoline</w:t>
            </w:r>
          </w:p>
          <w:p w14:paraId="2F6D7151"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 xml:space="preserve">2. Diesel fuel </w:t>
            </w:r>
          </w:p>
          <w:p w14:paraId="14A106BF"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3. Liquefied petroleum gas</w:t>
            </w:r>
          </w:p>
          <w:p w14:paraId="008C8A75"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4. Electricity</w:t>
            </w:r>
          </w:p>
          <w:p w14:paraId="2AA85F68"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5. Jet fuel</w:t>
            </w:r>
          </w:p>
          <w:p w14:paraId="1860D567"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 xml:space="preserve">6. Coal </w:t>
            </w:r>
          </w:p>
          <w:p w14:paraId="55E78D5F"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lastRenderedPageBreak/>
              <w:t xml:space="preserve">7. Bitumen </w:t>
            </w:r>
          </w:p>
          <w:p w14:paraId="2F275981"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8. Cellular communication services</w:t>
            </w:r>
          </w:p>
          <w:p w14:paraId="13A17FE2"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 xml:space="preserve">9. Air transport services for passengers </w:t>
            </w:r>
          </w:p>
          <w:p w14:paraId="35B3C8A9"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 xml:space="preserve">10. Railway transport services for passengers </w:t>
            </w:r>
          </w:p>
          <w:p w14:paraId="4D25C0C7"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11. Housing construction</w:t>
            </w:r>
          </w:p>
          <w:p w14:paraId="3C6173C6"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12. Cement</w:t>
            </w:r>
          </w:p>
          <w:p w14:paraId="01A358D6"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13. Fittings</w:t>
            </w:r>
          </w:p>
          <w:p w14:paraId="7293BE6A"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14. Concrete</w:t>
            </w:r>
          </w:p>
          <w:p w14:paraId="28FCDCF3"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15. Socially important food products, except for fruits and vegetables</w:t>
            </w:r>
          </w:p>
          <w:p w14:paraId="07B51FA3" w14:textId="77777777" w:rsidR="00A57506" w:rsidRPr="00A57506" w:rsidRDefault="00A57506" w:rsidP="00A57506">
            <w:pPr>
              <w:tabs>
                <w:tab w:val="clear" w:pos="567"/>
                <w:tab w:val="num" w:pos="454"/>
              </w:tabs>
              <w:ind w:firstLine="0"/>
              <w:rPr>
                <w:color w:val="000000"/>
                <w:sz w:val="24"/>
                <w:lang w:val="en-US"/>
              </w:rPr>
            </w:pPr>
            <w:r w:rsidRPr="00A57506">
              <w:rPr>
                <w:color w:val="000000"/>
                <w:sz w:val="24"/>
                <w:lang w:val="en"/>
              </w:rPr>
              <w:t>16. Production (national producers), wholesale and retail sales of medicines</w:t>
            </w:r>
          </w:p>
        </w:tc>
        <w:tc>
          <w:tcPr>
            <w:tcW w:w="5244" w:type="dxa"/>
          </w:tcPr>
          <w:p w14:paraId="4A8B5D06" w14:textId="77777777" w:rsidR="00A57506" w:rsidRPr="00A57506" w:rsidRDefault="00A57506" w:rsidP="00A57506">
            <w:pPr>
              <w:ind w:firstLine="0"/>
              <w:rPr>
                <w:color w:val="000000"/>
                <w:sz w:val="24"/>
                <w:lang w:val="en-US"/>
              </w:rPr>
            </w:pPr>
            <w:r w:rsidRPr="00A57506">
              <w:rPr>
                <w:color w:val="000000"/>
                <w:sz w:val="24"/>
                <w:lang w:val="en"/>
              </w:rPr>
              <w:lastRenderedPageBreak/>
              <w:t xml:space="preserve">1. List of market players </w:t>
            </w:r>
          </w:p>
          <w:p w14:paraId="5F7C7A7B" w14:textId="77777777" w:rsidR="00A57506" w:rsidRPr="00A57506" w:rsidRDefault="00A57506" w:rsidP="00A57506">
            <w:pPr>
              <w:ind w:firstLine="0"/>
              <w:rPr>
                <w:color w:val="000000"/>
                <w:sz w:val="24"/>
                <w:lang w:val="en-US"/>
              </w:rPr>
            </w:pPr>
            <w:r w:rsidRPr="00A57506">
              <w:rPr>
                <w:color w:val="000000"/>
                <w:sz w:val="24"/>
                <w:lang w:val="en"/>
              </w:rPr>
              <w:t xml:space="preserve">2. Volume of production of goods (works, services) in kind and in value terms </w:t>
            </w:r>
          </w:p>
          <w:p w14:paraId="4573AF94" w14:textId="77777777" w:rsidR="00A57506" w:rsidRPr="00A57506" w:rsidRDefault="00A57506" w:rsidP="00A57506">
            <w:pPr>
              <w:ind w:firstLine="0"/>
              <w:rPr>
                <w:color w:val="000000"/>
                <w:sz w:val="24"/>
                <w:lang w:val="en-US"/>
              </w:rPr>
            </w:pPr>
            <w:r w:rsidRPr="00A57506">
              <w:rPr>
                <w:color w:val="000000"/>
                <w:sz w:val="24"/>
                <w:lang w:val="en"/>
              </w:rPr>
              <w:t xml:space="preserve">3. Volume of wholesale and retail sales of goods / services in kind and in value terms </w:t>
            </w:r>
          </w:p>
          <w:p w14:paraId="02239404" w14:textId="77777777" w:rsidR="00A57506" w:rsidRPr="00A57506" w:rsidRDefault="00A57506" w:rsidP="00A57506">
            <w:pPr>
              <w:ind w:firstLine="0"/>
              <w:rPr>
                <w:color w:val="000000"/>
                <w:sz w:val="24"/>
                <w:lang w:val="en-US"/>
              </w:rPr>
            </w:pPr>
            <w:r w:rsidRPr="00A57506">
              <w:rPr>
                <w:color w:val="000000"/>
                <w:sz w:val="24"/>
                <w:lang w:val="en"/>
              </w:rPr>
              <w:lastRenderedPageBreak/>
              <w:t>4. List of market players with state participation, share of state participation</w:t>
            </w:r>
          </w:p>
          <w:p w14:paraId="29F2095D" w14:textId="77777777" w:rsidR="00A57506" w:rsidRPr="00A57506" w:rsidRDefault="00A57506" w:rsidP="00A57506">
            <w:pPr>
              <w:ind w:firstLine="0"/>
              <w:rPr>
                <w:color w:val="000000"/>
                <w:sz w:val="24"/>
                <w:lang w:val="en-US"/>
              </w:rPr>
            </w:pPr>
            <w:r w:rsidRPr="00A57506">
              <w:rPr>
                <w:color w:val="000000"/>
                <w:sz w:val="24"/>
                <w:lang w:val="en"/>
              </w:rPr>
              <w:t>5. Producer prices</w:t>
            </w:r>
          </w:p>
          <w:p w14:paraId="455DF932" w14:textId="77777777" w:rsidR="00A57506" w:rsidRPr="00A57506" w:rsidRDefault="00A57506" w:rsidP="00A57506">
            <w:pPr>
              <w:ind w:firstLine="0"/>
              <w:rPr>
                <w:color w:val="000000"/>
                <w:sz w:val="24"/>
                <w:lang w:val="en-US"/>
              </w:rPr>
            </w:pPr>
            <w:r w:rsidRPr="00A57506">
              <w:rPr>
                <w:color w:val="000000"/>
                <w:sz w:val="24"/>
                <w:lang w:val="en"/>
              </w:rPr>
              <w:t xml:space="preserve">6. Prices of wholesale and retail sales of goods </w:t>
            </w:r>
          </w:p>
          <w:p w14:paraId="412DDDCA" w14:textId="77777777" w:rsidR="00A57506" w:rsidRPr="00A57506" w:rsidRDefault="00A57506" w:rsidP="00A57506">
            <w:pPr>
              <w:ind w:firstLine="0"/>
              <w:rPr>
                <w:color w:val="000000"/>
                <w:sz w:val="24"/>
                <w:lang w:val="en-US"/>
              </w:rPr>
            </w:pPr>
            <w:r w:rsidRPr="00A57506">
              <w:rPr>
                <w:color w:val="000000"/>
                <w:sz w:val="24"/>
                <w:lang w:val="en"/>
              </w:rPr>
              <w:t>7. Average prices</w:t>
            </w:r>
          </w:p>
          <w:p w14:paraId="17A25412" w14:textId="77777777" w:rsidR="00A57506" w:rsidRPr="00A57506" w:rsidRDefault="00A57506" w:rsidP="00A57506">
            <w:pPr>
              <w:ind w:firstLine="0"/>
              <w:rPr>
                <w:color w:val="000000"/>
                <w:sz w:val="24"/>
                <w:lang w:val="en-US"/>
              </w:rPr>
            </w:pPr>
            <w:r w:rsidRPr="00A57506">
              <w:rPr>
                <w:color w:val="000000"/>
                <w:sz w:val="24"/>
                <w:lang w:val="en"/>
              </w:rPr>
              <w:t xml:space="preserve">8. Volumes of export of goods </w:t>
            </w:r>
          </w:p>
          <w:p w14:paraId="497FE72B" w14:textId="77777777" w:rsidR="00A57506" w:rsidRPr="00A57506" w:rsidRDefault="00A57506" w:rsidP="00A57506">
            <w:pPr>
              <w:ind w:firstLine="0"/>
              <w:rPr>
                <w:color w:val="000000"/>
                <w:sz w:val="24"/>
                <w:lang w:val="en-US"/>
              </w:rPr>
            </w:pPr>
            <w:r w:rsidRPr="00A57506">
              <w:rPr>
                <w:color w:val="000000"/>
                <w:sz w:val="24"/>
                <w:lang w:val="en"/>
              </w:rPr>
              <w:t xml:space="preserve">9. Volumes of import of goods </w:t>
            </w:r>
          </w:p>
          <w:p w14:paraId="4AD4320A" w14:textId="77777777" w:rsidR="00A57506" w:rsidRPr="00A57506" w:rsidRDefault="00A57506" w:rsidP="00A57506">
            <w:pPr>
              <w:ind w:firstLine="0"/>
              <w:rPr>
                <w:color w:val="000000"/>
                <w:sz w:val="24"/>
                <w:lang w:val="en-US"/>
              </w:rPr>
            </w:pPr>
            <w:r w:rsidRPr="00A57506">
              <w:rPr>
                <w:color w:val="000000"/>
                <w:sz w:val="24"/>
                <w:lang w:val="en"/>
              </w:rPr>
              <w:t>10. Market share of the three largest enterprises (in relation to the total volume) in the RK market and by region</w:t>
            </w:r>
          </w:p>
          <w:p w14:paraId="4990862B" w14:textId="77777777" w:rsidR="00A57506" w:rsidRPr="00A57506" w:rsidRDefault="00A57506" w:rsidP="00A57506">
            <w:pPr>
              <w:ind w:firstLine="0"/>
              <w:rPr>
                <w:color w:val="000000"/>
                <w:sz w:val="24"/>
                <w:lang w:val="en-US"/>
              </w:rPr>
            </w:pPr>
            <w:r w:rsidRPr="00A57506">
              <w:rPr>
                <w:color w:val="000000"/>
                <w:sz w:val="24"/>
                <w:lang w:val="en"/>
              </w:rPr>
              <w:t xml:space="preserve">11. Herfindahl-Hirschman Index </w:t>
            </w:r>
          </w:p>
          <w:p w14:paraId="487805F9" w14:textId="77777777" w:rsidR="00A57506" w:rsidRPr="00A57506" w:rsidRDefault="00A57506" w:rsidP="00A57506">
            <w:pPr>
              <w:ind w:firstLine="0"/>
              <w:rPr>
                <w:color w:val="000000"/>
                <w:sz w:val="24"/>
                <w:lang w:val="en-US"/>
              </w:rPr>
            </w:pPr>
            <w:r w:rsidRPr="00A57506">
              <w:rPr>
                <w:color w:val="000000"/>
                <w:sz w:val="24"/>
                <w:lang w:val="en"/>
              </w:rPr>
              <w:t xml:space="preserve">12. Weighted average Lerner index </w:t>
            </w:r>
          </w:p>
          <w:p w14:paraId="3F89FFF1" w14:textId="77777777" w:rsidR="00A57506" w:rsidRPr="00A57506" w:rsidRDefault="00A57506" w:rsidP="00A57506">
            <w:pPr>
              <w:ind w:firstLine="0"/>
              <w:rPr>
                <w:color w:val="000000"/>
                <w:sz w:val="24"/>
                <w:lang w:val="en-US"/>
              </w:rPr>
            </w:pPr>
            <w:r w:rsidRPr="00A57506">
              <w:rPr>
                <w:color w:val="000000"/>
                <w:sz w:val="24"/>
                <w:lang w:val="en"/>
              </w:rPr>
              <w:t xml:space="preserve">13. Volume of investment </w:t>
            </w:r>
          </w:p>
          <w:p w14:paraId="2C2C9C44" w14:textId="77777777" w:rsidR="00A57506" w:rsidRPr="00A57506" w:rsidRDefault="00A57506" w:rsidP="00A57506">
            <w:pPr>
              <w:ind w:firstLine="0"/>
              <w:rPr>
                <w:color w:val="000000"/>
                <w:sz w:val="24"/>
                <w:lang w:val="en-US"/>
              </w:rPr>
            </w:pPr>
            <w:r w:rsidRPr="00A57506">
              <w:rPr>
                <w:color w:val="000000"/>
                <w:sz w:val="24"/>
                <w:lang w:val="en"/>
              </w:rPr>
              <w:t>14. Average break-even level</w:t>
            </w:r>
          </w:p>
          <w:p w14:paraId="46739CC4" w14:textId="77777777" w:rsidR="00A57506" w:rsidRPr="00A57506" w:rsidRDefault="00A57506" w:rsidP="00A57506">
            <w:pPr>
              <w:ind w:firstLine="0"/>
              <w:rPr>
                <w:color w:val="000000"/>
                <w:sz w:val="24"/>
              </w:rPr>
            </w:pPr>
            <w:r w:rsidRPr="00A57506">
              <w:rPr>
                <w:color w:val="000000"/>
                <w:sz w:val="24"/>
                <w:lang w:val="en"/>
              </w:rPr>
              <w:t>15. Average salary level</w:t>
            </w:r>
          </w:p>
        </w:tc>
      </w:tr>
    </w:tbl>
    <w:p w14:paraId="4E8A349F" w14:textId="77777777" w:rsidR="00A57506" w:rsidRPr="00A57506" w:rsidRDefault="00A57506" w:rsidP="00A57506">
      <w:pPr>
        <w:keepNext/>
        <w:ind w:firstLine="0"/>
        <w:rPr>
          <w:bCs/>
          <w:color w:val="000000"/>
        </w:rPr>
      </w:pPr>
    </w:p>
    <w:p w14:paraId="27119E91" w14:textId="77777777" w:rsidR="00A57506" w:rsidRPr="00A57506" w:rsidRDefault="00A57506" w:rsidP="00A57506">
      <w:pPr>
        <w:rPr>
          <w:color w:val="000000"/>
          <w:lang w:val="en-US"/>
        </w:rPr>
      </w:pPr>
      <w:r w:rsidRPr="00A57506">
        <w:rPr>
          <w:color w:val="000000"/>
          <w:lang w:val="en"/>
        </w:rPr>
        <w:t xml:space="preserve">The list of commodity markets will be continuously expanded and scaled up. In addition, the possibility of integrating data from other information sources, including data on export and import operations, data on economic activity, data from service aggregators, marketplaces, etc., into the dashboard is being developed. </w:t>
      </w:r>
    </w:p>
    <w:p w14:paraId="69FCDC3E" w14:textId="77777777" w:rsidR="00A57506" w:rsidRPr="00A57506" w:rsidRDefault="00A57506" w:rsidP="00A57506">
      <w:pPr>
        <w:rPr>
          <w:bCs/>
          <w:color w:val="000000"/>
          <w:lang w:val="en-US"/>
        </w:rPr>
      </w:pPr>
      <w:r w:rsidRPr="00A57506">
        <w:rPr>
          <w:color w:val="000000"/>
          <w:lang w:val="en"/>
        </w:rPr>
        <w:t>As a result, the dashboard will become an effective tool for structuring, analyzing and representing indicators, and will make it possible to promptly assess the situation on commodity markets, identify potential problems, and take timely preventive measures. This will make it possible to prioritize the Agency's core activities in specific commodity markets and implement its functionality more efficiently.</w:t>
      </w:r>
    </w:p>
    <w:p w14:paraId="249A1FE0" w14:textId="1288AB50" w:rsidR="00A57506" w:rsidRPr="00A57506" w:rsidRDefault="00A57506" w:rsidP="00A57506">
      <w:pPr>
        <w:rPr>
          <w:color w:val="000000"/>
          <w:lang w:val="en-US"/>
        </w:rPr>
      </w:pPr>
      <w:r w:rsidRPr="00A57506">
        <w:rPr>
          <w:color w:val="000000"/>
          <w:lang w:val="en"/>
        </w:rPr>
        <w:t xml:space="preserve">Also, in order to effectively identify cartels in public procurement, the Agency has introduced </w:t>
      </w:r>
      <w:r w:rsidRPr="00A57506">
        <w:rPr>
          <w:b/>
          <w:color w:val="000000"/>
          <w:lang w:val="en"/>
        </w:rPr>
        <w:t>Ormek Search Information System</w:t>
      </w:r>
      <w:r w:rsidRPr="00A57506">
        <w:rPr>
          <w:color w:val="000000"/>
          <w:lang w:val="en"/>
        </w:rPr>
        <w:t xml:space="preserve">. This system was created on the platform of the "Single Window of Procurement" of Atameken National Chamber of Entrepreneurs of the Republic of </w:t>
      </w:r>
      <w:r w:rsidR="003263B8" w:rsidRPr="00A57506">
        <w:rPr>
          <w:color w:val="000000"/>
          <w:lang w:val="en"/>
        </w:rPr>
        <w:t>Kazakhstan and</w:t>
      </w:r>
      <w:r w:rsidRPr="00A57506">
        <w:rPr>
          <w:color w:val="000000"/>
          <w:lang w:val="en"/>
        </w:rPr>
        <w:t xml:space="preserve"> allows identify</w:t>
      </w:r>
      <w:r w:rsidR="003263B8">
        <w:rPr>
          <w:color w:val="000000"/>
          <w:lang w:val="en"/>
        </w:rPr>
        <w:t>ing</w:t>
      </w:r>
      <w:r w:rsidRPr="00A57506">
        <w:rPr>
          <w:color w:val="000000"/>
          <w:lang w:val="en"/>
        </w:rPr>
        <w:t xml:space="preserve"> signs of bid rigging. The Ormek system analyzes behavior and establishes indirect links between bidders with automatic notification of possible signs of bid rigging. </w:t>
      </w:r>
    </w:p>
    <w:p w14:paraId="47C596B0" w14:textId="77777777" w:rsidR="00A57506" w:rsidRPr="00A57506" w:rsidRDefault="00A57506" w:rsidP="00A57506">
      <w:pPr>
        <w:rPr>
          <w:bCs/>
          <w:color w:val="000000"/>
          <w:lang w:val="en-US"/>
        </w:rPr>
      </w:pPr>
      <w:r w:rsidRPr="00A57506">
        <w:rPr>
          <w:color w:val="000000"/>
          <w:lang w:val="en"/>
        </w:rPr>
        <w:t xml:space="preserve">The system covers public procurement starting from 2019. For example, the system revealed that in 2019, two companies jointly participated in tenders for 7 procurements for the repair of motorways ordered by local executive bodies and alternately won almost without reducing the price, creating phantom competition for each other. Savings on procurement amounted to 0.01%. Signs of bid rigging are also confirmed by the fact that these enterprises acted as contractors and subcontractors for each other in the execution of public procurement contracts. In general, after the introduction of the Ormek Search Information System, the Agency for the Protection and Development of Competition initiated 19 investigations against 38 market players on the grounds of bid rigging. </w:t>
      </w:r>
    </w:p>
    <w:p w14:paraId="0232AE44" w14:textId="77777777" w:rsidR="00A57506" w:rsidRPr="00A57506" w:rsidRDefault="00A57506" w:rsidP="00A57506">
      <w:pPr>
        <w:rPr>
          <w:lang w:val="en-US"/>
        </w:rPr>
      </w:pPr>
      <w:r w:rsidRPr="00A57506">
        <w:rPr>
          <w:color w:val="000000"/>
          <w:lang w:val="en"/>
        </w:rPr>
        <w:t xml:space="preserve">The issue of the Agency's public services, in particular, consideration of applications for M&amp;A transactions, deserves special attention. </w:t>
      </w:r>
      <w:r w:rsidRPr="00A57506">
        <w:rPr>
          <w:lang w:val="en"/>
        </w:rPr>
        <w:t xml:space="preserve">In order to improve the quality and accessibility of the public service on economic concentration, the Agency together with National Information Technologies JSC carried out work on </w:t>
      </w:r>
      <w:r w:rsidRPr="00A57506">
        <w:rPr>
          <w:b/>
          <w:lang w:val="en"/>
        </w:rPr>
        <w:t xml:space="preserve">the </w:t>
      </w:r>
      <w:r w:rsidRPr="00A57506">
        <w:rPr>
          <w:b/>
          <w:lang w:val="en"/>
        </w:rPr>
        <w:lastRenderedPageBreak/>
        <w:t>digitalization of the public service</w:t>
      </w:r>
      <w:r w:rsidRPr="00A57506">
        <w:rPr>
          <w:lang w:val="en"/>
        </w:rPr>
        <w:t xml:space="preserve"> "Consideration of applications for consent to economic concentration", which is now available online. The service recipient can apply for consent electronically, which in turn will eliminate the need to submit paper documents.</w:t>
      </w:r>
    </w:p>
    <w:p w14:paraId="6D540F63" w14:textId="77777777" w:rsidR="00A57506" w:rsidRPr="00A57506" w:rsidRDefault="00A57506" w:rsidP="00A57506">
      <w:pPr>
        <w:tabs>
          <w:tab w:val="clear" w:pos="567"/>
        </w:tabs>
        <w:rPr>
          <w:lang w:val="en-US"/>
        </w:rPr>
      </w:pPr>
      <w:r w:rsidRPr="00A57506">
        <w:rPr>
          <w:lang w:val="en"/>
        </w:rPr>
        <w:t>It is planned to consolidate this work at the level of the Rules for the Provision of Public Services in accordance with the laws on legal acts in the context of the developed draft order of the Chairman of the Agency, where submission of documents through the portal will mandatory.</w:t>
      </w:r>
    </w:p>
    <w:p w14:paraId="4CDF3B02" w14:textId="2020E558" w:rsidR="00A57506" w:rsidRPr="00A57506" w:rsidRDefault="00A57506" w:rsidP="00A57506">
      <w:pPr>
        <w:tabs>
          <w:tab w:val="clear" w:pos="567"/>
        </w:tabs>
        <w:rPr>
          <w:lang w:val="en-US"/>
        </w:rPr>
      </w:pPr>
      <w:r w:rsidRPr="00A57506">
        <w:rPr>
          <w:lang w:val="en"/>
        </w:rPr>
        <w:t>The draft order is published on the website of open LSIs (Laws and Statutory Instruments) and sent to Atameken National Chamber of Entrepreneurs, members of the Public Council, accredited organizations, as well as to Sapargaliev Scientific Research Institute of State and Law for anti-corruption expert review.</w:t>
      </w:r>
    </w:p>
    <w:p w14:paraId="2AE797D1" w14:textId="77777777" w:rsidR="00A57506" w:rsidRPr="00A57506" w:rsidRDefault="00A57506" w:rsidP="00A57506">
      <w:pPr>
        <w:tabs>
          <w:tab w:val="clear" w:pos="567"/>
        </w:tabs>
        <w:rPr>
          <w:i/>
          <w:sz w:val="24"/>
          <w:lang w:val="en-US"/>
        </w:rPr>
      </w:pPr>
      <w:r w:rsidRPr="00A57506">
        <w:rPr>
          <w:b/>
          <w:i/>
          <w:sz w:val="24"/>
          <w:lang w:val="en"/>
        </w:rPr>
        <w:t>For reference</w:t>
      </w:r>
      <w:r w:rsidRPr="00A57506">
        <w:rPr>
          <w:i/>
          <w:sz w:val="24"/>
          <w:lang w:val="en"/>
        </w:rPr>
        <w:t xml:space="preserve">: Previously, the service was considered only when paper copies were submitted, but now, to simplify the service, the Internal Portal of the Information System "E-licensing State Databa" has been created, where applicants can online apply and submit the necessary documents. </w:t>
      </w:r>
    </w:p>
    <w:p w14:paraId="11B7E979" w14:textId="77777777" w:rsidR="00A57506" w:rsidRPr="00A57506" w:rsidRDefault="00A57506" w:rsidP="00A57506">
      <w:pPr>
        <w:tabs>
          <w:tab w:val="clear" w:pos="567"/>
        </w:tabs>
        <w:rPr>
          <w:lang w:val="en-US"/>
        </w:rPr>
      </w:pPr>
      <w:r w:rsidRPr="00A57506">
        <w:rPr>
          <w:lang w:val="en"/>
        </w:rPr>
        <w:t>The next stage, in accordance with the Agency's Action Plan for 2023, is to partially automate the collection of information filled in by the service recipient. This is necessary to confirm the validity and reduce the list of information provided by the service recipient.</w:t>
      </w:r>
    </w:p>
    <w:p w14:paraId="57847171" w14:textId="77777777" w:rsidR="00A57506" w:rsidRPr="00A57506" w:rsidRDefault="00A57506" w:rsidP="00A57506">
      <w:pPr>
        <w:tabs>
          <w:tab w:val="clear" w:pos="567"/>
        </w:tabs>
        <w:rPr>
          <w:lang w:val="en-US"/>
        </w:rPr>
      </w:pPr>
      <w:r w:rsidRPr="00A57506">
        <w:rPr>
          <w:lang w:val="en"/>
        </w:rPr>
        <w:t xml:space="preserve">In particular, it is planned to automate the obtaining of information on individuals </w:t>
      </w:r>
      <w:r w:rsidRPr="00A57506">
        <w:rPr>
          <w:i/>
          <w:sz w:val="24"/>
          <w:lang w:val="en"/>
        </w:rPr>
        <w:t>(IIN, document number, etc.)</w:t>
      </w:r>
      <w:r w:rsidRPr="00A57506">
        <w:rPr>
          <w:lang w:val="en"/>
        </w:rPr>
        <w:t xml:space="preserve"> and legal entities </w:t>
      </w:r>
      <w:r w:rsidRPr="00A57506">
        <w:rPr>
          <w:i/>
          <w:sz w:val="24"/>
          <w:lang w:val="en"/>
        </w:rPr>
        <w:t>(BIN, OKED, etc.)</w:t>
      </w:r>
      <w:r w:rsidRPr="00A57506">
        <w:rPr>
          <w:lang w:val="en"/>
        </w:rPr>
        <w:t>.</w:t>
      </w:r>
    </w:p>
    <w:p w14:paraId="0F00D585" w14:textId="77777777" w:rsidR="00A57506" w:rsidRPr="00A57506" w:rsidRDefault="00A57506" w:rsidP="00A57506">
      <w:pPr>
        <w:rPr>
          <w:color w:val="000000"/>
          <w:lang w:val="en-US"/>
        </w:rPr>
      </w:pPr>
      <w:r w:rsidRPr="00A57506">
        <w:rPr>
          <w:color w:val="000000"/>
          <w:lang w:val="en"/>
        </w:rPr>
        <w:t xml:space="preserve">In addition, in accordance with the Rules for Digital Transformation of Public Administration, the </w:t>
      </w:r>
      <w:r w:rsidRPr="00A57506">
        <w:rPr>
          <w:b/>
          <w:color w:val="000000"/>
          <w:lang w:val="en"/>
        </w:rPr>
        <w:t>Digital Transformation Office</w:t>
      </w:r>
      <w:r w:rsidRPr="00A57506">
        <w:rPr>
          <w:color w:val="000000"/>
          <w:lang w:val="en"/>
        </w:rPr>
        <w:t xml:space="preserve"> has been established at the Agency, and its composition and regulations have been approved. The Office's tasks are the integrated management and implementation of the Digital Transformation Roadmap. The </w:t>
      </w:r>
      <w:r w:rsidRPr="00A57506">
        <w:rPr>
          <w:b/>
          <w:color w:val="000000"/>
          <w:lang w:val="en"/>
        </w:rPr>
        <w:t>Agency's Digital Transformation</w:t>
      </w:r>
      <w:r w:rsidRPr="00A57506">
        <w:rPr>
          <w:color w:val="000000"/>
          <w:lang w:val="en"/>
        </w:rPr>
        <w:t xml:space="preserve"> Roadmap has been developed, which defines the strategic direction of the industry's digital transformation and the corresponding performance and efficiency goals of the public administration system, which are planned to be achieved by the public body through digital transformation in the planned period.</w:t>
      </w:r>
    </w:p>
    <w:p w14:paraId="2E0BFE26" w14:textId="77777777" w:rsidR="00A57506" w:rsidRPr="00A57506" w:rsidRDefault="00A57506" w:rsidP="00A57506">
      <w:pPr>
        <w:spacing w:before="120"/>
        <w:rPr>
          <w:b/>
          <w:i/>
          <w:color w:val="000000"/>
          <w:lang w:val="en-US"/>
        </w:rPr>
      </w:pPr>
      <w:r w:rsidRPr="00A57506">
        <w:rPr>
          <w:b/>
          <w:i/>
          <w:color w:val="000000"/>
          <w:lang w:val="en"/>
        </w:rPr>
        <w:t>Introducing corporate governance principles</w:t>
      </w:r>
    </w:p>
    <w:p w14:paraId="1D21BF70" w14:textId="282E6531" w:rsidR="00A57506" w:rsidRPr="00A57506" w:rsidRDefault="00A57506" w:rsidP="00A57506">
      <w:pPr>
        <w:rPr>
          <w:color w:val="000000"/>
          <w:lang w:val="en-US"/>
        </w:rPr>
      </w:pPr>
      <w:r w:rsidRPr="00A57506">
        <w:rPr>
          <w:color w:val="000000"/>
          <w:lang w:val="en"/>
        </w:rPr>
        <w:t xml:space="preserve">As is well known, </w:t>
      </w:r>
      <w:r>
        <w:rPr>
          <w:color w:val="000000"/>
          <w:lang w:val="en"/>
        </w:rPr>
        <w:t>Antimonopoly Authorities</w:t>
      </w:r>
      <w:r w:rsidRPr="00A57506">
        <w:rPr>
          <w:color w:val="000000"/>
          <w:lang w:val="en"/>
        </w:rPr>
        <w:t xml:space="preserve"> in all developed countries have long and successfully operated on the principle of </w:t>
      </w:r>
      <w:r w:rsidRPr="00A57506">
        <w:rPr>
          <w:b/>
          <w:color w:val="000000"/>
          <w:lang w:val="en"/>
        </w:rPr>
        <w:t>corporate governance</w:t>
      </w:r>
      <w:r w:rsidRPr="00A57506">
        <w:rPr>
          <w:color w:val="000000"/>
          <w:lang w:val="en"/>
        </w:rPr>
        <w:t xml:space="preserve">, which contributes to increased transparency and efficiency. The Kazakhstani </w:t>
      </w:r>
      <w:r>
        <w:rPr>
          <w:color w:val="000000"/>
          <w:lang w:val="en"/>
        </w:rPr>
        <w:t>Antimonopoly Authority</w:t>
      </w:r>
      <w:r w:rsidRPr="00A57506">
        <w:rPr>
          <w:color w:val="000000"/>
          <w:lang w:val="en"/>
        </w:rPr>
        <w:t xml:space="preserve"> has also felt the need to develop corporate governance. In this regard, taking into account the best international practices, the Agency started work on the introduction of c</w:t>
      </w:r>
      <w:r w:rsidRPr="00A57506">
        <w:rPr>
          <w:b/>
          <w:color w:val="000000"/>
          <w:lang w:val="en"/>
        </w:rPr>
        <w:t>orporate governance</w:t>
      </w:r>
      <w:r w:rsidRPr="00A57506">
        <w:rPr>
          <w:color w:val="000000"/>
          <w:lang w:val="en"/>
        </w:rPr>
        <w:t xml:space="preserve"> principles. </w:t>
      </w:r>
    </w:p>
    <w:p w14:paraId="32B9F80A" w14:textId="77777777" w:rsidR="00A57506" w:rsidRPr="00A57506" w:rsidRDefault="00A57506" w:rsidP="00A57506">
      <w:pPr>
        <w:rPr>
          <w:color w:val="000000"/>
          <w:lang w:val="en-US"/>
        </w:rPr>
      </w:pPr>
      <w:r w:rsidRPr="00A57506">
        <w:rPr>
          <w:color w:val="000000"/>
          <w:lang w:val="en"/>
        </w:rPr>
        <w:t xml:space="preserve">Since November 2022, the Agency has launched the institute </w:t>
      </w:r>
      <w:r w:rsidRPr="00A57506">
        <w:rPr>
          <w:b/>
          <w:color w:val="000000"/>
          <w:lang w:val="en"/>
        </w:rPr>
        <w:t>of Board</w:t>
      </w:r>
      <w:r w:rsidRPr="00A57506">
        <w:rPr>
          <w:color w:val="000000"/>
          <w:lang w:val="en"/>
        </w:rPr>
        <w:t xml:space="preserve"> made up of the Agency's management</w:t>
      </w:r>
      <w:r w:rsidRPr="00A57506">
        <w:rPr>
          <w:i/>
          <w:color w:val="000000"/>
          <w:sz w:val="24"/>
          <w:lang w:val="en"/>
        </w:rPr>
        <w:t xml:space="preserve"> (all necessary governing internal regulatory documents have been adopted, the membership of the Board and its functional responsibilities have been approved)</w:t>
      </w:r>
      <w:r w:rsidRPr="00A57506">
        <w:rPr>
          <w:color w:val="000000"/>
          <w:lang w:val="en"/>
        </w:rPr>
        <w:t>.</w:t>
      </w:r>
    </w:p>
    <w:p w14:paraId="236D74FF" w14:textId="77777777" w:rsidR="00A57506" w:rsidRPr="00A57506" w:rsidRDefault="00A57506" w:rsidP="00A57506">
      <w:pPr>
        <w:rPr>
          <w:color w:val="000000"/>
          <w:lang w:val="en-US"/>
        </w:rPr>
      </w:pPr>
      <w:r w:rsidRPr="00A57506">
        <w:rPr>
          <w:color w:val="000000"/>
          <w:lang w:val="en"/>
        </w:rPr>
        <w:t xml:space="preserve">In 2022, 9 Board meetings were held. Since the beginning of 2023, 7 Board meetings have already been held. The Board determines the Agency's short-term and long-term goals, makes decisions on the most key issues, for example, mergers and </w:t>
      </w:r>
      <w:r w:rsidRPr="00A57506">
        <w:rPr>
          <w:color w:val="000000"/>
          <w:lang w:val="en"/>
        </w:rPr>
        <w:lastRenderedPageBreak/>
        <w:t>acquisitions, the opening of antitrust investigations are discussed and determined collectively. It is also planned to establish the Supervisory Board. Its main function will be to make recommendations to the Board within the scope of the Agency's activities.</w:t>
      </w:r>
    </w:p>
    <w:p w14:paraId="392E1A8D" w14:textId="77777777" w:rsidR="00A57506" w:rsidRPr="00A57506" w:rsidRDefault="00A57506" w:rsidP="00A57506">
      <w:pPr>
        <w:rPr>
          <w:color w:val="000000"/>
          <w:lang w:val="en-US"/>
        </w:rPr>
      </w:pPr>
      <w:r w:rsidRPr="00A57506">
        <w:rPr>
          <w:color w:val="000000"/>
          <w:lang w:val="en"/>
        </w:rPr>
        <w:t xml:space="preserve">For the subsequent introduction of corporate processes in the agency, the Agency has adopted </w:t>
      </w:r>
      <w:r w:rsidRPr="00A57506">
        <w:rPr>
          <w:b/>
          <w:color w:val="000000"/>
          <w:lang w:val="en"/>
        </w:rPr>
        <w:t>a Corporate Governance Implementation Plan</w:t>
      </w:r>
      <w:r w:rsidRPr="00A57506">
        <w:rPr>
          <w:color w:val="000000"/>
          <w:lang w:val="en"/>
        </w:rPr>
        <w:t>, within the framework of which a memorandum of cooperation has been signed between the Agency and the Qazaq Independent Directors Association</w:t>
      </w:r>
      <w:r w:rsidRPr="00A57506">
        <w:rPr>
          <w:color w:val="000000"/>
          <w:vertAlign w:val="superscript"/>
        </w:rPr>
        <w:footnoteReference w:id="19"/>
      </w:r>
      <w:r w:rsidRPr="00A57506">
        <w:rPr>
          <w:color w:val="000000"/>
          <w:lang w:val="en"/>
        </w:rPr>
        <w:t xml:space="preserve">. The parties agreed to establish partnership relations and develop long-term cooperation aimed at implementing joint projects in the field of corporate governance. </w:t>
      </w:r>
    </w:p>
    <w:p w14:paraId="38BD6ABD" w14:textId="77777777" w:rsidR="00A57506" w:rsidRPr="00A57506" w:rsidRDefault="00A57506" w:rsidP="00A57506">
      <w:pPr>
        <w:rPr>
          <w:color w:val="000000"/>
          <w:lang w:val="en-US"/>
        </w:rPr>
      </w:pPr>
      <w:r w:rsidRPr="00A57506">
        <w:rPr>
          <w:color w:val="000000"/>
          <w:lang w:val="en"/>
        </w:rPr>
        <w:t xml:space="preserve">In order to increase the transparency and efficiency of the Agency for Protection and Development of Competition, including better application of economic analysis, </w:t>
      </w:r>
      <w:r w:rsidRPr="00A57506">
        <w:rPr>
          <w:b/>
          <w:color w:val="000000"/>
          <w:lang w:val="en"/>
        </w:rPr>
        <w:t>the Office of Chief Economist</w:t>
      </w:r>
      <w:r w:rsidRPr="00A57506">
        <w:rPr>
          <w:color w:val="000000"/>
          <w:lang w:val="en"/>
        </w:rPr>
        <w:t xml:space="preserve"> has been established.</w:t>
      </w:r>
    </w:p>
    <w:p w14:paraId="55B4B47E" w14:textId="77777777" w:rsidR="00A57506" w:rsidRPr="00A57506" w:rsidRDefault="00A57506" w:rsidP="00A57506">
      <w:pPr>
        <w:rPr>
          <w:i/>
          <w:color w:val="000000"/>
          <w:sz w:val="24"/>
          <w:lang w:val="en-US"/>
        </w:rPr>
      </w:pPr>
      <w:r w:rsidRPr="00A57506">
        <w:rPr>
          <w:b/>
          <w:i/>
          <w:color w:val="000000"/>
          <w:sz w:val="24"/>
          <w:lang w:val="en"/>
        </w:rPr>
        <w:t>For reference</w:t>
      </w:r>
      <w:r w:rsidRPr="00A57506">
        <w:rPr>
          <w:i/>
          <w:color w:val="000000"/>
          <w:sz w:val="24"/>
          <w:lang w:val="en"/>
        </w:rPr>
        <w:t>: EU Directorate-General for Competition: out of a total of about 700 employees, more than 400 (casehandlers) investigate specific cases. Of them, just over a quarter specialize in government subsidies, 2-3% work in the Chief Economist's team, and the rest investigate antitrust cases.</w:t>
      </w:r>
    </w:p>
    <w:p w14:paraId="107D2BD4" w14:textId="77777777" w:rsidR="00A57506" w:rsidRPr="00A57506" w:rsidRDefault="00A57506" w:rsidP="00A57506">
      <w:pPr>
        <w:rPr>
          <w:color w:val="000000"/>
          <w:lang w:val="en-US"/>
        </w:rPr>
      </w:pPr>
      <w:r w:rsidRPr="00A57506">
        <w:rPr>
          <w:color w:val="000000"/>
          <w:lang w:val="en"/>
        </w:rPr>
        <w:t>The duties of the Office of Chief Economist include intra-departmental control of the results of commodity market research obtained, and conducting independent research.</w:t>
      </w:r>
    </w:p>
    <w:p w14:paraId="2D0726A1" w14:textId="77777777" w:rsidR="00A57506" w:rsidRPr="00A57506" w:rsidRDefault="00A57506" w:rsidP="00A57506">
      <w:pPr>
        <w:rPr>
          <w:lang w:val="en-US"/>
        </w:rPr>
      </w:pPr>
    </w:p>
    <w:p w14:paraId="3876979D" w14:textId="404B1832" w:rsidR="00E80344" w:rsidRPr="00A57506" w:rsidRDefault="004C4BA9" w:rsidP="00F411E1">
      <w:pPr>
        <w:pStyle w:val="Heading2"/>
        <w:ind w:firstLine="567"/>
        <w:rPr>
          <w:rFonts w:cs="Times New Roman"/>
          <w:szCs w:val="28"/>
          <w:lang w:val="en-US"/>
        </w:rPr>
      </w:pPr>
      <w:bookmarkStart w:id="33" w:name="_Toc142467905"/>
      <w:r w:rsidRPr="001529C7">
        <w:rPr>
          <w:rFonts w:cs="Times New Roman"/>
          <w:szCs w:val="28"/>
          <w:lang w:val="en"/>
        </w:rPr>
        <w:t>Chapter 2. Analysis of the status competition in certain commodity markets</w:t>
      </w:r>
      <w:bookmarkEnd w:id="33"/>
    </w:p>
    <w:p w14:paraId="38A33D60" w14:textId="77777777" w:rsidR="00AA140A" w:rsidRPr="00A57506" w:rsidRDefault="00AA140A" w:rsidP="00F411E1">
      <w:pPr>
        <w:rPr>
          <w:color w:val="000000" w:themeColor="text1"/>
          <w:lang w:val="en-US"/>
        </w:rPr>
      </w:pPr>
    </w:p>
    <w:p w14:paraId="69764F75" w14:textId="77777777" w:rsidR="00FD0CBA" w:rsidRPr="00A57506" w:rsidRDefault="004C4BA9" w:rsidP="00F411E1">
      <w:pPr>
        <w:tabs>
          <w:tab w:val="left" w:pos="993"/>
        </w:tabs>
        <w:rPr>
          <w:color w:val="000000" w:themeColor="text1"/>
          <w:lang w:val="en-US"/>
        </w:rPr>
      </w:pPr>
      <w:r w:rsidRPr="001529C7">
        <w:rPr>
          <w:color w:val="000000" w:themeColor="text1"/>
          <w:lang w:val="en"/>
        </w:rPr>
        <w:t xml:space="preserve">In accordance with the Entrepreneurial Code, </w:t>
      </w:r>
      <w:r>
        <w:rPr>
          <w:rStyle w:val="FootnoteReference"/>
          <w:color w:val="000000" w:themeColor="text1"/>
        </w:rPr>
        <w:footnoteReference w:id="20"/>
      </w:r>
      <w:r w:rsidRPr="001529C7">
        <w:rPr>
          <w:color w:val="000000" w:themeColor="text1"/>
          <w:lang w:val="en"/>
        </w:rPr>
        <w:t>anti-monopoly authority is vested with competence to analyze state of competition in commodity markets. Analysis of state of competition in commodity markets is a key tool for implementing competition policy, that determines appropriate decisions on revealing market entities occupying dominant or monopolistic position, developing set of measures aimed at protecting and developing competition, preventing, limiting and suppressing monopolistic activities.</w:t>
      </w:r>
    </w:p>
    <w:p w14:paraId="7AD3358F" w14:textId="77777777" w:rsidR="00C93D57" w:rsidRPr="00A57506" w:rsidRDefault="004C4BA9" w:rsidP="00F411E1">
      <w:pPr>
        <w:tabs>
          <w:tab w:val="left" w:pos="993"/>
        </w:tabs>
        <w:rPr>
          <w:color w:val="000000" w:themeColor="text1"/>
          <w:lang w:val="en-US"/>
        </w:rPr>
      </w:pPr>
      <w:r w:rsidRPr="001529C7">
        <w:rPr>
          <w:color w:val="000000" w:themeColor="text1"/>
          <w:lang w:val="en"/>
        </w:rPr>
        <w:t>In total, more than 80 commodity market analyses were conducted in 2022. With that, in most cases, this includes unscheduled analysis of commodity markets conducted as prompt measures, which is due, inter alia, to execution of instructions related to January events, measures provided for by the Anti-Inflationary Response Package, as well as instructions from President's Administration, the Government of the Republic of Kazakhstan. In addition, unscheduled analyses of commodity markets were conducted on the basis of incoming requests from individuals and legal entities.</w:t>
      </w:r>
    </w:p>
    <w:p w14:paraId="13BAAB09" w14:textId="77777777" w:rsidR="00C93D57" w:rsidRPr="00A57506" w:rsidRDefault="004C4BA9" w:rsidP="00F411E1">
      <w:pPr>
        <w:tabs>
          <w:tab w:val="left" w:pos="993"/>
        </w:tabs>
        <w:ind w:right="140"/>
        <w:contextualSpacing/>
        <w:rPr>
          <w:iCs/>
          <w:color w:val="000000" w:themeColor="text1"/>
          <w:lang w:val="en-US"/>
        </w:rPr>
      </w:pPr>
      <w:r w:rsidRPr="001529C7">
        <w:rPr>
          <w:iCs/>
          <w:color w:val="000000" w:themeColor="text1"/>
          <w:lang w:val="en"/>
        </w:rPr>
        <w:t xml:space="preserve">It should be noted that in 2022, the Agency had conducted planned analysis for only 20 commodity markets: </w:t>
      </w:r>
    </w:p>
    <w:p w14:paraId="7B4023F3" w14:textId="77777777" w:rsidR="00C93D57" w:rsidRPr="00A57506" w:rsidRDefault="004C4BA9" w:rsidP="00EC0CAB">
      <w:pPr>
        <w:pStyle w:val="ListParagraph"/>
        <w:numPr>
          <w:ilvl w:val="0"/>
          <w:numId w:val="3"/>
        </w:numPr>
        <w:tabs>
          <w:tab w:val="left" w:pos="993"/>
          <w:tab w:val="left" w:pos="1134"/>
        </w:tabs>
        <w:ind w:left="0" w:right="140" w:firstLine="567"/>
        <w:rPr>
          <w:color w:val="000000" w:themeColor="text1"/>
          <w:lang w:val="en-US"/>
        </w:rPr>
      </w:pPr>
      <w:r w:rsidRPr="001529C7">
        <w:rPr>
          <w:color w:val="000000" w:themeColor="text1"/>
          <w:lang w:val="en"/>
        </w:rPr>
        <w:t>Wholesale market of petroleum products;</w:t>
      </w:r>
    </w:p>
    <w:p w14:paraId="66B01D82" w14:textId="77777777" w:rsidR="00C93D57" w:rsidRPr="00A57506" w:rsidRDefault="004C4BA9" w:rsidP="00EC0CAB">
      <w:pPr>
        <w:pStyle w:val="ListParagraph"/>
        <w:numPr>
          <w:ilvl w:val="0"/>
          <w:numId w:val="3"/>
        </w:numPr>
        <w:tabs>
          <w:tab w:val="left" w:pos="993"/>
          <w:tab w:val="left" w:pos="1134"/>
        </w:tabs>
        <w:ind w:left="0" w:right="140" w:firstLine="567"/>
        <w:rPr>
          <w:color w:val="000000" w:themeColor="text1"/>
          <w:lang w:val="en-US"/>
        </w:rPr>
      </w:pPr>
      <w:r w:rsidRPr="001529C7">
        <w:rPr>
          <w:color w:val="000000" w:themeColor="text1"/>
          <w:lang w:val="en"/>
        </w:rPr>
        <w:t>Retail market of petroleum products;</w:t>
      </w:r>
    </w:p>
    <w:p w14:paraId="0D68E45D"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lastRenderedPageBreak/>
        <w:t>Wholesale electricity market;</w:t>
      </w:r>
    </w:p>
    <w:p w14:paraId="0C0D78FD"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Retail electricity market;</w:t>
      </w:r>
    </w:p>
    <w:p w14:paraId="7BE73409"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Wholesale coal market;</w:t>
      </w:r>
    </w:p>
    <w:p w14:paraId="6FC42AF6"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Retail coal market;</w:t>
      </w:r>
    </w:p>
    <w:p w14:paraId="53B11C92" w14:textId="77777777" w:rsidR="00C93D57" w:rsidRPr="00A57506" w:rsidRDefault="004C4BA9" w:rsidP="00EC0CAB">
      <w:pPr>
        <w:pStyle w:val="ListParagraph"/>
        <w:numPr>
          <w:ilvl w:val="0"/>
          <w:numId w:val="3"/>
        </w:numPr>
        <w:tabs>
          <w:tab w:val="left" w:pos="993"/>
          <w:tab w:val="left" w:pos="1134"/>
        </w:tabs>
        <w:ind w:left="0" w:right="140" w:firstLine="567"/>
        <w:rPr>
          <w:color w:val="000000" w:themeColor="text1"/>
          <w:lang w:val="en-US"/>
        </w:rPr>
      </w:pPr>
      <w:r w:rsidRPr="001529C7">
        <w:rPr>
          <w:color w:val="000000" w:themeColor="text1"/>
          <w:lang w:val="en"/>
        </w:rPr>
        <w:t>Market of construction and installation services for connecting consumers to natural gas networks;</w:t>
      </w:r>
    </w:p>
    <w:p w14:paraId="4CA1FAF5" w14:textId="77777777" w:rsidR="00A05EA9" w:rsidRPr="00A57506" w:rsidRDefault="004C4BA9" w:rsidP="00EC0CAB">
      <w:pPr>
        <w:pStyle w:val="ListParagraph"/>
        <w:numPr>
          <w:ilvl w:val="0"/>
          <w:numId w:val="3"/>
        </w:numPr>
        <w:tabs>
          <w:tab w:val="left" w:pos="993"/>
          <w:tab w:val="left" w:pos="1134"/>
        </w:tabs>
        <w:ind w:left="0" w:right="140" w:firstLine="567"/>
        <w:rPr>
          <w:color w:val="000000" w:themeColor="text1"/>
          <w:lang w:val="en-US"/>
        </w:rPr>
      </w:pPr>
      <w:r w:rsidRPr="001529C7">
        <w:rPr>
          <w:color w:val="000000" w:themeColor="text1"/>
          <w:lang w:val="en"/>
        </w:rPr>
        <w:t>Market for technical, maintenance services and overhaul of locomotives;</w:t>
      </w:r>
    </w:p>
    <w:p w14:paraId="7D2574BF" w14:textId="77777777" w:rsidR="00A05EA9"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Railcar repair services market;</w:t>
      </w:r>
    </w:p>
    <w:p w14:paraId="20FCCB3C" w14:textId="77777777" w:rsidR="00A05EA9" w:rsidRPr="00A57506" w:rsidRDefault="004C4BA9" w:rsidP="00EC0CAB">
      <w:pPr>
        <w:pStyle w:val="ListParagraph"/>
        <w:numPr>
          <w:ilvl w:val="0"/>
          <w:numId w:val="3"/>
        </w:numPr>
        <w:tabs>
          <w:tab w:val="left" w:pos="993"/>
          <w:tab w:val="left" w:pos="1134"/>
        </w:tabs>
        <w:ind w:left="0" w:right="140" w:firstLine="567"/>
        <w:rPr>
          <w:iCs/>
          <w:color w:val="000000" w:themeColor="text1"/>
          <w:lang w:val="en-US"/>
        </w:rPr>
      </w:pPr>
      <w:r w:rsidRPr="001529C7">
        <w:rPr>
          <w:color w:val="000000" w:themeColor="text1"/>
          <w:lang w:val="en"/>
        </w:rPr>
        <w:t>Digital Terrestrial Broadcasting services market;</w:t>
      </w:r>
    </w:p>
    <w:p w14:paraId="1D0D7C6A" w14:textId="77777777" w:rsidR="00E96417" w:rsidRPr="001529C7" w:rsidRDefault="004C4BA9" w:rsidP="00EC0CAB">
      <w:pPr>
        <w:pStyle w:val="ListParagraph"/>
        <w:numPr>
          <w:ilvl w:val="0"/>
          <w:numId w:val="3"/>
        </w:numPr>
        <w:tabs>
          <w:tab w:val="left" w:pos="993"/>
          <w:tab w:val="left" w:pos="1134"/>
        </w:tabs>
        <w:ind w:left="0" w:right="140" w:firstLine="567"/>
        <w:rPr>
          <w:color w:val="000000" w:themeColor="text1"/>
          <w:lang w:val="kk-KZ"/>
        </w:rPr>
      </w:pPr>
      <w:r w:rsidRPr="001529C7">
        <w:rPr>
          <w:color w:val="000000" w:themeColor="text1"/>
          <w:lang w:val="en"/>
        </w:rPr>
        <w:t>Copper Sales Market;</w:t>
      </w:r>
    </w:p>
    <w:p w14:paraId="296AAA27" w14:textId="77777777" w:rsidR="00E9641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Lead Sales Market;</w:t>
      </w:r>
    </w:p>
    <w:p w14:paraId="7C0E641E" w14:textId="77777777" w:rsidR="00E9641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Zinc Sales Market;</w:t>
      </w:r>
    </w:p>
    <w:p w14:paraId="4F23DDD1" w14:textId="77777777" w:rsidR="00E9641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Aluminum Sales Market;</w:t>
      </w:r>
    </w:p>
    <w:p w14:paraId="2E016BC6"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Processed milk sales market;</w:t>
      </w:r>
    </w:p>
    <w:p w14:paraId="07906466"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Sugar sales market;</w:t>
      </w:r>
    </w:p>
    <w:p w14:paraId="49684BE2"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Medicines sales market;</w:t>
      </w:r>
    </w:p>
    <w:p w14:paraId="41340B19" w14:textId="77777777" w:rsidR="00C93D57" w:rsidRPr="001529C7" w:rsidRDefault="004C4BA9" w:rsidP="00EC0CAB">
      <w:pPr>
        <w:pStyle w:val="ListParagraph"/>
        <w:numPr>
          <w:ilvl w:val="0"/>
          <w:numId w:val="3"/>
        </w:numPr>
        <w:tabs>
          <w:tab w:val="left" w:pos="993"/>
          <w:tab w:val="left" w:pos="1134"/>
        </w:tabs>
        <w:ind w:left="0" w:right="140" w:firstLine="567"/>
        <w:rPr>
          <w:color w:val="000000" w:themeColor="text1"/>
          <w:lang w:val="kk-KZ"/>
        </w:rPr>
      </w:pPr>
      <w:r w:rsidRPr="001529C7">
        <w:rPr>
          <w:color w:val="000000" w:themeColor="text1"/>
          <w:lang w:val="en"/>
        </w:rPr>
        <w:t>Market of services for conducting PCR diagnostics of coronavirus infection;</w:t>
      </w:r>
    </w:p>
    <w:p w14:paraId="049A8A70" w14:textId="77777777" w:rsidR="00E96417" w:rsidRPr="00A57506" w:rsidRDefault="004C4BA9" w:rsidP="00EC0CAB">
      <w:pPr>
        <w:pStyle w:val="ListParagraph"/>
        <w:numPr>
          <w:ilvl w:val="0"/>
          <w:numId w:val="3"/>
        </w:numPr>
        <w:tabs>
          <w:tab w:val="left" w:pos="993"/>
          <w:tab w:val="left" w:pos="1134"/>
        </w:tabs>
        <w:ind w:left="0" w:right="140" w:firstLine="567"/>
        <w:rPr>
          <w:color w:val="000000" w:themeColor="text1"/>
          <w:lang w:val="en-US"/>
        </w:rPr>
      </w:pPr>
      <w:r w:rsidRPr="001529C7">
        <w:rPr>
          <w:color w:val="000000" w:themeColor="text1"/>
          <w:lang w:val="en"/>
        </w:rPr>
        <w:t>Market of services for collection, removal, sorting and disposal of solid waste;</w:t>
      </w:r>
    </w:p>
    <w:p w14:paraId="37BDA1B0" w14:textId="77777777" w:rsidR="00E64DF6" w:rsidRPr="001529C7" w:rsidRDefault="004C4BA9" w:rsidP="00EC0CAB">
      <w:pPr>
        <w:pStyle w:val="ListParagraph"/>
        <w:numPr>
          <w:ilvl w:val="0"/>
          <w:numId w:val="3"/>
        </w:numPr>
        <w:tabs>
          <w:tab w:val="left" w:pos="993"/>
          <w:tab w:val="left" w:pos="1134"/>
        </w:tabs>
        <w:ind w:left="0" w:right="140" w:firstLine="567"/>
        <w:rPr>
          <w:color w:val="000000" w:themeColor="text1"/>
        </w:rPr>
      </w:pPr>
      <w:r w:rsidRPr="001529C7">
        <w:rPr>
          <w:color w:val="000000" w:themeColor="text1"/>
          <w:lang w:val="en"/>
        </w:rPr>
        <w:t>Car lending services market.</w:t>
      </w:r>
    </w:p>
    <w:p w14:paraId="00F09CDB" w14:textId="77777777" w:rsidR="00277D7D" w:rsidRPr="00A57506" w:rsidRDefault="004C4BA9" w:rsidP="00EC0CAB">
      <w:pPr>
        <w:pStyle w:val="Heading2"/>
        <w:numPr>
          <w:ilvl w:val="1"/>
          <w:numId w:val="4"/>
        </w:numPr>
        <w:tabs>
          <w:tab w:val="left" w:pos="1134"/>
        </w:tabs>
        <w:spacing w:before="240" w:after="240"/>
        <w:ind w:firstLine="567"/>
        <w:rPr>
          <w:rFonts w:cs="Times New Roman"/>
          <w:szCs w:val="28"/>
          <w:lang w:val="en-US"/>
        </w:rPr>
      </w:pPr>
      <w:bookmarkStart w:id="34" w:name="_Toc142467906"/>
      <w:r w:rsidRPr="001529C7">
        <w:rPr>
          <w:rFonts w:cs="Times New Roman"/>
          <w:szCs w:val="28"/>
          <w:lang w:val="en"/>
        </w:rPr>
        <w:t>Wholesale and retail markets of petroleum products</w:t>
      </w:r>
      <w:bookmarkEnd w:id="34"/>
    </w:p>
    <w:p w14:paraId="29BE2EB7" w14:textId="77777777" w:rsidR="00DD044F" w:rsidRPr="00A57506" w:rsidRDefault="004C4BA9" w:rsidP="00DD044F">
      <w:pPr>
        <w:rPr>
          <w:color w:val="000000" w:themeColor="text1"/>
          <w:lang w:val="en-US"/>
        </w:rPr>
      </w:pPr>
      <w:r w:rsidRPr="001529C7">
        <w:rPr>
          <w:color w:val="000000" w:themeColor="text1"/>
          <w:lang w:val="en"/>
        </w:rPr>
        <w:t xml:space="preserve">Analysis of the wholesale and retail markets of petroleum products was carried out in accordance with the Agency's Work Plan for 2022 and covers certain types of fuel and energy-oriented petroleum products such as: gasoline RON-92 and RON-95, aviation and diesel fuel </w:t>
      </w:r>
      <w:r w:rsidRPr="001529C7">
        <w:rPr>
          <w:i/>
          <w:iCs/>
          <w:color w:val="000000" w:themeColor="text1"/>
          <w:sz w:val="24"/>
          <w:szCs w:val="24"/>
          <w:lang w:val="en"/>
        </w:rPr>
        <w:t>(hereinafter referred to as petroleum products).</w:t>
      </w:r>
      <w:r w:rsidRPr="001529C7">
        <w:rPr>
          <w:color w:val="000000" w:themeColor="text1"/>
          <w:lang w:val="en"/>
        </w:rPr>
        <w:t xml:space="preserve">  </w:t>
      </w:r>
    </w:p>
    <w:p w14:paraId="0012DBF5" w14:textId="77777777" w:rsidR="00DD044F" w:rsidRPr="00A57506" w:rsidRDefault="004C4BA9" w:rsidP="00DD044F">
      <w:pPr>
        <w:tabs>
          <w:tab w:val="clear" w:pos="567"/>
        </w:tabs>
        <w:rPr>
          <w:color w:val="000000" w:themeColor="text1"/>
          <w:lang w:val="en-US"/>
        </w:rPr>
      </w:pPr>
      <w:r w:rsidRPr="001529C7">
        <w:rPr>
          <w:color w:val="000000" w:themeColor="text1"/>
          <w:lang w:val="en"/>
        </w:rPr>
        <w:t xml:space="preserve">In accordance with the Law "On State Regulation of Manufacturing and Turnover of Specific Types of Oil Products", fuel oil and road bitumen also belong to certain types of petroleum products. Fuel oil has limited use as start-up fuel for heat and power plants, and therefore was not covered by the analysis. Road bitumen is used as construction material, and is not a fuel and energy commodity. </w:t>
      </w:r>
    </w:p>
    <w:p w14:paraId="6E8CEAD4" w14:textId="77777777" w:rsidR="00DD044F" w:rsidRPr="00A57506" w:rsidRDefault="004C4BA9" w:rsidP="00DD044F">
      <w:pPr>
        <w:pStyle w:val="ListParagraph"/>
        <w:tabs>
          <w:tab w:val="clear" w:pos="567"/>
        </w:tabs>
        <w:ind w:left="0"/>
        <w:rPr>
          <w:color w:val="000000" w:themeColor="text1"/>
          <w:lang w:val="en-US"/>
        </w:rPr>
      </w:pPr>
      <w:r w:rsidRPr="001529C7">
        <w:rPr>
          <w:color w:val="000000" w:themeColor="text1"/>
          <w:lang w:val="en"/>
        </w:rPr>
        <w:t xml:space="preserve">According to their properties and areas of use </w:t>
      </w:r>
      <w:r w:rsidRPr="001529C7">
        <w:rPr>
          <w:i/>
          <w:iCs/>
          <w:color w:val="000000" w:themeColor="text1"/>
          <w:sz w:val="24"/>
          <w:szCs w:val="24"/>
          <w:lang w:val="en"/>
        </w:rPr>
        <w:t>(groups of buyers)</w:t>
      </w:r>
      <w:r w:rsidRPr="001529C7">
        <w:rPr>
          <w:color w:val="000000" w:themeColor="text1"/>
          <w:lang w:val="en"/>
        </w:rPr>
        <w:t xml:space="preserve">, gasoline of RON-92 and RON-95 grades, diesel fuel </w:t>
      </w:r>
      <w:r w:rsidRPr="001529C7">
        <w:rPr>
          <w:i/>
          <w:iCs/>
          <w:color w:val="000000" w:themeColor="text1"/>
          <w:sz w:val="24"/>
          <w:szCs w:val="24"/>
          <w:lang w:val="en"/>
        </w:rPr>
        <w:t>(summer / winter)</w:t>
      </w:r>
      <w:r w:rsidRPr="001529C7">
        <w:rPr>
          <w:color w:val="000000" w:themeColor="text1"/>
          <w:lang w:val="en"/>
        </w:rPr>
        <w:t xml:space="preserve"> and jet fuel are not interchangeable. </w:t>
      </w:r>
    </w:p>
    <w:p w14:paraId="2F19BEA4" w14:textId="77777777" w:rsidR="00EF3931" w:rsidRPr="001529C7" w:rsidRDefault="004C4BA9" w:rsidP="00F411E1">
      <w:pPr>
        <w:ind w:firstLine="0"/>
        <w:rPr>
          <w:color w:val="000000" w:themeColor="text1"/>
        </w:rPr>
      </w:pPr>
      <w:r w:rsidRPr="001529C7">
        <w:rPr>
          <w:noProof/>
          <w:color w:val="000000" w:themeColor="text1"/>
        </w:rPr>
        <w:lastRenderedPageBreak/>
        <w:drawing>
          <wp:inline distT="0" distB="0" distL="0" distR="0" wp14:anchorId="25B8D1DF" wp14:editId="05BB9469">
            <wp:extent cx="6172200" cy="2248343"/>
            <wp:effectExtent l="0" t="0" r="0" b="0"/>
            <wp:docPr id="70" name="Диаграмма 70">
              <a:extLst xmlns:a="http://schemas.openxmlformats.org/drawingml/2006/main">
                <a:ext uri="{FF2B5EF4-FFF2-40B4-BE49-F238E27FC236}">
                  <a16:creationId xmlns:a16="http://schemas.microsoft.com/office/drawing/2014/main" id="{EF096D95-D50C-4C22-A7BA-1BE4D76BC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B36D94" w14:textId="77777777" w:rsidR="0023027E" w:rsidRPr="001529C7" w:rsidRDefault="0023027E" w:rsidP="00F411E1">
      <w:pPr>
        <w:pStyle w:val="Caption"/>
        <w:spacing w:after="0"/>
        <w:ind w:firstLine="0"/>
        <w:jc w:val="center"/>
        <w:rPr>
          <w:b w:val="0"/>
          <w:color w:val="000000" w:themeColor="text1"/>
          <w:sz w:val="28"/>
          <w:szCs w:val="28"/>
        </w:rPr>
      </w:pPr>
    </w:p>
    <w:p w14:paraId="437F6BA1" w14:textId="77777777" w:rsidR="0053755E" w:rsidRPr="00A57506" w:rsidRDefault="004C4BA9" w:rsidP="00F411E1">
      <w:pPr>
        <w:pStyle w:val="Caption"/>
        <w:spacing w:after="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w:t>
      </w:r>
      <w:r w:rsidRPr="001529C7">
        <w:rPr>
          <w:b w:val="0"/>
          <w:color w:val="000000" w:themeColor="text1"/>
          <w:sz w:val="28"/>
          <w:szCs w:val="28"/>
        </w:rPr>
        <w:fldChar w:fldCharType="end"/>
      </w:r>
      <w:r w:rsidRPr="001529C7">
        <w:rPr>
          <w:b w:val="0"/>
          <w:color w:val="000000" w:themeColor="text1"/>
          <w:sz w:val="28"/>
          <w:szCs w:val="28"/>
          <w:lang w:val="en"/>
        </w:rPr>
        <w:t>- Market balance for 2022, tons.</w:t>
      </w:r>
    </w:p>
    <w:p w14:paraId="0A50E76B" w14:textId="77777777" w:rsidR="0053755E" w:rsidRPr="00A57506" w:rsidRDefault="0053755E" w:rsidP="00F411E1">
      <w:pPr>
        <w:rPr>
          <w:color w:val="000000" w:themeColor="text1"/>
          <w:lang w:val="en-US"/>
        </w:rPr>
      </w:pPr>
    </w:p>
    <w:p w14:paraId="5CCAA4DF" w14:textId="77777777" w:rsidR="00DD044F" w:rsidRPr="00A57506" w:rsidRDefault="004C4BA9" w:rsidP="00DD044F">
      <w:pPr>
        <w:pStyle w:val="ListParagraph"/>
        <w:tabs>
          <w:tab w:val="clear" w:pos="567"/>
        </w:tabs>
        <w:ind w:left="0"/>
        <w:rPr>
          <w:color w:val="000000" w:themeColor="text1"/>
          <w:lang w:val="en-US"/>
        </w:rPr>
      </w:pPr>
      <w:r w:rsidRPr="001529C7">
        <w:rPr>
          <w:color w:val="000000" w:themeColor="text1"/>
          <w:lang w:val="en"/>
        </w:rPr>
        <w:t>All petroleum products are produced from crude oil prepared for processing, supplied by the same organizations. Thus, the largest market shares are accounted for by "Petrosun" LLP, "KMG" JSC and "Petrostar" LLP:</w:t>
      </w:r>
    </w:p>
    <w:p w14:paraId="6523F745" w14:textId="77777777" w:rsidR="009B206B" w:rsidRPr="00A57506" w:rsidRDefault="004C4BA9" w:rsidP="009B206B">
      <w:pPr>
        <w:rPr>
          <w:color w:val="000000" w:themeColor="text1"/>
          <w:lang w:val="en-US"/>
        </w:rPr>
      </w:pPr>
      <w:r w:rsidRPr="001529C7">
        <w:rPr>
          <w:color w:val="000000" w:themeColor="text1"/>
          <w:lang w:val="en"/>
        </w:rPr>
        <w:t>- gasoline RON-92: Petrosun LLP – 58.7%, NC KazMunayGas JSC - 32.6%;</w:t>
      </w:r>
    </w:p>
    <w:p w14:paraId="2FD2005D" w14:textId="77777777" w:rsidR="009B206B" w:rsidRPr="00A57506" w:rsidRDefault="004C4BA9" w:rsidP="009B206B">
      <w:pPr>
        <w:rPr>
          <w:color w:val="000000" w:themeColor="text1"/>
          <w:lang w:val="en-US"/>
        </w:rPr>
      </w:pPr>
      <w:r w:rsidRPr="001529C7">
        <w:rPr>
          <w:color w:val="000000" w:themeColor="text1"/>
          <w:lang w:val="en"/>
        </w:rPr>
        <w:t xml:space="preserve">- gasoline RON-95: LLP "Petrosun" – 47.3%, "NC KazMunayGas" JSC – 24.1%, "Petrostar" LLP – 16.5% </w:t>
      </w:r>
      <w:r w:rsidRPr="001529C7">
        <w:rPr>
          <w:i/>
          <w:color w:val="000000" w:themeColor="text1"/>
          <w:sz w:val="24"/>
          <w:lang w:val="en"/>
        </w:rPr>
        <w:t>(Figure 11).</w:t>
      </w:r>
    </w:p>
    <w:p w14:paraId="2664B1A6" w14:textId="77777777" w:rsidR="00EF3931" w:rsidRPr="001529C7" w:rsidRDefault="004C4BA9" w:rsidP="00F411E1">
      <w:pPr>
        <w:ind w:firstLine="0"/>
        <w:rPr>
          <w:color w:val="000000" w:themeColor="text1"/>
        </w:rPr>
      </w:pPr>
      <w:r w:rsidRPr="001529C7">
        <w:rPr>
          <w:noProof/>
          <w:color w:val="000000" w:themeColor="text1"/>
        </w:rPr>
        <w:drawing>
          <wp:inline distT="0" distB="0" distL="0" distR="0" wp14:anchorId="5478382A" wp14:editId="4D498835">
            <wp:extent cx="5975350" cy="1889185"/>
            <wp:effectExtent l="0" t="0" r="6350" b="0"/>
            <wp:docPr id="71" name="Диаграмма 71">
              <a:extLst xmlns:a="http://schemas.openxmlformats.org/drawingml/2006/main">
                <a:ext uri="{FF2B5EF4-FFF2-40B4-BE49-F238E27FC236}">
                  <a16:creationId xmlns:a16="http://schemas.microsoft.com/office/drawing/2014/main" id="{A37D5D81-379E-45F1-BDF7-6A8DC5B99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FFFA2D" w14:textId="77777777" w:rsidR="002F4E08" w:rsidRPr="001529C7" w:rsidRDefault="002F4E08" w:rsidP="00F411E1">
      <w:pPr>
        <w:pStyle w:val="Caption"/>
        <w:spacing w:after="0"/>
        <w:ind w:firstLine="0"/>
        <w:jc w:val="center"/>
        <w:rPr>
          <w:b w:val="0"/>
          <w:color w:val="000000" w:themeColor="text1"/>
          <w:sz w:val="28"/>
          <w:szCs w:val="28"/>
        </w:rPr>
      </w:pPr>
    </w:p>
    <w:p w14:paraId="1A2D9E7D" w14:textId="77777777" w:rsidR="002F4E08" w:rsidRPr="00A57506" w:rsidRDefault="004C4BA9" w:rsidP="00F411E1">
      <w:pPr>
        <w:pStyle w:val="Caption"/>
        <w:spacing w:after="0"/>
        <w:ind w:firstLine="0"/>
        <w:jc w:val="center"/>
        <w:rPr>
          <w:b w:val="0"/>
          <w:color w:val="000000" w:themeColor="text1"/>
          <w:sz w:val="28"/>
          <w:szCs w:val="28"/>
          <w:lang w:val="en-US"/>
        </w:rPr>
      </w:pPr>
      <w:r w:rsidRPr="002D204A">
        <w:rPr>
          <w:b w:val="0"/>
          <w:color w:val="000000" w:themeColor="text1"/>
          <w:sz w:val="28"/>
          <w:szCs w:val="28"/>
          <w:lang w:val="en"/>
        </w:rPr>
        <w:t xml:space="preserve">Fig. </w:t>
      </w:r>
      <w:r w:rsidRPr="002D204A">
        <w:rPr>
          <w:b w:val="0"/>
          <w:color w:val="000000" w:themeColor="text1"/>
          <w:sz w:val="28"/>
          <w:szCs w:val="28"/>
        </w:rPr>
        <w:fldChar w:fldCharType="begin"/>
      </w:r>
      <w:r w:rsidRPr="002D204A">
        <w:rPr>
          <w:b w:val="0"/>
          <w:color w:val="000000" w:themeColor="text1"/>
          <w:sz w:val="28"/>
          <w:szCs w:val="28"/>
          <w:lang w:val="en"/>
        </w:rPr>
        <w:instrText xml:space="preserve"> SEQ Рис. \* ARABIC </w:instrText>
      </w:r>
      <w:r w:rsidRPr="002D204A">
        <w:rPr>
          <w:b w:val="0"/>
          <w:color w:val="000000" w:themeColor="text1"/>
          <w:sz w:val="28"/>
          <w:szCs w:val="28"/>
        </w:rPr>
        <w:fldChar w:fldCharType="separate"/>
      </w:r>
      <w:r w:rsidRPr="002D204A">
        <w:rPr>
          <w:b w:val="0"/>
          <w:color w:val="000000" w:themeColor="text1"/>
          <w:sz w:val="28"/>
          <w:szCs w:val="28"/>
          <w:lang w:val="en"/>
        </w:rPr>
        <w:t>2</w:t>
      </w:r>
      <w:r w:rsidRPr="002D204A">
        <w:rPr>
          <w:b w:val="0"/>
          <w:color w:val="000000" w:themeColor="text1"/>
          <w:sz w:val="28"/>
          <w:szCs w:val="28"/>
        </w:rPr>
        <w:fldChar w:fldCharType="end"/>
      </w:r>
      <w:r w:rsidRPr="002D204A">
        <w:rPr>
          <w:b w:val="0"/>
          <w:color w:val="000000" w:themeColor="text1"/>
          <w:sz w:val="28"/>
          <w:szCs w:val="28"/>
          <w:lang w:val="en"/>
        </w:rPr>
        <w:t xml:space="preserve">- Shares of wholesale sellers of gasoline for the period </w:t>
      </w:r>
    </w:p>
    <w:p w14:paraId="6325EAEA" w14:textId="77777777" w:rsidR="002F4E08" w:rsidRPr="00A57506" w:rsidRDefault="004C4BA9" w:rsidP="00F411E1">
      <w:pPr>
        <w:pStyle w:val="Caption"/>
        <w:spacing w:after="0"/>
        <w:ind w:firstLine="0"/>
        <w:jc w:val="center"/>
        <w:rPr>
          <w:b w:val="0"/>
          <w:color w:val="000000" w:themeColor="text1"/>
          <w:sz w:val="28"/>
          <w:szCs w:val="28"/>
          <w:lang w:val="en-US"/>
        </w:rPr>
      </w:pPr>
      <w:r w:rsidRPr="002D204A">
        <w:rPr>
          <w:b w:val="0"/>
          <w:color w:val="000000" w:themeColor="text1"/>
          <w:sz w:val="28"/>
          <w:szCs w:val="28"/>
          <w:lang w:val="en"/>
        </w:rPr>
        <w:t>from October 2021 to September 2022, %.</w:t>
      </w:r>
    </w:p>
    <w:p w14:paraId="40B1F41D" w14:textId="77777777" w:rsidR="002F4E08" w:rsidRPr="00A57506" w:rsidRDefault="002F4E08" w:rsidP="00F411E1">
      <w:pPr>
        <w:ind w:firstLine="0"/>
        <w:rPr>
          <w:color w:val="000000" w:themeColor="text1"/>
          <w:lang w:val="en-US"/>
        </w:rPr>
      </w:pPr>
    </w:p>
    <w:p w14:paraId="05EEE5F7" w14:textId="77777777" w:rsidR="00F84815" w:rsidRPr="00A57506" w:rsidRDefault="004C4BA9" w:rsidP="00F411E1">
      <w:pPr>
        <w:rPr>
          <w:color w:val="000000" w:themeColor="text1"/>
          <w:lang w:val="en-US"/>
        </w:rPr>
      </w:pPr>
      <w:r w:rsidRPr="001529C7">
        <w:rPr>
          <w:color w:val="000000" w:themeColor="text1"/>
          <w:lang w:val="en"/>
        </w:rPr>
        <w:t xml:space="preserve">Jet fuel: Petrosun LLP - 56.8% share; NC KazMunayGas JSC - 24% share </w:t>
      </w:r>
      <w:r w:rsidR="004B2364" w:rsidRPr="001529C7">
        <w:rPr>
          <w:i/>
          <w:color w:val="000000" w:themeColor="text1"/>
          <w:sz w:val="24"/>
          <w:lang w:val="en"/>
        </w:rPr>
        <w:t>(Figure 12).</w:t>
      </w:r>
    </w:p>
    <w:p w14:paraId="38F8D7A6" w14:textId="77777777" w:rsidR="00F84815" w:rsidRPr="001529C7" w:rsidRDefault="004C4BA9" w:rsidP="00F411E1">
      <w:pPr>
        <w:ind w:firstLine="0"/>
        <w:rPr>
          <w:color w:val="000000" w:themeColor="text1"/>
        </w:rPr>
      </w:pPr>
      <w:r w:rsidRPr="001529C7">
        <w:rPr>
          <w:noProof/>
          <w:color w:val="000000" w:themeColor="text1"/>
        </w:rPr>
        <w:drawing>
          <wp:inline distT="0" distB="0" distL="0" distR="0" wp14:anchorId="26CE5C45" wp14:editId="40EAA26D">
            <wp:extent cx="6067425" cy="1406105"/>
            <wp:effectExtent l="0" t="0" r="0" b="3810"/>
            <wp:docPr id="72" name="Диаграмма 72">
              <a:extLst xmlns:a="http://schemas.openxmlformats.org/drawingml/2006/main">
                <a:ext uri="{FF2B5EF4-FFF2-40B4-BE49-F238E27FC236}">
                  <a16:creationId xmlns:a16="http://schemas.microsoft.com/office/drawing/2014/main" id="{DE27F486-79F6-424B-95AB-14D4FADF8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75C782" w14:textId="77777777" w:rsidR="004B2364" w:rsidRPr="001529C7" w:rsidRDefault="004B2364" w:rsidP="00F411E1">
      <w:pPr>
        <w:pStyle w:val="Caption"/>
        <w:spacing w:after="0"/>
        <w:ind w:firstLine="0"/>
        <w:jc w:val="center"/>
        <w:rPr>
          <w:b w:val="0"/>
          <w:color w:val="000000" w:themeColor="text1"/>
          <w:sz w:val="28"/>
          <w:szCs w:val="28"/>
        </w:rPr>
      </w:pPr>
    </w:p>
    <w:p w14:paraId="6A7395A6" w14:textId="77777777" w:rsidR="00F84815" w:rsidRPr="00A57506" w:rsidRDefault="004C4BA9" w:rsidP="00F411E1">
      <w:pPr>
        <w:pStyle w:val="Caption"/>
        <w:spacing w:after="0"/>
        <w:ind w:firstLine="0"/>
        <w:jc w:val="center"/>
        <w:rPr>
          <w:b w:val="0"/>
          <w:color w:val="000000" w:themeColor="text1"/>
          <w:sz w:val="28"/>
          <w:szCs w:val="28"/>
          <w:lang w:val="en-US"/>
        </w:rPr>
      </w:pPr>
      <w:r w:rsidRPr="001529C7">
        <w:rPr>
          <w:b w:val="0"/>
          <w:color w:val="000000" w:themeColor="text1"/>
          <w:sz w:val="28"/>
          <w:szCs w:val="28"/>
          <w:lang w:val="en"/>
        </w:rPr>
        <w:lastRenderedPageBreak/>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3</w:t>
      </w:r>
      <w:r w:rsidRPr="001529C7">
        <w:rPr>
          <w:b w:val="0"/>
          <w:color w:val="000000" w:themeColor="text1"/>
          <w:sz w:val="28"/>
          <w:szCs w:val="28"/>
        </w:rPr>
        <w:fldChar w:fldCharType="end"/>
      </w:r>
      <w:r w:rsidRPr="001529C7">
        <w:rPr>
          <w:b w:val="0"/>
          <w:color w:val="000000" w:themeColor="text1"/>
          <w:sz w:val="28"/>
          <w:szCs w:val="28"/>
          <w:lang w:val="en"/>
        </w:rPr>
        <w:t>- Shares of jet fuel wholesale sellers, %.</w:t>
      </w:r>
    </w:p>
    <w:p w14:paraId="6F40EFD2" w14:textId="77777777" w:rsidR="004B2364" w:rsidRPr="00A57506" w:rsidRDefault="004B2364" w:rsidP="00F411E1">
      <w:pPr>
        <w:rPr>
          <w:lang w:val="en-US"/>
        </w:rPr>
      </w:pPr>
    </w:p>
    <w:p w14:paraId="293D486C" w14:textId="77777777" w:rsidR="004B2364" w:rsidRPr="007F61A3" w:rsidRDefault="004C4BA9" w:rsidP="00F411E1">
      <w:pPr>
        <w:rPr>
          <w:color w:val="000000" w:themeColor="text1"/>
          <w:lang w:val="en-US"/>
        </w:rPr>
      </w:pPr>
      <w:r w:rsidRPr="001529C7">
        <w:rPr>
          <w:color w:val="000000" w:themeColor="text1"/>
          <w:lang w:val="en"/>
        </w:rPr>
        <w:t>Diesel</w:t>
      </w:r>
      <w:r w:rsidRPr="007F61A3">
        <w:rPr>
          <w:color w:val="000000" w:themeColor="text1"/>
          <w:lang w:val="en-US"/>
        </w:rPr>
        <w:t xml:space="preserve"> </w:t>
      </w:r>
      <w:r w:rsidRPr="001529C7">
        <w:rPr>
          <w:color w:val="000000" w:themeColor="text1"/>
          <w:lang w:val="en"/>
        </w:rPr>
        <w:t>fuel</w:t>
      </w:r>
      <w:r w:rsidRPr="007F61A3">
        <w:rPr>
          <w:color w:val="000000" w:themeColor="text1"/>
          <w:lang w:val="en-US"/>
        </w:rPr>
        <w:t xml:space="preserve">: </w:t>
      </w:r>
      <w:r w:rsidRPr="001529C7">
        <w:rPr>
          <w:color w:val="000000" w:themeColor="text1"/>
          <w:lang w:val="en"/>
        </w:rPr>
        <w:t>Petrosun</w:t>
      </w:r>
      <w:r w:rsidRPr="007F61A3">
        <w:rPr>
          <w:color w:val="000000" w:themeColor="text1"/>
          <w:lang w:val="en-US"/>
        </w:rPr>
        <w:t xml:space="preserve"> </w:t>
      </w:r>
      <w:r w:rsidRPr="001529C7">
        <w:rPr>
          <w:color w:val="000000" w:themeColor="text1"/>
          <w:lang w:val="en"/>
        </w:rPr>
        <w:t>LLP</w:t>
      </w:r>
      <w:r w:rsidRPr="007F61A3">
        <w:rPr>
          <w:color w:val="000000" w:themeColor="text1"/>
          <w:lang w:val="en-US"/>
        </w:rPr>
        <w:t xml:space="preserve"> - 51.1%, </w:t>
      </w:r>
      <w:r w:rsidRPr="001529C7">
        <w:rPr>
          <w:color w:val="000000" w:themeColor="text1"/>
          <w:lang w:val="en"/>
        </w:rPr>
        <w:t>NC</w:t>
      </w:r>
      <w:r w:rsidRPr="007F61A3">
        <w:rPr>
          <w:color w:val="000000" w:themeColor="text1"/>
          <w:lang w:val="en-US"/>
        </w:rPr>
        <w:t xml:space="preserve"> </w:t>
      </w:r>
      <w:r w:rsidRPr="001529C7">
        <w:rPr>
          <w:color w:val="000000" w:themeColor="text1"/>
          <w:lang w:val="en"/>
        </w:rPr>
        <w:t>KazMunayGas</w:t>
      </w:r>
      <w:r w:rsidRPr="007F61A3">
        <w:rPr>
          <w:color w:val="000000" w:themeColor="text1"/>
          <w:lang w:val="en-US"/>
        </w:rPr>
        <w:t xml:space="preserve"> </w:t>
      </w:r>
      <w:r w:rsidRPr="001529C7">
        <w:rPr>
          <w:color w:val="000000" w:themeColor="text1"/>
          <w:lang w:val="en"/>
        </w:rPr>
        <w:t>JSC</w:t>
      </w:r>
      <w:r w:rsidRPr="007F61A3">
        <w:rPr>
          <w:color w:val="000000" w:themeColor="text1"/>
          <w:lang w:val="en-US"/>
        </w:rPr>
        <w:t xml:space="preserve"> - 29.9% </w:t>
      </w:r>
      <w:r w:rsidRPr="007F61A3">
        <w:rPr>
          <w:i/>
          <w:color w:val="000000" w:themeColor="text1"/>
          <w:sz w:val="24"/>
          <w:lang w:val="en-US"/>
        </w:rPr>
        <w:t>(</w:t>
      </w:r>
      <w:r w:rsidRPr="001529C7">
        <w:rPr>
          <w:i/>
          <w:color w:val="000000" w:themeColor="text1"/>
          <w:sz w:val="24"/>
          <w:lang w:val="en"/>
        </w:rPr>
        <w:t>Figure</w:t>
      </w:r>
      <w:r w:rsidRPr="007F61A3">
        <w:rPr>
          <w:i/>
          <w:color w:val="000000" w:themeColor="text1"/>
          <w:sz w:val="24"/>
          <w:lang w:val="en-US"/>
        </w:rPr>
        <w:t xml:space="preserve"> 13).</w:t>
      </w:r>
    </w:p>
    <w:p w14:paraId="2F1017E6" w14:textId="77777777" w:rsidR="004B2364" w:rsidRPr="007F61A3" w:rsidRDefault="004B2364" w:rsidP="00F411E1">
      <w:pPr>
        <w:rPr>
          <w:lang w:val="en-US"/>
        </w:rPr>
      </w:pPr>
    </w:p>
    <w:p w14:paraId="1771A308" w14:textId="77777777" w:rsidR="00EF3931" w:rsidRPr="001529C7" w:rsidRDefault="004C4BA9" w:rsidP="00F411E1">
      <w:pPr>
        <w:ind w:firstLine="0"/>
        <w:rPr>
          <w:color w:val="000000" w:themeColor="text1"/>
        </w:rPr>
      </w:pPr>
      <w:r w:rsidRPr="001529C7">
        <w:rPr>
          <w:noProof/>
          <w:color w:val="000000" w:themeColor="text1"/>
        </w:rPr>
        <w:drawing>
          <wp:inline distT="0" distB="0" distL="0" distR="0" wp14:anchorId="56C8A351" wp14:editId="6CD8D4EF">
            <wp:extent cx="6086475" cy="1362974"/>
            <wp:effectExtent l="0" t="0" r="0" b="8890"/>
            <wp:docPr id="73" name="Диаграмма 73">
              <a:extLst xmlns:a="http://schemas.openxmlformats.org/drawingml/2006/main">
                <a:ext uri="{FF2B5EF4-FFF2-40B4-BE49-F238E27FC236}">
                  <a16:creationId xmlns:a16="http://schemas.microsoft.com/office/drawing/2014/main" id="{DE27F486-79F6-424B-95AB-14D4FADF8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882087" w14:textId="77777777" w:rsidR="004B2364" w:rsidRPr="001529C7" w:rsidRDefault="004B2364" w:rsidP="00F411E1">
      <w:pPr>
        <w:ind w:firstLine="0"/>
        <w:rPr>
          <w:color w:val="000000" w:themeColor="text1"/>
        </w:rPr>
      </w:pPr>
    </w:p>
    <w:p w14:paraId="6A54C4D7" w14:textId="77777777" w:rsidR="004B2364" w:rsidRPr="00A57506" w:rsidRDefault="004C4BA9" w:rsidP="00F411E1">
      <w:pPr>
        <w:pStyle w:val="Caption"/>
        <w:spacing w:after="0"/>
        <w:ind w:firstLine="0"/>
        <w:jc w:val="center"/>
        <w:rPr>
          <w:b w:val="0"/>
          <w:color w:val="000000" w:themeColor="text1"/>
          <w:sz w:val="28"/>
          <w:szCs w:val="28"/>
          <w:lang w:val="en-US"/>
        </w:rPr>
      </w:pPr>
      <w:r w:rsidRPr="001529C7">
        <w:rPr>
          <w:b w:val="0"/>
          <w:color w:val="000000" w:themeColor="text1"/>
          <w:sz w:val="28"/>
          <w:szCs w:val="28"/>
          <w:lang w:val="en"/>
        </w:rPr>
        <w:t>Fig.</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4</w:t>
      </w:r>
      <w:r w:rsidRPr="001529C7">
        <w:rPr>
          <w:b w:val="0"/>
          <w:color w:val="000000" w:themeColor="text1"/>
          <w:sz w:val="28"/>
          <w:szCs w:val="28"/>
        </w:rPr>
        <w:fldChar w:fldCharType="end"/>
      </w:r>
      <w:r w:rsidRPr="001529C7">
        <w:rPr>
          <w:b w:val="0"/>
          <w:color w:val="000000" w:themeColor="text1"/>
          <w:sz w:val="28"/>
          <w:szCs w:val="28"/>
          <w:lang w:val="en"/>
        </w:rPr>
        <w:t xml:space="preserve"> - Shares of diesel fuel wholesale sellers, %.</w:t>
      </w:r>
    </w:p>
    <w:p w14:paraId="5110583A" w14:textId="77777777" w:rsidR="00C20C2C" w:rsidRPr="00A57506" w:rsidRDefault="00C20C2C" w:rsidP="00F411E1">
      <w:pPr>
        <w:rPr>
          <w:color w:val="000000" w:themeColor="text1"/>
          <w:lang w:val="en-US"/>
        </w:rPr>
      </w:pPr>
    </w:p>
    <w:p w14:paraId="7B158707" w14:textId="77777777" w:rsidR="00DD044F" w:rsidRPr="00A57506" w:rsidRDefault="004C4BA9" w:rsidP="00DD044F">
      <w:pPr>
        <w:rPr>
          <w:color w:val="000000" w:themeColor="text1"/>
          <w:lang w:val="en-US"/>
        </w:rPr>
      </w:pPr>
      <w:r w:rsidRPr="001529C7">
        <w:rPr>
          <w:color w:val="000000" w:themeColor="text1"/>
          <w:lang w:val="en"/>
        </w:rPr>
        <w:t>Compared to earlier analysis of commodity market, for the period from September 2021 to September 2022, the number of market entities increased from 36 to 55.</w:t>
      </w:r>
    </w:p>
    <w:p w14:paraId="03EA0F35" w14:textId="77777777" w:rsidR="00EF3931" w:rsidRPr="00A57506" w:rsidRDefault="004C4BA9" w:rsidP="00F411E1">
      <w:pPr>
        <w:rPr>
          <w:color w:val="000000" w:themeColor="text1"/>
          <w:lang w:val="en-US"/>
        </w:rPr>
      </w:pPr>
      <w:r w:rsidRPr="001529C7">
        <w:rPr>
          <w:color w:val="000000" w:themeColor="text1"/>
          <w:lang w:val="en"/>
        </w:rPr>
        <w:t xml:space="preserve">With that, for RON-95 gasoline </w:t>
      </w:r>
      <w:r w:rsidRPr="001529C7">
        <w:rPr>
          <w:i/>
          <w:color w:val="000000" w:themeColor="text1"/>
          <w:sz w:val="24"/>
          <w:lang w:val="en"/>
        </w:rPr>
        <w:t>(non-regulated price)</w:t>
      </w:r>
      <w:r w:rsidRPr="001529C7">
        <w:rPr>
          <w:color w:val="000000" w:themeColor="text1"/>
          <w:lang w:val="en"/>
        </w:rPr>
        <w:t>, there is a market deconcentration, due to new market entity, Petrostar LLP, which occupies a market share of 16%.</w:t>
      </w:r>
    </w:p>
    <w:p w14:paraId="45561AE0" w14:textId="77777777" w:rsidR="00EF3931" w:rsidRPr="00A57506" w:rsidRDefault="004C4BA9" w:rsidP="00F411E1">
      <w:pPr>
        <w:rPr>
          <w:color w:val="000000" w:themeColor="text1"/>
          <w:lang w:val="en-US"/>
        </w:rPr>
      </w:pPr>
      <w:r w:rsidRPr="001529C7">
        <w:rPr>
          <w:color w:val="000000" w:themeColor="text1"/>
          <w:lang w:val="en"/>
        </w:rPr>
        <w:t xml:space="preserve">During the analysis, dynamics of prices for petroleum products from two large wholesale distributors - "Petrosun" LLP and "KazMunayGas" JSC was studied. </w:t>
      </w:r>
    </w:p>
    <w:p w14:paraId="1351ED2D" w14:textId="77777777" w:rsidR="004B2364" w:rsidRPr="00A57506" w:rsidRDefault="004B2364" w:rsidP="00F411E1">
      <w:pPr>
        <w:rPr>
          <w:color w:val="000000" w:themeColor="text1"/>
          <w:lang w:val="en-US"/>
        </w:rPr>
      </w:pPr>
    </w:p>
    <w:p w14:paraId="49049D1B" w14:textId="0D7BD20A" w:rsidR="00EF3931" w:rsidRPr="001529C7" w:rsidRDefault="006579CB" w:rsidP="00F411E1">
      <w:pPr>
        <w:ind w:firstLine="0"/>
        <w:rPr>
          <w:color w:val="000000" w:themeColor="text1"/>
        </w:rPr>
      </w:pPr>
      <w:r w:rsidRPr="00C81570">
        <w:rPr>
          <w:noProof/>
          <w:color w:val="000000" w:themeColor="text1"/>
        </w:rPr>
        <w:drawing>
          <wp:inline distT="0" distB="0" distL="0" distR="0" wp14:anchorId="62358101" wp14:editId="64F346B5">
            <wp:extent cx="6119495" cy="1996166"/>
            <wp:effectExtent l="0" t="0" r="14605" b="4445"/>
            <wp:docPr id="35" name="Диаграмма 10">
              <a:extLst xmlns:a="http://schemas.openxmlformats.org/drawingml/2006/main">
                <a:ext uri="{FF2B5EF4-FFF2-40B4-BE49-F238E27FC236}">
                  <a16:creationId xmlns:a16="http://schemas.microsoft.com/office/drawing/2014/main" id="{6E60D313-877A-442B-AEBB-D6445C1D5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0BF2C5" w14:textId="77777777" w:rsidR="00EF3931" w:rsidRPr="001529C7" w:rsidRDefault="00EF3931" w:rsidP="00F411E1">
      <w:pPr>
        <w:ind w:firstLine="0"/>
        <w:rPr>
          <w:color w:val="000000" w:themeColor="text1"/>
        </w:rPr>
      </w:pPr>
    </w:p>
    <w:p w14:paraId="526D40DD" w14:textId="77777777" w:rsidR="00C20C2C" w:rsidRPr="00A57506" w:rsidRDefault="004C4BA9" w:rsidP="00DD044F">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5</w:t>
      </w:r>
      <w:r w:rsidRPr="001529C7">
        <w:rPr>
          <w:b w:val="0"/>
          <w:color w:val="000000" w:themeColor="text1"/>
          <w:sz w:val="28"/>
          <w:szCs w:val="28"/>
        </w:rPr>
        <w:fldChar w:fldCharType="end"/>
      </w:r>
      <w:r w:rsidRPr="001529C7">
        <w:rPr>
          <w:b w:val="0"/>
          <w:color w:val="000000" w:themeColor="text1"/>
          <w:sz w:val="28"/>
          <w:szCs w:val="28"/>
          <w:lang w:val="en"/>
        </w:rPr>
        <w:t>– Price of diesel fuel, KZT / ton.</w:t>
      </w:r>
    </w:p>
    <w:p w14:paraId="445E3B32" w14:textId="77777777" w:rsidR="00DD044F" w:rsidRPr="00A57506" w:rsidRDefault="004C4BA9" w:rsidP="00DD044F">
      <w:pPr>
        <w:rPr>
          <w:color w:val="000000" w:themeColor="text1"/>
          <w:lang w:val="en-US"/>
        </w:rPr>
      </w:pPr>
      <w:r w:rsidRPr="001529C7">
        <w:rPr>
          <w:color w:val="000000" w:themeColor="text1"/>
          <w:lang w:val="en"/>
        </w:rPr>
        <w:t xml:space="preserve">In general, wholesale market for sale of petroleum products is characterized as highly </w:t>
      </w:r>
      <w:r w:rsidRPr="002D204A">
        <w:rPr>
          <w:b/>
          <w:bCs/>
          <w:i/>
          <w:iCs/>
          <w:color w:val="000000" w:themeColor="text1"/>
          <w:lang w:val="en"/>
        </w:rPr>
        <w:t>concentrated</w:t>
      </w:r>
      <w:r w:rsidRPr="001529C7">
        <w:rPr>
          <w:color w:val="000000" w:themeColor="text1"/>
          <w:lang w:val="en"/>
        </w:rPr>
        <w:t>:</w:t>
      </w:r>
    </w:p>
    <w:p w14:paraId="6E11CFFE" w14:textId="77777777" w:rsidR="00DD044F" w:rsidRPr="00A57506" w:rsidRDefault="004C4BA9" w:rsidP="00DD044F">
      <w:pPr>
        <w:rPr>
          <w:bCs/>
          <w:color w:val="000000" w:themeColor="text1"/>
          <w:lang w:val="en-US"/>
        </w:rPr>
      </w:pPr>
      <w:r w:rsidRPr="001529C7">
        <w:rPr>
          <w:bCs/>
          <w:color w:val="000000" w:themeColor="text1"/>
          <w:lang w:val="en"/>
        </w:rPr>
        <w:t xml:space="preserve">Gasoline RON-92: CR-3: 91.3%, </w:t>
      </w:r>
      <w:r w:rsidRPr="001529C7">
        <w:rPr>
          <w:bCs/>
          <w:i/>
          <w:iCs/>
          <w:color w:val="000000" w:themeColor="text1"/>
          <w:sz w:val="24"/>
          <w:lang w:val="en"/>
        </w:rPr>
        <w:t>Herfindahl-Hirschman Index (hereinafter – HHI):</w:t>
      </w:r>
      <w:r w:rsidRPr="001529C7">
        <w:rPr>
          <w:bCs/>
          <w:color w:val="000000" w:themeColor="text1"/>
          <w:lang w:val="en"/>
        </w:rPr>
        <w:t xml:space="preserve"> 2000 &lt;4513.53&lt;10000. </w:t>
      </w:r>
    </w:p>
    <w:p w14:paraId="3C653384" w14:textId="77777777" w:rsidR="00DD044F" w:rsidRPr="00A57506" w:rsidRDefault="004C4BA9" w:rsidP="00DD044F">
      <w:pPr>
        <w:rPr>
          <w:bCs/>
          <w:color w:val="000000" w:themeColor="text1"/>
          <w:lang w:val="it-IT"/>
        </w:rPr>
      </w:pPr>
      <w:r w:rsidRPr="00A57506">
        <w:rPr>
          <w:bCs/>
          <w:color w:val="000000" w:themeColor="text1"/>
          <w:lang w:val="it-IT"/>
        </w:rPr>
        <w:t xml:space="preserve">Gasoline RON-95: CR-3: 87.9%, HHI: 2000 &lt;4625&lt;10000. </w:t>
      </w:r>
    </w:p>
    <w:p w14:paraId="11762CB1" w14:textId="77777777" w:rsidR="00DD044F" w:rsidRPr="00A57506" w:rsidRDefault="004C4BA9" w:rsidP="00DD044F">
      <w:pPr>
        <w:rPr>
          <w:bCs/>
          <w:color w:val="000000" w:themeColor="text1"/>
          <w:lang w:val="it-IT"/>
        </w:rPr>
      </w:pPr>
      <w:r w:rsidRPr="00A57506">
        <w:rPr>
          <w:bCs/>
          <w:color w:val="000000" w:themeColor="text1"/>
          <w:lang w:val="it-IT"/>
        </w:rPr>
        <w:t xml:space="preserve">Diesel </w:t>
      </w:r>
      <w:proofErr w:type="spellStart"/>
      <w:r w:rsidRPr="00A22DA1">
        <w:rPr>
          <w:bCs/>
          <w:color w:val="000000" w:themeColor="text1"/>
          <w:lang w:val="it-IT"/>
        </w:rPr>
        <w:t>fuel</w:t>
      </w:r>
      <w:proofErr w:type="spellEnd"/>
      <w:r w:rsidRPr="00A57506">
        <w:rPr>
          <w:bCs/>
          <w:color w:val="000000" w:themeColor="text1"/>
          <w:lang w:val="it-IT"/>
        </w:rPr>
        <w:t xml:space="preserve">: CR-3: 81%, HHI: 2000 &lt;3497.5&lt;10000. </w:t>
      </w:r>
    </w:p>
    <w:p w14:paraId="7D9D3EB1" w14:textId="77777777" w:rsidR="00DD044F" w:rsidRPr="00A57506" w:rsidRDefault="004C4BA9" w:rsidP="00DD044F">
      <w:pPr>
        <w:rPr>
          <w:bCs/>
          <w:color w:val="000000" w:themeColor="text1"/>
          <w:lang w:val="en-US"/>
        </w:rPr>
      </w:pPr>
      <w:r w:rsidRPr="001529C7">
        <w:rPr>
          <w:bCs/>
          <w:color w:val="000000" w:themeColor="text1"/>
          <w:lang w:val="en"/>
        </w:rPr>
        <w:t xml:space="preserve">Jet fuel: CR-3: 80.8%, HHI: 2000 &lt;3809&lt;10000. </w:t>
      </w:r>
    </w:p>
    <w:p w14:paraId="147AF594" w14:textId="77777777" w:rsidR="00DD044F" w:rsidRPr="00A57506" w:rsidRDefault="004C4BA9" w:rsidP="00DD044F">
      <w:pPr>
        <w:rPr>
          <w:color w:val="000000" w:themeColor="text1"/>
          <w:lang w:val="en-US"/>
        </w:rPr>
      </w:pPr>
      <w:r w:rsidRPr="001529C7">
        <w:rPr>
          <w:color w:val="000000" w:themeColor="text1"/>
          <w:lang w:val="en"/>
        </w:rPr>
        <w:lastRenderedPageBreak/>
        <w:t>In this connection, in accordance with paragraphs 4 and 6 of Article 172 of the Entrepreneurial Code, Petrosun LLP, NC KazMunayGas  JSC are recognized as entities occupying a dominant position in the market.</w:t>
      </w:r>
    </w:p>
    <w:p w14:paraId="4C2BEA2F" w14:textId="77777777" w:rsidR="00DD044F" w:rsidRPr="00A57506" w:rsidRDefault="004C4BA9" w:rsidP="00DD044F">
      <w:pPr>
        <w:rPr>
          <w:color w:val="000000" w:themeColor="text1"/>
          <w:lang w:val="en-US"/>
        </w:rPr>
      </w:pPr>
      <w:r w:rsidRPr="001529C7">
        <w:rPr>
          <w:color w:val="000000" w:themeColor="text1"/>
          <w:lang w:val="en"/>
        </w:rPr>
        <w:t xml:space="preserve">Taking into account new norms of the Code on ensuring equal access to key capacity, as well as shares, occupied at the market, according to analysis results, Petrosun </w:t>
      </w:r>
      <w:bookmarkStart w:id="35" w:name="_Hlk134613963"/>
      <w:r w:rsidRPr="001529C7">
        <w:rPr>
          <w:color w:val="000000" w:themeColor="text1"/>
          <w:lang w:val="en"/>
        </w:rPr>
        <w:t>LLP and NC KazMunayGas JSC were recognized as owners of key capacity.</w:t>
      </w:r>
    </w:p>
    <w:bookmarkEnd w:id="35"/>
    <w:p w14:paraId="4BC3E87D" w14:textId="77777777" w:rsidR="00EF3931" w:rsidRPr="00A57506" w:rsidRDefault="004C4BA9" w:rsidP="00F411E1">
      <w:pPr>
        <w:rPr>
          <w:b/>
          <w:i/>
          <w:iCs/>
          <w:color w:val="000000" w:themeColor="text1"/>
          <w:lang w:val="en-US"/>
        </w:rPr>
      </w:pPr>
      <w:r w:rsidRPr="001529C7">
        <w:rPr>
          <w:b/>
          <w:i/>
          <w:iCs/>
          <w:color w:val="000000" w:themeColor="text1"/>
          <w:lang w:val="en"/>
        </w:rPr>
        <w:t xml:space="preserve">Main events </w:t>
      </w:r>
    </w:p>
    <w:p w14:paraId="35BACDF7" w14:textId="77777777" w:rsidR="00DD044F" w:rsidRPr="00A57506" w:rsidRDefault="004C4BA9" w:rsidP="00DD044F">
      <w:pPr>
        <w:rPr>
          <w:color w:val="000000" w:themeColor="text1"/>
          <w:lang w:val="en-US"/>
        </w:rPr>
      </w:pPr>
      <w:r w:rsidRPr="001529C7">
        <w:rPr>
          <w:color w:val="000000" w:themeColor="text1"/>
          <w:lang w:val="en"/>
        </w:rPr>
        <w:t>An important event in 2022 was adoption of the Law "On Amendments and Additions to some Legislative Acts of the Republic of Kazakhstan on the implementation of certain instructions of the Head of State", which provides for:</w:t>
      </w:r>
    </w:p>
    <w:p w14:paraId="5A7C4C4E" w14:textId="77777777" w:rsidR="00DD044F" w:rsidRPr="00A57506" w:rsidRDefault="004C4BA9" w:rsidP="00DD044F">
      <w:pPr>
        <w:rPr>
          <w:color w:val="000000" w:themeColor="text1"/>
          <w:lang w:val="en-US"/>
        </w:rPr>
      </w:pPr>
      <w:r w:rsidRPr="001529C7">
        <w:rPr>
          <w:color w:val="000000" w:themeColor="text1"/>
          <w:lang w:val="en"/>
        </w:rPr>
        <w:t xml:space="preserve">- strengthening requirements for oil suppliers regarding affiliation with subsoil user organizations </w:t>
      </w:r>
      <w:r w:rsidRPr="001529C7">
        <w:rPr>
          <w:i/>
          <w:color w:val="000000" w:themeColor="text1"/>
          <w:sz w:val="24"/>
          <w:lang w:val="en"/>
        </w:rPr>
        <w:t>(hereinafter referred to as SUO);</w:t>
      </w:r>
    </w:p>
    <w:p w14:paraId="6D88226D" w14:textId="77777777" w:rsidR="00DD044F" w:rsidRPr="00A57506" w:rsidRDefault="004C4BA9" w:rsidP="00DD044F">
      <w:pPr>
        <w:rPr>
          <w:color w:val="000000" w:themeColor="text1"/>
          <w:lang w:val="en-US"/>
        </w:rPr>
      </w:pPr>
      <w:r w:rsidRPr="001529C7">
        <w:rPr>
          <w:color w:val="000000" w:themeColor="text1"/>
          <w:lang w:val="en"/>
        </w:rPr>
        <w:t xml:space="preserve">- transition of oil refineries </w:t>
      </w:r>
      <w:r w:rsidR="00E9679F" w:rsidRPr="001529C7">
        <w:rPr>
          <w:i/>
          <w:color w:val="000000" w:themeColor="text1"/>
          <w:sz w:val="24"/>
          <w:lang w:val="en"/>
        </w:rPr>
        <w:t>(hereinafter referred to as OR)</w:t>
      </w:r>
      <w:r w:rsidRPr="001529C7">
        <w:rPr>
          <w:color w:val="000000" w:themeColor="text1"/>
          <w:lang w:val="en"/>
        </w:rPr>
        <w:t xml:space="preserve"> from processing to marketing scheme;</w:t>
      </w:r>
    </w:p>
    <w:p w14:paraId="1A9DA47D" w14:textId="77777777" w:rsidR="00DD044F" w:rsidRPr="00A57506" w:rsidRDefault="004C4BA9" w:rsidP="00DD044F">
      <w:pPr>
        <w:rPr>
          <w:color w:val="000000" w:themeColor="text1"/>
          <w:lang w:val="en-US"/>
        </w:rPr>
      </w:pPr>
      <w:r w:rsidRPr="001529C7">
        <w:rPr>
          <w:color w:val="000000" w:themeColor="text1"/>
          <w:lang w:val="en"/>
        </w:rPr>
        <w:t>- granting SUO the right for oil refining and further sale of its own petroleum products;</w:t>
      </w:r>
    </w:p>
    <w:p w14:paraId="2CBC10AD" w14:textId="77777777" w:rsidR="00DD044F" w:rsidRPr="00A57506" w:rsidRDefault="004C4BA9" w:rsidP="00DD044F">
      <w:pPr>
        <w:rPr>
          <w:color w:val="000000" w:themeColor="text1"/>
          <w:lang w:val="en-US"/>
        </w:rPr>
      </w:pPr>
      <w:r w:rsidRPr="001529C7">
        <w:rPr>
          <w:color w:val="000000" w:themeColor="text1"/>
          <w:lang w:val="en"/>
        </w:rPr>
        <w:t>- elimination of "unproductive" intermediaries by strengthening the requirements for oil tank farms.</w:t>
      </w:r>
    </w:p>
    <w:p w14:paraId="45D87857" w14:textId="77777777" w:rsidR="00DD044F" w:rsidRPr="00A57506" w:rsidRDefault="004C4BA9" w:rsidP="00DD044F">
      <w:pPr>
        <w:rPr>
          <w:bCs/>
          <w:iCs/>
          <w:color w:val="000000" w:themeColor="text1"/>
          <w:lang w:val="en-US"/>
        </w:rPr>
      </w:pPr>
      <w:r w:rsidRPr="001529C7">
        <w:rPr>
          <w:bCs/>
          <w:iCs/>
          <w:color w:val="000000" w:themeColor="text1"/>
          <w:lang w:val="en"/>
        </w:rPr>
        <w:t xml:space="preserve">According to preliminary estimates, this law has had a positive impact on market structure and composition of its subjects in terms of SUO's access to oil refining and sale of petroleum products, as well as elimination of "unproductive" intermediaries. </w:t>
      </w:r>
    </w:p>
    <w:p w14:paraId="1C8D83FD" w14:textId="77777777" w:rsidR="00DD044F" w:rsidRPr="00A57506" w:rsidRDefault="004C4BA9" w:rsidP="00DD044F">
      <w:pPr>
        <w:rPr>
          <w:bCs/>
          <w:iCs/>
          <w:color w:val="000000" w:themeColor="text1"/>
          <w:lang w:val="en-US"/>
        </w:rPr>
      </w:pPr>
      <w:r w:rsidRPr="001529C7">
        <w:rPr>
          <w:bCs/>
          <w:iCs/>
          <w:color w:val="000000" w:themeColor="text1"/>
          <w:lang w:val="en"/>
        </w:rPr>
        <w:t xml:space="preserve">With that, the negative consequences of state's presence in oil refining market </w:t>
      </w:r>
      <w:r w:rsidRPr="001529C7">
        <w:rPr>
          <w:bCs/>
          <w:i/>
          <w:color w:val="000000" w:themeColor="text1"/>
          <w:sz w:val="24"/>
          <w:szCs w:val="24"/>
          <w:lang w:val="en"/>
        </w:rPr>
        <w:t>(KMG Group, CNPC)</w:t>
      </w:r>
      <w:r w:rsidRPr="001529C7">
        <w:rPr>
          <w:bCs/>
          <w:iCs/>
          <w:color w:val="000000" w:themeColor="text1"/>
          <w:lang w:val="en"/>
        </w:rPr>
        <w:t xml:space="preserve"> and sale of petroleum products </w:t>
      </w:r>
      <w:r w:rsidRPr="001529C7">
        <w:rPr>
          <w:bCs/>
          <w:i/>
          <w:color w:val="000000" w:themeColor="text1"/>
          <w:sz w:val="24"/>
          <w:szCs w:val="24"/>
          <w:lang w:val="en"/>
        </w:rPr>
        <w:t>(NC KazMunayGas JSC and Petrosun LLP)</w:t>
      </w:r>
      <w:r w:rsidRPr="001529C7">
        <w:rPr>
          <w:bCs/>
          <w:iCs/>
          <w:color w:val="000000" w:themeColor="text1"/>
          <w:lang w:val="en"/>
        </w:rPr>
        <w:t xml:space="preserve"> have intensified, number of complaints against refineries has increased </w:t>
      </w:r>
      <w:r w:rsidRPr="001529C7">
        <w:rPr>
          <w:bCs/>
          <w:i/>
          <w:color w:val="000000" w:themeColor="text1"/>
          <w:sz w:val="24"/>
          <w:szCs w:val="24"/>
          <w:lang w:val="en"/>
        </w:rPr>
        <w:t>(refusals to accept applications, forced buyback, lowered purchase price)</w:t>
      </w:r>
      <w:r w:rsidRPr="001529C7">
        <w:rPr>
          <w:bCs/>
          <w:iCs/>
          <w:color w:val="000000" w:themeColor="text1"/>
          <w:lang w:val="en"/>
        </w:rPr>
        <w:t>.</w:t>
      </w:r>
    </w:p>
    <w:p w14:paraId="7C0D4757" w14:textId="77777777" w:rsidR="00DD044F" w:rsidRPr="00A57506" w:rsidRDefault="004C4BA9" w:rsidP="00DD044F">
      <w:pPr>
        <w:rPr>
          <w:color w:val="000000" w:themeColor="text1"/>
          <w:lang w:val="en-US"/>
        </w:rPr>
      </w:pPr>
      <w:r w:rsidRPr="001529C7">
        <w:rPr>
          <w:color w:val="000000" w:themeColor="text1"/>
          <w:lang w:val="en"/>
        </w:rPr>
        <w:t>This law also introduced possibility of state regulation of fuel prices at wholesale market, as well as the obligations of oil suppliers to sell products to gas stations during seasonal period.</w:t>
      </w:r>
    </w:p>
    <w:p w14:paraId="2476CAEB" w14:textId="77777777" w:rsidR="00DD044F" w:rsidRPr="00A57506" w:rsidRDefault="004C4BA9" w:rsidP="00DD044F">
      <w:pPr>
        <w:rPr>
          <w:color w:val="000000" w:themeColor="text1"/>
          <w:lang w:val="en-US"/>
        </w:rPr>
      </w:pPr>
      <w:r w:rsidRPr="001529C7">
        <w:rPr>
          <w:color w:val="000000" w:themeColor="text1"/>
          <w:lang w:val="en"/>
        </w:rPr>
        <w:t>Since April 12, 2023, new ceiling prices for sale of petroleum products have been introduced:</w:t>
      </w:r>
    </w:p>
    <w:p w14:paraId="7C536C03" w14:textId="77777777" w:rsidR="00DD044F" w:rsidRPr="00A57506" w:rsidRDefault="004C4BA9" w:rsidP="00DD044F">
      <w:pPr>
        <w:rPr>
          <w:color w:val="000000" w:themeColor="text1"/>
          <w:lang w:val="en-US"/>
        </w:rPr>
      </w:pPr>
      <w:r w:rsidRPr="001529C7">
        <w:rPr>
          <w:color w:val="000000" w:themeColor="text1"/>
          <w:lang w:val="en"/>
        </w:rPr>
        <w:t>1) by Order of the Minister of Energy No. 139 dated April 12, 2023, the maximum prices for wholesale sale of petroleum products to stationary gas stations on the basis of ex-works supply form refinery are set as follows</w:t>
      </w:r>
      <w:r w:rsidR="00E9679F" w:rsidRPr="001529C7">
        <w:rPr>
          <w:i/>
          <w:color w:val="000000" w:themeColor="text1"/>
          <w:sz w:val="24"/>
          <w:lang w:val="en"/>
        </w:rPr>
        <w:t>(with VAT):</w:t>
      </w:r>
    </w:p>
    <w:p w14:paraId="2763BCB5" w14:textId="77777777" w:rsidR="00DD044F" w:rsidRPr="00A57506" w:rsidRDefault="004C4BA9" w:rsidP="00DD044F">
      <w:pPr>
        <w:rPr>
          <w:color w:val="000000" w:themeColor="text1"/>
          <w:lang w:val="en-US"/>
        </w:rPr>
      </w:pPr>
      <w:r w:rsidRPr="001529C7">
        <w:rPr>
          <w:color w:val="000000" w:themeColor="text1"/>
          <w:lang w:val="en"/>
        </w:rPr>
        <w:t>- RON-80 gasoline – 93 161 KZT/ton;</w:t>
      </w:r>
    </w:p>
    <w:p w14:paraId="384B2AEB" w14:textId="77777777" w:rsidR="00DD044F" w:rsidRPr="00A57506" w:rsidRDefault="004C4BA9" w:rsidP="00DD044F">
      <w:pPr>
        <w:rPr>
          <w:color w:val="000000" w:themeColor="text1"/>
          <w:lang w:val="en-US"/>
        </w:rPr>
      </w:pPr>
      <w:r w:rsidRPr="001529C7">
        <w:rPr>
          <w:color w:val="000000" w:themeColor="text1"/>
          <w:lang w:val="en"/>
        </w:rPr>
        <w:t>- RON-92 and RON-93 gasoline – 214 584 KZT/ton;</w:t>
      </w:r>
    </w:p>
    <w:p w14:paraId="36BA57EE" w14:textId="77777777" w:rsidR="00DD044F" w:rsidRPr="00A57506" w:rsidRDefault="004C4BA9" w:rsidP="00DD044F">
      <w:pPr>
        <w:rPr>
          <w:color w:val="000000" w:themeColor="text1"/>
          <w:lang w:val="en-US"/>
        </w:rPr>
      </w:pPr>
      <w:r w:rsidRPr="001529C7">
        <w:rPr>
          <w:color w:val="000000" w:themeColor="text1"/>
          <w:lang w:val="en"/>
        </w:rPr>
        <w:t xml:space="preserve">- diesel fuel </w:t>
      </w:r>
      <w:r w:rsidRPr="001529C7">
        <w:rPr>
          <w:i/>
          <w:color w:val="000000" w:themeColor="text1"/>
          <w:sz w:val="24"/>
          <w:lang w:val="en"/>
        </w:rPr>
        <w:t>(summer, off–season)</w:t>
      </w:r>
      <w:r w:rsidRPr="001529C7">
        <w:rPr>
          <w:color w:val="000000" w:themeColor="text1"/>
          <w:lang w:val="en"/>
        </w:rPr>
        <w:t xml:space="preserve"> - 284 350 KZT/ton;</w:t>
      </w:r>
    </w:p>
    <w:p w14:paraId="25CC2825" w14:textId="77777777" w:rsidR="00DD044F" w:rsidRPr="00A57506" w:rsidRDefault="004C4BA9" w:rsidP="00DD044F">
      <w:pPr>
        <w:rPr>
          <w:color w:val="000000" w:themeColor="text1"/>
          <w:lang w:val="en-US"/>
        </w:rPr>
      </w:pPr>
      <w:r w:rsidRPr="001529C7">
        <w:rPr>
          <w:color w:val="000000" w:themeColor="text1"/>
          <w:lang w:val="en"/>
        </w:rPr>
        <w:t xml:space="preserve">2) By Order of the Minister of Energy No. 140 of April 12, 2023, amendments were made to the Order of the Minister of Energy No. 361 of May 19, 2015 "On establishment of ceiling prices for retail sale of petroleum products with price, regulated by the state", according to which ceiling prices for retail sale of petroleum products through stationary gas stations are set as follows </w:t>
      </w:r>
      <w:r w:rsidR="00E9679F" w:rsidRPr="001529C7">
        <w:rPr>
          <w:i/>
          <w:color w:val="000000" w:themeColor="text1"/>
          <w:sz w:val="24"/>
          <w:lang w:val="en"/>
        </w:rPr>
        <w:t>(with VAT):</w:t>
      </w:r>
    </w:p>
    <w:p w14:paraId="242CCF63" w14:textId="77777777" w:rsidR="00DD044F" w:rsidRPr="00A57506" w:rsidRDefault="004C4BA9" w:rsidP="00DD044F">
      <w:pPr>
        <w:rPr>
          <w:color w:val="000000" w:themeColor="text1"/>
          <w:lang w:val="en-US"/>
        </w:rPr>
      </w:pPr>
      <w:r w:rsidRPr="001529C7">
        <w:rPr>
          <w:color w:val="000000" w:themeColor="text1"/>
          <w:lang w:val="en"/>
        </w:rPr>
        <w:t>- RON-80 gasoline – 89 KZT/liter;</w:t>
      </w:r>
    </w:p>
    <w:p w14:paraId="661CC86D" w14:textId="77777777" w:rsidR="00DD044F" w:rsidRPr="00A57506" w:rsidRDefault="004C4BA9" w:rsidP="00DD044F">
      <w:pPr>
        <w:rPr>
          <w:color w:val="000000" w:themeColor="text1"/>
          <w:lang w:val="en-US"/>
        </w:rPr>
      </w:pPr>
      <w:r w:rsidRPr="001529C7">
        <w:rPr>
          <w:color w:val="000000" w:themeColor="text1"/>
          <w:lang w:val="en"/>
        </w:rPr>
        <w:t>- RON-92 and RON-93 gasoline – 205 KZT/liter;</w:t>
      </w:r>
    </w:p>
    <w:p w14:paraId="7941F807" w14:textId="77777777" w:rsidR="00DD044F" w:rsidRPr="00A57506" w:rsidRDefault="004C4BA9" w:rsidP="00DD044F">
      <w:pPr>
        <w:rPr>
          <w:color w:val="000000" w:themeColor="text1"/>
          <w:lang w:val="en-US"/>
        </w:rPr>
      </w:pPr>
      <w:r w:rsidRPr="001529C7">
        <w:rPr>
          <w:color w:val="000000" w:themeColor="text1"/>
          <w:lang w:val="en"/>
        </w:rPr>
        <w:lastRenderedPageBreak/>
        <w:t xml:space="preserve">- diesel fuel </w:t>
      </w:r>
      <w:r w:rsidRPr="001529C7">
        <w:rPr>
          <w:i/>
          <w:color w:val="000000" w:themeColor="text1"/>
          <w:sz w:val="24"/>
          <w:lang w:val="en"/>
        </w:rPr>
        <w:t>(summer, off–season)</w:t>
      </w:r>
      <w:r w:rsidRPr="001529C7">
        <w:rPr>
          <w:color w:val="000000" w:themeColor="text1"/>
          <w:lang w:val="en"/>
        </w:rPr>
        <w:t xml:space="preserve"> - 450 KZT/liter;</w:t>
      </w:r>
    </w:p>
    <w:p w14:paraId="72D51D1A" w14:textId="77777777" w:rsidR="00DD044F" w:rsidRPr="00A57506" w:rsidRDefault="004C4BA9" w:rsidP="00DD044F">
      <w:pPr>
        <w:rPr>
          <w:color w:val="000000" w:themeColor="text1"/>
          <w:lang w:val="en-US"/>
        </w:rPr>
      </w:pPr>
      <w:r w:rsidRPr="001529C7">
        <w:rPr>
          <w:color w:val="000000" w:themeColor="text1"/>
          <w:lang w:val="en"/>
        </w:rPr>
        <w:t>- upon presentation of driver's license issued in the Republic of Kazakhstan, up to 100 liters per day – 295 KZT/liter;</w:t>
      </w:r>
    </w:p>
    <w:p w14:paraId="74CA5252" w14:textId="77777777" w:rsidR="00DD044F" w:rsidRPr="00A57506" w:rsidRDefault="004C4BA9" w:rsidP="00DD044F">
      <w:pPr>
        <w:rPr>
          <w:color w:val="000000" w:themeColor="text1"/>
          <w:lang w:val="en-US"/>
        </w:rPr>
      </w:pPr>
      <w:r w:rsidRPr="001529C7">
        <w:rPr>
          <w:color w:val="000000" w:themeColor="text1"/>
          <w:lang w:val="en"/>
        </w:rPr>
        <w:t>- upon presentation of driver's license and vehicle registration certificate issued in the Republic of Kazakhstan for trucks, special, specialized cars and buses - up to 300 liters per day – 295 KZT/liter.</w:t>
      </w:r>
    </w:p>
    <w:p w14:paraId="10C518F1" w14:textId="68EF1E80" w:rsidR="00DD044F" w:rsidRPr="00A57506" w:rsidRDefault="004C4BA9" w:rsidP="00DD044F">
      <w:pPr>
        <w:rPr>
          <w:bCs/>
          <w:iCs/>
          <w:color w:val="000000" w:themeColor="text1"/>
          <w:lang w:val="en-US"/>
        </w:rPr>
      </w:pPr>
      <w:r w:rsidRPr="001529C7">
        <w:rPr>
          <w:bCs/>
          <w:iCs/>
          <w:color w:val="000000" w:themeColor="text1"/>
          <w:lang w:val="en"/>
        </w:rPr>
        <w:t xml:space="preserve">According to preliminary estimates, this had produced a negatively effect on elasticity of diesel fuel supply at the market due to non-market wholesale price to gas stations and "fixed" retail price at gas stations, as well as the fact that market participants "expected" non-market mechanisms </w:t>
      </w:r>
      <w:r w:rsidR="00AF59F7">
        <w:rPr>
          <w:bCs/>
          <w:iCs/>
          <w:color w:val="000000" w:themeColor="text1"/>
          <w:lang w:val="en"/>
        </w:rPr>
        <w:t xml:space="preserve">for </w:t>
      </w:r>
      <w:r w:rsidRPr="001529C7">
        <w:rPr>
          <w:bCs/>
          <w:iCs/>
          <w:color w:val="000000" w:themeColor="text1"/>
          <w:lang w:val="en"/>
        </w:rPr>
        <w:t>distributing volumes in spring-field period and "hoarding" diesel at oil tank farms.</w:t>
      </w:r>
    </w:p>
    <w:p w14:paraId="745A807B" w14:textId="77777777" w:rsidR="00DD044F" w:rsidRPr="00A57506" w:rsidRDefault="004C4BA9" w:rsidP="00DD044F">
      <w:pPr>
        <w:rPr>
          <w:bCs/>
          <w:iCs/>
          <w:color w:val="000000" w:themeColor="text1"/>
          <w:lang w:val="en-US"/>
        </w:rPr>
      </w:pPr>
      <w:r w:rsidRPr="001529C7">
        <w:rPr>
          <w:bCs/>
          <w:iCs/>
          <w:color w:val="000000" w:themeColor="text1"/>
          <w:lang w:val="en"/>
        </w:rPr>
        <w:t xml:space="preserve">Established maximum retail price of fuel and lubricants in the Republic of Kazakhstan is still lower than the prices in neighboring countries, both members of EAEU and those who have active trade turnover with Kazakhstan  </w:t>
      </w:r>
      <w:r w:rsidRPr="001529C7">
        <w:rPr>
          <w:bCs/>
          <w:i/>
          <w:iCs/>
          <w:color w:val="000000" w:themeColor="text1"/>
          <w:sz w:val="24"/>
          <w:lang w:val="en"/>
        </w:rPr>
        <w:t>(Uzbekistan, China).</w:t>
      </w:r>
    </w:p>
    <w:p w14:paraId="4EFFF1F5" w14:textId="77777777" w:rsidR="00DD044F" w:rsidRPr="00A57506" w:rsidRDefault="004C4BA9" w:rsidP="00DD044F">
      <w:pPr>
        <w:rPr>
          <w:bCs/>
          <w:iCs/>
          <w:color w:val="000000" w:themeColor="text1"/>
          <w:lang w:val="en-US"/>
        </w:rPr>
      </w:pPr>
      <w:r w:rsidRPr="001529C7">
        <w:rPr>
          <w:bCs/>
          <w:iCs/>
          <w:color w:val="000000" w:themeColor="text1"/>
          <w:lang w:val="en"/>
        </w:rPr>
        <w:t xml:space="preserve">The problems of cross-border flow and covert transit of fuel and lubricants remain unresolved even with adoption of the Law and introduction of "manual" administrative regulation. To solve the problems, it is necessary to use a </w:t>
      </w:r>
      <w:r w:rsidRPr="001529C7">
        <w:rPr>
          <w:b/>
          <w:bCs/>
          <w:iCs/>
          <w:color w:val="000000" w:themeColor="text1"/>
          <w:lang w:val="en"/>
        </w:rPr>
        <w:t>balanced pricing mechanism</w:t>
      </w:r>
      <w:r w:rsidRPr="001529C7">
        <w:rPr>
          <w:bCs/>
          <w:iCs/>
          <w:color w:val="000000" w:themeColor="text1"/>
          <w:lang w:val="en"/>
        </w:rPr>
        <w:t xml:space="preserve"> at retail trade, focused on both internal and external indicators. </w:t>
      </w:r>
    </w:p>
    <w:p w14:paraId="4BF226D5" w14:textId="77777777" w:rsidR="00DD044F" w:rsidRPr="00A57506" w:rsidRDefault="004C4BA9" w:rsidP="00DD044F">
      <w:pPr>
        <w:rPr>
          <w:bCs/>
          <w:iCs/>
          <w:color w:val="000000" w:themeColor="text1"/>
          <w:lang w:val="en-US"/>
        </w:rPr>
      </w:pPr>
      <w:r w:rsidRPr="001529C7">
        <w:rPr>
          <w:bCs/>
          <w:iCs/>
          <w:color w:val="000000" w:themeColor="text1"/>
          <w:lang w:val="en"/>
        </w:rPr>
        <w:t>However, there is also a positive economic effect, as according to preliminary data, admission of SUO gave an impulse for deconcentration of primary wholesale trade in petroleum products by reducing share of Petrosun LLP and oil suppliers in general.</w:t>
      </w:r>
    </w:p>
    <w:p w14:paraId="23C8A9A0" w14:textId="77777777" w:rsidR="00DD044F" w:rsidRPr="00A57506" w:rsidRDefault="004C4BA9" w:rsidP="00DD044F">
      <w:pPr>
        <w:rPr>
          <w:bCs/>
          <w:iCs/>
          <w:color w:val="000000" w:themeColor="text1"/>
          <w:sz w:val="24"/>
          <w:lang w:val="en-US"/>
        </w:rPr>
      </w:pPr>
      <w:r w:rsidRPr="001529C7">
        <w:rPr>
          <w:bCs/>
          <w:iCs/>
          <w:color w:val="000000" w:themeColor="text1"/>
          <w:lang w:val="en"/>
        </w:rPr>
        <w:t xml:space="preserve">According to forecast data, introduction of balanced price regulation for oil and petroleum products </w:t>
      </w:r>
      <w:r w:rsidRPr="001529C7">
        <w:rPr>
          <w:bCs/>
          <w:i/>
          <w:iCs/>
          <w:color w:val="000000" w:themeColor="text1"/>
          <w:sz w:val="24"/>
          <w:lang w:val="en"/>
        </w:rPr>
        <w:t>(which takes into account external indicators)</w:t>
      </w:r>
      <w:r w:rsidRPr="001529C7">
        <w:rPr>
          <w:bCs/>
          <w:iCs/>
          <w:color w:val="000000" w:themeColor="text1"/>
          <w:lang w:val="en"/>
        </w:rPr>
        <w:t xml:space="preserve">, considering increase in prices at retail market and further elimination of disparity, will provide more than </w:t>
      </w:r>
      <w:r w:rsidRPr="001529C7">
        <w:rPr>
          <w:b/>
          <w:bCs/>
          <w:iCs/>
          <w:color w:val="000000" w:themeColor="text1"/>
          <w:lang w:val="en"/>
        </w:rPr>
        <w:t xml:space="preserve">1 trillion KZT contribution </w:t>
      </w:r>
      <w:r w:rsidRPr="001529C7">
        <w:rPr>
          <w:bCs/>
          <w:iCs/>
          <w:color w:val="000000" w:themeColor="text1"/>
          <w:lang w:val="en"/>
        </w:rPr>
        <w:t xml:space="preserve">to GDP </w:t>
      </w:r>
      <w:r w:rsidRPr="001529C7">
        <w:rPr>
          <w:bCs/>
          <w:i/>
          <w:color w:val="000000" w:themeColor="text1"/>
          <w:sz w:val="24"/>
          <w:lang w:val="en"/>
        </w:rPr>
        <w:t>(due to additional tax revenues from fuel and lubricants)</w:t>
      </w:r>
      <w:r w:rsidRPr="001529C7">
        <w:rPr>
          <w:bCs/>
          <w:iCs/>
          <w:color w:val="000000" w:themeColor="text1"/>
          <w:sz w:val="24"/>
          <w:lang w:val="en"/>
        </w:rPr>
        <w:t>.</w:t>
      </w:r>
    </w:p>
    <w:p w14:paraId="64201658" w14:textId="290B2D2C" w:rsidR="00DD044F" w:rsidRPr="00A57506" w:rsidRDefault="004C4BA9" w:rsidP="00DD044F">
      <w:pPr>
        <w:rPr>
          <w:bCs/>
          <w:iCs/>
          <w:color w:val="000000" w:themeColor="text1"/>
          <w:lang w:val="en-US"/>
        </w:rPr>
      </w:pPr>
      <w:r w:rsidRPr="001529C7">
        <w:rPr>
          <w:bCs/>
          <w:iCs/>
          <w:color w:val="000000" w:themeColor="text1"/>
          <w:lang w:val="en"/>
        </w:rPr>
        <w:t xml:space="preserve">Also in 2022, the Rules of exchange trading in terms of regulating petroleum products exchange trading </w:t>
      </w:r>
      <w:r w:rsidRPr="001529C7">
        <w:rPr>
          <w:bCs/>
          <w:i/>
          <w:iCs/>
          <w:color w:val="000000" w:themeColor="text1"/>
          <w:sz w:val="24"/>
          <w:lang w:val="en"/>
        </w:rPr>
        <w:t>(Chapter 24)</w:t>
      </w:r>
      <w:r w:rsidRPr="001529C7">
        <w:rPr>
          <w:bCs/>
          <w:iCs/>
          <w:color w:val="000000" w:themeColor="text1"/>
          <w:lang w:val="en"/>
        </w:rPr>
        <w:t xml:space="preserve"> have been amended by the order of Deputy Prime Minister - Minister of Trade and Integration dated July 19, 2022 No. 294-NK "On Amendments to the Order of the Acting Minister of National Economy of the Republic of Kazakhstan dated March 30, 2015 No. 280 "On approval of the Standard Rules of Exchange Trading"  </w:t>
      </w:r>
    </w:p>
    <w:p w14:paraId="3E062927" w14:textId="77777777" w:rsidR="00DD044F" w:rsidRPr="00A57506" w:rsidRDefault="004C4BA9" w:rsidP="00DD044F">
      <w:pPr>
        <w:rPr>
          <w:bCs/>
          <w:iCs/>
          <w:color w:val="000000" w:themeColor="text1"/>
          <w:lang w:val="en-US"/>
        </w:rPr>
      </w:pPr>
      <w:r w:rsidRPr="001529C7">
        <w:rPr>
          <w:bCs/>
          <w:iCs/>
          <w:color w:val="000000" w:themeColor="text1"/>
          <w:lang w:val="en"/>
        </w:rPr>
        <w:t xml:space="preserve">In addition, the National Project provides for increase in sales of gasoline, diesel fuel, jet fuel and bitumen through commodity exchanges </w:t>
      </w:r>
      <w:r w:rsidR="00E9679F" w:rsidRPr="001529C7">
        <w:rPr>
          <w:b/>
          <w:bCs/>
          <w:iCs/>
          <w:color w:val="000000" w:themeColor="text1"/>
          <w:lang w:val="en"/>
        </w:rPr>
        <w:t>up to 20%</w:t>
      </w:r>
      <w:r w:rsidRPr="001529C7">
        <w:rPr>
          <w:bCs/>
          <w:iCs/>
          <w:color w:val="000000" w:themeColor="text1"/>
          <w:lang w:val="en"/>
        </w:rPr>
        <w:t xml:space="preserve"> of total sales by 2025.</w:t>
      </w:r>
    </w:p>
    <w:p w14:paraId="0D658853" w14:textId="77777777" w:rsidR="00DD044F" w:rsidRPr="00A57506" w:rsidRDefault="004C4BA9" w:rsidP="00DD044F">
      <w:pPr>
        <w:rPr>
          <w:bCs/>
          <w:iCs/>
          <w:color w:val="000000" w:themeColor="text1"/>
          <w:lang w:val="en-US"/>
        </w:rPr>
      </w:pPr>
      <w:r w:rsidRPr="001529C7">
        <w:rPr>
          <w:bCs/>
          <w:iCs/>
          <w:color w:val="000000" w:themeColor="text1"/>
          <w:lang w:val="en"/>
        </w:rPr>
        <w:t xml:space="preserve">However, business entities, as well as Kazakhstan Fuel Association, have voiced complaints against sectoral government body and quasi-public sector stating that </w:t>
      </w:r>
      <w:r w:rsidR="00935FA4" w:rsidRPr="001529C7">
        <w:rPr>
          <w:b/>
          <w:bCs/>
          <w:iCs/>
          <w:color w:val="000000" w:themeColor="text1"/>
          <w:lang w:val="en"/>
        </w:rPr>
        <w:t>diesel fuel has not been put</w:t>
      </w:r>
      <w:r w:rsidRPr="001529C7">
        <w:rPr>
          <w:bCs/>
          <w:iCs/>
          <w:color w:val="000000" w:themeColor="text1"/>
          <w:lang w:val="en"/>
        </w:rPr>
        <w:t xml:space="preserve"> up for exchange trading since January 2023. Despite improvements of regulatory framework in the field of exchange trading, no real measures are being taken to increase volume of certain types of petroleum products.</w:t>
      </w:r>
    </w:p>
    <w:p w14:paraId="0B2B92C0" w14:textId="77777777" w:rsidR="00DD044F" w:rsidRPr="00A57506" w:rsidRDefault="004C4BA9" w:rsidP="00DD044F">
      <w:pPr>
        <w:rPr>
          <w:bCs/>
          <w:iCs/>
          <w:color w:val="000000" w:themeColor="text1"/>
          <w:lang w:val="en-US"/>
        </w:rPr>
      </w:pPr>
      <w:r w:rsidRPr="001529C7">
        <w:rPr>
          <w:bCs/>
          <w:iCs/>
          <w:color w:val="000000" w:themeColor="text1"/>
          <w:lang w:val="en"/>
        </w:rPr>
        <w:t xml:space="preserve">With the administrative regulation of prices for petroleum products, prices are formed at the stock exchange in parallel, which can serve as a price indicator for the market </w:t>
      </w:r>
      <w:r w:rsidRPr="001529C7">
        <w:rPr>
          <w:bCs/>
          <w:i/>
          <w:iCs/>
          <w:color w:val="000000" w:themeColor="text1"/>
          <w:sz w:val="24"/>
          <w:lang w:val="en"/>
        </w:rPr>
        <w:t>(for  balanced regulation mechanism)</w:t>
      </w:r>
      <w:r w:rsidRPr="001529C7">
        <w:rPr>
          <w:bCs/>
          <w:iCs/>
          <w:color w:val="000000" w:themeColor="text1"/>
          <w:lang w:val="en"/>
        </w:rPr>
        <w:t xml:space="preserve">. According to forecast, putting petroleum </w:t>
      </w:r>
      <w:r w:rsidRPr="001529C7">
        <w:rPr>
          <w:bCs/>
          <w:iCs/>
          <w:color w:val="000000" w:themeColor="text1"/>
          <w:lang w:val="en"/>
        </w:rPr>
        <w:lastRenderedPageBreak/>
        <w:t xml:space="preserve">products to stock exchange </w:t>
      </w:r>
      <w:r w:rsidRPr="001529C7">
        <w:rPr>
          <w:bCs/>
          <w:i/>
          <w:iCs/>
          <w:color w:val="000000" w:themeColor="text1"/>
          <w:sz w:val="24"/>
          <w:lang w:val="en"/>
        </w:rPr>
        <w:t>(up to 20% by 2025)</w:t>
      </w:r>
      <w:r w:rsidRPr="001529C7">
        <w:rPr>
          <w:bCs/>
          <w:iCs/>
          <w:color w:val="000000" w:themeColor="text1"/>
          <w:lang w:val="en"/>
        </w:rPr>
        <w:t xml:space="preserve"> will provide competitive access to petroleum products worth </w:t>
      </w:r>
      <w:r w:rsidRPr="001529C7">
        <w:rPr>
          <w:b/>
          <w:bCs/>
          <w:iCs/>
          <w:color w:val="000000" w:themeColor="text1"/>
          <w:lang w:val="en"/>
        </w:rPr>
        <w:t>more than 1 trillion KZT.</w:t>
      </w:r>
      <w:r w:rsidRPr="001529C7">
        <w:rPr>
          <w:bCs/>
          <w:iCs/>
          <w:color w:val="000000" w:themeColor="text1"/>
          <w:lang w:val="en"/>
        </w:rPr>
        <w:t xml:space="preserve"> </w:t>
      </w:r>
    </w:p>
    <w:p w14:paraId="21A984E0" w14:textId="77777777" w:rsidR="00EF3931" w:rsidRPr="00A57506" w:rsidRDefault="004C4BA9" w:rsidP="00F411E1">
      <w:pPr>
        <w:rPr>
          <w:b/>
          <w:bCs/>
          <w:i/>
          <w:color w:val="000000" w:themeColor="text1"/>
          <w:lang w:val="en-US"/>
        </w:rPr>
      </w:pPr>
      <w:r w:rsidRPr="001529C7">
        <w:rPr>
          <w:b/>
          <w:bCs/>
          <w:i/>
          <w:color w:val="000000" w:themeColor="text1"/>
          <w:lang w:val="en"/>
        </w:rPr>
        <w:t>Barriers for competition development</w:t>
      </w:r>
    </w:p>
    <w:p w14:paraId="7F5B56E5"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1) over the past 3 years, despite 13% increase in diesel fuel production, </w:t>
      </w:r>
      <w:r w:rsidRPr="001529C7">
        <w:rPr>
          <w:b/>
          <w:bCs/>
          <w:color w:val="000000" w:themeColor="text1"/>
          <w:lang w:val="en"/>
        </w:rPr>
        <w:t>negative balance of the market</w:t>
      </w:r>
      <w:r w:rsidRPr="001529C7">
        <w:rPr>
          <w:bCs/>
          <w:color w:val="000000" w:themeColor="text1"/>
          <w:lang w:val="en"/>
        </w:rPr>
        <w:t xml:space="preserve"> persists. Domestic consumption increased from 4.7 to 5.5 million tons, or 15%. The main increase is in agricultural production, where consumption increased by 26%. The second reason is illegal export of petroleum products </w:t>
      </w:r>
      <w:r w:rsidRPr="001529C7">
        <w:rPr>
          <w:bCs/>
          <w:i/>
          <w:iCs/>
          <w:color w:val="000000" w:themeColor="text1"/>
          <w:sz w:val="24"/>
          <w:lang w:val="en"/>
        </w:rPr>
        <w:t>(5% of market volume)</w:t>
      </w:r>
      <w:r w:rsidRPr="001529C7">
        <w:rPr>
          <w:bCs/>
          <w:color w:val="000000" w:themeColor="text1"/>
          <w:lang w:val="en"/>
        </w:rPr>
        <w:t xml:space="preserve"> and transit transport </w:t>
      </w:r>
      <w:r w:rsidRPr="001529C7">
        <w:rPr>
          <w:bCs/>
          <w:i/>
          <w:iCs/>
          <w:color w:val="000000" w:themeColor="text1"/>
          <w:sz w:val="24"/>
          <w:lang w:val="en"/>
        </w:rPr>
        <w:t>(up to 10%).</w:t>
      </w:r>
    </w:p>
    <w:p w14:paraId="6E218101"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In this regard, the Government has implemented a set of measures on pricing and control over turnover of petroleum products. </w:t>
      </w:r>
      <w:r w:rsidRPr="001529C7">
        <w:rPr>
          <w:b/>
          <w:bCs/>
          <w:color w:val="000000" w:themeColor="text1"/>
          <w:lang w:val="en"/>
        </w:rPr>
        <w:t>Main operator</w:t>
      </w:r>
      <w:r w:rsidRPr="001529C7">
        <w:rPr>
          <w:bCs/>
          <w:color w:val="000000" w:themeColor="text1"/>
          <w:lang w:val="en"/>
        </w:rPr>
        <w:t xml:space="preserve"> was created with share </w:t>
      </w:r>
      <w:r w:rsidRPr="001529C7">
        <w:rPr>
          <w:b/>
          <w:bCs/>
          <w:color w:val="000000" w:themeColor="text1"/>
          <w:lang w:val="en"/>
        </w:rPr>
        <w:t>over 80%</w:t>
      </w:r>
      <w:r w:rsidRPr="001529C7">
        <w:rPr>
          <w:bCs/>
          <w:color w:val="000000" w:themeColor="text1"/>
          <w:lang w:val="en"/>
        </w:rPr>
        <w:t xml:space="preserve"> on the basis of KMG </w:t>
      </w:r>
      <w:r w:rsidRPr="001529C7">
        <w:rPr>
          <w:bCs/>
          <w:i/>
          <w:iCs/>
          <w:color w:val="000000" w:themeColor="text1"/>
          <w:sz w:val="24"/>
          <w:lang w:val="en"/>
        </w:rPr>
        <w:t>(by purchasing share in Petrosun LLP)</w:t>
      </w:r>
      <w:r w:rsidRPr="001529C7">
        <w:rPr>
          <w:bCs/>
          <w:color w:val="000000" w:themeColor="text1"/>
          <w:lang w:val="en"/>
        </w:rPr>
        <w:t xml:space="preserve">. </w:t>
      </w:r>
    </w:p>
    <w:p w14:paraId="165F0046"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As part of transition to marketing scheme, the refineries have actually been granted </w:t>
      </w:r>
      <w:r w:rsidRPr="001529C7">
        <w:rPr>
          <w:b/>
          <w:bCs/>
          <w:color w:val="000000" w:themeColor="text1"/>
          <w:lang w:val="en"/>
        </w:rPr>
        <w:t>priority right</w:t>
      </w:r>
      <w:r w:rsidRPr="001529C7">
        <w:rPr>
          <w:bCs/>
          <w:color w:val="000000" w:themeColor="text1"/>
          <w:lang w:val="en"/>
        </w:rPr>
        <w:t xml:space="preserve"> to purchase oil and sell fuel. Restriction on export of fuel has been introduced and system for monitoring turnover of petroleum products has been introduced.</w:t>
      </w:r>
    </w:p>
    <w:p w14:paraId="559A291D" w14:textId="7CE93050" w:rsidR="00935FA4" w:rsidRPr="00A57506" w:rsidRDefault="004C4BA9" w:rsidP="00935FA4">
      <w:pPr>
        <w:contextualSpacing/>
        <w:rPr>
          <w:bCs/>
          <w:color w:val="000000" w:themeColor="text1"/>
          <w:lang w:val="en-US"/>
        </w:rPr>
      </w:pPr>
      <w:r w:rsidRPr="001529C7">
        <w:rPr>
          <w:bCs/>
          <w:color w:val="000000" w:themeColor="text1"/>
          <w:lang w:val="en"/>
        </w:rPr>
        <w:t xml:space="preserve">Retail prices for domestic and transit transport have been regulated since August 2022. Currently, wholesale price of sales to gas stations is regulated, with compulsory sale of volumes to retail </w:t>
      </w:r>
      <w:r w:rsidR="00035D14">
        <w:rPr>
          <w:bCs/>
          <w:color w:val="000000" w:themeColor="text1"/>
          <w:lang w:val="en-US"/>
        </w:rPr>
        <w:t>market</w:t>
      </w:r>
      <w:r w:rsidRPr="001529C7">
        <w:rPr>
          <w:bCs/>
          <w:color w:val="000000" w:themeColor="text1"/>
          <w:lang w:val="en"/>
        </w:rPr>
        <w:t>;</w:t>
      </w:r>
    </w:p>
    <w:p w14:paraId="16281368"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2) high </w:t>
      </w:r>
      <w:r w:rsidRPr="001529C7">
        <w:rPr>
          <w:b/>
          <w:bCs/>
          <w:color w:val="000000" w:themeColor="text1"/>
          <w:lang w:val="en"/>
        </w:rPr>
        <w:t>difference</w:t>
      </w:r>
      <w:r w:rsidRPr="001529C7">
        <w:rPr>
          <w:bCs/>
          <w:color w:val="000000" w:themeColor="text1"/>
          <w:lang w:val="en"/>
        </w:rPr>
        <w:t xml:space="preserve"> between wholesale </w:t>
      </w:r>
      <w:r w:rsidRPr="001529C7">
        <w:rPr>
          <w:bCs/>
          <w:i/>
          <w:iCs/>
          <w:color w:val="000000" w:themeColor="text1"/>
          <w:sz w:val="24"/>
          <w:lang w:val="en"/>
        </w:rPr>
        <w:t>(227 KZT/l.)</w:t>
      </w:r>
      <w:r w:rsidRPr="001529C7">
        <w:rPr>
          <w:bCs/>
          <w:color w:val="000000" w:themeColor="text1"/>
          <w:lang w:val="en"/>
        </w:rPr>
        <w:t xml:space="preserve"> and retail prices </w:t>
      </w:r>
      <w:r w:rsidRPr="001529C7">
        <w:rPr>
          <w:bCs/>
          <w:i/>
          <w:iCs/>
          <w:color w:val="000000" w:themeColor="text1"/>
          <w:sz w:val="24"/>
          <w:lang w:val="en"/>
        </w:rPr>
        <w:t>(from 295 to 450 KZT/ l.)</w:t>
      </w:r>
      <w:r w:rsidRPr="001529C7">
        <w:rPr>
          <w:bCs/>
          <w:color w:val="000000" w:themeColor="text1"/>
          <w:lang w:val="en"/>
        </w:rPr>
        <w:t xml:space="preserve"> is the main reason for dissemination of shadow schemes. The main volume of diesel fuel </w:t>
      </w:r>
      <w:r w:rsidRPr="001529C7">
        <w:rPr>
          <w:bCs/>
          <w:i/>
          <w:iCs/>
          <w:color w:val="000000" w:themeColor="text1"/>
          <w:sz w:val="24"/>
          <w:lang w:val="en"/>
        </w:rPr>
        <w:t>(45%)</w:t>
      </w:r>
      <w:r w:rsidRPr="001529C7">
        <w:rPr>
          <w:bCs/>
          <w:color w:val="000000" w:themeColor="text1"/>
          <w:lang w:val="en"/>
        </w:rPr>
        <w:t xml:space="preserve"> is sold to large gas station networks, and during agricultural season – to agricultural producers </w:t>
      </w:r>
      <w:r w:rsidRPr="001529C7">
        <w:rPr>
          <w:bCs/>
          <w:i/>
          <w:iCs/>
          <w:color w:val="000000" w:themeColor="text1"/>
          <w:sz w:val="24"/>
          <w:lang w:val="en"/>
        </w:rPr>
        <w:t>(up to 30%).</w:t>
      </w:r>
      <w:r w:rsidRPr="001529C7">
        <w:rPr>
          <w:bCs/>
          <w:color w:val="000000" w:themeColor="text1"/>
          <w:lang w:val="en"/>
        </w:rPr>
        <w:t xml:space="preserve"> The rest of the market remains </w:t>
      </w:r>
      <w:r w:rsidRPr="001529C7">
        <w:rPr>
          <w:b/>
          <w:bCs/>
          <w:color w:val="000000" w:themeColor="text1"/>
          <w:lang w:val="en"/>
        </w:rPr>
        <w:t>uncontrolled</w:t>
      </w:r>
      <w:r w:rsidRPr="001529C7">
        <w:rPr>
          <w:bCs/>
          <w:color w:val="000000" w:themeColor="text1"/>
          <w:lang w:val="en"/>
        </w:rPr>
        <w:t xml:space="preserve"> </w:t>
      </w:r>
      <w:r w:rsidRPr="001529C7">
        <w:rPr>
          <w:bCs/>
          <w:i/>
          <w:color w:val="000000" w:themeColor="text1"/>
          <w:sz w:val="24"/>
          <w:lang w:val="en"/>
        </w:rPr>
        <w:t>("in the shadows").</w:t>
      </w:r>
    </w:p>
    <w:p w14:paraId="1A7D3667"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So, structure of "Petrosun" LLP counterparties contains the same former intermediaries: "Silk Way Petroleum" LLP, "SAPAR Trading" LLP, "Petro Capital" LLP, "Lf-Trade" LLP and others. "NC KazMunayGas" JSC has guaranteed to sell 35% of petroleum products to "PetroRetail" LLP, some of which are resold at the market to other gas stations </w:t>
      </w:r>
      <w:r w:rsidRPr="001529C7">
        <w:rPr>
          <w:bCs/>
          <w:i/>
          <w:iCs/>
          <w:color w:val="000000" w:themeColor="text1"/>
          <w:sz w:val="24"/>
          <w:lang w:val="en"/>
        </w:rPr>
        <w:t xml:space="preserve">(economically non-productive intermediaries).  </w:t>
      </w:r>
    </w:p>
    <w:p w14:paraId="509CDB0B" w14:textId="77777777" w:rsidR="00935FA4" w:rsidRPr="00A57506" w:rsidRDefault="004C4BA9" w:rsidP="00935FA4">
      <w:pPr>
        <w:contextualSpacing/>
        <w:rPr>
          <w:bCs/>
          <w:color w:val="000000" w:themeColor="text1"/>
          <w:lang w:val="en-US"/>
        </w:rPr>
      </w:pPr>
      <w:r w:rsidRPr="001529C7">
        <w:rPr>
          <w:bCs/>
          <w:color w:val="000000" w:themeColor="text1"/>
          <w:lang w:val="en"/>
        </w:rPr>
        <w:t>Currently, the Agency is checking the facts of unjustified refusals to sell fuel and lubricants.</w:t>
      </w:r>
    </w:p>
    <w:p w14:paraId="2C8C15BB"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After change of ownership, practice of selling fuel </w:t>
      </w:r>
      <w:r w:rsidRPr="001529C7">
        <w:rPr>
          <w:b/>
          <w:bCs/>
          <w:color w:val="000000" w:themeColor="text1"/>
          <w:lang w:val="en"/>
        </w:rPr>
        <w:t>without centralized accounting</w:t>
      </w:r>
      <w:r w:rsidRPr="001529C7">
        <w:rPr>
          <w:bCs/>
          <w:color w:val="000000" w:themeColor="text1"/>
          <w:lang w:val="en"/>
        </w:rPr>
        <w:t xml:space="preserve">, as per verbal requests of consumers began to be widely used in Petrosun LLP. Refusals to provide diesel fuel are </w:t>
      </w:r>
      <w:r w:rsidRPr="001529C7">
        <w:rPr>
          <w:b/>
          <w:bCs/>
          <w:color w:val="000000" w:themeColor="text1"/>
          <w:lang w:val="en"/>
        </w:rPr>
        <w:t>not registered</w:t>
      </w:r>
      <w:r w:rsidRPr="001529C7">
        <w:rPr>
          <w:bCs/>
          <w:color w:val="000000" w:themeColor="text1"/>
          <w:lang w:val="en"/>
        </w:rPr>
        <w:t>. Turnover of diesel fuel sales against cash has increased.</w:t>
      </w:r>
    </w:p>
    <w:p w14:paraId="152A6D85"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Thus, the state still does </w:t>
      </w:r>
      <w:r w:rsidRPr="001529C7">
        <w:rPr>
          <w:b/>
          <w:bCs/>
          <w:color w:val="000000" w:themeColor="text1"/>
          <w:lang w:val="en"/>
        </w:rPr>
        <w:t>not control</w:t>
      </w:r>
      <w:r w:rsidRPr="001529C7">
        <w:rPr>
          <w:bCs/>
          <w:color w:val="000000" w:themeColor="text1"/>
          <w:lang w:val="en"/>
        </w:rPr>
        <w:t xml:space="preserve"> about 30% of petroleum products, that negatively affects transparency of pricing and remains one of the factors for artificial formation of high prices;</w:t>
      </w:r>
    </w:p>
    <w:p w14:paraId="17B83ED7"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3) fuel distribution among agricultural producers is also carried out </w:t>
      </w:r>
      <w:r w:rsidRPr="001529C7">
        <w:rPr>
          <w:b/>
          <w:bCs/>
          <w:color w:val="000000" w:themeColor="text1"/>
          <w:lang w:val="en"/>
        </w:rPr>
        <w:t>non-transparently</w:t>
      </w:r>
      <w:r w:rsidRPr="001529C7">
        <w:rPr>
          <w:bCs/>
          <w:color w:val="000000" w:themeColor="text1"/>
          <w:lang w:val="en"/>
        </w:rPr>
        <w:t xml:space="preserve">,  according to distribution lists. </w:t>
      </w:r>
      <w:r w:rsidRPr="001529C7">
        <w:rPr>
          <w:b/>
          <w:bCs/>
          <w:color w:val="000000" w:themeColor="text1"/>
          <w:lang w:val="en"/>
        </w:rPr>
        <w:t>There is no control</w:t>
      </w:r>
      <w:r w:rsidRPr="001529C7">
        <w:rPr>
          <w:bCs/>
          <w:color w:val="000000" w:themeColor="text1"/>
          <w:lang w:val="en"/>
        </w:rPr>
        <w:t xml:space="preserve"> over targeted use of preferential fuel. </w:t>
      </w:r>
    </w:p>
    <w:p w14:paraId="124F8870"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With transition to marketing scheme, practice of </w:t>
      </w:r>
      <w:r w:rsidRPr="001529C7">
        <w:rPr>
          <w:b/>
          <w:bCs/>
          <w:color w:val="000000" w:themeColor="text1"/>
          <w:lang w:val="en"/>
        </w:rPr>
        <w:t>compulsory withdrawal</w:t>
      </w:r>
      <w:r w:rsidRPr="001529C7">
        <w:rPr>
          <w:bCs/>
          <w:color w:val="000000" w:themeColor="text1"/>
          <w:lang w:val="en"/>
        </w:rPr>
        <w:t xml:space="preserve"> of oil from private subsoil users by refineries at low prices is being introduced. Price of purchasing oil by KMG was reduced from 100 to 70 thousand KZT/ton, that did not </w:t>
      </w:r>
      <w:r w:rsidRPr="001529C7">
        <w:rPr>
          <w:bCs/>
          <w:color w:val="000000" w:themeColor="text1"/>
          <w:lang w:val="en"/>
        </w:rPr>
        <w:lastRenderedPageBreak/>
        <w:t xml:space="preserve">lead to price reduction, but only increased profitability of refineries. Unbalanced price regulation has caused </w:t>
      </w:r>
      <w:r w:rsidRPr="001529C7">
        <w:rPr>
          <w:b/>
          <w:bCs/>
          <w:color w:val="000000" w:themeColor="text1"/>
          <w:lang w:val="en"/>
        </w:rPr>
        <w:t>disparity</w:t>
      </w:r>
      <w:r w:rsidRPr="001529C7">
        <w:rPr>
          <w:bCs/>
          <w:color w:val="000000" w:themeColor="text1"/>
          <w:lang w:val="en"/>
        </w:rPr>
        <w:t xml:space="preserve"> of domestic and external prices. The difference in the cost of diesel fuel in Kazakhstan and neighboring countries has reached </w:t>
      </w:r>
      <w:r w:rsidRPr="001529C7">
        <w:rPr>
          <w:b/>
          <w:bCs/>
          <w:color w:val="000000" w:themeColor="text1"/>
          <w:lang w:val="en"/>
        </w:rPr>
        <w:t>65%</w:t>
      </w:r>
      <w:r w:rsidRPr="001529C7">
        <w:rPr>
          <w:bCs/>
          <w:color w:val="000000" w:themeColor="text1"/>
          <w:lang w:val="en"/>
        </w:rPr>
        <w:t xml:space="preserve">. In these conditions, measures of controlling illegal export of fuels and lubricants proved to be ineffective. </w:t>
      </w:r>
    </w:p>
    <w:p w14:paraId="1031EB5C"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In turn, differentiation of prices for domestic and transit transport has led to restrictions on sale of "preferential" fuel to population. Establishment of unified wholesale price at the level of diesel fuel cost, sold by KMG and Petrosun LLP </w:t>
      </w:r>
      <w:r w:rsidRPr="001529C7">
        <w:rPr>
          <w:bCs/>
          <w:i/>
          <w:iCs/>
          <w:color w:val="000000" w:themeColor="text1"/>
          <w:sz w:val="24"/>
          <w:lang w:val="en"/>
        </w:rPr>
        <w:t>(236 thousand KZT/ton)</w:t>
      </w:r>
      <w:r w:rsidRPr="001529C7">
        <w:rPr>
          <w:bCs/>
          <w:color w:val="000000" w:themeColor="text1"/>
          <w:lang w:val="en"/>
        </w:rPr>
        <w:t xml:space="preserve"> jeopardizes small oil suppliers </w:t>
      </w:r>
      <w:r w:rsidRPr="001529C7">
        <w:rPr>
          <w:bCs/>
          <w:i/>
          <w:iCs/>
          <w:color w:val="000000" w:themeColor="text1"/>
          <w:sz w:val="24"/>
          <w:lang w:val="en"/>
        </w:rPr>
        <w:t>(280-350 thousand KZT/ton),</w:t>
      </w:r>
      <w:r w:rsidRPr="001529C7">
        <w:rPr>
          <w:bCs/>
          <w:color w:val="000000" w:themeColor="text1"/>
          <w:lang w:val="en"/>
        </w:rPr>
        <w:t xml:space="preserve"> whose production costs are much higher; </w:t>
      </w:r>
    </w:p>
    <w:p w14:paraId="661EE483"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4) no less serious consequences arise in retail market, where the share of SMEs decreases annually in conditions of strict price control. In particular, small gas stations have indirect </w:t>
      </w:r>
      <w:r w:rsidRPr="001529C7">
        <w:rPr>
          <w:bCs/>
          <w:i/>
          <w:iCs/>
          <w:color w:val="000000" w:themeColor="text1"/>
          <w:sz w:val="24"/>
          <w:lang w:val="en"/>
        </w:rPr>
        <w:t>(through oil tank farms or large gas stations networks)</w:t>
      </w:r>
      <w:r w:rsidRPr="001529C7">
        <w:rPr>
          <w:bCs/>
          <w:color w:val="000000" w:themeColor="text1"/>
          <w:lang w:val="en"/>
        </w:rPr>
        <w:t xml:space="preserve"> access to resources of oil suppliers, that means higher cost of purchasing fuel;</w:t>
      </w:r>
    </w:p>
    <w:p w14:paraId="4A31695B"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5) if price control is established at wholesale and retail markets, then monopoly oil refining services remain </w:t>
      </w:r>
      <w:r w:rsidRPr="001529C7">
        <w:rPr>
          <w:b/>
          <w:bCs/>
          <w:color w:val="000000" w:themeColor="text1"/>
          <w:lang w:val="en"/>
        </w:rPr>
        <w:t>excluded from price regulation</w:t>
      </w:r>
      <w:r w:rsidRPr="001529C7">
        <w:rPr>
          <w:bCs/>
          <w:color w:val="000000" w:themeColor="text1"/>
          <w:lang w:val="en"/>
        </w:rPr>
        <w:t>.</w:t>
      </w:r>
    </w:p>
    <w:p w14:paraId="64A393E2" w14:textId="77777777" w:rsidR="00935FA4" w:rsidRPr="00A57506" w:rsidRDefault="004C4BA9" w:rsidP="00935FA4">
      <w:pPr>
        <w:contextualSpacing/>
        <w:rPr>
          <w:bCs/>
          <w:color w:val="000000" w:themeColor="text1"/>
          <w:lang w:val="en-US"/>
        </w:rPr>
      </w:pPr>
      <w:r w:rsidRPr="001529C7">
        <w:rPr>
          <w:bCs/>
          <w:color w:val="000000" w:themeColor="text1"/>
          <w:lang w:val="en"/>
        </w:rPr>
        <w:t xml:space="preserve">As a result, facts of overpricing refinery services are revealed on an ongoing basis. For example, in 2022, Atyrau and Pavlodar refineries </w:t>
      </w:r>
      <w:r w:rsidRPr="001529C7">
        <w:rPr>
          <w:b/>
          <w:bCs/>
          <w:color w:val="000000" w:themeColor="text1"/>
          <w:lang w:val="en"/>
        </w:rPr>
        <w:t>exceeded</w:t>
      </w:r>
      <w:r w:rsidRPr="001529C7">
        <w:rPr>
          <w:bCs/>
          <w:color w:val="000000" w:themeColor="text1"/>
          <w:lang w:val="en"/>
        </w:rPr>
        <w:t xml:space="preserve"> justified price by </w:t>
      </w:r>
      <w:r w:rsidRPr="001529C7">
        <w:rPr>
          <w:b/>
          <w:bCs/>
          <w:color w:val="000000" w:themeColor="text1"/>
          <w:lang w:val="en"/>
        </w:rPr>
        <w:t>35% and 17%</w:t>
      </w:r>
      <w:r w:rsidRPr="001529C7">
        <w:rPr>
          <w:bCs/>
          <w:color w:val="000000" w:themeColor="text1"/>
          <w:lang w:val="en"/>
        </w:rPr>
        <w:t xml:space="preserve">, respectively. Despite this, Atyrau refinery, as part of KMG Group, again increased processing cost </w:t>
      </w:r>
      <w:r w:rsidRPr="001529C7">
        <w:rPr>
          <w:b/>
          <w:bCs/>
          <w:color w:val="000000" w:themeColor="text1"/>
          <w:lang w:val="en"/>
        </w:rPr>
        <w:t>by 27%</w:t>
      </w:r>
      <w:r w:rsidRPr="001529C7">
        <w:rPr>
          <w:bCs/>
          <w:color w:val="000000" w:themeColor="text1"/>
          <w:lang w:val="en"/>
        </w:rPr>
        <w:t xml:space="preserve">in January this year. </w:t>
      </w:r>
    </w:p>
    <w:p w14:paraId="726D3E68" w14:textId="77777777" w:rsidR="00935FA4" w:rsidRPr="00A57506" w:rsidRDefault="004C4BA9" w:rsidP="00935FA4">
      <w:pPr>
        <w:contextualSpacing/>
        <w:rPr>
          <w:bCs/>
          <w:color w:val="000000" w:themeColor="text1"/>
          <w:lang w:val="en-US"/>
        </w:rPr>
      </w:pPr>
      <w:r w:rsidRPr="001529C7">
        <w:rPr>
          <w:bCs/>
          <w:color w:val="000000" w:themeColor="text1"/>
          <w:lang w:val="en"/>
        </w:rPr>
        <w:t>Taking into account approximately 18% contribution of processing cost to wholesale price, this significantly increases final cost for consumers;</w:t>
      </w:r>
    </w:p>
    <w:p w14:paraId="64001EE7" w14:textId="77777777" w:rsidR="00935FA4" w:rsidRPr="00A57506" w:rsidRDefault="004C4BA9" w:rsidP="00935FA4">
      <w:pPr>
        <w:contextualSpacing/>
        <w:rPr>
          <w:color w:val="000000" w:themeColor="text1"/>
          <w:lang w:val="en-US"/>
        </w:rPr>
      </w:pPr>
      <w:r w:rsidRPr="001529C7">
        <w:rPr>
          <w:color w:val="000000" w:themeColor="text1"/>
          <w:lang w:val="en"/>
        </w:rPr>
        <w:t xml:space="preserve">6) </w:t>
      </w:r>
      <w:r w:rsidR="00D17C56">
        <w:rPr>
          <w:b/>
          <w:color w:val="000000" w:themeColor="text1"/>
          <w:lang w:val="en"/>
        </w:rPr>
        <w:t>poor quality</w:t>
      </w:r>
      <w:r w:rsidRPr="001529C7">
        <w:rPr>
          <w:color w:val="000000" w:themeColor="text1"/>
          <w:lang w:val="en"/>
        </w:rPr>
        <w:t xml:space="preserve"> of state management of the refinery is characterized by the number of unscheduled repairs.</w:t>
      </w:r>
    </w:p>
    <w:p w14:paraId="73AE7F52" w14:textId="3DB314BD" w:rsidR="00935FA4" w:rsidRPr="00A57506" w:rsidRDefault="004C4BA9" w:rsidP="00935FA4">
      <w:pPr>
        <w:contextualSpacing/>
        <w:rPr>
          <w:color w:val="000000" w:themeColor="text1"/>
          <w:lang w:val="en-US"/>
        </w:rPr>
      </w:pPr>
      <w:r w:rsidRPr="001529C7">
        <w:rPr>
          <w:color w:val="000000" w:themeColor="text1"/>
          <w:lang w:val="en"/>
        </w:rPr>
        <w:t xml:space="preserve">In February, Atyrau refinery stopped catalytic cracking.  In the same month, Pavlodar refinery, due to a defect in hydrogen production unit, also stopped production of diesel fuel in an emergency. With that, the total amount of funds invested into modernization of </w:t>
      </w:r>
      <w:r w:rsidR="003263B8" w:rsidRPr="001529C7">
        <w:rPr>
          <w:color w:val="000000" w:themeColor="text1"/>
          <w:lang w:val="en"/>
        </w:rPr>
        <w:t>Atyrau,</w:t>
      </w:r>
      <w:r w:rsidRPr="001529C7">
        <w:rPr>
          <w:color w:val="000000" w:themeColor="text1"/>
          <w:lang w:val="en"/>
        </w:rPr>
        <w:t xml:space="preserve"> and Pavlodar refineries for 5 years amounted to </w:t>
      </w:r>
      <w:r w:rsidRPr="001529C7">
        <w:rPr>
          <w:b/>
          <w:color w:val="000000" w:themeColor="text1"/>
          <w:lang w:val="en"/>
        </w:rPr>
        <w:t>1.9 trillion KZT.</w:t>
      </w:r>
      <w:r w:rsidRPr="001529C7">
        <w:rPr>
          <w:color w:val="000000" w:themeColor="text1"/>
          <w:lang w:val="en"/>
        </w:rPr>
        <w:t xml:space="preserve"> </w:t>
      </w:r>
    </w:p>
    <w:p w14:paraId="08577337" w14:textId="77777777" w:rsidR="00935FA4" w:rsidRPr="00A57506" w:rsidRDefault="004C4BA9" w:rsidP="00935FA4">
      <w:pPr>
        <w:contextualSpacing/>
        <w:rPr>
          <w:color w:val="000000" w:themeColor="text1"/>
          <w:lang w:val="en-US"/>
        </w:rPr>
      </w:pPr>
      <w:r w:rsidRPr="001529C7">
        <w:rPr>
          <w:color w:val="000000" w:themeColor="text1"/>
          <w:lang w:val="en"/>
        </w:rPr>
        <w:t xml:space="preserve">In total, </w:t>
      </w:r>
      <w:r w:rsidRPr="001529C7">
        <w:rPr>
          <w:b/>
          <w:color w:val="000000" w:themeColor="text1"/>
          <w:lang w:val="en"/>
        </w:rPr>
        <w:t>106 unscheduled shutdowns</w:t>
      </w:r>
      <w:r w:rsidRPr="001529C7">
        <w:rPr>
          <w:color w:val="000000" w:themeColor="text1"/>
          <w:lang w:val="en"/>
        </w:rPr>
        <w:t xml:space="preserve"> have occurred at these state refineries over the past 3 years, while 21 unscheduled shutdowns have occurred at the Shymkent refinery, which is owned by private investor </w:t>
      </w:r>
      <w:r w:rsidRPr="001529C7">
        <w:rPr>
          <w:i/>
          <w:color w:val="000000" w:themeColor="text1"/>
          <w:sz w:val="24"/>
          <w:lang w:val="en"/>
        </w:rPr>
        <w:t>(50.2%)</w:t>
      </w:r>
      <w:r w:rsidRPr="001529C7">
        <w:rPr>
          <w:color w:val="000000" w:themeColor="text1"/>
          <w:lang w:val="en"/>
        </w:rPr>
        <w:t>, that indicates more efficient asset management.</w:t>
      </w:r>
    </w:p>
    <w:p w14:paraId="1DEBB35D" w14:textId="77777777" w:rsidR="00935FA4" w:rsidRPr="00A57506" w:rsidRDefault="004C4BA9" w:rsidP="00935FA4">
      <w:pPr>
        <w:contextualSpacing/>
        <w:rPr>
          <w:color w:val="000000" w:themeColor="text1"/>
          <w:lang w:val="en-US"/>
        </w:rPr>
      </w:pPr>
      <w:r w:rsidRPr="001529C7">
        <w:rPr>
          <w:color w:val="000000" w:themeColor="text1"/>
          <w:lang w:val="en"/>
        </w:rPr>
        <w:t>In turn, state shareholding of refinery complicates elimination of accidents, as it requires that procurement of equipment  must be conducted in compliance with current legislation;</w:t>
      </w:r>
    </w:p>
    <w:p w14:paraId="764CBAF8" w14:textId="77777777" w:rsidR="00935FA4" w:rsidRPr="00A57506" w:rsidRDefault="004C4BA9" w:rsidP="00935FA4">
      <w:pPr>
        <w:contextualSpacing/>
        <w:rPr>
          <w:color w:val="000000" w:themeColor="text1"/>
          <w:lang w:val="en-US"/>
        </w:rPr>
      </w:pPr>
      <w:r w:rsidRPr="001529C7">
        <w:rPr>
          <w:color w:val="000000" w:themeColor="text1"/>
          <w:lang w:val="en"/>
        </w:rPr>
        <w:t xml:space="preserve">7) planned </w:t>
      </w:r>
      <w:r w:rsidRPr="001529C7">
        <w:rPr>
          <w:b/>
          <w:color w:val="000000" w:themeColor="text1"/>
          <w:lang w:val="en"/>
        </w:rPr>
        <w:t>gradual increase in prices</w:t>
      </w:r>
      <w:r w:rsidRPr="001529C7">
        <w:rPr>
          <w:color w:val="000000" w:themeColor="text1"/>
          <w:lang w:val="en"/>
        </w:rPr>
        <w:t xml:space="preserve"> is a necessary measure to eliminate imbalances at domestic market. </w:t>
      </w:r>
    </w:p>
    <w:p w14:paraId="78ADA12B" w14:textId="77777777" w:rsidR="00935FA4" w:rsidRPr="00A57506" w:rsidRDefault="004C4BA9" w:rsidP="00935FA4">
      <w:pPr>
        <w:contextualSpacing/>
        <w:rPr>
          <w:color w:val="000000" w:themeColor="text1"/>
          <w:lang w:val="en-US"/>
        </w:rPr>
      </w:pPr>
      <w:r w:rsidRPr="001529C7">
        <w:rPr>
          <w:color w:val="000000" w:themeColor="text1"/>
          <w:lang w:val="en"/>
        </w:rPr>
        <w:t xml:space="preserve">However, in conditions of maintained monopoly state at wholesale market, price increase means profitability increase for dominant wholesale suppliers and retail market entities.  </w:t>
      </w:r>
    </w:p>
    <w:p w14:paraId="380CF02C" w14:textId="1A2F7D8A" w:rsidR="00935FA4" w:rsidRPr="00A57506" w:rsidRDefault="004C4BA9" w:rsidP="00935FA4">
      <w:pPr>
        <w:contextualSpacing/>
        <w:rPr>
          <w:color w:val="000000" w:themeColor="text1"/>
          <w:lang w:val="en-US"/>
        </w:rPr>
      </w:pPr>
      <w:r w:rsidRPr="001529C7">
        <w:rPr>
          <w:color w:val="000000" w:themeColor="text1"/>
          <w:lang w:val="en"/>
        </w:rPr>
        <w:lastRenderedPageBreak/>
        <w:t xml:space="preserve">Therefore, when prices rise, it is necessary to </w:t>
      </w:r>
      <w:r w:rsidRPr="001529C7">
        <w:rPr>
          <w:b/>
          <w:color w:val="000000" w:themeColor="text1"/>
          <w:lang w:val="en"/>
        </w:rPr>
        <w:t>increase excise</w:t>
      </w:r>
      <w:r w:rsidRPr="001529C7">
        <w:rPr>
          <w:color w:val="000000" w:themeColor="text1"/>
          <w:lang w:val="en"/>
        </w:rPr>
        <w:t xml:space="preserve"> tax rates in order to withdraw excess profits and redistribute profits from wholesale sector to subsoil users by increasing purchase prices;</w:t>
      </w:r>
    </w:p>
    <w:p w14:paraId="6366A412" w14:textId="77777777" w:rsidR="00935FA4" w:rsidRPr="00A57506" w:rsidRDefault="004C4BA9" w:rsidP="00935FA4">
      <w:pPr>
        <w:contextualSpacing/>
        <w:rPr>
          <w:color w:val="000000" w:themeColor="text1"/>
          <w:lang w:val="en-US"/>
        </w:rPr>
      </w:pPr>
      <w:r w:rsidRPr="001529C7">
        <w:rPr>
          <w:bCs/>
          <w:color w:val="000000" w:themeColor="text1"/>
          <w:lang w:val="en"/>
        </w:rPr>
        <w:t>8) data collection is carried out by SRC of the Ministry of Finance</w:t>
      </w:r>
      <w:r w:rsidRPr="001529C7">
        <w:rPr>
          <w:i/>
          <w:color w:val="000000" w:themeColor="text1"/>
          <w:sz w:val="24"/>
          <w:lang w:val="en"/>
        </w:rPr>
        <w:t xml:space="preserve"> (gas station tax returns)</w:t>
      </w:r>
      <w:r w:rsidRPr="001529C7">
        <w:rPr>
          <w:color w:val="000000" w:themeColor="text1"/>
          <w:lang w:val="en"/>
        </w:rPr>
        <w:t>, Ministry of Energy</w:t>
      </w:r>
      <w:r w:rsidRPr="001529C7">
        <w:rPr>
          <w:i/>
          <w:color w:val="000000" w:themeColor="text1"/>
          <w:sz w:val="24"/>
          <w:lang w:val="en"/>
        </w:rPr>
        <w:t xml:space="preserve"> (reports of oil tank farms and refineries) </w:t>
      </w:r>
      <w:r w:rsidRPr="001529C7">
        <w:rPr>
          <w:color w:val="000000" w:themeColor="text1"/>
          <w:lang w:val="en"/>
        </w:rPr>
        <w:t>and "NIT" JSC</w:t>
      </w:r>
      <w:r w:rsidRPr="001529C7">
        <w:rPr>
          <w:i/>
          <w:color w:val="000000" w:themeColor="text1"/>
          <w:sz w:val="24"/>
          <w:lang w:val="en"/>
        </w:rPr>
        <w:t xml:space="preserve"> (oil products accounting system (OPAS), through metering devices at refineries and gas stations)</w:t>
      </w:r>
      <w:r w:rsidRPr="001529C7">
        <w:rPr>
          <w:color w:val="000000" w:themeColor="text1"/>
          <w:lang w:val="en"/>
        </w:rPr>
        <w:t>.</w:t>
      </w:r>
    </w:p>
    <w:p w14:paraId="73B12971" w14:textId="77777777" w:rsidR="00935FA4" w:rsidRPr="00A57506" w:rsidRDefault="004C4BA9" w:rsidP="00935FA4">
      <w:pPr>
        <w:contextualSpacing/>
        <w:rPr>
          <w:color w:val="000000" w:themeColor="text1"/>
          <w:lang w:val="en-US"/>
        </w:rPr>
      </w:pPr>
      <w:r w:rsidRPr="001529C7">
        <w:rPr>
          <w:color w:val="000000" w:themeColor="text1"/>
          <w:lang w:val="en"/>
        </w:rPr>
        <w:t xml:space="preserve">Tax returns for SRC and reports for MoE are generated by gas stations and oil tank farms independently, that </w:t>
      </w:r>
      <w:r w:rsidRPr="001529C7">
        <w:rPr>
          <w:b/>
          <w:color w:val="000000" w:themeColor="text1"/>
          <w:lang w:val="en"/>
        </w:rPr>
        <w:t>reduces data reliability</w:t>
      </w:r>
      <w:r w:rsidRPr="001529C7">
        <w:rPr>
          <w:color w:val="000000" w:themeColor="text1"/>
          <w:lang w:val="en"/>
        </w:rPr>
        <w:t xml:space="preserve">, while data collection of "NIT" JSC is carried out automatically through metering devices. However, the system of "NIT" JSC is related only to remainders at gas stations. </w:t>
      </w:r>
    </w:p>
    <w:p w14:paraId="6E8FCB42" w14:textId="77777777" w:rsidR="00935FA4" w:rsidRPr="00A57506" w:rsidRDefault="004C4BA9" w:rsidP="00935FA4">
      <w:pPr>
        <w:contextualSpacing/>
        <w:rPr>
          <w:color w:val="000000" w:themeColor="text1"/>
          <w:lang w:val="en-US"/>
        </w:rPr>
      </w:pPr>
      <w:r w:rsidRPr="001529C7">
        <w:rPr>
          <w:color w:val="000000" w:themeColor="text1"/>
          <w:lang w:val="en"/>
        </w:rPr>
        <w:t xml:space="preserve">Thus, there is </w:t>
      </w:r>
      <w:r w:rsidRPr="001529C7">
        <w:rPr>
          <w:b/>
          <w:color w:val="000000" w:themeColor="text1"/>
          <w:lang w:val="en"/>
        </w:rPr>
        <w:t>no single platform</w:t>
      </w:r>
      <w:r w:rsidRPr="001529C7">
        <w:rPr>
          <w:color w:val="000000" w:themeColor="text1"/>
          <w:lang w:val="en"/>
        </w:rPr>
        <w:t xml:space="preserve"> for collecting and accounting turnover of petroleum products, there is no process automation.</w:t>
      </w:r>
    </w:p>
    <w:p w14:paraId="1D75A2E2" w14:textId="77777777" w:rsidR="00935FA4" w:rsidRPr="00A57506" w:rsidRDefault="004C4BA9" w:rsidP="00935FA4">
      <w:pPr>
        <w:contextualSpacing/>
        <w:rPr>
          <w:color w:val="000000" w:themeColor="text1"/>
          <w:lang w:val="en-US"/>
        </w:rPr>
      </w:pPr>
      <w:r w:rsidRPr="001529C7">
        <w:rPr>
          <w:color w:val="000000" w:themeColor="text1"/>
          <w:lang w:val="en"/>
        </w:rPr>
        <w:t xml:space="preserve">On December 31, 2015, by the decree of the Government, "NIT" JSC was defined as the operator of oil products accounting system </w:t>
      </w:r>
      <w:r w:rsidRPr="001529C7">
        <w:rPr>
          <w:i/>
          <w:color w:val="000000" w:themeColor="text1"/>
          <w:sz w:val="24"/>
          <w:lang w:val="en"/>
        </w:rPr>
        <w:t>(OPAS),</w:t>
      </w:r>
      <w:r w:rsidRPr="001529C7">
        <w:rPr>
          <w:color w:val="000000" w:themeColor="text1"/>
          <w:lang w:val="en"/>
        </w:rPr>
        <w:t xml:space="preserve"> the system was introduced only in June 2019, but it is not full–fledged, since it does not cover all market participants - feedstock suppliers and oil tank farms. The issue of financing this system has not yet been resolved, "NIT" JSC develops and maintains it independently.</w:t>
      </w:r>
    </w:p>
    <w:p w14:paraId="44F66DFA" w14:textId="77777777" w:rsidR="00EF3931" w:rsidRPr="00A57506" w:rsidRDefault="004C4BA9" w:rsidP="00F411E1">
      <w:pPr>
        <w:rPr>
          <w:b/>
          <w:bCs/>
          <w:i/>
          <w:color w:val="000000" w:themeColor="text1"/>
          <w:lang w:val="en-US"/>
        </w:rPr>
      </w:pPr>
      <w:r w:rsidRPr="001529C7">
        <w:rPr>
          <w:b/>
          <w:bCs/>
          <w:i/>
          <w:color w:val="000000" w:themeColor="text1"/>
          <w:lang w:val="en"/>
        </w:rPr>
        <w:t xml:space="preserve">Proposals and recommendations for competition development </w:t>
      </w:r>
    </w:p>
    <w:p w14:paraId="3CE5DA4D" w14:textId="77777777" w:rsidR="00043024" w:rsidRPr="00A57506" w:rsidRDefault="004C4BA9" w:rsidP="00043024">
      <w:pPr>
        <w:rPr>
          <w:color w:val="000000" w:themeColor="text1"/>
          <w:lang w:val="en-US"/>
        </w:rPr>
      </w:pPr>
      <w:r w:rsidRPr="001529C7">
        <w:rPr>
          <w:color w:val="000000" w:themeColor="text1"/>
          <w:lang w:val="en"/>
        </w:rPr>
        <w:t>Based on results of analysis, the following proposals were developed for market under consideration:</w:t>
      </w:r>
    </w:p>
    <w:p w14:paraId="58F48494" w14:textId="77777777" w:rsidR="00043024" w:rsidRPr="00A57506" w:rsidRDefault="004C4BA9" w:rsidP="00043024">
      <w:pPr>
        <w:contextualSpacing/>
        <w:rPr>
          <w:color w:val="000000" w:themeColor="text1"/>
          <w:lang w:val="en-US"/>
        </w:rPr>
      </w:pPr>
      <w:r>
        <w:rPr>
          <w:color w:val="000000" w:themeColor="text1"/>
          <w:lang w:val="en"/>
        </w:rPr>
        <w:t>1) development of petroleum products exchange trading up to 20% of market volume;</w:t>
      </w:r>
    </w:p>
    <w:p w14:paraId="378EFBFB" w14:textId="77777777" w:rsidR="00043024" w:rsidRPr="00A57506" w:rsidRDefault="004C4BA9" w:rsidP="00043024">
      <w:pPr>
        <w:contextualSpacing/>
        <w:rPr>
          <w:color w:val="000000" w:themeColor="text1"/>
          <w:lang w:val="en-US"/>
        </w:rPr>
      </w:pPr>
      <w:r>
        <w:rPr>
          <w:color w:val="000000" w:themeColor="text1"/>
          <w:lang w:val="en"/>
        </w:rPr>
        <w:t>2) regulation of access to oil refining services within the Rules of Equal Access to Key Capacity</w:t>
      </w:r>
      <w:r w:rsidRPr="001529C7">
        <w:rPr>
          <w:i/>
          <w:iCs/>
          <w:color w:val="000000" w:themeColor="text1"/>
          <w:sz w:val="24"/>
          <w:lang w:val="en"/>
        </w:rPr>
        <w:t xml:space="preserve"> (there are existing Rules for access of oil suppliers to processing of crude oil and (or) gas condensate, and (or) refined products, approved by Order No. 51 of the Minister of Energy of the Republic of Kazakhstan dated February 2, 2015, amendments to this order are planned)</w:t>
      </w:r>
      <w:r w:rsidRPr="001529C7">
        <w:rPr>
          <w:color w:val="000000" w:themeColor="text1"/>
          <w:lang w:val="en"/>
        </w:rPr>
        <w:t>;</w:t>
      </w:r>
    </w:p>
    <w:p w14:paraId="03659A56" w14:textId="77777777" w:rsidR="00043024" w:rsidRPr="00A57506" w:rsidRDefault="004C4BA9" w:rsidP="00043024">
      <w:pPr>
        <w:contextualSpacing/>
        <w:rPr>
          <w:color w:val="000000" w:themeColor="text1"/>
          <w:lang w:val="en-US"/>
        </w:rPr>
      </w:pPr>
      <w:r>
        <w:rPr>
          <w:color w:val="000000" w:themeColor="text1"/>
          <w:lang w:val="en"/>
        </w:rPr>
        <w:t>3) regulation of petroleum products sale within the framework of the Rules of Equal Access to Key Capacity</w:t>
      </w:r>
      <w:r w:rsidRPr="001529C7">
        <w:rPr>
          <w:i/>
          <w:iCs/>
          <w:color w:val="000000" w:themeColor="text1"/>
          <w:sz w:val="24"/>
          <w:lang w:val="en"/>
        </w:rPr>
        <w:t xml:space="preserve"> (Rules have been developed, currently agreed with the industry state authorities (Ministries of Finance and Energy)</w:t>
      </w:r>
      <w:r w:rsidRPr="001529C7">
        <w:rPr>
          <w:color w:val="000000" w:themeColor="text1"/>
          <w:lang w:val="en"/>
        </w:rPr>
        <w:t>;</w:t>
      </w:r>
    </w:p>
    <w:p w14:paraId="6BDE9A06" w14:textId="77777777" w:rsidR="00043024" w:rsidRPr="00A57506" w:rsidRDefault="004C4BA9" w:rsidP="00043024">
      <w:pPr>
        <w:contextualSpacing/>
        <w:rPr>
          <w:color w:val="000000" w:themeColor="text1"/>
          <w:lang w:val="en-US"/>
        </w:rPr>
      </w:pPr>
      <w:r>
        <w:rPr>
          <w:color w:val="000000" w:themeColor="text1"/>
          <w:lang w:val="en"/>
        </w:rPr>
        <w:t>4) return to state regulation of prices for oil refining services , which was in effect until 2017;</w:t>
      </w:r>
    </w:p>
    <w:p w14:paraId="55C7CEA4" w14:textId="77777777" w:rsidR="00043024" w:rsidRPr="00A57506" w:rsidRDefault="004C4BA9" w:rsidP="00043024">
      <w:pPr>
        <w:contextualSpacing/>
        <w:rPr>
          <w:color w:val="000000" w:themeColor="text1"/>
          <w:lang w:val="en-US"/>
        </w:rPr>
      </w:pPr>
      <w:r>
        <w:rPr>
          <w:color w:val="000000" w:themeColor="text1"/>
          <w:lang w:val="en"/>
        </w:rPr>
        <w:t>5) recognition of oil refining services as licensed activity with qualification requirements of integrated technological process;</w:t>
      </w:r>
    </w:p>
    <w:p w14:paraId="6D4F4A29" w14:textId="63B124B4" w:rsidR="00043024" w:rsidRPr="00A57506" w:rsidRDefault="004C4BA9" w:rsidP="00043024">
      <w:pPr>
        <w:contextualSpacing/>
        <w:rPr>
          <w:color w:val="000000" w:themeColor="text1"/>
          <w:lang w:val="en-US"/>
        </w:rPr>
      </w:pPr>
      <w:r>
        <w:rPr>
          <w:color w:val="000000" w:themeColor="text1"/>
          <w:lang w:val="en"/>
        </w:rPr>
        <w:t>6) introduction of full cycle accounting for turnover of petroleum products on the basis of "NIT" JSC, including sales by feedstock suppliers and oil tank farms with budget financing;</w:t>
      </w:r>
    </w:p>
    <w:p w14:paraId="15DCE5E8" w14:textId="77777777" w:rsidR="00043024" w:rsidRPr="00A57506" w:rsidRDefault="004C4BA9" w:rsidP="00043024">
      <w:pPr>
        <w:contextualSpacing/>
        <w:rPr>
          <w:color w:val="000000" w:themeColor="text1"/>
          <w:lang w:val="en-US"/>
        </w:rPr>
      </w:pPr>
      <w:r>
        <w:rPr>
          <w:color w:val="000000" w:themeColor="text1"/>
          <w:lang w:val="en"/>
        </w:rPr>
        <w:t>7) gradual increase in wholesale and retail prices for petroleum products with increase in excise duty and prices for purchasing oil from subsoil users and subsequent deregulation of the market;</w:t>
      </w:r>
    </w:p>
    <w:p w14:paraId="566CB50B" w14:textId="77777777" w:rsidR="00043024" w:rsidRPr="00A57506" w:rsidRDefault="004C4BA9" w:rsidP="00043024">
      <w:pPr>
        <w:contextualSpacing/>
        <w:rPr>
          <w:color w:val="000000" w:themeColor="text1"/>
          <w:lang w:val="en-US"/>
        </w:rPr>
      </w:pPr>
      <w:r>
        <w:rPr>
          <w:color w:val="000000" w:themeColor="text1"/>
          <w:lang w:val="en"/>
        </w:rPr>
        <w:t>8) changing market model focused on competition of large and small vertically integrated companies;</w:t>
      </w:r>
    </w:p>
    <w:p w14:paraId="236A56F1" w14:textId="77777777" w:rsidR="00043024" w:rsidRPr="001529C7" w:rsidRDefault="004C4BA9" w:rsidP="00043024">
      <w:pPr>
        <w:contextualSpacing/>
        <w:rPr>
          <w:color w:val="000000" w:themeColor="text1"/>
          <w:lang w:val="kk-KZ"/>
        </w:rPr>
      </w:pPr>
      <w:r>
        <w:rPr>
          <w:color w:val="000000" w:themeColor="text1"/>
          <w:lang w:val="en"/>
        </w:rPr>
        <w:t xml:space="preserve">9) implementation of a set of measures to reduce state participation in market of sale and processing of petroleum products in order to demonopolize market due to </w:t>
      </w:r>
      <w:r>
        <w:rPr>
          <w:color w:val="000000" w:themeColor="text1"/>
          <w:lang w:val="en"/>
        </w:rPr>
        <w:lastRenderedPageBreak/>
        <w:t xml:space="preserve">inefficiency of state operator </w:t>
      </w:r>
      <w:r w:rsidRPr="001529C7">
        <w:rPr>
          <w:i/>
          <w:iCs/>
          <w:color w:val="000000" w:themeColor="text1"/>
          <w:sz w:val="24"/>
          <w:lang w:val="en"/>
        </w:rPr>
        <w:t>(Agency's position was sent to the Government Office, Presidential Administration, general approaches were supported, including by industry body)</w:t>
      </w:r>
      <w:r>
        <w:rPr>
          <w:color w:val="000000" w:themeColor="text1"/>
          <w:lang w:val="en"/>
        </w:rPr>
        <w:t>.</w:t>
      </w:r>
    </w:p>
    <w:p w14:paraId="41961D43" w14:textId="77777777" w:rsidR="00043024" w:rsidRPr="001529C7" w:rsidRDefault="004C4BA9" w:rsidP="00043024">
      <w:pPr>
        <w:contextualSpacing/>
        <w:rPr>
          <w:color w:val="000000" w:themeColor="text1"/>
          <w:lang w:val="kk-KZ"/>
        </w:rPr>
      </w:pPr>
      <w:r w:rsidRPr="001529C7">
        <w:rPr>
          <w:color w:val="000000" w:themeColor="text1"/>
          <w:lang w:val="en"/>
        </w:rPr>
        <w:t xml:space="preserve">In 2022, the Agency jointly with the Ministry of Energy adopted a </w:t>
      </w:r>
      <w:r w:rsidRPr="001529C7">
        <w:rPr>
          <w:b/>
          <w:color w:val="000000" w:themeColor="text1"/>
          <w:lang w:val="en"/>
        </w:rPr>
        <w:t>roadmap</w:t>
      </w:r>
      <w:r w:rsidRPr="001529C7">
        <w:rPr>
          <w:i/>
          <w:iCs/>
          <w:color w:val="000000" w:themeColor="text1"/>
          <w:sz w:val="24"/>
          <w:szCs w:val="24"/>
          <w:lang w:val="en"/>
        </w:rPr>
        <w:t>,</w:t>
      </w:r>
      <w:r w:rsidRPr="001529C7">
        <w:rPr>
          <w:color w:val="000000" w:themeColor="text1"/>
          <w:lang w:val="en"/>
        </w:rPr>
        <w:t xml:space="preserve"> which provides for:</w:t>
      </w:r>
    </w:p>
    <w:p w14:paraId="36ED78A5" w14:textId="77777777" w:rsidR="00043024" w:rsidRPr="001529C7" w:rsidRDefault="004C4BA9" w:rsidP="00043024">
      <w:pPr>
        <w:contextualSpacing/>
        <w:rPr>
          <w:color w:val="000000" w:themeColor="text1"/>
          <w:lang w:val="kk-KZ"/>
        </w:rPr>
      </w:pPr>
      <w:r w:rsidRPr="001529C7">
        <w:rPr>
          <w:color w:val="000000" w:themeColor="text1"/>
          <w:lang w:val="en"/>
        </w:rPr>
        <w:t>1) analysis of exchange trading in petroleum products for up to 20% increase in volumes of trading;</w:t>
      </w:r>
    </w:p>
    <w:p w14:paraId="4F3A1B98" w14:textId="77777777" w:rsidR="00043024" w:rsidRPr="001529C7" w:rsidRDefault="004C4BA9" w:rsidP="00043024">
      <w:pPr>
        <w:contextualSpacing/>
        <w:rPr>
          <w:color w:val="000000" w:themeColor="text1"/>
          <w:lang w:val="kk-KZ"/>
        </w:rPr>
      </w:pPr>
      <w:r w:rsidRPr="001529C7">
        <w:rPr>
          <w:color w:val="000000" w:themeColor="text1"/>
          <w:lang w:val="en"/>
        </w:rPr>
        <w:t>2) approval of the Rules of equal access to key capacity of wholesale sales of petroleum products;</w:t>
      </w:r>
    </w:p>
    <w:p w14:paraId="03418544" w14:textId="77777777" w:rsidR="00043024" w:rsidRPr="001529C7" w:rsidRDefault="004C4BA9" w:rsidP="00043024">
      <w:pPr>
        <w:contextualSpacing/>
        <w:rPr>
          <w:color w:val="000000" w:themeColor="text1"/>
          <w:lang w:val="kk-KZ"/>
        </w:rPr>
      </w:pPr>
      <w:r w:rsidRPr="001529C7">
        <w:rPr>
          <w:color w:val="000000" w:themeColor="text1"/>
          <w:lang w:val="en"/>
        </w:rPr>
        <w:t xml:space="preserve">3) approval by "KMG-Aero" JSC of sale of aviation kerosene by the antimonopoly compliance act  </w:t>
      </w:r>
      <w:r w:rsidRPr="001529C7">
        <w:rPr>
          <w:i/>
          <w:color w:val="000000" w:themeColor="text1"/>
          <w:sz w:val="24"/>
          <w:lang w:val="en"/>
        </w:rPr>
        <w:t>(retail sale)</w:t>
      </w:r>
      <w:r w:rsidRPr="001529C7">
        <w:rPr>
          <w:color w:val="000000" w:themeColor="text1"/>
          <w:lang w:val="en"/>
        </w:rPr>
        <w:t>;</w:t>
      </w:r>
    </w:p>
    <w:p w14:paraId="03A23C87" w14:textId="77777777" w:rsidR="00043024" w:rsidRPr="001529C7" w:rsidRDefault="004C4BA9" w:rsidP="00043024">
      <w:pPr>
        <w:contextualSpacing/>
        <w:rPr>
          <w:color w:val="000000" w:themeColor="text1"/>
          <w:lang w:val="kk-KZ"/>
        </w:rPr>
      </w:pPr>
      <w:r w:rsidRPr="001529C7">
        <w:rPr>
          <w:color w:val="000000" w:themeColor="text1"/>
          <w:lang w:val="en"/>
        </w:rPr>
        <w:t xml:space="preserve">4) development of a forecast plan for convergence of fuel and lubricants prices within the EAEU by 2025 </w:t>
      </w:r>
      <w:r w:rsidRPr="001529C7">
        <w:rPr>
          <w:i/>
          <w:color w:val="000000" w:themeColor="text1"/>
          <w:sz w:val="24"/>
          <w:lang w:val="en"/>
        </w:rPr>
        <w:t>(balanced price regulation mechanism)</w:t>
      </w:r>
      <w:r w:rsidRPr="001529C7">
        <w:rPr>
          <w:color w:val="000000" w:themeColor="text1"/>
          <w:lang w:val="en"/>
        </w:rPr>
        <w:t>;</w:t>
      </w:r>
    </w:p>
    <w:p w14:paraId="01F8AAB7" w14:textId="77777777" w:rsidR="00043024" w:rsidRPr="001529C7" w:rsidRDefault="004C4BA9" w:rsidP="00043024">
      <w:pPr>
        <w:contextualSpacing/>
        <w:rPr>
          <w:color w:val="000000" w:themeColor="text1"/>
          <w:lang w:val="kk-KZ"/>
        </w:rPr>
      </w:pPr>
      <w:r w:rsidRPr="001529C7">
        <w:rPr>
          <w:color w:val="000000" w:themeColor="text1"/>
          <w:lang w:val="en"/>
        </w:rPr>
        <w:t>5) regulation of access to oil refining services within the Rules of Equal Access to Key Capacity.</w:t>
      </w:r>
    </w:p>
    <w:p w14:paraId="3BB9E445" w14:textId="77777777" w:rsidR="00047DE3" w:rsidRPr="00A57506" w:rsidRDefault="004C4BA9" w:rsidP="00EC0CAB">
      <w:pPr>
        <w:pStyle w:val="Heading2"/>
        <w:numPr>
          <w:ilvl w:val="1"/>
          <w:numId w:val="4"/>
        </w:numPr>
        <w:tabs>
          <w:tab w:val="left" w:pos="1134"/>
        </w:tabs>
        <w:spacing w:before="240" w:after="240"/>
        <w:ind w:firstLine="567"/>
        <w:rPr>
          <w:rFonts w:cs="Times New Roman"/>
          <w:szCs w:val="28"/>
          <w:lang w:val="en-US"/>
        </w:rPr>
      </w:pPr>
      <w:bookmarkStart w:id="36" w:name="_Toc142467907"/>
      <w:r w:rsidRPr="001529C7">
        <w:rPr>
          <w:rFonts w:cs="Times New Roman"/>
          <w:szCs w:val="28"/>
          <w:lang w:val="en"/>
        </w:rPr>
        <w:t>Wholesale and retail markets of electric energy</w:t>
      </w:r>
      <w:bookmarkEnd w:id="36"/>
      <w:r w:rsidRPr="001529C7">
        <w:rPr>
          <w:rFonts w:cs="Times New Roman"/>
          <w:szCs w:val="28"/>
          <w:lang w:val="en"/>
        </w:rPr>
        <w:t xml:space="preserve"> </w:t>
      </w:r>
    </w:p>
    <w:p w14:paraId="657705AF" w14:textId="77777777" w:rsidR="00043024" w:rsidRPr="00A57506" w:rsidRDefault="004C4BA9" w:rsidP="00043024">
      <w:pPr>
        <w:rPr>
          <w:color w:val="000000" w:themeColor="text1"/>
          <w:lang w:val="en-US"/>
        </w:rPr>
      </w:pPr>
      <w:r w:rsidRPr="001529C7">
        <w:rPr>
          <w:color w:val="000000" w:themeColor="text1"/>
          <w:lang w:val="en"/>
        </w:rPr>
        <w:t>Analysis of wholesale and retail markets of electric energy was carried out in accordance with Agency's Work Plan for 2022.</w:t>
      </w:r>
    </w:p>
    <w:p w14:paraId="2221F3A0" w14:textId="77777777" w:rsidR="00043024" w:rsidRPr="00A57506" w:rsidRDefault="004C4BA9" w:rsidP="00043024">
      <w:pPr>
        <w:pStyle w:val="ListParagraph"/>
        <w:tabs>
          <w:tab w:val="clear" w:pos="567"/>
        </w:tabs>
        <w:ind w:left="0"/>
        <w:rPr>
          <w:color w:val="000000" w:themeColor="text1"/>
          <w:lang w:val="en-US"/>
        </w:rPr>
      </w:pPr>
      <w:r w:rsidRPr="001529C7">
        <w:rPr>
          <w:color w:val="000000" w:themeColor="text1"/>
          <w:lang w:val="en"/>
        </w:rPr>
        <w:t xml:space="preserve">In accordance with paragraph 3 of Article 14 of the Law "On Electric Power Industry", electric energy market consists of two levels: wholesale and retail electric energy markets.  </w:t>
      </w:r>
    </w:p>
    <w:p w14:paraId="0B8C0DEE" w14:textId="77777777" w:rsidR="00043024" w:rsidRPr="00A57506" w:rsidRDefault="004C4BA9" w:rsidP="00043024">
      <w:pPr>
        <w:pStyle w:val="ListParagraph"/>
        <w:tabs>
          <w:tab w:val="clear" w:pos="567"/>
        </w:tabs>
        <w:ind w:left="0"/>
        <w:rPr>
          <w:color w:val="000000" w:themeColor="text1"/>
          <w:lang w:val="en-US"/>
        </w:rPr>
      </w:pPr>
      <w:r w:rsidRPr="001529C7">
        <w:rPr>
          <w:color w:val="000000" w:themeColor="text1"/>
          <w:lang w:val="en"/>
        </w:rPr>
        <w:t xml:space="preserve">In the wholesale market, electric energy is purchased for resale at retail market or to wholesale consumers, usually for industrial purposes. </w:t>
      </w:r>
    </w:p>
    <w:p w14:paraId="16FF1DE8" w14:textId="77777777" w:rsidR="00043024" w:rsidRPr="00A57506" w:rsidRDefault="004C4BA9" w:rsidP="00043024">
      <w:pPr>
        <w:pStyle w:val="ListParagraph"/>
        <w:tabs>
          <w:tab w:val="clear" w:pos="567"/>
        </w:tabs>
        <w:ind w:left="0"/>
        <w:rPr>
          <w:bCs/>
          <w:color w:val="000000" w:themeColor="text1"/>
          <w:lang w:val="en-US"/>
        </w:rPr>
      </w:pPr>
      <w:r w:rsidRPr="001529C7">
        <w:rPr>
          <w:bCs/>
          <w:color w:val="000000" w:themeColor="text1"/>
          <w:lang w:val="en"/>
        </w:rPr>
        <w:t xml:space="preserve">According to KEGOC JSC, as of September 1, 2022, </w:t>
      </w:r>
      <w:r w:rsidRPr="000F7954">
        <w:rPr>
          <w:b/>
          <w:bCs/>
          <w:color w:val="000000" w:themeColor="text1"/>
          <w:lang w:val="en"/>
        </w:rPr>
        <w:t>53 energy-producing organizations</w:t>
      </w:r>
      <w:r w:rsidRPr="001529C7">
        <w:rPr>
          <w:bCs/>
          <w:color w:val="000000" w:themeColor="text1"/>
          <w:lang w:val="en"/>
        </w:rPr>
        <w:t xml:space="preserve"> </w:t>
      </w:r>
      <w:r w:rsidRPr="001529C7">
        <w:rPr>
          <w:bCs/>
          <w:i/>
          <w:color w:val="000000" w:themeColor="text1"/>
          <w:sz w:val="24"/>
          <w:lang w:val="en"/>
        </w:rPr>
        <w:t>(hereinafter referred to as EPO)</w:t>
      </w:r>
      <w:r w:rsidRPr="001529C7">
        <w:rPr>
          <w:bCs/>
          <w:color w:val="000000" w:themeColor="text1"/>
          <w:lang w:val="en"/>
        </w:rPr>
        <w:t xml:space="preserve"> carried out wholesale electricity sales.</w:t>
      </w:r>
    </w:p>
    <w:p w14:paraId="542B1AD5" w14:textId="77777777" w:rsidR="00043024" w:rsidRPr="00A57506" w:rsidRDefault="004C4BA9" w:rsidP="00043024">
      <w:pPr>
        <w:pStyle w:val="ListParagraph"/>
        <w:ind w:left="0"/>
        <w:rPr>
          <w:bCs/>
          <w:color w:val="000000" w:themeColor="text1"/>
          <w:lang w:val="en-US"/>
        </w:rPr>
      </w:pPr>
      <w:r w:rsidRPr="001529C7">
        <w:rPr>
          <w:bCs/>
          <w:color w:val="000000" w:themeColor="text1"/>
          <w:lang w:val="en"/>
        </w:rPr>
        <w:t xml:space="preserve">Also, there are more than 80 market entities operating in the wholesale electricity market that supply electricity generated from renewable energy sources </w:t>
      </w:r>
      <w:r w:rsidRPr="001529C7">
        <w:rPr>
          <w:bCs/>
          <w:i/>
          <w:color w:val="000000" w:themeColor="text1"/>
          <w:sz w:val="24"/>
          <w:lang w:val="en"/>
        </w:rPr>
        <w:t>(hereinafter referred to as RES)</w:t>
      </w:r>
      <w:r w:rsidRPr="001529C7">
        <w:rPr>
          <w:bCs/>
          <w:color w:val="000000" w:themeColor="text1"/>
          <w:lang w:val="en"/>
        </w:rPr>
        <w:t>.</w:t>
      </w:r>
    </w:p>
    <w:p w14:paraId="14B13725" w14:textId="77777777" w:rsidR="00043024" w:rsidRPr="00A57506" w:rsidRDefault="004C4BA9" w:rsidP="00043024">
      <w:pPr>
        <w:pStyle w:val="ListParagraph"/>
        <w:ind w:left="0"/>
        <w:rPr>
          <w:bCs/>
          <w:color w:val="000000" w:themeColor="text1"/>
          <w:lang w:val="en-US"/>
        </w:rPr>
      </w:pPr>
      <w:r w:rsidRPr="001529C7">
        <w:rPr>
          <w:bCs/>
          <w:color w:val="000000" w:themeColor="text1"/>
          <w:lang w:val="en"/>
        </w:rPr>
        <w:t xml:space="preserve">However, conditions for sale of RES electricity differ. Thus, according to the Law "On Support of Use of Renewable Energy Sources", all electricity supplied to the grid from RES EPOs is guaranteed to be paid by </w:t>
      </w:r>
      <w:r w:rsidRPr="000F7954">
        <w:rPr>
          <w:b/>
          <w:bCs/>
          <w:color w:val="000000" w:themeColor="text1"/>
          <w:lang w:val="en"/>
        </w:rPr>
        <w:t>single buyer</w:t>
      </w:r>
      <w:r w:rsidRPr="001529C7">
        <w:rPr>
          <w:bCs/>
          <w:color w:val="000000" w:themeColor="text1"/>
          <w:lang w:val="en"/>
        </w:rPr>
        <w:t xml:space="preserve"> </w:t>
      </w:r>
      <w:r w:rsidRPr="001529C7">
        <w:rPr>
          <w:bCs/>
          <w:i/>
          <w:color w:val="000000" w:themeColor="text1"/>
          <w:sz w:val="24"/>
          <w:lang w:val="en"/>
        </w:rPr>
        <w:t>(FSC for support of RES LLP)</w:t>
      </w:r>
      <w:r w:rsidRPr="001529C7">
        <w:rPr>
          <w:bCs/>
          <w:color w:val="000000" w:themeColor="text1"/>
          <w:lang w:val="en"/>
        </w:rPr>
        <w:t xml:space="preserve"> at established tariffs for 1 kWh </w:t>
      </w:r>
      <w:r w:rsidRPr="001529C7">
        <w:rPr>
          <w:bCs/>
          <w:i/>
          <w:color w:val="000000" w:themeColor="text1"/>
          <w:sz w:val="24"/>
          <w:lang w:val="en"/>
        </w:rPr>
        <w:t>(ceiling price until 2018 or auction price after 2018)</w:t>
      </w:r>
      <w:r w:rsidRPr="001529C7">
        <w:rPr>
          <w:bCs/>
          <w:color w:val="000000" w:themeColor="text1"/>
          <w:lang w:val="en"/>
        </w:rPr>
        <w:t>.</w:t>
      </w:r>
    </w:p>
    <w:p w14:paraId="6D9D5124" w14:textId="77777777" w:rsidR="00043024" w:rsidRPr="00A57506" w:rsidRDefault="004C4BA9" w:rsidP="00043024">
      <w:pPr>
        <w:pStyle w:val="ListParagraph"/>
        <w:ind w:left="0"/>
        <w:rPr>
          <w:bCs/>
          <w:color w:val="000000" w:themeColor="text1"/>
          <w:lang w:val="en-US"/>
        </w:rPr>
      </w:pPr>
      <w:r w:rsidRPr="001529C7">
        <w:rPr>
          <w:bCs/>
          <w:color w:val="000000" w:themeColor="text1"/>
          <w:lang w:val="en"/>
        </w:rPr>
        <w:t>Thus, there is no competition between these EPOs, and therefore they cannot be taken into account when calculating shares of market entities. The process of competition between these EPOs occurs only at the stage of project selection based on the results of auctions.</w:t>
      </w:r>
    </w:p>
    <w:p w14:paraId="473ED5F4" w14:textId="77777777" w:rsidR="00043024" w:rsidRPr="001529C7" w:rsidRDefault="004C4BA9" w:rsidP="00043024">
      <w:pPr>
        <w:pStyle w:val="ListParagraph"/>
        <w:tabs>
          <w:tab w:val="left" w:pos="426"/>
        </w:tabs>
        <w:ind w:left="0" w:right="142"/>
        <w:rPr>
          <w:rFonts w:eastAsia="Calibri"/>
          <w:color w:val="000000" w:themeColor="text1"/>
          <w:lang w:val="kk-KZ"/>
        </w:rPr>
      </w:pPr>
      <w:r w:rsidRPr="000F7954">
        <w:rPr>
          <w:rFonts w:eastAsia="Calibri"/>
          <w:b/>
          <w:color w:val="000000" w:themeColor="text1"/>
          <w:lang w:val="en"/>
        </w:rPr>
        <w:t>About 20 organizations</w:t>
      </w:r>
      <w:r w:rsidRPr="001529C7">
        <w:rPr>
          <w:rFonts w:eastAsia="Calibri"/>
          <w:color w:val="000000" w:themeColor="text1"/>
          <w:lang w:val="en"/>
        </w:rPr>
        <w:t xml:space="preserve"> that provide services of transmitting electric energy through power lines at the regional level participate in wholesale electricity market.</w:t>
      </w:r>
    </w:p>
    <w:p w14:paraId="50A2BF7E" w14:textId="77777777" w:rsidR="00043024" w:rsidRPr="00A57506" w:rsidRDefault="004C4BA9" w:rsidP="00043024">
      <w:pPr>
        <w:pStyle w:val="ListParagraph"/>
        <w:tabs>
          <w:tab w:val="left" w:pos="426"/>
        </w:tabs>
        <w:ind w:left="0" w:right="142"/>
        <w:rPr>
          <w:rFonts w:eastAsia="Calibri"/>
          <w:color w:val="000000" w:themeColor="text1"/>
          <w:lang w:val="en-US"/>
        </w:rPr>
      </w:pPr>
      <w:r w:rsidRPr="001529C7">
        <w:rPr>
          <w:rFonts w:eastAsia="Calibri"/>
          <w:color w:val="000000" w:themeColor="text1"/>
          <w:lang w:val="en"/>
        </w:rPr>
        <w:t xml:space="preserve">According to the Law "On Natural Monopolies", electricity transmission services belong to natural monopolies and state regulation of energy transmission organizations is carried out by the authorized body that manages relevant spheres of natural monopolies, represented by the Committee for Regulation of Natural </w:t>
      </w:r>
      <w:r w:rsidRPr="001529C7">
        <w:rPr>
          <w:rFonts w:eastAsia="Calibri"/>
          <w:color w:val="000000" w:themeColor="text1"/>
          <w:lang w:val="en"/>
        </w:rPr>
        <w:lastRenderedPageBreak/>
        <w:t xml:space="preserve">Monopolies of the Ministry of National Economy of the Republic of Kazakhstan </w:t>
      </w:r>
      <w:r w:rsidRPr="001529C7">
        <w:rPr>
          <w:rFonts w:eastAsia="Calibri"/>
          <w:i/>
          <w:color w:val="000000" w:themeColor="text1"/>
          <w:sz w:val="24"/>
          <w:lang w:val="en"/>
        </w:rPr>
        <w:t>(hereinafter – CRNM)</w:t>
      </w:r>
      <w:r w:rsidRPr="001529C7">
        <w:rPr>
          <w:rFonts w:eastAsia="Calibri"/>
          <w:color w:val="000000" w:themeColor="text1"/>
          <w:lang w:val="en"/>
        </w:rPr>
        <w:t xml:space="preserve"> by forming, establishing and approving the tariff. </w:t>
      </w:r>
    </w:p>
    <w:p w14:paraId="0E99140D" w14:textId="77777777" w:rsidR="00043024" w:rsidRPr="00A57506" w:rsidRDefault="004C4BA9" w:rsidP="00043024">
      <w:pPr>
        <w:pStyle w:val="ListParagraph"/>
        <w:tabs>
          <w:tab w:val="clear" w:pos="567"/>
        </w:tabs>
        <w:ind w:left="0"/>
        <w:rPr>
          <w:color w:val="000000" w:themeColor="text1"/>
          <w:lang w:val="en-US"/>
        </w:rPr>
      </w:pPr>
      <w:r w:rsidRPr="001529C7">
        <w:rPr>
          <w:color w:val="000000" w:themeColor="text1"/>
          <w:lang w:val="en"/>
        </w:rPr>
        <w:t xml:space="preserve">In the retail electricity market, energy supply organizations </w:t>
      </w:r>
      <w:r w:rsidRPr="001529C7">
        <w:rPr>
          <w:rFonts w:eastAsia="Calibri"/>
          <w:i/>
          <w:color w:val="000000" w:themeColor="text1"/>
          <w:sz w:val="24"/>
          <w:lang w:val="en"/>
        </w:rPr>
        <w:t>(hereinafter referred to as ESOs)</w:t>
      </w:r>
      <w:r w:rsidRPr="001529C7">
        <w:rPr>
          <w:color w:val="000000" w:themeColor="text1"/>
          <w:lang w:val="en"/>
        </w:rPr>
        <w:t xml:space="preserve"> act as sellers, buying electricity from EPOs for subsequent sale to retail consumers, taking into account transportation costs, payments for power, etc. </w:t>
      </w:r>
    </w:p>
    <w:p w14:paraId="21A2F0F2" w14:textId="77777777" w:rsidR="00043024" w:rsidRPr="00A57506" w:rsidRDefault="004C4BA9" w:rsidP="00043024">
      <w:pPr>
        <w:pStyle w:val="ListParagraph"/>
        <w:tabs>
          <w:tab w:val="clear" w:pos="567"/>
        </w:tabs>
        <w:ind w:left="0"/>
        <w:rPr>
          <w:color w:val="000000" w:themeColor="text1"/>
          <w:lang w:val="en-US"/>
        </w:rPr>
      </w:pPr>
      <w:r w:rsidRPr="001529C7">
        <w:rPr>
          <w:rFonts w:eastAsia="Calibri"/>
          <w:color w:val="000000" w:themeColor="text1"/>
          <w:lang w:val="en"/>
        </w:rPr>
        <w:t xml:space="preserve">There are over </w:t>
      </w:r>
      <w:r w:rsidRPr="000F7954">
        <w:rPr>
          <w:rFonts w:eastAsia="Calibri"/>
          <w:b/>
          <w:color w:val="000000" w:themeColor="text1"/>
          <w:lang w:val="en"/>
        </w:rPr>
        <w:t>140 ESOs</w:t>
      </w:r>
      <w:r w:rsidRPr="001529C7">
        <w:rPr>
          <w:rFonts w:eastAsia="Calibri"/>
          <w:color w:val="000000" w:themeColor="text1"/>
          <w:lang w:val="en"/>
        </w:rPr>
        <w:t xml:space="preserve"> operating at electricity supply market, including approx. 35 ESOs that are guaranteeing electricity suppliers, which are regulated by CRNM in accordance with pricing procedure in socially significant markets. The remaining ESOs independently set selling price for electric energy.</w:t>
      </w:r>
    </w:p>
    <w:p w14:paraId="03022C90" w14:textId="77777777" w:rsidR="00EF3931" w:rsidRPr="00A57506" w:rsidRDefault="004C4BA9" w:rsidP="00671839">
      <w:pPr>
        <w:spacing w:before="120"/>
        <w:rPr>
          <w:b/>
          <w:i/>
          <w:color w:val="000000" w:themeColor="text1"/>
          <w:lang w:val="en-US"/>
        </w:rPr>
      </w:pPr>
      <w:r w:rsidRPr="001529C7">
        <w:rPr>
          <w:b/>
          <w:i/>
          <w:color w:val="000000" w:themeColor="text1"/>
          <w:lang w:val="en"/>
        </w:rPr>
        <w:t>Wholesale electricity market</w:t>
      </w:r>
    </w:p>
    <w:p w14:paraId="05745015" w14:textId="77777777" w:rsidR="00EF3931" w:rsidRPr="00A57506" w:rsidRDefault="004C4BA9" w:rsidP="00F411E1">
      <w:pPr>
        <w:rPr>
          <w:bCs/>
          <w:color w:val="000000" w:themeColor="text1"/>
          <w:lang w:val="en-US"/>
        </w:rPr>
      </w:pPr>
      <w:r w:rsidRPr="001529C7">
        <w:rPr>
          <w:bCs/>
          <w:color w:val="000000" w:themeColor="text1"/>
          <w:lang w:val="en"/>
        </w:rPr>
        <w:t>Information about wholesale electricity market entities that occupy dominant or monopolistic position is given in the following table.</w:t>
      </w:r>
    </w:p>
    <w:p w14:paraId="5A30D8D9" w14:textId="77777777" w:rsidR="007F5928" w:rsidRPr="00A57506" w:rsidRDefault="007F5928" w:rsidP="00F411E1">
      <w:pPr>
        <w:pStyle w:val="Caption"/>
        <w:keepNext/>
        <w:spacing w:after="0"/>
        <w:ind w:firstLine="0"/>
        <w:rPr>
          <w:b w:val="0"/>
          <w:color w:val="000000" w:themeColor="text1"/>
          <w:sz w:val="28"/>
          <w:szCs w:val="28"/>
          <w:lang w:val="en-US"/>
        </w:rPr>
      </w:pPr>
    </w:p>
    <w:p w14:paraId="1EFBD58A" w14:textId="77777777" w:rsidR="00167A82"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1</w:t>
      </w:r>
      <w:r w:rsidRPr="001529C7">
        <w:rPr>
          <w:b w:val="0"/>
          <w:color w:val="000000" w:themeColor="text1"/>
          <w:sz w:val="28"/>
          <w:szCs w:val="28"/>
        </w:rPr>
        <w:fldChar w:fldCharType="end"/>
      </w:r>
      <w:r w:rsidRPr="001529C7">
        <w:rPr>
          <w:b w:val="0"/>
          <w:color w:val="000000" w:themeColor="text1"/>
          <w:sz w:val="28"/>
          <w:szCs w:val="28"/>
          <w:lang w:val="en"/>
        </w:rPr>
        <w:t>. Wholesale electricity market entities that occupy dominant or monopolistic position.</w:t>
      </w:r>
    </w:p>
    <w:tbl>
      <w:tblPr>
        <w:tblStyle w:val="PlainTable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738"/>
        <w:gridCol w:w="2638"/>
        <w:gridCol w:w="1134"/>
        <w:gridCol w:w="1843"/>
        <w:gridCol w:w="1842"/>
      </w:tblGrid>
      <w:tr w:rsidR="00706070" w14:paraId="67728B9D" w14:textId="77777777" w:rsidTr="00706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vMerge w:val="restart"/>
            <w:tcBorders>
              <w:bottom w:val="none" w:sz="0" w:space="0" w:color="auto"/>
            </w:tcBorders>
          </w:tcPr>
          <w:p w14:paraId="3E3BDC16"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w:t>
            </w:r>
          </w:p>
        </w:tc>
        <w:tc>
          <w:tcPr>
            <w:tcW w:w="1738" w:type="dxa"/>
            <w:vMerge w:val="restart"/>
            <w:tcBorders>
              <w:bottom w:val="none" w:sz="0" w:space="0" w:color="auto"/>
            </w:tcBorders>
          </w:tcPr>
          <w:p w14:paraId="19770060" w14:textId="77777777" w:rsidR="00EF3931" w:rsidRPr="001529C7" w:rsidRDefault="004C4BA9"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Geographical boundaries</w:t>
            </w:r>
          </w:p>
        </w:tc>
        <w:tc>
          <w:tcPr>
            <w:tcW w:w="2638" w:type="dxa"/>
            <w:vMerge w:val="restart"/>
            <w:tcBorders>
              <w:bottom w:val="none" w:sz="0" w:space="0" w:color="auto"/>
            </w:tcBorders>
          </w:tcPr>
          <w:p w14:paraId="05562830" w14:textId="77777777" w:rsidR="00EF3931" w:rsidRPr="00A57506" w:rsidRDefault="004C4BA9"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Name of EPO (groups of entities)</w:t>
            </w:r>
          </w:p>
        </w:tc>
        <w:tc>
          <w:tcPr>
            <w:tcW w:w="1134" w:type="dxa"/>
            <w:vMerge w:val="restart"/>
            <w:tcBorders>
              <w:bottom w:val="none" w:sz="0" w:space="0" w:color="auto"/>
            </w:tcBorders>
          </w:tcPr>
          <w:p w14:paraId="55506D96" w14:textId="77777777" w:rsidR="00EF3931" w:rsidRPr="001529C7" w:rsidRDefault="004C4BA9"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Market share</w:t>
            </w:r>
          </w:p>
        </w:tc>
        <w:tc>
          <w:tcPr>
            <w:tcW w:w="3685" w:type="dxa"/>
            <w:gridSpan w:val="2"/>
            <w:tcBorders>
              <w:bottom w:val="none" w:sz="0" w:space="0" w:color="auto"/>
            </w:tcBorders>
          </w:tcPr>
          <w:p w14:paraId="0988FD85" w14:textId="77777777" w:rsidR="00EF3931" w:rsidRPr="001529C7" w:rsidRDefault="004C4BA9"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Competition level </w:t>
            </w:r>
          </w:p>
        </w:tc>
      </w:tr>
      <w:tr w:rsidR="00706070" w14:paraId="03C035E0"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vMerge/>
            <w:tcBorders>
              <w:top w:val="none" w:sz="0" w:space="0" w:color="auto"/>
              <w:bottom w:val="none" w:sz="0" w:space="0" w:color="auto"/>
            </w:tcBorders>
          </w:tcPr>
          <w:p w14:paraId="3062FDFF" w14:textId="77777777" w:rsidR="00EF3931" w:rsidRPr="001529C7" w:rsidRDefault="00EF3931" w:rsidP="00F411E1">
            <w:pPr>
              <w:ind w:firstLine="0"/>
              <w:jc w:val="center"/>
              <w:rPr>
                <w:rFonts w:ascii="Times New Roman" w:hAnsi="Times New Roman" w:cs="Times New Roman"/>
                <w:color w:val="000000" w:themeColor="text1"/>
                <w:sz w:val="20"/>
                <w:szCs w:val="20"/>
              </w:rPr>
            </w:pPr>
          </w:p>
        </w:tc>
        <w:tc>
          <w:tcPr>
            <w:tcW w:w="1738" w:type="dxa"/>
            <w:vMerge/>
            <w:tcBorders>
              <w:top w:val="none" w:sz="0" w:space="0" w:color="auto"/>
              <w:bottom w:val="none" w:sz="0" w:space="0" w:color="auto"/>
            </w:tcBorders>
          </w:tcPr>
          <w:p w14:paraId="60B6F20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2638" w:type="dxa"/>
            <w:vMerge/>
            <w:tcBorders>
              <w:top w:val="none" w:sz="0" w:space="0" w:color="auto"/>
              <w:bottom w:val="none" w:sz="0" w:space="0" w:color="auto"/>
            </w:tcBorders>
          </w:tcPr>
          <w:p w14:paraId="6570FBCB"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134" w:type="dxa"/>
            <w:vMerge/>
            <w:tcBorders>
              <w:top w:val="none" w:sz="0" w:space="0" w:color="auto"/>
              <w:bottom w:val="none" w:sz="0" w:space="0" w:color="auto"/>
            </w:tcBorders>
          </w:tcPr>
          <w:p w14:paraId="3A788C7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843" w:type="dxa"/>
            <w:tcBorders>
              <w:top w:val="none" w:sz="0" w:space="0" w:color="auto"/>
              <w:bottom w:val="none" w:sz="0" w:space="0" w:color="auto"/>
            </w:tcBorders>
          </w:tcPr>
          <w:p w14:paraId="3DB266E9"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lang w:val="en"/>
              </w:rPr>
              <w:t>2021</w:t>
            </w:r>
          </w:p>
        </w:tc>
        <w:tc>
          <w:tcPr>
            <w:tcW w:w="1842" w:type="dxa"/>
            <w:tcBorders>
              <w:top w:val="none" w:sz="0" w:space="0" w:color="auto"/>
              <w:bottom w:val="none" w:sz="0" w:space="0" w:color="auto"/>
            </w:tcBorders>
          </w:tcPr>
          <w:p w14:paraId="0022C7C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lang w:val="en"/>
              </w:rPr>
              <w:t>2022</w:t>
            </w:r>
          </w:p>
          <w:p w14:paraId="5156A33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lang w:val="en"/>
              </w:rPr>
              <w:t>(January-August)</w:t>
            </w:r>
          </w:p>
        </w:tc>
      </w:tr>
      <w:tr w:rsidR="00706070" w14:paraId="3835A0E5"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7FDF7969"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w:t>
            </w:r>
          </w:p>
        </w:tc>
        <w:tc>
          <w:tcPr>
            <w:tcW w:w="1738" w:type="dxa"/>
          </w:tcPr>
          <w:p w14:paraId="3B41A35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Almaty power center </w:t>
            </w:r>
          </w:p>
        </w:tc>
        <w:tc>
          <w:tcPr>
            <w:tcW w:w="2638" w:type="dxa"/>
          </w:tcPr>
          <w:p w14:paraId="6023ED30"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"Samruk-Energo" JSC </w:t>
            </w:r>
          </w:p>
        </w:tc>
        <w:tc>
          <w:tcPr>
            <w:tcW w:w="1134" w:type="dxa"/>
          </w:tcPr>
          <w:p w14:paraId="5D4F2732"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93 %</w:t>
            </w:r>
          </w:p>
        </w:tc>
        <w:tc>
          <w:tcPr>
            <w:tcW w:w="1843" w:type="dxa"/>
          </w:tcPr>
          <w:p w14:paraId="409FA46C"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8681 &lt;10000</w:t>
            </w:r>
          </w:p>
        </w:tc>
        <w:tc>
          <w:tcPr>
            <w:tcW w:w="1842" w:type="dxa"/>
          </w:tcPr>
          <w:p w14:paraId="4773955B"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8301 &lt;10000</w:t>
            </w:r>
          </w:p>
        </w:tc>
      </w:tr>
      <w:tr w:rsidR="00706070" w14:paraId="48FBF23B"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7C6A4D0D"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2</w:t>
            </w:r>
          </w:p>
        </w:tc>
        <w:tc>
          <w:tcPr>
            <w:tcW w:w="1738" w:type="dxa"/>
            <w:tcBorders>
              <w:top w:val="none" w:sz="0" w:space="0" w:color="auto"/>
              <w:bottom w:val="none" w:sz="0" w:space="0" w:color="auto"/>
            </w:tcBorders>
          </w:tcPr>
          <w:p w14:paraId="151AE017"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Taldykorgan power center </w:t>
            </w:r>
          </w:p>
        </w:tc>
        <w:tc>
          <w:tcPr>
            <w:tcW w:w="2638" w:type="dxa"/>
            <w:tcBorders>
              <w:top w:val="none" w:sz="0" w:space="0" w:color="auto"/>
              <w:bottom w:val="none" w:sz="0" w:space="0" w:color="auto"/>
            </w:tcBorders>
          </w:tcPr>
          <w:p w14:paraId="43138947"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5F86481A"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TEK LLP</w:t>
            </w:r>
          </w:p>
        </w:tc>
        <w:tc>
          <w:tcPr>
            <w:tcW w:w="1134" w:type="dxa"/>
            <w:tcBorders>
              <w:top w:val="none" w:sz="0" w:space="0" w:color="auto"/>
              <w:bottom w:val="none" w:sz="0" w:space="0" w:color="auto"/>
            </w:tcBorders>
          </w:tcPr>
          <w:p w14:paraId="3D88E915"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70-73 %</w:t>
            </w:r>
          </w:p>
          <w:p w14:paraId="4862AA1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12 %</w:t>
            </w:r>
          </w:p>
        </w:tc>
        <w:tc>
          <w:tcPr>
            <w:tcW w:w="1843" w:type="dxa"/>
            <w:tcBorders>
              <w:top w:val="none" w:sz="0" w:space="0" w:color="auto"/>
              <w:bottom w:val="none" w:sz="0" w:space="0" w:color="auto"/>
            </w:tcBorders>
          </w:tcPr>
          <w:p w14:paraId="0C23F792"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85 &lt;100</w:t>
            </w:r>
          </w:p>
          <w:p w14:paraId="5ADD4CE4"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5580 &lt;10000</w:t>
            </w:r>
          </w:p>
        </w:tc>
        <w:tc>
          <w:tcPr>
            <w:tcW w:w="1842" w:type="dxa"/>
            <w:tcBorders>
              <w:top w:val="none" w:sz="0" w:space="0" w:color="auto"/>
              <w:bottom w:val="none" w:sz="0" w:space="0" w:color="auto"/>
            </w:tcBorders>
          </w:tcPr>
          <w:p w14:paraId="76DBB12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92 &lt;100</w:t>
            </w:r>
          </w:p>
          <w:p w14:paraId="6527F557"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5057 &lt;10000</w:t>
            </w:r>
          </w:p>
        </w:tc>
      </w:tr>
      <w:tr w:rsidR="00706070" w14:paraId="043BCF6E"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0488A34B"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3</w:t>
            </w:r>
          </w:p>
        </w:tc>
        <w:tc>
          <w:tcPr>
            <w:tcW w:w="1738" w:type="dxa"/>
          </w:tcPr>
          <w:p w14:paraId="08ED3044"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Kyzylorda region</w:t>
            </w:r>
          </w:p>
        </w:tc>
        <w:tc>
          <w:tcPr>
            <w:tcW w:w="2638" w:type="dxa"/>
          </w:tcPr>
          <w:p w14:paraId="0E616724"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49BE79AA" w14:textId="77777777" w:rsidR="00EF3931" w:rsidRPr="00A57506" w:rsidRDefault="004C4BA9" w:rsidP="00035D14">
            <w:pPr>
              <w:ind w:left="-3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State Enterprise "Kyzylordateploelectrocenter"</w:t>
            </w:r>
          </w:p>
        </w:tc>
        <w:tc>
          <w:tcPr>
            <w:tcW w:w="1134" w:type="dxa"/>
          </w:tcPr>
          <w:p w14:paraId="2B4E4155"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67 %</w:t>
            </w:r>
          </w:p>
          <w:p w14:paraId="742D13CC"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19 %</w:t>
            </w:r>
          </w:p>
        </w:tc>
        <w:tc>
          <w:tcPr>
            <w:tcW w:w="1843" w:type="dxa"/>
          </w:tcPr>
          <w:p w14:paraId="005D629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85 &lt;100</w:t>
            </w:r>
          </w:p>
          <w:p w14:paraId="199CCAEC"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4837 &lt;10000</w:t>
            </w:r>
          </w:p>
        </w:tc>
        <w:tc>
          <w:tcPr>
            <w:tcW w:w="1842" w:type="dxa"/>
          </w:tcPr>
          <w:p w14:paraId="2F2187D1"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90 &lt;100</w:t>
            </w:r>
          </w:p>
          <w:p w14:paraId="34643B18"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3586 &lt;10000</w:t>
            </w:r>
          </w:p>
        </w:tc>
      </w:tr>
      <w:tr w:rsidR="00706070" w14:paraId="5C62929B"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05915BEC"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4</w:t>
            </w:r>
          </w:p>
        </w:tc>
        <w:tc>
          <w:tcPr>
            <w:tcW w:w="1738" w:type="dxa"/>
            <w:tcBorders>
              <w:top w:val="none" w:sz="0" w:space="0" w:color="auto"/>
              <w:bottom w:val="none" w:sz="0" w:space="0" w:color="auto"/>
            </w:tcBorders>
          </w:tcPr>
          <w:p w14:paraId="34801F9D"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Zhambyl region</w:t>
            </w:r>
          </w:p>
        </w:tc>
        <w:tc>
          <w:tcPr>
            <w:tcW w:w="2638" w:type="dxa"/>
            <w:tcBorders>
              <w:top w:val="none" w:sz="0" w:space="0" w:color="auto"/>
              <w:bottom w:val="none" w:sz="0" w:space="0" w:color="auto"/>
            </w:tcBorders>
          </w:tcPr>
          <w:p w14:paraId="32498A53"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4A4C6626"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"Zhambyl GRES-1" named after T.I. Baturov" JSC</w:t>
            </w:r>
          </w:p>
        </w:tc>
        <w:tc>
          <w:tcPr>
            <w:tcW w:w="1134" w:type="dxa"/>
            <w:tcBorders>
              <w:top w:val="none" w:sz="0" w:space="0" w:color="auto"/>
              <w:bottom w:val="none" w:sz="0" w:space="0" w:color="auto"/>
            </w:tcBorders>
          </w:tcPr>
          <w:p w14:paraId="6FF78B08"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62 %</w:t>
            </w:r>
          </w:p>
          <w:p w14:paraId="069D99D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27 %</w:t>
            </w:r>
          </w:p>
        </w:tc>
        <w:tc>
          <w:tcPr>
            <w:tcW w:w="1843" w:type="dxa"/>
            <w:tcBorders>
              <w:top w:val="none" w:sz="0" w:space="0" w:color="auto"/>
              <w:bottom w:val="none" w:sz="0" w:space="0" w:color="auto"/>
            </w:tcBorders>
          </w:tcPr>
          <w:p w14:paraId="672357D1"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89 &lt;100</w:t>
            </w:r>
          </w:p>
          <w:p w14:paraId="51ECEC27"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4662 &lt;10000</w:t>
            </w:r>
          </w:p>
        </w:tc>
        <w:tc>
          <w:tcPr>
            <w:tcW w:w="1842" w:type="dxa"/>
            <w:tcBorders>
              <w:top w:val="none" w:sz="0" w:space="0" w:color="auto"/>
              <w:bottom w:val="none" w:sz="0" w:space="0" w:color="auto"/>
            </w:tcBorders>
          </w:tcPr>
          <w:p w14:paraId="092C7E58"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90 &lt;100</w:t>
            </w:r>
          </w:p>
          <w:p w14:paraId="0AF7B835"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4447 &lt;10000</w:t>
            </w:r>
          </w:p>
        </w:tc>
      </w:tr>
      <w:tr w:rsidR="00706070" w14:paraId="29F28BC3"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4C9F3DD8"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5</w:t>
            </w:r>
          </w:p>
        </w:tc>
        <w:tc>
          <w:tcPr>
            <w:tcW w:w="1738" w:type="dxa"/>
          </w:tcPr>
          <w:p w14:paraId="141452C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Kokshetau power center </w:t>
            </w:r>
          </w:p>
        </w:tc>
        <w:tc>
          <w:tcPr>
            <w:tcW w:w="2638" w:type="dxa"/>
          </w:tcPr>
          <w:p w14:paraId="6AB83E75"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57506">
              <w:rPr>
                <w:rFonts w:ascii="Times New Roman" w:hAnsi="Times New Roman" w:cs="Times New Roman"/>
                <w:color w:val="000000" w:themeColor="text1"/>
                <w:sz w:val="20"/>
                <w:szCs w:val="20"/>
              </w:rPr>
              <w:t>"</w:t>
            </w:r>
            <w:r w:rsidRPr="001529C7">
              <w:rPr>
                <w:rFonts w:ascii="Times New Roman" w:hAnsi="Times New Roman" w:cs="Times New Roman"/>
                <w:color w:val="000000" w:themeColor="text1"/>
                <w:sz w:val="20"/>
                <w:szCs w:val="20"/>
                <w:lang w:val="en"/>
              </w:rPr>
              <w:t>Samruk</w:t>
            </w:r>
            <w:r w:rsidRPr="00A57506">
              <w:rPr>
                <w:rFonts w:ascii="Times New Roman" w:hAnsi="Times New Roman" w:cs="Times New Roman"/>
                <w:color w:val="000000" w:themeColor="text1"/>
                <w:sz w:val="20"/>
                <w:szCs w:val="20"/>
              </w:rPr>
              <w:t>-</w:t>
            </w:r>
            <w:r w:rsidRPr="001529C7">
              <w:rPr>
                <w:rFonts w:ascii="Times New Roman" w:hAnsi="Times New Roman" w:cs="Times New Roman"/>
                <w:color w:val="000000" w:themeColor="text1"/>
                <w:sz w:val="20"/>
                <w:szCs w:val="20"/>
                <w:lang w:val="en"/>
              </w:rPr>
              <w:t>Energo</w:t>
            </w:r>
            <w:r w:rsidRPr="00A57506">
              <w:rPr>
                <w:rFonts w:ascii="Times New Roman" w:hAnsi="Times New Roman" w:cs="Times New Roman"/>
                <w:color w:val="000000" w:themeColor="text1"/>
                <w:sz w:val="20"/>
                <w:szCs w:val="20"/>
              </w:rPr>
              <w:t xml:space="preserve">" </w:t>
            </w:r>
            <w:r w:rsidRPr="001529C7">
              <w:rPr>
                <w:rFonts w:ascii="Times New Roman" w:hAnsi="Times New Roman" w:cs="Times New Roman"/>
                <w:color w:val="000000" w:themeColor="text1"/>
                <w:sz w:val="20"/>
                <w:szCs w:val="20"/>
                <w:lang w:val="en"/>
              </w:rPr>
              <w:t>JSC</w:t>
            </w:r>
            <w:r w:rsidRPr="00A57506">
              <w:rPr>
                <w:rFonts w:ascii="Times New Roman" w:hAnsi="Times New Roman" w:cs="Times New Roman"/>
                <w:color w:val="000000" w:themeColor="text1"/>
                <w:sz w:val="20"/>
                <w:szCs w:val="20"/>
              </w:rPr>
              <w:t xml:space="preserve"> </w:t>
            </w:r>
          </w:p>
          <w:p w14:paraId="3941081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Stepnogorsk</w:t>
            </w:r>
            <w:r w:rsidRPr="00A57506">
              <w:rPr>
                <w:rFonts w:ascii="Times New Roman" w:hAnsi="Times New Roman" w:cs="Times New Roman"/>
                <w:color w:val="000000" w:themeColor="text1"/>
                <w:sz w:val="20"/>
                <w:szCs w:val="20"/>
              </w:rPr>
              <w:t xml:space="preserve"> </w:t>
            </w:r>
            <w:r w:rsidRPr="001529C7">
              <w:rPr>
                <w:rFonts w:ascii="Times New Roman" w:hAnsi="Times New Roman" w:cs="Times New Roman"/>
                <w:color w:val="000000" w:themeColor="text1"/>
                <w:sz w:val="20"/>
                <w:szCs w:val="20"/>
                <w:lang w:val="en"/>
              </w:rPr>
              <w:t>CHP</w:t>
            </w:r>
            <w:r w:rsidRPr="00A57506">
              <w:rPr>
                <w:rFonts w:ascii="Times New Roman" w:hAnsi="Times New Roman" w:cs="Times New Roman"/>
                <w:color w:val="000000" w:themeColor="text1"/>
                <w:sz w:val="20"/>
                <w:szCs w:val="20"/>
              </w:rPr>
              <w:t xml:space="preserve"> </w:t>
            </w:r>
            <w:r w:rsidRPr="001529C7">
              <w:rPr>
                <w:rFonts w:ascii="Times New Roman" w:hAnsi="Times New Roman" w:cs="Times New Roman"/>
                <w:color w:val="000000" w:themeColor="text1"/>
                <w:sz w:val="20"/>
                <w:szCs w:val="20"/>
                <w:lang w:val="en"/>
              </w:rPr>
              <w:t>LLP</w:t>
            </w:r>
          </w:p>
        </w:tc>
        <w:tc>
          <w:tcPr>
            <w:tcW w:w="1134" w:type="dxa"/>
          </w:tcPr>
          <w:p w14:paraId="0EE112CF"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60 %</w:t>
            </w:r>
          </w:p>
          <w:p w14:paraId="6B9B539B"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23 %</w:t>
            </w:r>
          </w:p>
        </w:tc>
        <w:tc>
          <w:tcPr>
            <w:tcW w:w="1843" w:type="dxa"/>
          </w:tcPr>
          <w:p w14:paraId="40E35B4B"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83 &lt;100</w:t>
            </w:r>
          </w:p>
          <w:p w14:paraId="6D321AF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4204 &lt;10000</w:t>
            </w:r>
          </w:p>
        </w:tc>
        <w:tc>
          <w:tcPr>
            <w:tcW w:w="1842" w:type="dxa"/>
          </w:tcPr>
          <w:p w14:paraId="36427EC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89 &lt;100</w:t>
            </w:r>
          </w:p>
          <w:p w14:paraId="30077A7B"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3423 &lt;10000</w:t>
            </w:r>
          </w:p>
        </w:tc>
      </w:tr>
      <w:tr w:rsidR="00706070" w14:paraId="7F0C224D"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58E891D4"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6</w:t>
            </w:r>
          </w:p>
        </w:tc>
        <w:tc>
          <w:tcPr>
            <w:tcW w:w="1738" w:type="dxa"/>
            <w:tcBorders>
              <w:top w:val="none" w:sz="0" w:space="0" w:color="auto"/>
              <w:bottom w:val="none" w:sz="0" w:space="0" w:color="auto"/>
            </w:tcBorders>
          </w:tcPr>
          <w:p w14:paraId="6D2F519F"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Kostanay region</w:t>
            </w:r>
          </w:p>
        </w:tc>
        <w:tc>
          <w:tcPr>
            <w:tcW w:w="2638" w:type="dxa"/>
            <w:tcBorders>
              <w:top w:val="none" w:sz="0" w:space="0" w:color="auto"/>
              <w:bottom w:val="none" w:sz="0" w:space="0" w:color="auto"/>
            </w:tcBorders>
          </w:tcPr>
          <w:p w14:paraId="4B5B3846"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058AA47C"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Group consisting of "EEC" JSC, CHP of "Aluminum of Kazakhstan" JSC and Rudnenskaya CHP</w:t>
            </w:r>
          </w:p>
          <w:p w14:paraId="32D4CE5D" w14:textId="77777777" w:rsidR="00EF3931" w:rsidRPr="00A57506"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p>
          <w:p w14:paraId="28FD8ACC"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SevKazEnergo JSC</w:t>
            </w:r>
          </w:p>
        </w:tc>
        <w:tc>
          <w:tcPr>
            <w:tcW w:w="1134" w:type="dxa"/>
            <w:tcBorders>
              <w:top w:val="none" w:sz="0" w:space="0" w:color="auto"/>
              <w:bottom w:val="none" w:sz="0" w:space="0" w:color="auto"/>
            </w:tcBorders>
          </w:tcPr>
          <w:p w14:paraId="21C272C0"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&gt; 55 %</w:t>
            </w:r>
          </w:p>
          <w:p w14:paraId="3BB903E5"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24,32 %</w:t>
            </w:r>
          </w:p>
          <w:p w14:paraId="43D7415B"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33F31FB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1115942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03E0F3EF" w14:textId="77777777" w:rsidR="007F5928" w:rsidRPr="001529C7" w:rsidRDefault="007F5928"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67FADCE8"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18,20 %</w:t>
            </w:r>
          </w:p>
        </w:tc>
        <w:tc>
          <w:tcPr>
            <w:tcW w:w="1843" w:type="dxa"/>
            <w:tcBorders>
              <w:top w:val="none" w:sz="0" w:space="0" w:color="auto"/>
              <w:bottom w:val="none" w:sz="0" w:space="0" w:color="auto"/>
            </w:tcBorders>
          </w:tcPr>
          <w:p w14:paraId="1DF99C41"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97 &lt;100</w:t>
            </w:r>
          </w:p>
          <w:p w14:paraId="0BEC39A4"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3959 &lt;10000</w:t>
            </w:r>
          </w:p>
        </w:tc>
        <w:tc>
          <w:tcPr>
            <w:tcW w:w="1842" w:type="dxa"/>
            <w:tcBorders>
              <w:top w:val="none" w:sz="0" w:space="0" w:color="auto"/>
              <w:bottom w:val="none" w:sz="0" w:space="0" w:color="auto"/>
            </w:tcBorders>
          </w:tcPr>
          <w:p w14:paraId="006BFBC2"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80 &lt;100</w:t>
            </w:r>
          </w:p>
          <w:p w14:paraId="49A5F74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4027 &lt;10000</w:t>
            </w:r>
          </w:p>
        </w:tc>
      </w:tr>
      <w:tr w:rsidR="00706070" w14:paraId="65337E60"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0F8CE288"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7</w:t>
            </w:r>
          </w:p>
        </w:tc>
        <w:tc>
          <w:tcPr>
            <w:tcW w:w="1738" w:type="dxa"/>
          </w:tcPr>
          <w:p w14:paraId="2ADB26F1"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Pavlodar region</w:t>
            </w:r>
          </w:p>
        </w:tc>
        <w:tc>
          <w:tcPr>
            <w:tcW w:w="2638" w:type="dxa"/>
          </w:tcPr>
          <w:p w14:paraId="3471B37C"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08FF5DEA"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Group consisting of SevKazEnergo JSC and Pavlodarenergo JSC</w:t>
            </w:r>
          </w:p>
        </w:tc>
        <w:tc>
          <w:tcPr>
            <w:tcW w:w="1134" w:type="dxa"/>
          </w:tcPr>
          <w:p w14:paraId="47C28085"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47 %</w:t>
            </w:r>
          </w:p>
          <w:p w14:paraId="0BC95618"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39 %</w:t>
            </w:r>
          </w:p>
        </w:tc>
        <w:tc>
          <w:tcPr>
            <w:tcW w:w="1843" w:type="dxa"/>
          </w:tcPr>
          <w:p w14:paraId="45F8A02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86 &lt;100</w:t>
            </w:r>
          </w:p>
          <w:p w14:paraId="6E24ABF1"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3784 &lt;10000</w:t>
            </w:r>
          </w:p>
        </w:tc>
        <w:tc>
          <w:tcPr>
            <w:tcW w:w="1842" w:type="dxa"/>
          </w:tcPr>
          <w:p w14:paraId="0FE52A19"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91 &lt;100</w:t>
            </w:r>
          </w:p>
          <w:p w14:paraId="658CCA23"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4164 &lt;10000</w:t>
            </w:r>
          </w:p>
        </w:tc>
      </w:tr>
      <w:tr w:rsidR="00706070" w14:paraId="504AD3FA"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038404AB"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8</w:t>
            </w:r>
          </w:p>
        </w:tc>
        <w:tc>
          <w:tcPr>
            <w:tcW w:w="1738" w:type="dxa"/>
            <w:tcBorders>
              <w:top w:val="none" w:sz="0" w:space="0" w:color="auto"/>
              <w:bottom w:val="none" w:sz="0" w:space="0" w:color="auto"/>
            </w:tcBorders>
          </w:tcPr>
          <w:p w14:paraId="7AB3B4C9"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Turkestan region and Shymkent city </w:t>
            </w:r>
          </w:p>
        </w:tc>
        <w:tc>
          <w:tcPr>
            <w:tcW w:w="2638" w:type="dxa"/>
            <w:tcBorders>
              <w:top w:val="none" w:sz="0" w:space="0" w:color="auto"/>
              <w:bottom w:val="none" w:sz="0" w:space="0" w:color="auto"/>
            </w:tcBorders>
          </w:tcPr>
          <w:p w14:paraId="5B2B8AB7"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30756686"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Group consisting of "3-Energoportalyk" JSC and "Eurasian Energy Corporation" JSC </w:t>
            </w:r>
          </w:p>
        </w:tc>
        <w:tc>
          <w:tcPr>
            <w:tcW w:w="1134" w:type="dxa"/>
            <w:tcBorders>
              <w:top w:val="none" w:sz="0" w:space="0" w:color="auto"/>
              <w:bottom w:val="none" w:sz="0" w:space="0" w:color="auto"/>
            </w:tcBorders>
          </w:tcPr>
          <w:p w14:paraId="22EAE691"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65 %</w:t>
            </w:r>
          </w:p>
          <w:p w14:paraId="289C11E2"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15 %</w:t>
            </w:r>
          </w:p>
        </w:tc>
        <w:tc>
          <w:tcPr>
            <w:tcW w:w="1843" w:type="dxa"/>
            <w:tcBorders>
              <w:top w:val="none" w:sz="0" w:space="0" w:color="auto"/>
              <w:bottom w:val="none" w:sz="0" w:space="0" w:color="auto"/>
            </w:tcBorders>
          </w:tcPr>
          <w:p w14:paraId="0666D057"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80 &lt;100</w:t>
            </w:r>
          </w:p>
          <w:p w14:paraId="315346CA"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4465 &lt;10000</w:t>
            </w:r>
          </w:p>
        </w:tc>
        <w:tc>
          <w:tcPr>
            <w:tcW w:w="1842" w:type="dxa"/>
            <w:tcBorders>
              <w:top w:val="none" w:sz="0" w:space="0" w:color="auto"/>
              <w:bottom w:val="none" w:sz="0" w:space="0" w:color="auto"/>
            </w:tcBorders>
          </w:tcPr>
          <w:p w14:paraId="62CF7B2A"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84 &lt;100</w:t>
            </w:r>
          </w:p>
          <w:p w14:paraId="4CB4D48C"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3329 &lt;10000</w:t>
            </w:r>
          </w:p>
        </w:tc>
      </w:tr>
      <w:tr w:rsidR="00706070" w14:paraId="1EC57B3C"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61B304D8"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9</w:t>
            </w:r>
          </w:p>
        </w:tc>
        <w:tc>
          <w:tcPr>
            <w:tcW w:w="1738" w:type="dxa"/>
          </w:tcPr>
          <w:p w14:paraId="2BCDC94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Zhezkazgan power center </w:t>
            </w:r>
          </w:p>
        </w:tc>
        <w:tc>
          <w:tcPr>
            <w:tcW w:w="2638" w:type="dxa"/>
          </w:tcPr>
          <w:p w14:paraId="10B09253"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60EA3D96"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Group consisting of GRES Topar LLP, Balkhash CHP and Zhezkazgan CHP of Kazakhmys Energy LLP</w:t>
            </w:r>
          </w:p>
        </w:tc>
        <w:tc>
          <w:tcPr>
            <w:tcW w:w="1134" w:type="dxa"/>
          </w:tcPr>
          <w:p w14:paraId="15498F9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29-35 %</w:t>
            </w:r>
          </w:p>
          <w:p w14:paraId="421757FF"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35,60 %</w:t>
            </w:r>
          </w:p>
        </w:tc>
        <w:tc>
          <w:tcPr>
            <w:tcW w:w="1843" w:type="dxa"/>
          </w:tcPr>
          <w:p w14:paraId="1497A2F0"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81 &lt;100</w:t>
            </w:r>
          </w:p>
          <w:p w14:paraId="185287B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1000 &lt;HHI 2393 &lt;2000</w:t>
            </w:r>
          </w:p>
        </w:tc>
        <w:tc>
          <w:tcPr>
            <w:tcW w:w="1842" w:type="dxa"/>
          </w:tcPr>
          <w:p w14:paraId="312E1A21"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82 &lt;100</w:t>
            </w:r>
          </w:p>
          <w:p w14:paraId="50AD2DD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2448 &lt;10000</w:t>
            </w:r>
          </w:p>
        </w:tc>
      </w:tr>
      <w:tr w:rsidR="00706070" w14:paraId="4F3CC8A6"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1915819E"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lastRenderedPageBreak/>
              <w:t>10</w:t>
            </w:r>
          </w:p>
        </w:tc>
        <w:tc>
          <w:tcPr>
            <w:tcW w:w="1738" w:type="dxa"/>
            <w:tcBorders>
              <w:top w:val="none" w:sz="0" w:space="0" w:color="auto"/>
              <w:bottom w:val="none" w:sz="0" w:space="0" w:color="auto"/>
            </w:tcBorders>
          </w:tcPr>
          <w:p w14:paraId="691A558D"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Akmola region and Astana</w:t>
            </w:r>
          </w:p>
        </w:tc>
        <w:tc>
          <w:tcPr>
            <w:tcW w:w="2638" w:type="dxa"/>
            <w:tcBorders>
              <w:top w:val="none" w:sz="0" w:space="0" w:color="auto"/>
              <w:bottom w:val="none" w:sz="0" w:space="0" w:color="auto"/>
            </w:tcBorders>
          </w:tcPr>
          <w:p w14:paraId="3250E32E"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pt-BR"/>
              </w:rPr>
            </w:pPr>
            <w:r w:rsidRPr="00A57506">
              <w:rPr>
                <w:rFonts w:ascii="Times New Roman" w:hAnsi="Times New Roman" w:cs="Times New Roman"/>
                <w:color w:val="000000" w:themeColor="text1"/>
                <w:sz w:val="20"/>
                <w:szCs w:val="20"/>
                <w:lang w:val="pt-BR"/>
              </w:rPr>
              <w:t xml:space="preserve">"Samruk-Energo" JSC </w:t>
            </w:r>
          </w:p>
          <w:p w14:paraId="64283732"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pt-BR"/>
              </w:rPr>
            </w:pPr>
            <w:r w:rsidRPr="00A57506">
              <w:rPr>
                <w:rFonts w:ascii="Times New Roman" w:hAnsi="Times New Roman" w:cs="Times New Roman"/>
                <w:color w:val="000000" w:themeColor="text1"/>
                <w:sz w:val="20"/>
                <w:szCs w:val="20"/>
                <w:lang w:val="pt-BR"/>
              </w:rPr>
              <w:t>Astana-Energia JSC</w:t>
            </w:r>
          </w:p>
        </w:tc>
        <w:tc>
          <w:tcPr>
            <w:tcW w:w="1134" w:type="dxa"/>
            <w:tcBorders>
              <w:top w:val="none" w:sz="0" w:space="0" w:color="auto"/>
              <w:bottom w:val="none" w:sz="0" w:space="0" w:color="auto"/>
            </w:tcBorders>
          </w:tcPr>
          <w:p w14:paraId="75DA710C"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&gt; 39 %</w:t>
            </w:r>
          </w:p>
          <w:p w14:paraId="582FCB2D"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50 %</w:t>
            </w:r>
          </w:p>
        </w:tc>
        <w:tc>
          <w:tcPr>
            <w:tcW w:w="1843" w:type="dxa"/>
            <w:tcBorders>
              <w:top w:val="none" w:sz="0" w:space="0" w:color="auto"/>
              <w:bottom w:val="none" w:sz="0" w:space="0" w:color="auto"/>
            </w:tcBorders>
          </w:tcPr>
          <w:p w14:paraId="3C9253E4"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89 &lt;100</w:t>
            </w:r>
          </w:p>
          <w:p w14:paraId="54A923CC"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4036 &lt;10000</w:t>
            </w:r>
          </w:p>
        </w:tc>
        <w:tc>
          <w:tcPr>
            <w:tcW w:w="1842" w:type="dxa"/>
            <w:tcBorders>
              <w:top w:val="none" w:sz="0" w:space="0" w:color="auto"/>
              <w:bottom w:val="none" w:sz="0" w:space="0" w:color="auto"/>
            </w:tcBorders>
          </w:tcPr>
          <w:p w14:paraId="77CF3E5E"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90 &lt;100</w:t>
            </w:r>
          </w:p>
          <w:p w14:paraId="6498A69D"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4134 &lt;10000</w:t>
            </w:r>
          </w:p>
        </w:tc>
      </w:tr>
      <w:tr w:rsidR="00706070" w14:paraId="7CD6A803"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69EA6C8E"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11</w:t>
            </w:r>
          </w:p>
        </w:tc>
        <w:tc>
          <w:tcPr>
            <w:tcW w:w="1738" w:type="dxa"/>
          </w:tcPr>
          <w:p w14:paraId="61538523"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Aktobe region</w:t>
            </w:r>
          </w:p>
        </w:tc>
        <w:tc>
          <w:tcPr>
            <w:tcW w:w="2638" w:type="dxa"/>
          </w:tcPr>
          <w:p w14:paraId="5C276BBA"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p w14:paraId="6F5C9A81"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"Aktobe CHP" JSC</w:t>
            </w:r>
          </w:p>
          <w:p w14:paraId="4EA04232"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Zhanazholskaya GTPP </w:t>
            </w:r>
          </w:p>
        </w:tc>
        <w:tc>
          <w:tcPr>
            <w:tcW w:w="1134" w:type="dxa"/>
          </w:tcPr>
          <w:p w14:paraId="75185167"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&gt; 29 %</w:t>
            </w:r>
          </w:p>
          <w:p w14:paraId="40F7C312"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29,5 %</w:t>
            </w:r>
          </w:p>
          <w:p w14:paraId="7C035DA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28,5 %</w:t>
            </w:r>
          </w:p>
        </w:tc>
        <w:tc>
          <w:tcPr>
            <w:tcW w:w="1843" w:type="dxa"/>
          </w:tcPr>
          <w:p w14:paraId="282DDBBE"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87 &lt;100</w:t>
            </w:r>
          </w:p>
          <w:p w14:paraId="0253C17F"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2528 &lt;10000</w:t>
            </w:r>
          </w:p>
        </w:tc>
        <w:tc>
          <w:tcPr>
            <w:tcW w:w="1842" w:type="dxa"/>
          </w:tcPr>
          <w:p w14:paraId="6232E4D3" w14:textId="77777777" w:rsidR="00EF3931" w:rsidRPr="001529C7" w:rsidRDefault="004C4BA9" w:rsidP="00F411E1">
            <w:pPr>
              <w:ind w:hanging="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87 &lt;100</w:t>
            </w:r>
          </w:p>
          <w:p w14:paraId="55815BA1" w14:textId="77777777" w:rsidR="00EF3931" w:rsidRPr="001529C7" w:rsidRDefault="004C4BA9" w:rsidP="00F411E1">
            <w:pPr>
              <w:ind w:hanging="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2771 &lt;10000</w:t>
            </w:r>
          </w:p>
          <w:p w14:paraId="5EA50C53"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706070" w14:paraId="7D766FF8"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51F86F74"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12</w:t>
            </w:r>
          </w:p>
        </w:tc>
        <w:tc>
          <w:tcPr>
            <w:tcW w:w="1738" w:type="dxa"/>
            <w:tcBorders>
              <w:top w:val="none" w:sz="0" w:space="0" w:color="auto"/>
              <w:bottom w:val="none" w:sz="0" w:space="0" w:color="auto"/>
            </w:tcBorders>
          </w:tcPr>
          <w:p w14:paraId="42D8926D"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East Kazakhstan region</w:t>
            </w:r>
          </w:p>
        </w:tc>
        <w:tc>
          <w:tcPr>
            <w:tcW w:w="2638" w:type="dxa"/>
            <w:tcBorders>
              <w:top w:val="none" w:sz="0" w:space="0" w:color="auto"/>
              <w:bottom w:val="none" w:sz="0" w:space="0" w:color="auto"/>
            </w:tcBorders>
          </w:tcPr>
          <w:p w14:paraId="09763EE9" w14:textId="41F0C865"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Group </w:t>
            </w:r>
            <w:r w:rsidR="00AF59F7" w:rsidRPr="001529C7">
              <w:rPr>
                <w:rFonts w:ascii="Times New Roman" w:hAnsi="Times New Roman" w:cs="Times New Roman"/>
                <w:color w:val="000000" w:themeColor="text1"/>
                <w:sz w:val="20"/>
                <w:szCs w:val="20"/>
                <w:lang w:val="en"/>
              </w:rPr>
              <w:t>consisting</w:t>
            </w:r>
            <w:r w:rsidRPr="001529C7">
              <w:rPr>
                <w:rFonts w:ascii="Times New Roman" w:hAnsi="Times New Roman" w:cs="Times New Roman"/>
                <w:color w:val="000000" w:themeColor="text1"/>
                <w:sz w:val="20"/>
                <w:szCs w:val="20"/>
                <w:lang w:val="en"/>
              </w:rPr>
              <w:t xml:space="preserve"> of "AES Shulbinskaya HPP" LLP and "AES Ust-Kamenogorsk HPP" LLP</w:t>
            </w:r>
          </w:p>
          <w:p w14:paraId="185825EC"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Ust-Kamenogorsk CHP LLP</w:t>
            </w:r>
          </w:p>
          <w:p w14:paraId="08B387D5"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"Samruk-Energo" JSC </w:t>
            </w:r>
          </w:p>
        </w:tc>
        <w:tc>
          <w:tcPr>
            <w:tcW w:w="1134" w:type="dxa"/>
            <w:tcBorders>
              <w:top w:val="none" w:sz="0" w:space="0" w:color="auto"/>
              <w:bottom w:val="none" w:sz="0" w:space="0" w:color="auto"/>
            </w:tcBorders>
          </w:tcPr>
          <w:p w14:paraId="6A6EB996"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50,5 %</w:t>
            </w:r>
          </w:p>
          <w:p w14:paraId="34D2AD1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114675D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57246F75" w14:textId="77777777" w:rsidR="007F5928" w:rsidRPr="001529C7" w:rsidRDefault="007F5928" w:rsidP="00F411E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2BD4C2FB"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18,6 %</w:t>
            </w:r>
          </w:p>
          <w:p w14:paraId="1C48EB1B" w14:textId="77777777" w:rsidR="00EF3931" w:rsidRPr="001529C7" w:rsidRDefault="00EF3931" w:rsidP="00F411E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34702F12"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12 %</w:t>
            </w:r>
          </w:p>
        </w:tc>
        <w:tc>
          <w:tcPr>
            <w:tcW w:w="1843" w:type="dxa"/>
            <w:tcBorders>
              <w:top w:val="none" w:sz="0" w:space="0" w:color="auto"/>
              <w:bottom w:val="none" w:sz="0" w:space="0" w:color="auto"/>
            </w:tcBorders>
          </w:tcPr>
          <w:p w14:paraId="4ECA8B39"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70 &lt;100</w:t>
            </w:r>
          </w:p>
          <w:p w14:paraId="4B4BE0B3"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2897 &lt;10000</w:t>
            </w:r>
          </w:p>
        </w:tc>
        <w:tc>
          <w:tcPr>
            <w:tcW w:w="1842" w:type="dxa"/>
            <w:tcBorders>
              <w:top w:val="none" w:sz="0" w:space="0" w:color="auto"/>
              <w:bottom w:val="none" w:sz="0" w:space="0" w:color="auto"/>
            </w:tcBorders>
          </w:tcPr>
          <w:p w14:paraId="38F80872"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73 &lt;100</w:t>
            </w:r>
          </w:p>
          <w:p w14:paraId="1E68D9F4"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2796 &lt;10000</w:t>
            </w:r>
          </w:p>
          <w:p w14:paraId="377E25A1"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706070" w14:paraId="109B7204"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43B27F2B"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13</w:t>
            </w:r>
          </w:p>
        </w:tc>
        <w:tc>
          <w:tcPr>
            <w:tcW w:w="1738" w:type="dxa"/>
          </w:tcPr>
          <w:p w14:paraId="31C57B0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Karaganda power center </w:t>
            </w:r>
          </w:p>
        </w:tc>
        <w:tc>
          <w:tcPr>
            <w:tcW w:w="2638" w:type="dxa"/>
          </w:tcPr>
          <w:p w14:paraId="000E60D1"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Group consisting of Karaganda Energy Center LLP and Ust-Kamenogorsk CHP LLP</w:t>
            </w:r>
          </w:p>
          <w:p w14:paraId="42A4E327"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 xml:space="preserve">"Samruk-Energo" JSC </w:t>
            </w:r>
          </w:p>
        </w:tc>
        <w:tc>
          <w:tcPr>
            <w:tcW w:w="1134" w:type="dxa"/>
          </w:tcPr>
          <w:p w14:paraId="4AAB35F8"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56 %</w:t>
            </w:r>
          </w:p>
          <w:p w14:paraId="25425AA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D9CF0FD"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8D613D2"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7C3272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18 %</w:t>
            </w:r>
          </w:p>
        </w:tc>
        <w:tc>
          <w:tcPr>
            <w:tcW w:w="1843" w:type="dxa"/>
          </w:tcPr>
          <w:p w14:paraId="34C197B3"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73 &lt;100</w:t>
            </w:r>
          </w:p>
          <w:p w14:paraId="01E57F07"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3463 &lt;10000</w:t>
            </w:r>
          </w:p>
        </w:tc>
        <w:tc>
          <w:tcPr>
            <w:tcW w:w="1842" w:type="dxa"/>
          </w:tcPr>
          <w:p w14:paraId="5C46F094"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92 &lt;100</w:t>
            </w:r>
          </w:p>
          <w:p w14:paraId="2888511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3384 &lt;10000</w:t>
            </w:r>
          </w:p>
        </w:tc>
      </w:tr>
      <w:tr w:rsidR="00706070" w14:paraId="53B1178F"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3671BFB2"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14</w:t>
            </w:r>
          </w:p>
        </w:tc>
        <w:tc>
          <w:tcPr>
            <w:tcW w:w="1738" w:type="dxa"/>
            <w:tcBorders>
              <w:top w:val="none" w:sz="0" w:space="0" w:color="auto"/>
              <w:bottom w:val="none" w:sz="0" w:space="0" w:color="auto"/>
            </w:tcBorders>
          </w:tcPr>
          <w:p w14:paraId="44D3EB00"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North Kazakhstan region</w:t>
            </w:r>
          </w:p>
        </w:tc>
        <w:tc>
          <w:tcPr>
            <w:tcW w:w="2638" w:type="dxa"/>
            <w:tcBorders>
              <w:top w:val="none" w:sz="0" w:space="0" w:color="auto"/>
              <w:bottom w:val="none" w:sz="0" w:space="0" w:color="auto"/>
            </w:tcBorders>
          </w:tcPr>
          <w:p w14:paraId="10EB48F4"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SevKazEnergo JSC</w:t>
            </w:r>
          </w:p>
        </w:tc>
        <w:tc>
          <w:tcPr>
            <w:tcW w:w="1134" w:type="dxa"/>
            <w:tcBorders>
              <w:top w:val="none" w:sz="0" w:space="0" w:color="auto"/>
              <w:bottom w:val="none" w:sz="0" w:space="0" w:color="auto"/>
            </w:tcBorders>
          </w:tcPr>
          <w:p w14:paraId="2D5A65F9"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100 %</w:t>
            </w:r>
          </w:p>
        </w:tc>
        <w:tc>
          <w:tcPr>
            <w:tcW w:w="1843" w:type="dxa"/>
            <w:tcBorders>
              <w:top w:val="none" w:sz="0" w:space="0" w:color="auto"/>
              <w:bottom w:val="none" w:sz="0" w:space="0" w:color="auto"/>
            </w:tcBorders>
          </w:tcPr>
          <w:p w14:paraId="0006D72E"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9941 &lt;10000</w:t>
            </w:r>
          </w:p>
        </w:tc>
        <w:tc>
          <w:tcPr>
            <w:tcW w:w="1842" w:type="dxa"/>
            <w:tcBorders>
              <w:top w:val="none" w:sz="0" w:space="0" w:color="auto"/>
              <w:bottom w:val="none" w:sz="0" w:space="0" w:color="auto"/>
            </w:tcBorders>
          </w:tcPr>
          <w:p w14:paraId="2179AB65"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5348 &lt;10000</w:t>
            </w:r>
          </w:p>
        </w:tc>
      </w:tr>
      <w:tr w:rsidR="00706070" w14:paraId="0CF1944F"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4BE1B692"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15</w:t>
            </w:r>
          </w:p>
        </w:tc>
        <w:tc>
          <w:tcPr>
            <w:tcW w:w="1738" w:type="dxa"/>
          </w:tcPr>
          <w:p w14:paraId="2D25CEEA"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West Kazakhstan region</w:t>
            </w:r>
          </w:p>
        </w:tc>
        <w:tc>
          <w:tcPr>
            <w:tcW w:w="2638" w:type="dxa"/>
          </w:tcPr>
          <w:p w14:paraId="1E7FB29D"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BatysPower GTPP-200 LLP</w:t>
            </w:r>
          </w:p>
          <w:p w14:paraId="23F3EF14"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 xml:space="preserve">Ural GTPP </w:t>
            </w:r>
          </w:p>
        </w:tc>
        <w:tc>
          <w:tcPr>
            <w:tcW w:w="1134" w:type="dxa"/>
          </w:tcPr>
          <w:p w14:paraId="60279506"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39 %</w:t>
            </w:r>
          </w:p>
          <w:p w14:paraId="698D0150"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17836BF"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20 %</w:t>
            </w:r>
          </w:p>
        </w:tc>
        <w:tc>
          <w:tcPr>
            <w:tcW w:w="1843" w:type="dxa"/>
          </w:tcPr>
          <w:p w14:paraId="5BD931A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&lt;CR(2) 58 &lt;100</w:t>
            </w:r>
          </w:p>
          <w:p w14:paraId="36539017"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1883 &lt;10000</w:t>
            </w:r>
          </w:p>
        </w:tc>
        <w:tc>
          <w:tcPr>
            <w:tcW w:w="1842" w:type="dxa"/>
          </w:tcPr>
          <w:p w14:paraId="3ECB9ED1"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70 &lt;CR(3) 60 &lt;100</w:t>
            </w:r>
          </w:p>
          <w:p w14:paraId="24989750"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2448 &lt;10000</w:t>
            </w:r>
          </w:p>
        </w:tc>
      </w:tr>
      <w:tr w:rsidR="00706070" w14:paraId="2ECBDAAF" w14:textId="77777777" w:rsidTr="0070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2AD34FAD"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16</w:t>
            </w:r>
          </w:p>
        </w:tc>
        <w:tc>
          <w:tcPr>
            <w:tcW w:w="1738" w:type="dxa"/>
            <w:tcBorders>
              <w:top w:val="none" w:sz="0" w:space="0" w:color="auto"/>
              <w:bottom w:val="none" w:sz="0" w:space="0" w:color="auto"/>
            </w:tcBorders>
          </w:tcPr>
          <w:p w14:paraId="07A46370"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Atyrau region</w:t>
            </w:r>
          </w:p>
        </w:tc>
        <w:tc>
          <w:tcPr>
            <w:tcW w:w="2638" w:type="dxa"/>
            <w:tcBorders>
              <w:top w:val="none" w:sz="0" w:space="0" w:color="auto"/>
              <w:bottom w:val="none" w:sz="0" w:space="0" w:color="auto"/>
            </w:tcBorders>
          </w:tcPr>
          <w:p w14:paraId="48876D05"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Atyrau CHP JSC</w:t>
            </w:r>
          </w:p>
          <w:p w14:paraId="0E6E2E8A" w14:textId="77777777" w:rsidR="00EF3931" w:rsidRPr="00A57506"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GTPP OF "KUS" LLP</w:t>
            </w:r>
          </w:p>
        </w:tc>
        <w:tc>
          <w:tcPr>
            <w:tcW w:w="1134" w:type="dxa"/>
            <w:tcBorders>
              <w:top w:val="none" w:sz="0" w:space="0" w:color="auto"/>
              <w:bottom w:val="none" w:sz="0" w:space="0" w:color="auto"/>
            </w:tcBorders>
          </w:tcPr>
          <w:p w14:paraId="33FC0FD1"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56 %</w:t>
            </w:r>
          </w:p>
          <w:p w14:paraId="67F79ACB"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25 %</w:t>
            </w:r>
          </w:p>
        </w:tc>
        <w:tc>
          <w:tcPr>
            <w:tcW w:w="1843" w:type="dxa"/>
            <w:tcBorders>
              <w:top w:val="none" w:sz="0" w:space="0" w:color="auto"/>
              <w:bottom w:val="none" w:sz="0" w:space="0" w:color="auto"/>
            </w:tcBorders>
          </w:tcPr>
          <w:p w14:paraId="20FA3DBB"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3761 &lt;10000</w:t>
            </w:r>
          </w:p>
        </w:tc>
        <w:tc>
          <w:tcPr>
            <w:tcW w:w="1842" w:type="dxa"/>
            <w:tcBorders>
              <w:top w:val="none" w:sz="0" w:space="0" w:color="auto"/>
              <w:bottom w:val="none" w:sz="0" w:space="0" w:color="auto"/>
            </w:tcBorders>
          </w:tcPr>
          <w:p w14:paraId="3B1EFC8F" w14:textId="77777777" w:rsidR="00EF3931" w:rsidRPr="001529C7" w:rsidRDefault="004C4BA9"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&lt;HNI 3827 &lt;10000</w:t>
            </w:r>
          </w:p>
        </w:tc>
      </w:tr>
      <w:tr w:rsidR="00706070" w14:paraId="44A9E341" w14:textId="77777777" w:rsidTr="00706070">
        <w:tc>
          <w:tcPr>
            <w:cnfStyle w:val="001000000000" w:firstRow="0" w:lastRow="0" w:firstColumn="1" w:lastColumn="0" w:oddVBand="0" w:evenVBand="0" w:oddHBand="0" w:evenHBand="0" w:firstRowFirstColumn="0" w:firstRowLastColumn="0" w:lastRowFirstColumn="0" w:lastRowLastColumn="0"/>
            <w:tcW w:w="439" w:type="dxa"/>
          </w:tcPr>
          <w:p w14:paraId="5D913228" w14:textId="77777777" w:rsidR="00EF3931" w:rsidRPr="001529C7" w:rsidRDefault="004C4BA9"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b w:val="0"/>
                <w:color w:val="000000" w:themeColor="text1"/>
                <w:sz w:val="20"/>
                <w:szCs w:val="20"/>
                <w:lang w:val="en"/>
              </w:rPr>
              <w:t>17</w:t>
            </w:r>
          </w:p>
        </w:tc>
        <w:tc>
          <w:tcPr>
            <w:tcW w:w="1738" w:type="dxa"/>
          </w:tcPr>
          <w:p w14:paraId="263E066B"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Mangystau region</w:t>
            </w:r>
          </w:p>
        </w:tc>
        <w:tc>
          <w:tcPr>
            <w:tcW w:w="2638" w:type="dxa"/>
          </w:tcPr>
          <w:p w14:paraId="34890133"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MAEK-Kazatomprom LLP</w:t>
            </w:r>
          </w:p>
          <w:p w14:paraId="06FFE290" w14:textId="77777777" w:rsidR="00EF3931" w:rsidRPr="00A57506"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1529C7">
              <w:rPr>
                <w:rFonts w:ascii="Times New Roman" w:hAnsi="Times New Roman" w:cs="Times New Roman"/>
                <w:color w:val="000000" w:themeColor="text1"/>
                <w:sz w:val="20"/>
                <w:szCs w:val="20"/>
                <w:lang w:val="en"/>
              </w:rPr>
              <w:t>GTPP OF "KUS" LLP</w:t>
            </w:r>
          </w:p>
        </w:tc>
        <w:tc>
          <w:tcPr>
            <w:tcW w:w="1134" w:type="dxa"/>
          </w:tcPr>
          <w:p w14:paraId="21A36A68"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76 %</w:t>
            </w:r>
          </w:p>
          <w:p w14:paraId="1535E52F"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FA607E7"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23 %</w:t>
            </w:r>
          </w:p>
        </w:tc>
        <w:tc>
          <w:tcPr>
            <w:tcW w:w="1843" w:type="dxa"/>
          </w:tcPr>
          <w:p w14:paraId="2F89FBDD"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6323 &lt;10000</w:t>
            </w:r>
          </w:p>
        </w:tc>
        <w:tc>
          <w:tcPr>
            <w:tcW w:w="1842" w:type="dxa"/>
          </w:tcPr>
          <w:p w14:paraId="5B902A0C" w14:textId="77777777" w:rsidR="00EF3931" w:rsidRPr="001529C7" w:rsidRDefault="004C4BA9"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
              </w:rPr>
              <w:t>2000 &lt;HHI 5577 &lt;10000</w:t>
            </w:r>
          </w:p>
        </w:tc>
      </w:tr>
    </w:tbl>
    <w:p w14:paraId="448006BC" w14:textId="77777777" w:rsidR="00EF3931" w:rsidRPr="001529C7" w:rsidRDefault="00EF3931" w:rsidP="00F411E1">
      <w:pPr>
        <w:pStyle w:val="ListParagraph"/>
        <w:tabs>
          <w:tab w:val="clear" w:pos="567"/>
        </w:tabs>
        <w:ind w:left="0"/>
        <w:rPr>
          <w:color w:val="000000" w:themeColor="text1"/>
        </w:rPr>
      </w:pPr>
    </w:p>
    <w:p w14:paraId="7E8F3721" w14:textId="77777777" w:rsidR="00EF3931" w:rsidRPr="00A57506" w:rsidRDefault="004C4BA9" w:rsidP="00F411E1">
      <w:pPr>
        <w:pStyle w:val="ListParagraph"/>
        <w:tabs>
          <w:tab w:val="clear" w:pos="567"/>
        </w:tabs>
        <w:ind w:left="0"/>
        <w:rPr>
          <w:color w:val="000000" w:themeColor="text1"/>
          <w:lang w:val="en-US"/>
        </w:rPr>
      </w:pPr>
      <w:r w:rsidRPr="001529C7">
        <w:rPr>
          <w:color w:val="000000" w:themeColor="text1"/>
          <w:lang w:val="en"/>
        </w:rPr>
        <w:t xml:space="preserve">As can be seen from the table, wholesale electricity market is a highly </w:t>
      </w:r>
      <w:r w:rsidR="00E85FB2" w:rsidRPr="00E07CB9">
        <w:rPr>
          <w:b/>
          <w:i/>
          <w:color w:val="000000" w:themeColor="text1"/>
          <w:lang w:val="en"/>
        </w:rPr>
        <w:t>concentrated</w:t>
      </w:r>
      <w:r w:rsidRPr="001529C7">
        <w:rPr>
          <w:color w:val="000000" w:themeColor="text1"/>
          <w:lang w:val="en"/>
        </w:rPr>
        <w:t xml:space="preserve"> market.</w:t>
      </w:r>
    </w:p>
    <w:p w14:paraId="5742EF36" w14:textId="77777777" w:rsidR="00EF3931" w:rsidRPr="00A57506" w:rsidRDefault="004C4BA9" w:rsidP="00671839">
      <w:pPr>
        <w:spacing w:before="120"/>
        <w:rPr>
          <w:b/>
          <w:i/>
          <w:color w:val="000000" w:themeColor="text1"/>
          <w:lang w:val="en-US"/>
        </w:rPr>
      </w:pPr>
      <w:r w:rsidRPr="001529C7">
        <w:rPr>
          <w:b/>
          <w:i/>
          <w:color w:val="000000" w:themeColor="text1"/>
          <w:lang w:val="en"/>
        </w:rPr>
        <w:t xml:space="preserve">Retail Electricity market </w:t>
      </w:r>
    </w:p>
    <w:p w14:paraId="3DDFDF22" w14:textId="77777777" w:rsidR="00EF3931" w:rsidRPr="00A57506" w:rsidRDefault="004C4BA9" w:rsidP="00F411E1">
      <w:pPr>
        <w:rPr>
          <w:bCs/>
          <w:color w:val="000000" w:themeColor="text1"/>
          <w:lang w:val="en-US"/>
        </w:rPr>
      </w:pPr>
      <w:r w:rsidRPr="001529C7">
        <w:rPr>
          <w:bCs/>
          <w:color w:val="000000" w:themeColor="text1"/>
          <w:lang w:val="en"/>
        </w:rPr>
        <w:t>Information about retail electricity market entities that occupy dominant or monopolistic position is given in the following table.</w:t>
      </w:r>
    </w:p>
    <w:p w14:paraId="507FE023" w14:textId="77777777" w:rsidR="007F5928" w:rsidRPr="00A57506" w:rsidRDefault="007F5928" w:rsidP="00F411E1">
      <w:pPr>
        <w:ind w:firstLine="0"/>
        <w:rPr>
          <w:bCs/>
          <w:color w:val="000000" w:themeColor="text1"/>
          <w:lang w:val="en-US"/>
        </w:rPr>
      </w:pPr>
    </w:p>
    <w:p w14:paraId="54C66ED0" w14:textId="77777777" w:rsidR="007F5928"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2</w:t>
      </w:r>
      <w:r w:rsidRPr="001529C7">
        <w:rPr>
          <w:b w:val="0"/>
          <w:color w:val="000000" w:themeColor="text1"/>
          <w:sz w:val="28"/>
          <w:szCs w:val="28"/>
        </w:rPr>
        <w:fldChar w:fldCharType="end"/>
      </w:r>
      <w:r w:rsidRPr="001529C7">
        <w:rPr>
          <w:b w:val="0"/>
          <w:color w:val="000000" w:themeColor="text1"/>
          <w:sz w:val="28"/>
          <w:szCs w:val="28"/>
          <w:lang w:val="en"/>
        </w:rPr>
        <w:t>. Retail electricity market entities that occupy dominant or monopolistic position.</w:t>
      </w:r>
    </w:p>
    <w:tbl>
      <w:tblPr>
        <w:tblStyle w:val="TableGrid"/>
        <w:tblW w:w="9776" w:type="dxa"/>
        <w:tblLook w:val="04A0" w:firstRow="1" w:lastRow="0" w:firstColumn="1" w:lastColumn="0" w:noHBand="0" w:noVBand="1"/>
      </w:tblPr>
      <w:tblGrid>
        <w:gridCol w:w="1846"/>
        <w:gridCol w:w="2827"/>
        <w:gridCol w:w="1134"/>
        <w:gridCol w:w="1985"/>
        <w:gridCol w:w="1984"/>
      </w:tblGrid>
      <w:tr w:rsidR="00706070" w14:paraId="5437DEA1" w14:textId="77777777" w:rsidTr="007F5928">
        <w:tc>
          <w:tcPr>
            <w:tcW w:w="1846" w:type="dxa"/>
            <w:vMerge w:val="restart"/>
          </w:tcPr>
          <w:p w14:paraId="5B960212" w14:textId="77777777" w:rsidR="00EF3931" w:rsidRPr="001529C7" w:rsidRDefault="004C4BA9" w:rsidP="00F411E1">
            <w:pPr>
              <w:pStyle w:val="ListParagraph"/>
              <w:tabs>
                <w:tab w:val="clear" w:pos="567"/>
              </w:tabs>
              <w:ind w:left="0" w:firstLine="0"/>
              <w:jc w:val="center"/>
              <w:rPr>
                <w:b/>
                <w:bCs/>
                <w:color w:val="000000" w:themeColor="text1"/>
                <w:sz w:val="20"/>
                <w:szCs w:val="20"/>
              </w:rPr>
            </w:pPr>
            <w:r w:rsidRPr="001529C7">
              <w:rPr>
                <w:b/>
                <w:bCs/>
                <w:color w:val="000000" w:themeColor="text1"/>
                <w:sz w:val="20"/>
                <w:szCs w:val="20"/>
                <w:lang w:val="en"/>
              </w:rPr>
              <w:t>Geographical boundaries</w:t>
            </w:r>
          </w:p>
        </w:tc>
        <w:tc>
          <w:tcPr>
            <w:tcW w:w="2827" w:type="dxa"/>
            <w:vMerge w:val="restart"/>
          </w:tcPr>
          <w:p w14:paraId="24DA4495" w14:textId="77777777" w:rsidR="00EF3931" w:rsidRPr="001529C7" w:rsidRDefault="004C4BA9" w:rsidP="00F411E1">
            <w:pPr>
              <w:pStyle w:val="ListParagraph"/>
              <w:tabs>
                <w:tab w:val="clear" w:pos="567"/>
              </w:tabs>
              <w:ind w:left="0" w:firstLine="0"/>
              <w:jc w:val="center"/>
              <w:rPr>
                <w:b/>
                <w:bCs/>
                <w:color w:val="000000" w:themeColor="text1"/>
                <w:sz w:val="20"/>
                <w:szCs w:val="20"/>
              </w:rPr>
            </w:pPr>
            <w:r w:rsidRPr="001529C7">
              <w:rPr>
                <w:b/>
                <w:bCs/>
                <w:color w:val="000000" w:themeColor="text1"/>
                <w:sz w:val="20"/>
                <w:szCs w:val="20"/>
                <w:lang w:val="en"/>
              </w:rPr>
              <w:t>ESO</w:t>
            </w:r>
          </w:p>
        </w:tc>
        <w:tc>
          <w:tcPr>
            <w:tcW w:w="1134" w:type="dxa"/>
            <w:vMerge w:val="restart"/>
          </w:tcPr>
          <w:p w14:paraId="6485CC03" w14:textId="77777777" w:rsidR="00EF3931" w:rsidRPr="001529C7" w:rsidRDefault="004C4BA9" w:rsidP="00F411E1">
            <w:pPr>
              <w:pStyle w:val="ListParagraph"/>
              <w:tabs>
                <w:tab w:val="clear" w:pos="567"/>
              </w:tabs>
              <w:ind w:left="0" w:firstLine="0"/>
              <w:jc w:val="center"/>
              <w:rPr>
                <w:b/>
                <w:bCs/>
                <w:color w:val="000000" w:themeColor="text1"/>
                <w:sz w:val="20"/>
                <w:szCs w:val="20"/>
              </w:rPr>
            </w:pPr>
            <w:r w:rsidRPr="001529C7">
              <w:rPr>
                <w:b/>
                <w:bCs/>
                <w:color w:val="000000" w:themeColor="text1"/>
                <w:sz w:val="20"/>
                <w:szCs w:val="20"/>
                <w:lang w:val="en"/>
              </w:rPr>
              <w:t>Market share</w:t>
            </w:r>
          </w:p>
        </w:tc>
        <w:tc>
          <w:tcPr>
            <w:tcW w:w="3969" w:type="dxa"/>
            <w:gridSpan w:val="2"/>
          </w:tcPr>
          <w:p w14:paraId="7BF07EA8" w14:textId="77777777" w:rsidR="00EF3931" w:rsidRPr="001529C7" w:rsidRDefault="004C4BA9" w:rsidP="00F411E1">
            <w:pPr>
              <w:pStyle w:val="ListParagraph"/>
              <w:tabs>
                <w:tab w:val="clear" w:pos="567"/>
              </w:tabs>
              <w:ind w:left="0" w:firstLine="0"/>
              <w:jc w:val="center"/>
              <w:rPr>
                <w:b/>
                <w:bCs/>
                <w:color w:val="000000" w:themeColor="text1"/>
                <w:sz w:val="20"/>
                <w:szCs w:val="20"/>
              </w:rPr>
            </w:pPr>
            <w:r w:rsidRPr="001529C7">
              <w:rPr>
                <w:b/>
                <w:bCs/>
                <w:color w:val="000000" w:themeColor="text1"/>
                <w:sz w:val="20"/>
                <w:szCs w:val="20"/>
                <w:lang w:val="en"/>
              </w:rPr>
              <w:t xml:space="preserve">Competition level </w:t>
            </w:r>
          </w:p>
        </w:tc>
      </w:tr>
      <w:tr w:rsidR="00706070" w:rsidRPr="00A22DA1" w14:paraId="1D972C2E" w14:textId="77777777" w:rsidTr="007F5928">
        <w:tc>
          <w:tcPr>
            <w:tcW w:w="1846" w:type="dxa"/>
            <w:vMerge/>
          </w:tcPr>
          <w:p w14:paraId="7E649A08" w14:textId="77777777" w:rsidR="00EF3931" w:rsidRPr="001529C7" w:rsidRDefault="00EF3931" w:rsidP="00F411E1">
            <w:pPr>
              <w:pStyle w:val="ListParagraph"/>
              <w:tabs>
                <w:tab w:val="clear" w:pos="567"/>
              </w:tabs>
              <w:ind w:left="0" w:firstLine="0"/>
              <w:jc w:val="center"/>
              <w:rPr>
                <w:b/>
                <w:bCs/>
                <w:color w:val="000000" w:themeColor="text1"/>
                <w:sz w:val="20"/>
                <w:szCs w:val="20"/>
              </w:rPr>
            </w:pPr>
          </w:p>
        </w:tc>
        <w:tc>
          <w:tcPr>
            <w:tcW w:w="2827" w:type="dxa"/>
            <w:vMerge/>
          </w:tcPr>
          <w:p w14:paraId="7476130C" w14:textId="77777777" w:rsidR="00EF3931" w:rsidRPr="001529C7" w:rsidRDefault="00EF3931" w:rsidP="00F411E1">
            <w:pPr>
              <w:pStyle w:val="ListParagraph"/>
              <w:tabs>
                <w:tab w:val="clear" w:pos="567"/>
              </w:tabs>
              <w:ind w:left="0" w:firstLine="0"/>
              <w:jc w:val="center"/>
              <w:rPr>
                <w:b/>
                <w:bCs/>
                <w:color w:val="000000" w:themeColor="text1"/>
                <w:sz w:val="20"/>
                <w:szCs w:val="20"/>
              </w:rPr>
            </w:pPr>
          </w:p>
        </w:tc>
        <w:tc>
          <w:tcPr>
            <w:tcW w:w="1134" w:type="dxa"/>
            <w:vMerge/>
          </w:tcPr>
          <w:p w14:paraId="70C5B429" w14:textId="77777777" w:rsidR="00EF3931" w:rsidRPr="001529C7" w:rsidRDefault="00EF3931" w:rsidP="00F411E1">
            <w:pPr>
              <w:pStyle w:val="ListParagraph"/>
              <w:tabs>
                <w:tab w:val="clear" w:pos="567"/>
              </w:tabs>
              <w:ind w:left="0" w:firstLine="0"/>
              <w:jc w:val="center"/>
              <w:rPr>
                <w:b/>
                <w:bCs/>
                <w:color w:val="000000" w:themeColor="text1"/>
                <w:sz w:val="20"/>
                <w:szCs w:val="20"/>
              </w:rPr>
            </w:pPr>
          </w:p>
        </w:tc>
        <w:tc>
          <w:tcPr>
            <w:tcW w:w="1985" w:type="dxa"/>
          </w:tcPr>
          <w:p w14:paraId="6B9D6C06" w14:textId="77777777" w:rsidR="00EF3931" w:rsidRPr="001529C7" w:rsidRDefault="004C4BA9" w:rsidP="00F411E1">
            <w:pPr>
              <w:pStyle w:val="ListParagraph"/>
              <w:tabs>
                <w:tab w:val="clear" w:pos="567"/>
              </w:tabs>
              <w:ind w:left="0" w:firstLine="0"/>
              <w:jc w:val="center"/>
              <w:rPr>
                <w:b/>
                <w:bCs/>
                <w:color w:val="000000" w:themeColor="text1"/>
                <w:sz w:val="20"/>
                <w:szCs w:val="20"/>
              </w:rPr>
            </w:pPr>
            <w:r w:rsidRPr="001529C7">
              <w:rPr>
                <w:b/>
                <w:bCs/>
                <w:color w:val="000000" w:themeColor="text1"/>
                <w:sz w:val="20"/>
                <w:szCs w:val="20"/>
                <w:lang w:val="en"/>
              </w:rPr>
              <w:t>2021</w:t>
            </w:r>
          </w:p>
        </w:tc>
        <w:tc>
          <w:tcPr>
            <w:tcW w:w="1984" w:type="dxa"/>
          </w:tcPr>
          <w:p w14:paraId="11460803" w14:textId="77777777" w:rsidR="00EF3931" w:rsidRPr="00A57506" w:rsidRDefault="004C4BA9" w:rsidP="00F411E1">
            <w:pPr>
              <w:pStyle w:val="ListParagraph"/>
              <w:tabs>
                <w:tab w:val="clear" w:pos="567"/>
              </w:tabs>
              <w:ind w:left="0" w:firstLine="0"/>
              <w:jc w:val="center"/>
              <w:rPr>
                <w:b/>
                <w:bCs/>
                <w:color w:val="000000" w:themeColor="text1"/>
                <w:sz w:val="20"/>
                <w:szCs w:val="20"/>
                <w:lang w:val="en-US"/>
              </w:rPr>
            </w:pPr>
            <w:r w:rsidRPr="001529C7">
              <w:rPr>
                <w:b/>
                <w:bCs/>
                <w:color w:val="000000" w:themeColor="text1"/>
                <w:sz w:val="20"/>
                <w:szCs w:val="20"/>
                <w:lang w:val="en"/>
              </w:rPr>
              <w:t>2022</w:t>
            </w:r>
          </w:p>
          <w:p w14:paraId="46AE08DF" w14:textId="77777777" w:rsidR="00EF3931" w:rsidRPr="00A57506" w:rsidRDefault="004C4BA9" w:rsidP="00F411E1">
            <w:pPr>
              <w:pStyle w:val="ListParagraph"/>
              <w:tabs>
                <w:tab w:val="clear" w:pos="567"/>
              </w:tabs>
              <w:ind w:left="0" w:firstLine="0"/>
              <w:jc w:val="center"/>
              <w:rPr>
                <w:b/>
                <w:bCs/>
                <w:color w:val="000000" w:themeColor="text1"/>
                <w:sz w:val="20"/>
                <w:szCs w:val="20"/>
                <w:lang w:val="en-US"/>
              </w:rPr>
            </w:pPr>
            <w:r w:rsidRPr="001529C7">
              <w:rPr>
                <w:b/>
                <w:bCs/>
                <w:color w:val="000000" w:themeColor="text1"/>
                <w:sz w:val="20"/>
                <w:szCs w:val="20"/>
                <w:lang w:val="en"/>
              </w:rPr>
              <w:t>(1st half of the year)</w:t>
            </w:r>
          </w:p>
        </w:tc>
      </w:tr>
      <w:tr w:rsidR="00706070" w14:paraId="53A4C101" w14:textId="77777777" w:rsidTr="007F5928">
        <w:tc>
          <w:tcPr>
            <w:tcW w:w="1846" w:type="dxa"/>
          </w:tcPr>
          <w:p w14:paraId="4B869A0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Astana city</w:t>
            </w:r>
          </w:p>
        </w:tc>
        <w:tc>
          <w:tcPr>
            <w:tcW w:w="2827" w:type="dxa"/>
          </w:tcPr>
          <w:p w14:paraId="05CFFD07"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PRIME ENERGY RESOURCES LLP</w:t>
            </w:r>
          </w:p>
          <w:p w14:paraId="172A9A09" w14:textId="77777777" w:rsidR="00EF3931" w:rsidRPr="00A57506" w:rsidRDefault="00EF3931" w:rsidP="00F411E1">
            <w:pPr>
              <w:pStyle w:val="ListParagraph"/>
              <w:tabs>
                <w:tab w:val="clear" w:pos="567"/>
              </w:tabs>
              <w:ind w:left="0" w:firstLine="0"/>
              <w:jc w:val="center"/>
              <w:rPr>
                <w:color w:val="000000" w:themeColor="text1"/>
                <w:sz w:val="20"/>
                <w:szCs w:val="20"/>
                <w:lang w:val="en-US"/>
              </w:rPr>
            </w:pPr>
          </w:p>
          <w:p w14:paraId="5864105A"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AstanaEnergosbyt LLP</w:t>
            </w:r>
          </w:p>
        </w:tc>
        <w:tc>
          <w:tcPr>
            <w:tcW w:w="1134" w:type="dxa"/>
          </w:tcPr>
          <w:p w14:paraId="11D438AC"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74,7 %</w:t>
            </w:r>
          </w:p>
          <w:p w14:paraId="158EC826"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21A10CFC"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3A7BD55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14,1 %</w:t>
            </w:r>
          </w:p>
        </w:tc>
        <w:tc>
          <w:tcPr>
            <w:tcW w:w="1985" w:type="dxa"/>
          </w:tcPr>
          <w:p w14:paraId="3BB47AD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70&lt;CR(1) 75 &lt;100</w:t>
            </w:r>
          </w:p>
        </w:tc>
        <w:tc>
          <w:tcPr>
            <w:tcW w:w="1984" w:type="dxa"/>
          </w:tcPr>
          <w:p w14:paraId="15D97D33"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70&lt;CR(2) 87 &lt;100</w:t>
            </w:r>
          </w:p>
        </w:tc>
      </w:tr>
      <w:tr w:rsidR="00706070" w14:paraId="488C019F" w14:textId="77777777" w:rsidTr="007F5928">
        <w:tc>
          <w:tcPr>
            <w:tcW w:w="1846" w:type="dxa"/>
          </w:tcPr>
          <w:p w14:paraId="728D150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Almaty city</w:t>
            </w:r>
          </w:p>
        </w:tc>
        <w:tc>
          <w:tcPr>
            <w:tcW w:w="2827" w:type="dxa"/>
          </w:tcPr>
          <w:p w14:paraId="296CD3A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Almatyenergosbyt LLP</w:t>
            </w:r>
          </w:p>
        </w:tc>
        <w:tc>
          <w:tcPr>
            <w:tcW w:w="1134" w:type="dxa"/>
          </w:tcPr>
          <w:p w14:paraId="4F00C8B2"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91,3 %</w:t>
            </w:r>
          </w:p>
        </w:tc>
        <w:tc>
          <w:tcPr>
            <w:tcW w:w="1985" w:type="dxa"/>
          </w:tcPr>
          <w:p w14:paraId="6C202762"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70&lt;CR(1) 91 &lt;100</w:t>
            </w:r>
          </w:p>
        </w:tc>
        <w:tc>
          <w:tcPr>
            <w:tcW w:w="1984" w:type="dxa"/>
          </w:tcPr>
          <w:p w14:paraId="2893C8D3"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70&lt;CR(1) 83 &lt;100</w:t>
            </w:r>
          </w:p>
        </w:tc>
      </w:tr>
      <w:tr w:rsidR="00706070" w14:paraId="7DC3F836" w14:textId="77777777" w:rsidTr="007F5928">
        <w:tc>
          <w:tcPr>
            <w:tcW w:w="1846" w:type="dxa"/>
          </w:tcPr>
          <w:p w14:paraId="3E2708B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East Kazakhstan region</w:t>
            </w:r>
          </w:p>
        </w:tc>
        <w:tc>
          <w:tcPr>
            <w:tcW w:w="2827" w:type="dxa"/>
          </w:tcPr>
          <w:p w14:paraId="7A86AAD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Shygysenergotrade LLP</w:t>
            </w:r>
          </w:p>
          <w:p w14:paraId="1B553A86"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2FB2EB8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AB Energo LLP</w:t>
            </w:r>
          </w:p>
        </w:tc>
        <w:tc>
          <w:tcPr>
            <w:tcW w:w="1134" w:type="dxa"/>
          </w:tcPr>
          <w:p w14:paraId="7E02E432"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56,1 %</w:t>
            </w:r>
          </w:p>
          <w:p w14:paraId="4FF954EA"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2B3B6D80"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21E48ED5"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15,6 %</w:t>
            </w:r>
          </w:p>
        </w:tc>
        <w:tc>
          <w:tcPr>
            <w:tcW w:w="1985" w:type="dxa"/>
          </w:tcPr>
          <w:p w14:paraId="5848583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70&lt;CR(2) 72 &lt;100</w:t>
            </w:r>
          </w:p>
        </w:tc>
        <w:tc>
          <w:tcPr>
            <w:tcW w:w="1984" w:type="dxa"/>
          </w:tcPr>
          <w:p w14:paraId="6A6D4A30"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45&lt;CR(1) 48 &lt;100</w:t>
            </w:r>
          </w:p>
        </w:tc>
      </w:tr>
      <w:tr w:rsidR="00706070" w14:paraId="30777ABB" w14:textId="77777777" w:rsidTr="007F5928">
        <w:tc>
          <w:tcPr>
            <w:tcW w:w="1846" w:type="dxa"/>
          </w:tcPr>
          <w:p w14:paraId="62163B95"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Zhambyl region</w:t>
            </w:r>
          </w:p>
        </w:tc>
        <w:tc>
          <w:tcPr>
            <w:tcW w:w="2827" w:type="dxa"/>
          </w:tcPr>
          <w:p w14:paraId="09F8A8A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ZhambylZharykSauda-2030 LLP</w:t>
            </w:r>
          </w:p>
        </w:tc>
        <w:tc>
          <w:tcPr>
            <w:tcW w:w="1134" w:type="dxa"/>
          </w:tcPr>
          <w:p w14:paraId="236B139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68 %</w:t>
            </w:r>
          </w:p>
        </w:tc>
        <w:tc>
          <w:tcPr>
            <w:tcW w:w="1985" w:type="dxa"/>
          </w:tcPr>
          <w:p w14:paraId="5DDB6A8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bCs/>
                <w:color w:val="000000" w:themeColor="text1"/>
                <w:sz w:val="20"/>
                <w:szCs w:val="20"/>
                <w:lang w:val="en"/>
              </w:rPr>
              <w:t>70 % &lt; CR(3) 90,14 &lt; 100</w:t>
            </w:r>
          </w:p>
        </w:tc>
        <w:tc>
          <w:tcPr>
            <w:tcW w:w="1984" w:type="dxa"/>
          </w:tcPr>
          <w:p w14:paraId="4592EC13"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bCs/>
                <w:color w:val="000000" w:themeColor="text1"/>
                <w:sz w:val="20"/>
                <w:szCs w:val="20"/>
                <w:lang w:val="en"/>
              </w:rPr>
              <w:t>70 % &lt; CR(3) 85,18 &lt; 100</w:t>
            </w:r>
          </w:p>
        </w:tc>
      </w:tr>
      <w:tr w:rsidR="00706070" w14:paraId="45EEBFF3" w14:textId="77777777" w:rsidTr="007F5928">
        <w:tc>
          <w:tcPr>
            <w:tcW w:w="1846" w:type="dxa"/>
          </w:tcPr>
          <w:p w14:paraId="72AC2C00"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Mangystau region</w:t>
            </w:r>
          </w:p>
        </w:tc>
        <w:tc>
          <w:tcPr>
            <w:tcW w:w="2827" w:type="dxa"/>
          </w:tcPr>
          <w:p w14:paraId="5220F48F"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Mangistau</w:t>
            </w:r>
            <w:r w:rsidRPr="00A57506">
              <w:rPr>
                <w:color w:val="000000" w:themeColor="text1"/>
                <w:sz w:val="20"/>
                <w:szCs w:val="20"/>
              </w:rPr>
              <w:t xml:space="preserve"> </w:t>
            </w:r>
            <w:r w:rsidRPr="001529C7">
              <w:rPr>
                <w:color w:val="000000" w:themeColor="text1"/>
                <w:sz w:val="20"/>
                <w:szCs w:val="20"/>
                <w:lang w:val="en"/>
              </w:rPr>
              <w:t>Zharyk</w:t>
            </w:r>
            <w:r w:rsidRPr="00A57506">
              <w:rPr>
                <w:color w:val="000000" w:themeColor="text1"/>
                <w:sz w:val="20"/>
                <w:szCs w:val="20"/>
              </w:rPr>
              <w:t xml:space="preserve"> </w:t>
            </w:r>
            <w:r w:rsidRPr="001529C7">
              <w:rPr>
                <w:color w:val="000000" w:themeColor="text1"/>
                <w:sz w:val="20"/>
                <w:szCs w:val="20"/>
                <w:lang w:val="en"/>
              </w:rPr>
              <w:t>LLP</w:t>
            </w:r>
          </w:p>
          <w:p w14:paraId="5552F5D4"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6AADA4B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MangistauEnergoMunay</w:t>
            </w:r>
            <w:r w:rsidRPr="00A57506">
              <w:rPr>
                <w:color w:val="000000" w:themeColor="text1"/>
                <w:sz w:val="20"/>
                <w:szCs w:val="20"/>
              </w:rPr>
              <w:t xml:space="preserve"> </w:t>
            </w:r>
            <w:r w:rsidRPr="001529C7">
              <w:rPr>
                <w:color w:val="000000" w:themeColor="text1"/>
                <w:sz w:val="20"/>
                <w:szCs w:val="20"/>
                <w:lang w:val="en"/>
              </w:rPr>
              <w:t>LLP</w:t>
            </w:r>
          </w:p>
          <w:p w14:paraId="22953DD4"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5271A1B7"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lastRenderedPageBreak/>
              <w:t>AktauEnergoSbyt</w:t>
            </w:r>
            <w:r w:rsidRPr="00A57506">
              <w:rPr>
                <w:color w:val="000000" w:themeColor="text1"/>
                <w:sz w:val="20"/>
                <w:szCs w:val="20"/>
              </w:rPr>
              <w:t xml:space="preserve"> </w:t>
            </w:r>
            <w:r w:rsidRPr="001529C7">
              <w:rPr>
                <w:color w:val="000000" w:themeColor="text1"/>
                <w:sz w:val="20"/>
                <w:szCs w:val="20"/>
                <w:lang w:val="en"/>
              </w:rPr>
              <w:t>LLP</w:t>
            </w:r>
          </w:p>
        </w:tc>
        <w:tc>
          <w:tcPr>
            <w:tcW w:w="1134" w:type="dxa"/>
          </w:tcPr>
          <w:p w14:paraId="6C55D00E"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lastRenderedPageBreak/>
              <w:t>43,6%</w:t>
            </w:r>
          </w:p>
          <w:p w14:paraId="331B9C7A" w14:textId="77777777" w:rsidR="00EF3931" w:rsidRPr="001529C7" w:rsidRDefault="00EF3931" w:rsidP="00F411E1">
            <w:pPr>
              <w:pStyle w:val="ListParagraph"/>
              <w:tabs>
                <w:tab w:val="clear" w:pos="567"/>
              </w:tabs>
              <w:ind w:left="0" w:firstLine="0"/>
              <w:jc w:val="center"/>
              <w:rPr>
                <w:color w:val="000000" w:themeColor="text1"/>
                <w:sz w:val="20"/>
                <w:szCs w:val="20"/>
                <w:lang w:val="en-US"/>
              </w:rPr>
            </w:pPr>
          </w:p>
          <w:p w14:paraId="454EC3AB"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27,9 %</w:t>
            </w:r>
          </w:p>
          <w:p w14:paraId="79B55EAB"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3DFDC75F"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lastRenderedPageBreak/>
              <w:t>20,5%</w:t>
            </w:r>
          </w:p>
        </w:tc>
        <w:tc>
          <w:tcPr>
            <w:tcW w:w="1985" w:type="dxa"/>
          </w:tcPr>
          <w:p w14:paraId="4BD66E17"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lastRenderedPageBreak/>
              <w:t>70 % &lt; CR(3) 92 &lt; 100</w:t>
            </w:r>
          </w:p>
        </w:tc>
        <w:tc>
          <w:tcPr>
            <w:tcW w:w="1984" w:type="dxa"/>
          </w:tcPr>
          <w:p w14:paraId="7C4A3561"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CR(3) 91 &lt; 100</w:t>
            </w:r>
          </w:p>
        </w:tc>
      </w:tr>
      <w:tr w:rsidR="00706070" w14:paraId="74D0CFCC" w14:textId="77777777" w:rsidTr="007F5928">
        <w:tc>
          <w:tcPr>
            <w:tcW w:w="1846" w:type="dxa"/>
          </w:tcPr>
          <w:p w14:paraId="7346B4E6"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West Kazakhstan region</w:t>
            </w:r>
          </w:p>
        </w:tc>
        <w:tc>
          <w:tcPr>
            <w:tcW w:w="2827" w:type="dxa"/>
          </w:tcPr>
          <w:p w14:paraId="7A96E3C5"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Batys Energy Resources LLP</w:t>
            </w:r>
          </w:p>
          <w:p w14:paraId="09AD0577" w14:textId="77777777" w:rsidR="00EF3931" w:rsidRPr="00A57506" w:rsidRDefault="00EF3931" w:rsidP="00F411E1">
            <w:pPr>
              <w:pStyle w:val="ListParagraph"/>
              <w:tabs>
                <w:tab w:val="clear" w:pos="567"/>
              </w:tabs>
              <w:ind w:left="0" w:firstLine="0"/>
              <w:jc w:val="center"/>
              <w:rPr>
                <w:color w:val="000000" w:themeColor="text1"/>
                <w:sz w:val="20"/>
                <w:szCs w:val="20"/>
                <w:lang w:val="en-US"/>
              </w:rPr>
            </w:pPr>
          </w:p>
          <w:p w14:paraId="4DB75450"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Batys Power LLP</w:t>
            </w:r>
          </w:p>
        </w:tc>
        <w:tc>
          <w:tcPr>
            <w:tcW w:w="1134" w:type="dxa"/>
          </w:tcPr>
          <w:p w14:paraId="0D2A4FBE"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55 %</w:t>
            </w:r>
          </w:p>
          <w:p w14:paraId="2B41D4DC"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178FD58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33 %</w:t>
            </w:r>
          </w:p>
        </w:tc>
        <w:tc>
          <w:tcPr>
            <w:tcW w:w="1985" w:type="dxa"/>
          </w:tcPr>
          <w:p w14:paraId="03FFCBE7"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CR(2) 88 &lt; 100</w:t>
            </w:r>
          </w:p>
        </w:tc>
        <w:tc>
          <w:tcPr>
            <w:tcW w:w="1984" w:type="dxa"/>
          </w:tcPr>
          <w:p w14:paraId="073E1C50"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CR(2) 88 &lt; 100</w:t>
            </w:r>
          </w:p>
        </w:tc>
      </w:tr>
      <w:tr w:rsidR="00706070" w14:paraId="177BA266" w14:textId="77777777" w:rsidTr="007F5928">
        <w:tc>
          <w:tcPr>
            <w:tcW w:w="1846" w:type="dxa"/>
          </w:tcPr>
          <w:p w14:paraId="09C0C1CB"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Pavlodar region (with the exception of Ekibastuz city, aviators' settlement of Pavlodar city)</w:t>
            </w:r>
          </w:p>
        </w:tc>
        <w:tc>
          <w:tcPr>
            <w:tcW w:w="2827" w:type="dxa"/>
          </w:tcPr>
          <w:p w14:paraId="42D745D0"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Pavlodarenergosbyt LLP</w:t>
            </w:r>
          </w:p>
          <w:p w14:paraId="579E17D3" w14:textId="77777777" w:rsidR="00EF3931" w:rsidRPr="00A57506" w:rsidRDefault="00EF3931" w:rsidP="00F411E1">
            <w:pPr>
              <w:pStyle w:val="ListParagraph"/>
              <w:tabs>
                <w:tab w:val="clear" w:pos="567"/>
              </w:tabs>
              <w:ind w:left="0" w:firstLine="0"/>
              <w:jc w:val="center"/>
              <w:rPr>
                <w:color w:val="000000" w:themeColor="text1"/>
                <w:sz w:val="20"/>
                <w:szCs w:val="20"/>
                <w:lang w:val="en-US"/>
              </w:rPr>
            </w:pPr>
          </w:p>
          <w:p w14:paraId="6704DCA1" w14:textId="77777777" w:rsidR="00EF3931" w:rsidRPr="00A57506" w:rsidRDefault="004C4BA9" w:rsidP="00F411E1">
            <w:pPr>
              <w:pStyle w:val="ListParagraph"/>
              <w:tabs>
                <w:tab w:val="clear" w:pos="567"/>
              </w:tabs>
              <w:ind w:left="0" w:firstLine="0"/>
              <w:jc w:val="center"/>
              <w:rPr>
                <w:color w:val="000000" w:themeColor="text1"/>
                <w:sz w:val="20"/>
                <w:szCs w:val="20"/>
                <w:lang w:val="en-US"/>
              </w:rPr>
            </w:pPr>
            <w:r w:rsidRPr="001529C7">
              <w:rPr>
                <w:color w:val="000000" w:themeColor="text1"/>
                <w:sz w:val="20"/>
                <w:szCs w:val="20"/>
                <w:lang w:val="en"/>
              </w:rPr>
              <w:t xml:space="preserve">AB Energo LLP </w:t>
            </w:r>
          </w:p>
        </w:tc>
        <w:tc>
          <w:tcPr>
            <w:tcW w:w="1134" w:type="dxa"/>
          </w:tcPr>
          <w:p w14:paraId="40910AAB"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39,5 %</w:t>
            </w:r>
          </w:p>
          <w:p w14:paraId="17531778"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69B805CC"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38,3%</w:t>
            </w:r>
          </w:p>
        </w:tc>
        <w:tc>
          <w:tcPr>
            <w:tcW w:w="1985" w:type="dxa"/>
          </w:tcPr>
          <w:p w14:paraId="53C34D95"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CR(2) 78 &lt; 100</w:t>
            </w:r>
          </w:p>
        </w:tc>
        <w:tc>
          <w:tcPr>
            <w:tcW w:w="1984" w:type="dxa"/>
          </w:tcPr>
          <w:p w14:paraId="06842B3E"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79 &lt; 100</w:t>
            </w:r>
          </w:p>
        </w:tc>
      </w:tr>
      <w:tr w:rsidR="00706070" w14:paraId="1897B892" w14:textId="77777777" w:rsidTr="007F5928">
        <w:tc>
          <w:tcPr>
            <w:tcW w:w="1846" w:type="dxa"/>
          </w:tcPr>
          <w:p w14:paraId="7D11D15B"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Aktobe region</w:t>
            </w:r>
          </w:p>
        </w:tc>
        <w:tc>
          <w:tcPr>
            <w:tcW w:w="2827" w:type="dxa"/>
          </w:tcPr>
          <w:p w14:paraId="2F999A01"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Aktobeenergosnab LLP</w:t>
            </w:r>
          </w:p>
        </w:tc>
        <w:tc>
          <w:tcPr>
            <w:tcW w:w="1134" w:type="dxa"/>
          </w:tcPr>
          <w:p w14:paraId="32B5DB46"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76 %</w:t>
            </w:r>
          </w:p>
        </w:tc>
        <w:tc>
          <w:tcPr>
            <w:tcW w:w="1985" w:type="dxa"/>
          </w:tcPr>
          <w:p w14:paraId="05A9EE24"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76 &lt; 100</w:t>
            </w:r>
          </w:p>
        </w:tc>
        <w:tc>
          <w:tcPr>
            <w:tcW w:w="1984" w:type="dxa"/>
          </w:tcPr>
          <w:p w14:paraId="63218928"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81 &lt; 100</w:t>
            </w:r>
          </w:p>
        </w:tc>
      </w:tr>
      <w:tr w:rsidR="00706070" w14:paraId="3F460E97" w14:textId="77777777" w:rsidTr="007F5928">
        <w:tc>
          <w:tcPr>
            <w:tcW w:w="1846" w:type="dxa"/>
          </w:tcPr>
          <w:p w14:paraId="0F90883E"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Almaty region</w:t>
            </w:r>
          </w:p>
        </w:tc>
        <w:tc>
          <w:tcPr>
            <w:tcW w:w="2827" w:type="dxa"/>
          </w:tcPr>
          <w:p w14:paraId="36C765C6"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Almatyenergosbyt LLP</w:t>
            </w:r>
          </w:p>
        </w:tc>
        <w:tc>
          <w:tcPr>
            <w:tcW w:w="1134" w:type="dxa"/>
          </w:tcPr>
          <w:p w14:paraId="1A984010"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99,43 %</w:t>
            </w:r>
          </w:p>
        </w:tc>
        <w:tc>
          <w:tcPr>
            <w:tcW w:w="1985" w:type="dxa"/>
          </w:tcPr>
          <w:p w14:paraId="5DDE6533"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99 &lt; 100</w:t>
            </w:r>
          </w:p>
        </w:tc>
        <w:tc>
          <w:tcPr>
            <w:tcW w:w="1984" w:type="dxa"/>
          </w:tcPr>
          <w:p w14:paraId="37DD48FE"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99 &lt; 100</w:t>
            </w:r>
          </w:p>
        </w:tc>
      </w:tr>
      <w:tr w:rsidR="00706070" w14:paraId="4448C81A" w14:textId="77777777" w:rsidTr="007F5928">
        <w:tc>
          <w:tcPr>
            <w:tcW w:w="1846" w:type="dxa"/>
          </w:tcPr>
          <w:p w14:paraId="7DAA9A4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Atyrau region</w:t>
            </w:r>
          </w:p>
        </w:tc>
        <w:tc>
          <w:tcPr>
            <w:tcW w:w="2827" w:type="dxa"/>
          </w:tcPr>
          <w:p w14:paraId="14EDBDC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Atyrau Energosatu LLP</w:t>
            </w:r>
          </w:p>
          <w:p w14:paraId="7F9684C8"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4C70F8C6"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Karabatan Power LLP</w:t>
            </w:r>
          </w:p>
        </w:tc>
        <w:tc>
          <w:tcPr>
            <w:tcW w:w="1134" w:type="dxa"/>
          </w:tcPr>
          <w:p w14:paraId="2504912F"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68 %</w:t>
            </w:r>
          </w:p>
          <w:p w14:paraId="3B4275F7"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7FB45FE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24 %</w:t>
            </w:r>
          </w:p>
        </w:tc>
        <w:tc>
          <w:tcPr>
            <w:tcW w:w="1985" w:type="dxa"/>
          </w:tcPr>
          <w:p w14:paraId="45D09662"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CR(2) 92 &lt; 100</w:t>
            </w:r>
          </w:p>
        </w:tc>
        <w:tc>
          <w:tcPr>
            <w:tcW w:w="1984" w:type="dxa"/>
          </w:tcPr>
          <w:p w14:paraId="6E260989"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CR(2) 93 &lt; 100</w:t>
            </w:r>
          </w:p>
        </w:tc>
      </w:tr>
      <w:tr w:rsidR="00706070" w14:paraId="6998B5EF" w14:textId="77777777" w:rsidTr="007F5928">
        <w:tc>
          <w:tcPr>
            <w:tcW w:w="1846" w:type="dxa"/>
          </w:tcPr>
          <w:p w14:paraId="373166B0"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Shymkent</w:t>
            </w:r>
          </w:p>
        </w:tc>
        <w:tc>
          <w:tcPr>
            <w:tcW w:w="2827" w:type="dxa"/>
          </w:tcPr>
          <w:p w14:paraId="7D3D2E39"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Energopotok</w:t>
            </w:r>
            <w:r w:rsidRPr="00A57506">
              <w:rPr>
                <w:color w:val="000000" w:themeColor="text1"/>
                <w:sz w:val="20"/>
                <w:szCs w:val="20"/>
              </w:rPr>
              <w:t xml:space="preserve"> </w:t>
            </w:r>
            <w:r w:rsidRPr="001529C7">
              <w:rPr>
                <w:color w:val="000000" w:themeColor="text1"/>
                <w:sz w:val="20"/>
                <w:szCs w:val="20"/>
                <w:lang w:val="en"/>
              </w:rPr>
              <w:t>LLP</w:t>
            </w:r>
          </w:p>
          <w:p w14:paraId="2F233B11"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759DC67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EnergoSnab</w:t>
            </w:r>
            <w:r w:rsidRPr="00A57506">
              <w:rPr>
                <w:color w:val="000000" w:themeColor="text1"/>
                <w:sz w:val="20"/>
                <w:szCs w:val="20"/>
              </w:rPr>
              <w:t xml:space="preserve"> </w:t>
            </w:r>
            <w:r w:rsidRPr="001529C7">
              <w:rPr>
                <w:color w:val="000000" w:themeColor="text1"/>
                <w:sz w:val="20"/>
                <w:szCs w:val="20"/>
                <w:lang w:val="en"/>
              </w:rPr>
              <w:t>XXI</w:t>
            </w:r>
            <w:r w:rsidRPr="00A57506">
              <w:rPr>
                <w:color w:val="000000" w:themeColor="text1"/>
                <w:sz w:val="20"/>
                <w:szCs w:val="20"/>
              </w:rPr>
              <w:t xml:space="preserve"> </w:t>
            </w:r>
            <w:r w:rsidRPr="001529C7">
              <w:rPr>
                <w:color w:val="000000" w:themeColor="text1"/>
                <w:sz w:val="20"/>
                <w:szCs w:val="20"/>
                <w:lang w:val="en"/>
              </w:rPr>
              <w:t>LLP</w:t>
            </w:r>
          </w:p>
          <w:p w14:paraId="40D42537"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25A4823A"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Yugenergoimpulse</w:t>
            </w:r>
            <w:r w:rsidRPr="00A57506">
              <w:rPr>
                <w:color w:val="000000" w:themeColor="text1"/>
                <w:sz w:val="20"/>
                <w:szCs w:val="20"/>
              </w:rPr>
              <w:t xml:space="preserve"> </w:t>
            </w:r>
            <w:r w:rsidRPr="001529C7">
              <w:rPr>
                <w:color w:val="000000" w:themeColor="text1"/>
                <w:sz w:val="20"/>
                <w:szCs w:val="20"/>
                <w:lang w:val="en"/>
              </w:rPr>
              <w:t>LLP</w:t>
            </w:r>
          </w:p>
        </w:tc>
        <w:tc>
          <w:tcPr>
            <w:tcW w:w="1134" w:type="dxa"/>
          </w:tcPr>
          <w:p w14:paraId="3324BD58"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57 %</w:t>
            </w:r>
          </w:p>
          <w:p w14:paraId="23809D61"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182265DC"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12,5 %</w:t>
            </w:r>
          </w:p>
          <w:p w14:paraId="7AAA77AB" w14:textId="77777777" w:rsidR="00EF3931" w:rsidRPr="001529C7" w:rsidRDefault="00EF3931" w:rsidP="00F411E1">
            <w:pPr>
              <w:pStyle w:val="ListParagraph"/>
              <w:tabs>
                <w:tab w:val="clear" w:pos="567"/>
              </w:tabs>
              <w:ind w:left="0" w:firstLine="0"/>
              <w:jc w:val="center"/>
              <w:rPr>
                <w:color w:val="000000" w:themeColor="text1"/>
                <w:sz w:val="20"/>
                <w:szCs w:val="20"/>
              </w:rPr>
            </w:pPr>
          </w:p>
          <w:p w14:paraId="78BDD7A6"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11,1 %</w:t>
            </w:r>
          </w:p>
        </w:tc>
        <w:tc>
          <w:tcPr>
            <w:tcW w:w="1985" w:type="dxa"/>
          </w:tcPr>
          <w:p w14:paraId="2606F750"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CR(3) 80 &lt; 100</w:t>
            </w:r>
          </w:p>
        </w:tc>
        <w:tc>
          <w:tcPr>
            <w:tcW w:w="1984" w:type="dxa"/>
          </w:tcPr>
          <w:p w14:paraId="744A8336"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CR(3) 81 &lt; 100</w:t>
            </w:r>
          </w:p>
        </w:tc>
      </w:tr>
      <w:tr w:rsidR="00706070" w14:paraId="00B04ED8" w14:textId="77777777" w:rsidTr="007F5928">
        <w:tc>
          <w:tcPr>
            <w:tcW w:w="1846" w:type="dxa"/>
          </w:tcPr>
          <w:p w14:paraId="228893D4"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Turkestan region</w:t>
            </w:r>
          </w:p>
        </w:tc>
        <w:tc>
          <w:tcPr>
            <w:tcW w:w="2827" w:type="dxa"/>
          </w:tcPr>
          <w:p w14:paraId="6C9BE51C"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Energopotok LLP</w:t>
            </w:r>
          </w:p>
          <w:p w14:paraId="33B14CBF" w14:textId="77777777" w:rsidR="00EF3931" w:rsidRPr="001529C7" w:rsidRDefault="00EF3931" w:rsidP="00F411E1">
            <w:pPr>
              <w:pStyle w:val="ListParagraph"/>
              <w:tabs>
                <w:tab w:val="clear" w:pos="567"/>
              </w:tabs>
              <w:ind w:left="0" w:firstLine="0"/>
              <w:jc w:val="center"/>
              <w:rPr>
                <w:color w:val="000000" w:themeColor="text1"/>
                <w:sz w:val="20"/>
                <w:szCs w:val="20"/>
              </w:rPr>
            </w:pPr>
          </w:p>
        </w:tc>
        <w:tc>
          <w:tcPr>
            <w:tcW w:w="1134" w:type="dxa"/>
          </w:tcPr>
          <w:p w14:paraId="33DA12AE" w14:textId="77777777" w:rsidR="00EF3931" w:rsidRPr="001529C7" w:rsidRDefault="004C4BA9" w:rsidP="00F411E1">
            <w:pPr>
              <w:pStyle w:val="ListParagraph"/>
              <w:tabs>
                <w:tab w:val="clear" w:pos="567"/>
              </w:tabs>
              <w:ind w:left="0" w:firstLine="0"/>
              <w:jc w:val="center"/>
              <w:rPr>
                <w:color w:val="000000" w:themeColor="text1"/>
                <w:sz w:val="20"/>
                <w:szCs w:val="20"/>
              </w:rPr>
            </w:pPr>
            <w:r w:rsidRPr="001529C7">
              <w:rPr>
                <w:color w:val="000000" w:themeColor="text1"/>
                <w:sz w:val="20"/>
                <w:szCs w:val="20"/>
                <w:lang w:val="en"/>
              </w:rPr>
              <w:t>82,4 %</w:t>
            </w:r>
          </w:p>
        </w:tc>
        <w:tc>
          <w:tcPr>
            <w:tcW w:w="1985" w:type="dxa"/>
          </w:tcPr>
          <w:p w14:paraId="500B6823"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82 &lt; 100</w:t>
            </w:r>
          </w:p>
        </w:tc>
        <w:tc>
          <w:tcPr>
            <w:tcW w:w="1984" w:type="dxa"/>
          </w:tcPr>
          <w:p w14:paraId="60A6F921" w14:textId="77777777" w:rsidR="00EF3931" w:rsidRPr="001529C7" w:rsidRDefault="004C4BA9" w:rsidP="00F411E1">
            <w:pPr>
              <w:pStyle w:val="ListParagraph"/>
              <w:tabs>
                <w:tab w:val="clear" w:pos="567"/>
              </w:tabs>
              <w:ind w:left="0" w:firstLine="0"/>
              <w:jc w:val="center"/>
              <w:rPr>
                <w:bCs/>
                <w:color w:val="000000" w:themeColor="text1"/>
                <w:sz w:val="20"/>
                <w:szCs w:val="20"/>
              </w:rPr>
            </w:pPr>
            <w:r w:rsidRPr="001529C7">
              <w:rPr>
                <w:bCs/>
                <w:color w:val="000000" w:themeColor="text1"/>
                <w:sz w:val="20"/>
                <w:szCs w:val="20"/>
                <w:lang w:val="en"/>
              </w:rPr>
              <w:t>70 % &lt; CR(1) 82 &lt; 100</w:t>
            </w:r>
          </w:p>
        </w:tc>
      </w:tr>
    </w:tbl>
    <w:p w14:paraId="06CD5E82" w14:textId="77777777" w:rsidR="00EF3931" w:rsidRPr="001529C7" w:rsidRDefault="00EF3931" w:rsidP="00F411E1">
      <w:pPr>
        <w:pStyle w:val="ListParagraph"/>
        <w:tabs>
          <w:tab w:val="clear" w:pos="567"/>
        </w:tabs>
        <w:ind w:left="0" w:firstLine="709"/>
        <w:rPr>
          <w:color w:val="000000" w:themeColor="text1"/>
        </w:rPr>
      </w:pPr>
    </w:p>
    <w:p w14:paraId="0FAF50E3" w14:textId="77777777" w:rsidR="00EF3931" w:rsidRPr="00A57506" w:rsidRDefault="004C4BA9" w:rsidP="00F411E1">
      <w:pPr>
        <w:pStyle w:val="ListParagraph"/>
        <w:tabs>
          <w:tab w:val="clear" w:pos="567"/>
        </w:tabs>
        <w:ind w:left="0"/>
        <w:rPr>
          <w:color w:val="000000" w:themeColor="text1"/>
          <w:lang w:val="en-US"/>
        </w:rPr>
      </w:pPr>
      <w:r w:rsidRPr="001529C7">
        <w:rPr>
          <w:color w:val="000000" w:themeColor="text1"/>
          <w:lang w:val="en"/>
        </w:rPr>
        <w:t xml:space="preserve">It follows from the above table that the retail electricity market in most regions of the country is also highly </w:t>
      </w:r>
      <w:r w:rsidR="00E85FB2" w:rsidRPr="00E07CB9">
        <w:rPr>
          <w:b/>
          <w:i/>
          <w:color w:val="000000" w:themeColor="text1"/>
          <w:lang w:val="en"/>
        </w:rPr>
        <w:t>concentrated market</w:t>
      </w:r>
      <w:r w:rsidRPr="001529C7">
        <w:rPr>
          <w:color w:val="000000" w:themeColor="text1"/>
          <w:lang w:val="en"/>
        </w:rPr>
        <w:t xml:space="preserve"> </w:t>
      </w:r>
      <w:r w:rsidRPr="001529C7">
        <w:rPr>
          <w:i/>
          <w:color w:val="000000" w:themeColor="text1"/>
          <w:sz w:val="24"/>
          <w:lang w:val="en"/>
        </w:rPr>
        <w:t>(in some cases refers to market with moderate concentration)</w:t>
      </w:r>
      <w:r w:rsidRPr="001529C7">
        <w:rPr>
          <w:color w:val="000000" w:themeColor="text1"/>
          <w:lang w:val="en"/>
        </w:rPr>
        <w:t xml:space="preserve">. </w:t>
      </w:r>
    </w:p>
    <w:p w14:paraId="53BEC129" w14:textId="77777777" w:rsidR="00EF3931" w:rsidRPr="00A57506" w:rsidRDefault="004C4BA9" w:rsidP="00F411E1">
      <w:pPr>
        <w:pStyle w:val="ListParagraph"/>
        <w:tabs>
          <w:tab w:val="clear" w:pos="567"/>
          <w:tab w:val="left" w:pos="851"/>
        </w:tabs>
        <w:ind w:left="0"/>
        <w:rPr>
          <w:b/>
          <w:bCs/>
          <w:i/>
          <w:color w:val="000000" w:themeColor="text1"/>
          <w:lang w:val="en-US"/>
        </w:rPr>
      </w:pPr>
      <w:r w:rsidRPr="001529C7">
        <w:rPr>
          <w:b/>
          <w:bCs/>
          <w:i/>
          <w:color w:val="000000" w:themeColor="text1"/>
          <w:lang w:val="en"/>
        </w:rPr>
        <w:t>Main events</w:t>
      </w:r>
    </w:p>
    <w:p w14:paraId="580515ED" w14:textId="77777777" w:rsidR="001730F3" w:rsidRPr="00A57506" w:rsidRDefault="004C4BA9" w:rsidP="001730F3">
      <w:pPr>
        <w:rPr>
          <w:color w:val="000000" w:themeColor="text1"/>
          <w:lang w:val="en-US"/>
        </w:rPr>
      </w:pPr>
      <w:r w:rsidRPr="001529C7">
        <w:rPr>
          <w:color w:val="000000" w:themeColor="text1"/>
          <w:lang w:val="en"/>
        </w:rPr>
        <w:t xml:space="preserve">In the wholesale electricity market, there is still a stable </w:t>
      </w:r>
      <w:r w:rsidRPr="000F7954">
        <w:rPr>
          <w:b/>
          <w:i/>
          <w:color w:val="000000" w:themeColor="text1"/>
          <w:lang w:val="en"/>
        </w:rPr>
        <w:t>high concentration</w:t>
      </w:r>
      <w:r w:rsidRPr="001529C7">
        <w:rPr>
          <w:color w:val="000000" w:themeColor="text1"/>
          <w:lang w:val="en"/>
        </w:rPr>
        <w:t xml:space="preserve"> of market between several vertically integrated companies represented by Samruk-Energo JSC, Kazakhstan Utility Systems LLP, Central Asian Electric Power Corporation JSC and Eurasian Energy Corporation JSC, depending on the region.</w:t>
      </w:r>
    </w:p>
    <w:p w14:paraId="562706F4" w14:textId="77777777" w:rsidR="001730F3" w:rsidRPr="00A57506" w:rsidRDefault="004C4BA9" w:rsidP="001730F3">
      <w:pPr>
        <w:rPr>
          <w:color w:val="000000" w:themeColor="text1"/>
          <w:lang w:val="en-US"/>
        </w:rPr>
      </w:pPr>
      <w:r w:rsidRPr="001529C7">
        <w:rPr>
          <w:color w:val="000000" w:themeColor="text1"/>
          <w:lang w:val="en"/>
        </w:rPr>
        <w:t>Direct electricity supplies to large energy consumers ensure for them reduction in cost of final products, and therefore it is necessary to encourage and support entry of new consumers into the wholesale market.</w:t>
      </w:r>
    </w:p>
    <w:p w14:paraId="3242A106" w14:textId="77777777" w:rsidR="001730F3" w:rsidRPr="00A57506" w:rsidRDefault="004C4BA9" w:rsidP="001730F3">
      <w:pPr>
        <w:rPr>
          <w:color w:val="000000" w:themeColor="text1"/>
          <w:lang w:val="en-US"/>
        </w:rPr>
      </w:pPr>
      <w:r w:rsidRPr="00E07CB9">
        <w:rPr>
          <w:bCs/>
          <w:color w:val="000000" w:themeColor="text1"/>
          <w:lang w:val="en"/>
        </w:rPr>
        <w:t xml:space="preserve">However, EPOs are noted for </w:t>
      </w:r>
      <w:r w:rsidRPr="00E07CB9">
        <w:rPr>
          <w:b/>
          <w:bCs/>
          <w:color w:val="000000" w:themeColor="text1"/>
          <w:lang w:val="en"/>
        </w:rPr>
        <w:t>refusing</w:t>
      </w:r>
      <w:r w:rsidRPr="00E07CB9">
        <w:rPr>
          <w:bCs/>
          <w:color w:val="000000" w:themeColor="text1"/>
          <w:lang w:val="en"/>
        </w:rPr>
        <w:t xml:space="preserve"> to conclude direct contracts with potentially new consumers with reference to reservedness of all the contractual volumes by ESOs and other consumers. "Eurasian Foods Corporation" JSC and a number of other food producers, meeting all the parameters of wholesale consumers, are refused by EPOs with reference to reservedness of all the contractual volumes of electricity for 5-10 years ahead.</w:t>
      </w:r>
    </w:p>
    <w:p w14:paraId="4128299D" w14:textId="4E7E5A59" w:rsidR="001730F3" w:rsidRPr="00A57506" w:rsidRDefault="004C4BA9" w:rsidP="001730F3">
      <w:pPr>
        <w:rPr>
          <w:color w:val="000000" w:themeColor="text1"/>
          <w:lang w:val="en-US"/>
        </w:rPr>
      </w:pPr>
      <w:r w:rsidRPr="001529C7">
        <w:rPr>
          <w:bCs/>
          <w:color w:val="000000" w:themeColor="text1"/>
          <w:lang w:val="en"/>
        </w:rPr>
        <w:t xml:space="preserve">With that, formally, these refusals are considered </w:t>
      </w:r>
      <w:r w:rsidR="003263B8" w:rsidRPr="001529C7">
        <w:rPr>
          <w:bCs/>
          <w:color w:val="000000" w:themeColor="text1"/>
          <w:lang w:val="en"/>
        </w:rPr>
        <w:t>legitimate since</w:t>
      </w:r>
      <w:r w:rsidRPr="001529C7">
        <w:rPr>
          <w:bCs/>
          <w:color w:val="000000" w:themeColor="text1"/>
          <w:lang w:val="en"/>
        </w:rPr>
        <w:t xml:space="preserve"> absence of goods due to conclusion of contracts with other buyers excludes liability for abuse of dominant or monopoly position.</w:t>
      </w:r>
    </w:p>
    <w:p w14:paraId="3CD13BFC" w14:textId="104CCD9E" w:rsidR="001730F3" w:rsidRPr="00A57506" w:rsidRDefault="004C4BA9" w:rsidP="001730F3">
      <w:pPr>
        <w:rPr>
          <w:color w:val="000000" w:themeColor="text1"/>
          <w:lang w:val="en-US"/>
        </w:rPr>
      </w:pPr>
      <w:r w:rsidRPr="001529C7">
        <w:rPr>
          <w:bCs/>
          <w:color w:val="000000" w:themeColor="text1"/>
          <w:lang w:val="en"/>
        </w:rPr>
        <w:t xml:space="preserve">Also, restriction of access to electricity for wholesale consumers was influenced by </w:t>
      </w:r>
      <w:r w:rsidRPr="001529C7">
        <w:rPr>
          <w:b/>
          <w:bCs/>
          <w:color w:val="000000" w:themeColor="text1"/>
          <w:lang w:val="en"/>
        </w:rPr>
        <w:t>intermediary structures</w:t>
      </w:r>
      <w:r w:rsidRPr="001529C7">
        <w:rPr>
          <w:bCs/>
          <w:color w:val="000000" w:themeColor="text1"/>
          <w:lang w:val="en"/>
        </w:rPr>
        <w:t xml:space="preserve"> represented by ESO. Despite market role of ESOs as suppliers of retail market, some ESOs have occupied "niche" of supplying wholesale consumers. Out of wholesale consumers' demand for 30 billion kWh, 8 billion kWh is accounted for by supplies via ESO.</w:t>
      </w:r>
    </w:p>
    <w:p w14:paraId="41F7051E" w14:textId="77777777" w:rsidR="001730F3" w:rsidRPr="00A57506" w:rsidRDefault="004C4BA9" w:rsidP="001730F3">
      <w:pPr>
        <w:rPr>
          <w:color w:val="000000" w:themeColor="text1"/>
          <w:lang w:val="en-US"/>
        </w:rPr>
      </w:pPr>
      <w:r w:rsidRPr="001529C7">
        <w:rPr>
          <w:color w:val="000000" w:themeColor="text1"/>
          <w:lang w:val="en"/>
        </w:rPr>
        <w:lastRenderedPageBreak/>
        <w:t xml:space="preserve">Thus, "NC KTZ" JSC , being in the same structure with EPO "Samruk-Energo" and other EPOs of "NWF Samruk-Kazyna" JSC, purchased electricity not directly from power plants, but through various ESOs </w:t>
      </w:r>
      <w:r w:rsidRPr="001529C7">
        <w:rPr>
          <w:i/>
          <w:iCs/>
          <w:color w:val="000000" w:themeColor="text1"/>
          <w:sz w:val="24"/>
          <w:lang w:val="en"/>
        </w:rPr>
        <w:t>(on this fact, anti-corruption service is investigating criminal case on abuse of official powers by the management of national companies)</w:t>
      </w:r>
      <w:r w:rsidRPr="001529C7">
        <w:rPr>
          <w:color w:val="000000" w:themeColor="text1"/>
          <w:lang w:val="en"/>
        </w:rPr>
        <w:t>.</w:t>
      </w:r>
    </w:p>
    <w:p w14:paraId="3C8C302F" w14:textId="77777777" w:rsidR="001730F3" w:rsidRPr="00A57506" w:rsidRDefault="004C4BA9" w:rsidP="001730F3">
      <w:pPr>
        <w:rPr>
          <w:color w:val="000000" w:themeColor="text1"/>
          <w:lang w:val="en-US"/>
        </w:rPr>
      </w:pPr>
      <w:r w:rsidRPr="001529C7">
        <w:rPr>
          <w:color w:val="000000" w:themeColor="text1"/>
          <w:lang w:val="en"/>
        </w:rPr>
        <w:t xml:space="preserve">The largest shares in this "niche" were occupied by such ESOs as the former subsidiary of NC KTZ JSC – Temirzholenergo LLP – 1.5 billion. kWh; AB Energo LLP, Samga Development LLP – 3 billion kWh. In this regard, these ESOs represented </w:t>
      </w:r>
      <w:r w:rsidRPr="001529C7">
        <w:rPr>
          <w:b/>
          <w:bCs/>
          <w:iCs/>
          <w:color w:val="000000" w:themeColor="text1"/>
          <w:lang w:val="en"/>
        </w:rPr>
        <w:t>unproductive intermediary link</w:t>
      </w:r>
      <w:r w:rsidRPr="001529C7">
        <w:rPr>
          <w:color w:val="000000" w:themeColor="text1"/>
          <w:lang w:val="en"/>
        </w:rPr>
        <w:t xml:space="preserve"> between wholesale consumers and EPOs. With that, conclusion of transactions between ESOs and wholesale market consumers did not contradict with legislation on electric power industry. In this regard, in order to exclude this practice, the Agency initiated amendments to the Law on Electric Power Industry in 2021, prohibiting ESOs to supply wholesale consumers </w:t>
      </w:r>
      <w:r w:rsidRPr="001529C7">
        <w:rPr>
          <w:bCs/>
          <w:i/>
          <w:color w:val="000000" w:themeColor="text1"/>
          <w:sz w:val="24"/>
          <w:lang w:val="en"/>
        </w:rPr>
        <w:t>(Law was signed on January 3, 2022)</w:t>
      </w:r>
      <w:r w:rsidRPr="001529C7">
        <w:rPr>
          <w:color w:val="000000" w:themeColor="text1"/>
          <w:lang w:val="en"/>
        </w:rPr>
        <w:t xml:space="preserve">. Thus, marginal costs of wholesale consumers were reduced by about </w:t>
      </w:r>
      <w:r w:rsidRPr="001529C7">
        <w:rPr>
          <w:b/>
          <w:bCs/>
          <w:iCs/>
          <w:color w:val="000000" w:themeColor="text1"/>
          <w:lang w:val="en"/>
        </w:rPr>
        <w:t>4.5 billion KZT</w:t>
      </w:r>
      <w:r w:rsidRPr="001529C7">
        <w:rPr>
          <w:color w:val="000000" w:themeColor="text1"/>
          <w:lang w:val="en"/>
        </w:rPr>
        <w:t>.</w:t>
      </w:r>
    </w:p>
    <w:p w14:paraId="69213E35" w14:textId="77777777" w:rsidR="001730F3" w:rsidRPr="00A57506" w:rsidRDefault="004C4BA9" w:rsidP="001730F3">
      <w:pPr>
        <w:rPr>
          <w:color w:val="000000" w:themeColor="text1"/>
          <w:lang w:val="en-US"/>
        </w:rPr>
      </w:pPr>
      <w:r w:rsidRPr="001529C7">
        <w:rPr>
          <w:bCs/>
          <w:color w:val="000000" w:themeColor="text1"/>
          <w:lang w:val="en"/>
        </w:rPr>
        <w:t xml:space="preserve">In addition, by Order of the Chairman of the Agency No. 4 dated May 4, 2023, amendments were made to the current procedure for providing equal access to key capacity in terms of providing a special procedure for providing equal access to key capacity in decentralized electricity purchase and sale market, which takes into account transparent mechanism for sales of electricity at wholesale electricity market </w:t>
      </w:r>
      <w:r w:rsidRPr="001529C7">
        <w:rPr>
          <w:bCs/>
          <w:i/>
          <w:color w:val="000000" w:themeColor="text1"/>
          <w:sz w:val="24"/>
          <w:lang w:val="en"/>
        </w:rPr>
        <w:t>(acceptance, fulfillment of requests, process of distributing electricity volumes for planned period in priority order, basis for refusals to fulfil requests, etc.)</w:t>
      </w:r>
      <w:r w:rsidRPr="001529C7">
        <w:rPr>
          <w:bCs/>
          <w:color w:val="000000" w:themeColor="text1"/>
          <w:lang w:val="en"/>
        </w:rPr>
        <w:t>.</w:t>
      </w:r>
    </w:p>
    <w:p w14:paraId="3B5C6DDE" w14:textId="77777777" w:rsidR="001730F3" w:rsidRPr="00A57506" w:rsidRDefault="004C4BA9" w:rsidP="001730F3">
      <w:pPr>
        <w:rPr>
          <w:color w:val="000000" w:themeColor="text1"/>
          <w:lang w:val="en-US"/>
        </w:rPr>
      </w:pPr>
      <w:r w:rsidRPr="001529C7">
        <w:rPr>
          <w:color w:val="000000" w:themeColor="text1"/>
          <w:lang w:val="en"/>
        </w:rPr>
        <w:t xml:space="preserve">By the end of 2022, the wholesale market had a negative balance of electricity </w:t>
      </w:r>
      <w:r w:rsidR="0056211E" w:rsidRPr="00DB6ACF">
        <w:rPr>
          <w:i/>
          <w:color w:val="000000" w:themeColor="text1"/>
          <w:sz w:val="24"/>
          <w:lang w:val="en"/>
        </w:rPr>
        <w:t>(generation – 113.89 billion kWh, consumption – 112.86 billion kWh)</w:t>
      </w:r>
      <w:r w:rsidRPr="001529C7">
        <w:rPr>
          <w:color w:val="000000" w:themeColor="text1"/>
          <w:lang w:val="en"/>
        </w:rPr>
        <w:t xml:space="preserve"> in amount of 1.03 billion kWh, which was covered by imports from neighboring countries. </w:t>
      </w:r>
    </w:p>
    <w:p w14:paraId="63EFA5BA" w14:textId="77777777" w:rsidR="00EF3931" w:rsidRPr="00A57506" w:rsidRDefault="004C4BA9" w:rsidP="00F411E1">
      <w:pPr>
        <w:ind w:firstLine="0"/>
        <w:rPr>
          <w:color w:val="000000" w:themeColor="text1"/>
          <w:lang w:val="en-US"/>
        </w:rPr>
      </w:pPr>
      <w:r>
        <w:rPr>
          <w:noProof/>
        </w:rPr>
        <w:drawing>
          <wp:anchor distT="0" distB="0" distL="114300" distR="114300" simplePos="0" relativeHeight="251660288" behindDoc="0" locked="0" layoutInCell="1" allowOverlap="1" wp14:anchorId="694629EC" wp14:editId="619D1EBD">
            <wp:simplePos x="0" y="0"/>
            <wp:positionH relativeFrom="column">
              <wp:posOffset>0</wp:posOffset>
            </wp:positionH>
            <wp:positionV relativeFrom="paragraph">
              <wp:posOffset>201295</wp:posOffset>
            </wp:positionV>
            <wp:extent cx="6119495" cy="3077845"/>
            <wp:effectExtent l="0" t="0" r="14605" b="8255"/>
            <wp:wrapSquare wrapText="bothSides"/>
            <wp:docPr id="2" name="Chart 2">
              <a:extLst xmlns:a="http://schemas.openxmlformats.org/drawingml/2006/main">
                <a:ext uri="{FF2B5EF4-FFF2-40B4-BE49-F238E27FC236}">
                  <a16:creationId xmlns:a16="http://schemas.microsoft.com/office/drawing/2014/main" id="{42839A6B-B9B6-4FEC-94BA-2B22B13BD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BB5C6BB" w14:textId="77777777" w:rsidR="00560C7B" w:rsidRPr="00A57506" w:rsidRDefault="004C4BA9" w:rsidP="00F411E1">
      <w:pPr>
        <w:pStyle w:val="Caption"/>
        <w:spacing w:after="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6</w:t>
      </w:r>
      <w:r w:rsidRPr="001529C7">
        <w:rPr>
          <w:b w:val="0"/>
          <w:color w:val="000000" w:themeColor="text1"/>
          <w:sz w:val="28"/>
          <w:szCs w:val="28"/>
        </w:rPr>
        <w:fldChar w:fldCharType="end"/>
      </w:r>
      <w:r w:rsidRPr="001529C7">
        <w:rPr>
          <w:b w:val="0"/>
          <w:color w:val="000000" w:themeColor="text1"/>
          <w:sz w:val="28"/>
          <w:szCs w:val="28"/>
          <w:lang w:val="en"/>
        </w:rPr>
        <w:t>– Forecast of electricity consumption.</w:t>
      </w:r>
    </w:p>
    <w:p w14:paraId="0795DEEF" w14:textId="77777777" w:rsidR="00560C7B" w:rsidRPr="00A57506" w:rsidRDefault="00560C7B" w:rsidP="00F411E1">
      <w:pPr>
        <w:ind w:firstLine="0"/>
        <w:jc w:val="right"/>
        <w:rPr>
          <w:i/>
          <w:iCs/>
          <w:color w:val="000000" w:themeColor="text1"/>
          <w:sz w:val="24"/>
          <w:szCs w:val="24"/>
          <w:lang w:val="en-US"/>
        </w:rPr>
      </w:pPr>
    </w:p>
    <w:p w14:paraId="1B9638FD" w14:textId="77777777" w:rsidR="001730F3" w:rsidRPr="00A57506" w:rsidRDefault="004C4BA9" w:rsidP="001730F3">
      <w:pPr>
        <w:rPr>
          <w:color w:val="000000" w:themeColor="text1"/>
          <w:lang w:val="en-US"/>
        </w:rPr>
      </w:pPr>
      <w:r w:rsidRPr="001529C7">
        <w:rPr>
          <w:color w:val="000000" w:themeColor="text1"/>
          <w:lang w:val="en"/>
        </w:rPr>
        <w:lastRenderedPageBreak/>
        <w:t xml:space="preserve">To cover the deficit, the Government plans to switch to new market model from July 1, 2023, which provides for aggregated purchase of electricity at wholesale market by state monopoly structure, </w:t>
      </w:r>
      <w:r w:rsidRPr="001529C7">
        <w:rPr>
          <w:b/>
          <w:color w:val="000000" w:themeColor="text1"/>
          <w:lang w:val="en"/>
        </w:rPr>
        <w:t>Single Buyer</w:t>
      </w:r>
      <w:r w:rsidRPr="001529C7">
        <w:rPr>
          <w:color w:val="000000" w:themeColor="text1"/>
          <w:lang w:val="en"/>
        </w:rPr>
        <w:t xml:space="preserve">, for subsequent sale of electricity to ESOs and other consumers at </w:t>
      </w:r>
      <w:r w:rsidRPr="001529C7">
        <w:rPr>
          <w:b/>
          <w:color w:val="000000" w:themeColor="text1"/>
          <w:lang w:val="en"/>
        </w:rPr>
        <w:t>averaged single price</w:t>
      </w:r>
      <w:r w:rsidRPr="001529C7">
        <w:rPr>
          <w:color w:val="000000" w:themeColor="text1"/>
          <w:lang w:val="en"/>
        </w:rPr>
        <w:t xml:space="preserve">. </w:t>
      </w:r>
    </w:p>
    <w:p w14:paraId="6D15044B" w14:textId="68A50967" w:rsidR="001730F3" w:rsidRPr="00A57506" w:rsidRDefault="004C4BA9" w:rsidP="001730F3">
      <w:pPr>
        <w:rPr>
          <w:color w:val="000000" w:themeColor="text1"/>
          <w:lang w:val="en-US"/>
        </w:rPr>
      </w:pPr>
      <w:r w:rsidRPr="001529C7">
        <w:rPr>
          <w:color w:val="000000" w:themeColor="text1"/>
          <w:lang w:val="en"/>
        </w:rPr>
        <w:t xml:space="preserve">With that, alignment of wholesale prices will not eventually lead to equalization of final </w:t>
      </w:r>
      <w:r w:rsidR="003263B8" w:rsidRPr="001529C7">
        <w:rPr>
          <w:color w:val="000000" w:themeColor="text1"/>
          <w:lang w:val="en"/>
        </w:rPr>
        <w:t>tariff since</w:t>
      </w:r>
      <w:r w:rsidRPr="001529C7">
        <w:rPr>
          <w:color w:val="000000" w:themeColor="text1"/>
          <w:lang w:val="en"/>
        </w:rPr>
        <w:t xml:space="preserve"> tariffs of regional energy transmission organizations differ in the regions.</w:t>
      </w:r>
    </w:p>
    <w:p w14:paraId="5A52AEE6" w14:textId="77777777" w:rsidR="001730F3" w:rsidRPr="00A57506" w:rsidRDefault="004C4BA9" w:rsidP="001730F3">
      <w:pPr>
        <w:rPr>
          <w:color w:val="000000" w:themeColor="text1"/>
          <w:lang w:val="en-US"/>
        </w:rPr>
      </w:pPr>
      <w:r w:rsidRPr="001529C7">
        <w:rPr>
          <w:rFonts w:eastAsiaTheme="minorHAnsi"/>
          <w:bCs/>
          <w:lang w:val="en" w:eastAsia="en-US"/>
        </w:rPr>
        <w:t>Also, introduction of Single Buyer model carries risks of strengthening "Averch-Johnson effect" at electricity market, consisting in deliberate increase of production costs.</w:t>
      </w:r>
    </w:p>
    <w:p w14:paraId="310C9EEC" w14:textId="77777777" w:rsidR="001730F3" w:rsidRPr="00A57506" w:rsidRDefault="004C4BA9" w:rsidP="001730F3">
      <w:pPr>
        <w:rPr>
          <w:color w:val="000000" w:themeColor="text1"/>
          <w:lang w:val="en-US"/>
        </w:rPr>
      </w:pPr>
      <w:r w:rsidRPr="001529C7">
        <w:rPr>
          <w:color w:val="000000" w:themeColor="text1"/>
          <w:lang w:val="en"/>
        </w:rPr>
        <w:t>It is expected that Single buyer will purchase electricity, among other at centralized auctions, that, according to the Ministry of Energy, will allow fulfilling instructions of the Head of State on increasing centralized electricity trading.</w:t>
      </w:r>
    </w:p>
    <w:p w14:paraId="4C3996C1" w14:textId="77777777" w:rsidR="001730F3" w:rsidRPr="00A57506" w:rsidRDefault="004C4BA9" w:rsidP="001730F3">
      <w:pPr>
        <w:rPr>
          <w:color w:val="000000" w:themeColor="text1"/>
          <w:lang w:val="en-US"/>
        </w:rPr>
      </w:pPr>
      <w:r w:rsidRPr="001529C7">
        <w:rPr>
          <w:color w:val="000000" w:themeColor="text1"/>
          <w:lang w:val="en"/>
        </w:rPr>
        <w:t xml:space="preserve">With that, the new monopoly operator, represented by Single buyer, bears the risks of negative impact on competition at retail electricity market, because after introduction of new market model, </w:t>
      </w:r>
      <w:r w:rsidRPr="001529C7">
        <w:rPr>
          <w:b/>
          <w:color w:val="000000" w:themeColor="text1"/>
          <w:lang w:val="en"/>
        </w:rPr>
        <w:t>preferential right</w:t>
      </w:r>
      <w:r w:rsidRPr="001529C7">
        <w:rPr>
          <w:color w:val="000000" w:themeColor="text1"/>
          <w:lang w:val="en"/>
        </w:rPr>
        <w:t xml:space="preserve"> to receive electricity will be granted to ESOs affiliated with energy transmission organizations. </w:t>
      </w:r>
    </w:p>
    <w:p w14:paraId="58594DD7" w14:textId="77777777" w:rsidR="001730F3" w:rsidRPr="00A57506" w:rsidRDefault="004C4BA9" w:rsidP="001730F3">
      <w:pPr>
        <w:rPr>
          <w:color w:val="000000" w:themeColor="text1"/>
          <w:lang w:val="en-US"/>
        </w:rPr>
      </w:pPr>
      <w:r w:rsidRPr="001529C7">
        <w:rPr>
          <w:color w:val="000000" w:themeColor="text1"/>
          <w:lang w:val="en"/>
        </w:rPr>
        <w:t xml:space="preserve">The experience of operating Single Buyer market in Ukraine shows that under this market model, electric grid company </w:t>
      </w:r>
      <w:r w:rsidRPr="001529C7">
        <w:rPr>
          <w:i/>
          <w:color w:val="000000" w:themeColor="text1"/>
          <w:sz w:val="24"/>
          <w:lang w:val="en"/>
        </w:rPr>
        <w:t>(REC)</w:t>
      </w:r>
      <w:r w:rsidRPr="001529C7">
        <w:rPr>
          <w:color w:val="000000" w:themeColor="text1"/>
          <w:lang w:val="en"/>
        </w:rPr>
        <w:t xml:space="preserve"> becomes the only supplier of electricity in the regions, thus eliminating competition at the market and right of consumers to choose an electricity supplier.</w:t>
      </w:r>
    </w:p>
    <w:p w14:paraId="750C283D" w14:textId="77777777" w:rsidR="00EF3931" w:rsidRPr="00A57506" w:rsidRDefault="004C4BA9" w:rsidP="00F411E1">
      <w:pPr>
        <w:rPr>
          <w:color w:val="000000" w:themeColor="text1"/>
          <w:lang w:val="en-US"/>
        </w:rPr>
      </w:pPr>
      <w:r>
        <w:rPr>
          <w:noProof/>
        </w:rPr>
        <w:drawing>
          <wp:anchor distT="0" distB="0" distL="114300" distR="114300" simplePos="0" relativeHeight="251661312" behindDoc="0" locked="0" layoutInCell="1" allowOverlap="1" wp14:anchorId="328A5E47" wp14:editId="014F9A7F">
            <wp:simplePos x="0" y="0"/>
            <wp:positionH relativeFrom="column">
              <wp:posOffset>0</wp:posOffset>
            </wp:positionH>
            <wp:positionV relativeFrom="paragraph">
              <wp:posOffset>677545</wp:posOffset>
            </wp:positionV>
            <wp:extent cx="6119495" cy="3175635"/>
            <wp:effectExtent l="0" t="0" r="0" b="5715"/>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rcRect t="7731"/>
                    <a:stretch>
                      <a:fillRect/>
                    </a:stretch>
                  </pic:blipFill>
                  <pic:spPr bwMode="auto">
                    <a:xfrm>
                      <a:off x="0" y="0"/>
                      <a:ext cx="6119495" cy="3175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70A504" w14:textId="77777777" w:rsidR="00EF3931" w:rsidRPr="00A57506" w:rsidRDefault="004C4BA9" w:rsidP="00F411E1">
      <w:pPr>
        <w:ind w:firstLine="0"/>
        <w:rPr>
          <w:color w:val="000000" w:themeColor="text1"/>
          <w:lang w:val="en-US"/>
        </w:rPr>
      </w:pPr>
      <w:r w:rsidRPr="00A57506">
        <w:rPr>
          <w:color w:val="000000" w:themeColor="text1"/>
          <w:lang w:val="en-US"/>
        </w:rPr>
        <w:t xml:space="preserve"> </w:t>
      </w:r>
    </w:p>
    <w:p w14:paraId="72778A34" w14:textId="77777777" w:rsidR="00114810" w:rsidRPr="00A57506" w:rsidRDefault="00114810" w:rsidP="00F411E1">
      <w:pPr>
        <w:pStyle w:val="Caption"/>
        <w:spacing w:after="0"/>
        <w:ind w:firstLine="0"/>
        <w:jc w:val="center"/>
        <w:rPr>
          <w:b w:val="0"/>
          <w:color w:val="000000" w:themeColor="text1"/>
          <w:sz w:val="28"/>
          <w:szCs w:val="28"/>
          <w:lang w:val="en-US"/>
        </w:rPr>
      </w:pPr>
    </w:p>
    <w:p w14:paraId="6EFDE18D" w14:textId="77777777" w:rsidR="00EF3931" w:rsidRPr="00A57506" w:rsidRDefault="004C4BA9" w:rsidP="001730F3">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7</w:t>
      </w:r>
      <w:r w:rsidRPr="001529C7">
        <w:rPr>
          <w:b w:val="0"/>
          <w:color w:val="000000" w:themeColor="text1"/>
          <w:sz w:val="28"/>
          <w:szCs w:val="28"/>
        </w:rPr>
        <w:fldChar w:fldCharType="end"/>
      </w:r>
      <w:r w:rsidRPr="001529C7">
        <w:rPr>
          <w:b w:val="0"/>
          <w:color w:val="000000" w:themeColor="text1"/>
          <w:sz w:val="28"/>
          <w:szCs w:val="28"/>
          <w:lang w:val="en"/>
        </w:rPr>
        <w:t>– Models of electricity market.</w:t>
      </w:r>
    </w:p>
    <w:p w14:paraId="1CC2D762" w14:textId="77777777" w:rsidR="001730F3" w:rsidRPr="001529C7" w:rsidRDefault="004C4BA9" w:rsidP="001730F3">
      <w:pPr>
        <w:rPr>
          <w:color w:val="000000" w:themeColor="text1"/>
          <w:lang w:val="kk-KZ"/>
        </w:rPr>
      </w:pPr>
      <w:r w:rsidRPr="001529C7">
        <w:rPr>
          <w:color w:val="000000" w:themeColor="text1"/>
          <w:lang w:val="en"/>
        </w:rPr>
        <w:lastRenderedPageBreak/>
        <w:t xml:space="preserve">Realizing the need to introduce new capacities and import electricity in the country, Agency supported the use of mechanism with Single Buyer of electric energy </w:t>
      </w:r>
      <w:r w:rsidRPr="001529C7">
        <w:rPr>
          <w:b/>
          <w:bCs/>
          <w:color w:val="000000" w:themeColor="text1"/>
          <w:lang w:val="en"/>
        </w:rPr>
        <w:t>as a temporary measure</w:t>
      </w:r>
      <w:r w:rsidRPr="001529C7">
        <w:rPr>
          <w:color w:val="000000" w:themeColor="text1"/>
          <w:lang w:val="en"/>
        </w:rPr>
        <w:t xml:space="preserve"> until the tasks are solved within the framework of fuel and energy complex and electric power industry development concept for 2023-2029. </w:t>
      </w:r>
    </w:p>
    <w:p w14:paraId="79CD997F" w14:textId="77777777" w:rsidR="001730F3" w:rsidRPr="00A57506" w:rsidRDefault="004C4BA9" w:rsidP="001730F3">
      <w:pPr>
        <w:rPr>
          <w:color w:val="000000" w:themeColor="text1"/>
          <w:lang w:val="en-US"/>
        </w:rPr>
      </w:pPr>
      <w:r w:rsidRPr="001529C7">
        <w:rPr>
          <w:color w:val="000000" w:themeColor="text1"/>
          <w:lang w:val="en"/>
        </w:rPr>
        <w:t xml:space="preserve">Today, there is already </w:t>
      </w:r>
      <w:r w:rsidRPr="00F53AC6">
        <w:rPr>
          <w:b/>
          <w:color w:val="000000" w:themeColor="text1"/>
          <w:lang w:val="en"/>
        </w:rPr>
        <w:t>Single buyer of electric power</w:t>
      </w:r>
      <w:r w:rsidRPr="001529C7">
        <w:rPr>
          <w:color w:val="000000" w:themeColor="text1"/>
          <w:lang w:val="en"/>
        </w:rPr>
        <w:t xml:space="preserve"> at the market, represented by Financial-Settlement Center, which has been operating since 2019 to attract investments to maintain existing and introduce new capacities in the unified electric power system of Kazakhstan to cover demand for capacity. </w:t>
      </w:r>
    </w:p>
    <w:p w14:paraId="5F86A79A" w14:textId="77777777" w:rsidR="001730F3" w:rsidRPr="00A57506" w:rsidRDefault="004C4BA9" w:rsidP="001730F3">
      <w:pPr>
        <w:rPr>
          <w:color w:val="000000" w:themeColor="text1"/>
          <w:lang w:val="en-US"/>
        </w:rPr>
      </w:pPr>
      <w:r w:rsidRPr="001529C7">
        <w:rPr>
          <w:color w:val="000000" w:themeColor="text1"/>
          <w:lang w:val="en"/>
        </w:rPr>
        <w:t xml:space="preserve">With that, collecting payments for power covers of fixed costs of power plants, while payment for electric energy covers variable costs and income generation by power plants. </w:t>
      </w:r>
    </w:p>
    <w:p w14:paraId="4BD8B28F" w14:textId="77777777" w:rsidR="001730F3" w:rsidRPr="00A57506" w:rsidRDefault="004C4BA9" w:rsidP="001730F3">
      <w:pPr>
        <w:rPr>
          <w:color w:val="000000" w:themeColor="text1"/>
          <w:lang w:val="en-US"/>
        </w:rPr>
      </w:pPr>
      <w:r w:rsidRPr="001529C7">
        <w:rPr>
          <w:color w:val="000000" w:themeColor="text1"/>
          <w:lang w:val="en"/>
        </w:rPr>
        <w:t xml:space="preserve">It should be noted that since 2019, power plants have received more than 285 billion KZT, at the capacity market and, according to explanations of the Ministry of Energy, EPOs that have concluded contracts for provision of services to maintain capacity readiness under subparagraphs 3) and 4) of paragraph 3-1 of Article 15-3 of the Law "On Electric Power Industry", have no restrictions on targeted use of funds received from sale of these services, i.e. the EPO has the right to independently dispose received funds. </w:t>
      </w:r>
    </w:p>
    <w:p w14:paraId="5346FC34" w14:textId="29238B73" w:rsidR="001730F3" w:rsidRPr="00A57506" w:rsidRDefault="004C4BA9" w:rsidP="001730F3">
      <w:pPr>
        <w:rPr>
          <w:color w:val="000000" w:themeColor="text1"/>
          <w:lang w:val="en-US"/>
        </w:rPr>
      </w:pPr>
      <w:r w:rsidRPr="001529C7">
        <w:rPr>
          <w:color w:val="000000" w:themeColor="text1"/>
          <w:lang w:val="en"/>
        </w:rPr>
        <w:t>In addition, savings resulting from certification of generating units of power plants and under</w:t>
      </w:r>
      <w:r w:rsidR="00AF59F7">
        <w:rPr>
          <w:color w:val="000000" w:themeColor="text1"/>
          <w:lang w:val="en"/>
        </w:rPr>
        <w:t xml:space="preserve">-consumption </w:t>
      </w:r>
      <w:r w:rsidRPr="001529C7">
        <w:rPr>
          <w:color w:val="000000" w:themeColor="text1"/>
          <w:lang w:val="en"/>
        </w:rPr>
        <w:t>of power on consumers</w:t>
      </w:r>
      <w:r w:rsidR="00AF59F7">
        <w:rPr>
          <w:color w:val="000000" w:themeColor="text1"/>
          <w:lang w:val="en"/>
        </w:rPr>
        <w:t>’</w:t>
      </w:r>
      <w:r w:rsidRPr="001529C7">
        <w:rPr>
          <w:color w:val="000000" w:themeColor="text1"/>
          <w:lang w:val="en"/>
        </w:rPr>
        <w:t xml:space="preserve"> side are considered by a Single buyer as its own financial result </w:t>
      </w:r>
      <w:r w:rsidRPr="001529C7">
        <w:rPr>
          <w:i/>
          <w:color w:val="000000" w:themeColor="text1"/>
          <w:sz w:val="24"/>
          <w:lang w:val="en"/>
        </w:rPr>
        <w:t>(annually from 8 to 15 billion KZT)</w:t>
      </w:r>
      <w:r w:rsidRPr="001529C7">
        <w:rPr>
          <w:color w:val="000000" w:themeColor="text1"/>
          <w:lang w:val="en"/>
        </w:rPr>
        <w:t xml:space="preserve"> and </w:t>
      </w:r>
      <w:r w:rsidRPr="00F53AC6">
        <w:rPr>
          <w:b/>
          <w:color w:val="000000" w:themeColor="text1"/>
          <w:lang w:val="en"/>
        </w:rPr>
        <w:t>corporate income tax of 20%</w:t>
      </w:r>
      <w:r w:rsidRPr="001529C7">
        <w:rPr>
          <w:color w:val="000000" w:themeColor="text1"/>
          <w:lang w:val="en"/>
        </w:rPr>
        <w:t xml:space="preserve"> is applied to it, that means an incomplete refunds to consumers of power, including population. </w:t>
      </w:r>
    </w:p>
    <w:p w14:paraId="65463214" w14:textId="77777777" w:rsidR="001730F3" w:rsidRPr="00A57506" w:rsidRDefault="004C4BA9" w:rsidP="001730F3">
      <w:pPr>
        <w:rPr>
          <w:color w:val="000000" w:themeColor="text1"/>
          <w:lang w:val="en-US"/>
        </w:rPr>
      </w:pPr>
      <w:r w:rsidRPr="001529C7">
        <w:rPr>
          <w:color w:val="000000" w:themeColor="text1"/>
          <w:lang w:val="en"/>
        </w:rPr>
        <w:t xml:space="preserve">With that, the cost of Single Buyer's services is not regulated by state and is deducted from funds returned to consumers within 2 years. Until the funds are returned to consumers, they are placed on deposits. </w:t>
      </w:r>
    </w:p>
    <w:p w14:paraId="50FC0547" w14:textId="77777777" w:rsidR="001730F3" w:rsidRPr="00A57506" w:rsidRDefault="004C4BA9" w:rsidP="001730F3">
      <w:pPr>
        <w:rPr>
          <w:color w:val="000000" w:themeColor="text1"/>
          <w:lang w:val="en-US"/>
        </w:rPr>
      </w:pPr>
      <w:r w:rsidRPr="001529C7">
        <w:rPr>
          <w:color w:val="000000" w:themeColor="text1"/>
          <w:lang w:val="en"/>
        </w:rPr>
        <w:t>Thus, in order to minimize negative impact of Single Buyer on the market,  when discussing the bill providing for its introduction, the Agency had proposed a number of amendments in the Senate of the Parliament, including those aimed at ensuring transparent and equal access to electricity volumes of Single Buyer for wholesale consumers and ESOs, introduction of state regulation of price of Single Buyer's services, which were supported by the deputies of the Senate.</w:t>
      </w:r>
    </w:p>
    <w:p w14:paraId="6F6350BA" w14:textId="77777777" w:rsidR="001730F3" w:rsidRPr="00A57506" w:rsidRDefault="004C4BA9" w:rsidP="001730F3">
      <w:pPr>
        <w:rPr>
          <w:color w:val="000000" w:themeColor="text1"/>
          <w:lang w:val="en-US"/>
        </w:rPr>
      </w:pPr>
      <w:r w:rsidRPr="001529C7">
        <w:rPr>
          <w:color w:val="000000" w:themeColor="text1"/>
          <w:lang w:val="en"/>
        </w:rPr>
        <w:t xml:space="preserve">In addition, the Agency proposed introduction of EPOs'  obligation to </w:t>
      </w:r>
      <w:r w:rsidRPr="00F53AC6">
        <w:rPr>
          <w:b/>
          <w:color w:val="000000" w:themeColor="text1"/>
          <w:lang w:val="en"/>
        </w:rPr>
        <w:t>implement investment program</w:t>
      </w:r>
      <w:r w:rsidRPr="001529C7">
        <w:rPr>
          <w:color w:val="000000" w:themeColor="text1"/>
          <w:lang w:val="en"/>
        </w:rPr>
        <w:t xml:space="preserve"> for attracted funds within the framework of capacity market, which was also supported by Senate deputies. </w:t>
      </w:r>
    </w:p>
    <w:p w14:paraId="501CEAE7" w14:textId="77777777" w:rsidR="001730F3" w:rsidRPr="00A57506" w:rsidRDefault="004C4BA9" w:rsidP="001730F3">
      <w:pPr>
        <w:rPr>
          <w:color w:val="000000" w:themeColor="text1"/>
          <w:lang w:val="en-US"/>
        </w:rPr>
      </w:pPr>
      <w:r w:rsidRPr="001529C7">
        <w:rPr>
          <w:color w:val="000000" w:themeColor="text1"/>
          <w:lang w:val="en"/>
        </w:rPr>
        <w:t xml:space="preserve">The law </w:t>
      </w:r>
      <w:r>
        <w:rPr>
          <w:rStyle w:val="FootnoteReference"/>
          <w:rFonts w:eastAsiaTheme="majorEastAsia"/>
          <w:color w:val="000000" w:themeColor="text1"/>
        </w:rPr>
        <w:footnoteReference w:id="21"/>
      </w:r>
      <w:r w:rsidRPr="001529C7">
        <w:rPr>
          <w:color w:val="000000" w:themeColor="text1"/>
          <w:lang w:val="en"/>
        </w:rPr>
        <w:t>with the above-mentioned amendments of the Agency was adopted on April 19, 2023.</w:t>
      </w:r>
    </w:p>
    <w:p w14:paraId="006C7929" w14:textId="77777777" w:rsidR="001730F3" w:rsidRPr="007F61A3" w:rsidRDefault="004C4BA9" w:rsidP="001730F3">
      <w:pPr>
        <w:pStyle w:val="ListParagraph"/>
        <w:tabs>
          <w:tab w:val="clear" w:pos="567"/>
        </w:tabs>
        <w:ind w:left="0"/>
        <w:rPr>
          <w:color w:val="000000" w:themeColor="text1"/>
          <w:lang w:val="en-US"/>
        </w:rPr>
      </w:pPr>
      <w:r w:rsidRPr="001529C7">
        <w:rPr>
          <w:color w:val="000000" w:themeColor="text1"/>
          <w:lang w:val="en"/>
        </w:rPr>
        <w:t xml:space="preserve">Special attention should be paid to ongoing auctions of electric power. Bidding results show </w:t>
      </w:r>
      <w:r w:rsidRPr="001529C7">
        <w:rPr>
          <w:b/>
          <w:color w:val="000000" w:themeColor="text1"/>
          <w:lang w:val="en"/>
        </w:rPr>
        <w:t>absence of competition</w:t>
      </w:r>
      <w:r w:rsidRPr="001529C7">
        <w:rPr>
          <w:color w:val="000000" w:themeColor="text1"/>
          <w:lang w:val="en"/>
        </w:rPr>
        <w:t xml:space="preserve"> between power plants.</w:t>
      </w:r>
    </w:p>
    <w:p w14:paraId="5C70DA2E" w14:textId="77777777" w:rsidR="0056211E" w:rsidRPr="007F61A3" w:rsidRDefault="0056211E" w:rsidP="001730F3">
      <w:pPr>
        <w:pStyle w:val="ListParagraph"/>
        <w:tabs>
          <w:tab w:val="clear" w:pos="567"/>
        </w:tabs>
        <w:ind w:left="0"/>
        <w:rPr>
          <w:color w:val="000000" w:themeColor="text1"/>
          <w:lang w:val="en-US"/>
        </w:rPr>
      </w:pPr>
    </w:p>
    <w:p w14:paraId="706F1111" w14:textId="766A383F" w:rsidR="00EF3931" w:rsidRPr="007F61A3" w:rsidRDefault="006579CB" w:rsidP="00F411E1">
      <w:pPr>
        <w:pStyle w:val="ListParagraph"/>
        <w:tabs>
          <w:tab w:val="clear" w:pos="567"/>
        </w:tabs>
        <w:ind w:left="0" w:firstLine="0"/>
        <w:rPr>
          <w:color w:val="000000" w:themeColor="text1"/>
          <w:lang w:val="en-US"/>
        </w:rPr>
      </w:pPr>
      <w:r>
        <w:rPr>
          <w:noProof/>
          <w:color w:val="000000" w:themeColor="text1"/>
        </w:rPr>
        <w:lastRenderedPageBreak/>
        <w:drawing>
          <wp:anchor distT="0" distB="0" distL="114300" distR="114300" simplePos="0" relativeHeight="251672576" behindDoc="0" locked="0" layoutInCell="1" allowOverlap="1" wp14:anchorId="5A253414" wp14:editId="3F66E0F7">
            <wp:simplePos x="0" y="0"/>
            <wp:positionH relativeFrom="column">
              <wp:posOffset>-285322</wp:posOffset>
            </wp:positionH>
            <wp:positionV relativeFrom="paragraph">
              <wp:posOffset>69480</wp:posOffset>
            </wp:positionV>
            <wp:extent cx="6821170" cy="20085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1170" cy="2008505"/>
                    </a:xfrm>
                    <a:prstGeom prst="rect">
                      <a:avLst/>
                    </a:prstGeom>
                    <a:noFill/>
                  </pic:spPr>
                </pic:pic>
              </a:graphicData>
            </a:graphic>
            <wp14:sizeRelH relativeFrom="page">
              <wp14:pctWidth>0</wp14:pctWidth>
            </wp14:sizeRelH>
            <wp14:sizeRelV relativeFrom="page">
              <wp14:pctHeight>0</wp14:pctHeight>
            </wp14:sizeRelV>
          </wp:anchor>
        </w:drawing>
      </w:r>
    </w:p>
    <w:p w14:paraId="33D1D56B" w14:textId="4C22DB47" w:rsidR="00A95CFD" w:rsidRPr="00A57506" w:rsidRDefault="004C4BA9" w:rsidP="0067577D">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8</w:t>
      </w:r>
      <w:r w:rsidRPr="001529C7">
        <w:rPr>
          <w:b w:val="0"/>
          <w:color w:val="000000" w:themeColor="text1"/>
          <w:sz w:val="28"/>
          <w:szCs w:val="28"/>
        </w:rPr>
        <w:fldChar w:fldCharType="end"/>
      </w:r>
      <w:r w:rsidRPr="001529C7">
        <w:rPr>
          <w:b w:val="0"/>
          <w:color w:val="000000" w:themeColor="text1"/>
          <w:sz w:val="28"/>
          <w:szCs w:val="28"/>
          <w:lang w:val="en"/>
        </w:rPr>
        <w:t>– Ranked schedule of 2022 auction results for Northern and Southern zones of the UES of the Republic of Kazakhstan.</w:t>
      </w:r>
    </w:p>
    <w:p w14:paraId="13F53793" w14:textId="24682461"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Thus, the Ranked schedule of 2022 auction results for the Northern and Southern zones of the UES of the Republic of Kazakhstan, presented by KEGOC JSC </w:t>
      </w:r>
      <w:r w:rsidRPr="00846C82">
        <w:rPr>
          <w:i/>
          <w:color w:val="000000" w:themeColor="text1"/>
          <w:sz w:val="24"/>
          <w:lang w:val="en"/>
        </w:rPr>
        <w:t>(Figure 17)</w:t>
      </w:r>
      <w:r w:rsidRPr="001529C7">
        <w:rPr>
          <w:color w:val="000000" w:themeColor="text1"/>
          <w:lang w:val="en"/>
        </w:rPr>
        <w:t xml:space="preserve">, shows that all </w:t>
      </w:r>
      <w:r w:rsidRPr="00F53AC6">
        <w:rPr>
          <w:b/>
          <w:color w:val="000000" w:themeColor="text1"/>
          <w:lang w:val="en"/>
        </w:rPr>
        <w:t>23 power plants</w:t>
      </w:r>
      <w:r w:rsidRPr="001529C7">
        <w:rPr>
          <w:color w:val="000000" w:themeColor="text1"/>
          <w:lang w:val="en"/>
        </w:rPr>
        <w:t xml:space="preserve">, with exception of one Stepnogorsk CHP, submitted bids </w:t>
      </w:r>
      <w:r w:rsidRPr="00F53AC6">
        <w:rPr>
          <w:b/>
          <w:color w:val="000000" w:themeColor="text1"/>
          <w:lang w:val="en"/>
        </w:rPr>
        <w:t>at the maximum allowable price of 590 thousand KZT/MW</w:t>
      </w:r>
      <w:r w:rsidRPr="001529C7">
        <w:rPr>
          <w:color w:val="000000" w:themeColor="text1"/>
          <w:lang w:val="en"/>
        </w:rPr>
        <w:t>.</w:t>
      </w:r>
    </w:p>
    <w:p w14:paraId="4161C3BD" w14:textId="210031EC"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This was facilitated by the fact that </w:t>
      </w:r>
      <w:r w:rsidRPr="00F53AC6">
        <w:rPr>
          <w:b/>
          <w:color w:val="000000" w:themeColor="text1"/>
          <w:lang w:val="en"/>
        </w:rPr>
        <w:t>GRES-1 LLP</w:t>
      </w:r>
      <w:r w:rsidRPr="001529C7">
        <w:rPr>
          <w:color w:val="000000" w:themeColor="text1"/>
          <w:lang w:val="en"/>
        </w:rPr>
        <w:t xml:space="preserve"> </w:t>
      </w:r>
      <w:r w:rsidRPr="00846C82">
        <w:rPr>
          <w:i/>
          <w:color w:val="000000" w:themeColor="text1"/>
          <w:sz w:val="24"/>
          <w:lang w:val="en"/>
        </w:rPr>
        <w:t>(Samruk-Energo)</w:t>
      </w:r>
      <w:r w:rsidRPr="001529C7">
        <w:rPr>
          <w:color w:val="000000" w:themeColor="text1"/>
          <w:lang w:val="en"/>
        </w:rPr>
        <w:t xml:space="preserve"> refused to compete, being the last of bidders to submit an application for power maneuvering service with the same price of 590 thousand KZT/MW for 1,436 MW with available capacity of 3,008 MW or 47.7%.</w:t>
      </w:r>
    </w:p>
    <w:p w14:paraId="5E9F127C"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As a result, </w:t>
      </w:r>
      <w:r w:rsidRPr="00F53AC6">
        <w:rPr>
          <w:b/>
          <w:color w:val="000000" w:themeColor="text1"/>
          <w:lang w:val="en"/>
        </w:rPr>
        <w:t xml:space="preserve">lost revenue of state power plant </w:t>
      </w:r>
      <w:r w:rsidRPr="001529C7">
        <w:rPr>
          <w:color w:val="000000" w:themeColor="text1"/>
          <w:lang w:val="en"/>
        </w:rPr>
        <w:t xml:space="preserve"> according to 2022 auction results amounted to </w:t>
      </w:r>
      <w:r w:rsidRPr="00F53AC6">
        <w:rPr>
          <w:b/>
          <w:color w:val="000000" w:themeColor="text1"/>
          <w:lang w:val="en"/>
        </w:rPr>
        <w:t>more than 10 billion KZT</w:t>
      </w:r>
      <w:r w:rsidRPr="001529C7">
        <w:rPr>
          <w:color w:val="000000" w:themeColor="text1"/>
          <w:lang w:val="en"/>
        </w:rPr>
        <w:t xml:space="preserve">, and for the period from 2018 to 2022 – </w:t>
      </w:r>
      <w:r w:rsidRPr="00F53AC6">
        <w:rPr>
          <w:b/>
          <w:color w:val="000000" w:themeColor="text1"/>
          <w:lang w:val="en"/>
        </w:rPr>
        <w:t>50 billion KZT</w:t>
      </w:r>
      <w:r w:rsidRPr="001529C7">
        <w:rPr>
          <w:color w:val="000000" w:themeColor="text1"/>
          <w:lang w:val="en"/>
        </w:rPr>
        <w:t xml:space="preserve"> and above.</w:t>
      </w:r>
    </w:p>
    <w:p w14:paraId="1794FD4F"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Moreover, due to </w:t>
      </w:r>
      <w:r w:rsidRPr="00F53AC6">
        <w:rPr>
          <w:b/>
          <w:color w:val="000000" w:themeColor="text1"/>
          <w:lang w:val="en"/>
        </w:rPr>
        <w:t>absence of competition at the auction</w:t>
      </w:r>
      <w:r w:rsidRPr="001529C7">
        <w:rPr>
          <w:color w:val="000000" w:themeColor="text1"/>
          <w:lang w:val="en"/>
        </w:rPr>
        <w:t xml:space="preserve">, Kazakhstani consumers purchased power maneuvering services at the maximum price set by the Ministry of Energy - </w:t>
      </w:r>
      <w:r w:rsidRPr="00F53AC6">
        <w:rPr>
          <w:b/>
          <w:color w:val="000000" w:themeColor="text1"/>
          <w:lang w:val="en"/>
        </w:rPr>
        <w:t>590 thousand KZT/MW</w:t>
      </w:r>
      <w:r w:rsidRPr="001529C7">
        <w:rPr>
          <w:color w:val="000000" w:themeColor="text1"/>
          <w:lang w:val="en"/>
        </w:rPr>
        <w:t xml:space="preserve">. So, if in 2018, that was the first auction year, cost of maneuvering capacity according to auction results decreased </w:t>
      </w:r>
      <w:r w:rsidRPr="00F53AC6">
        <w:rPr>
          <w:b/>
          <w:color w:val="000000" w:themeColor="text1"/>
          <w:lang w:val="en"/>
        </w:rPr>
        <w:t>to 383 thousand KZT / MW</w:t>
      </w:r>
      <w:r w:rsidRPr="001529C7">
        <w:rPr>
          <w:color w:val="000000" w:themeColor="text1"/>
          <w:lang w:val="en"/>
        </w:rPr>
        <w:t xml:space="preserve">, for the last 3 years it has been kept at the maximum established level. </w:t>
      </w:r>
    </w:p>
    <w:p w14:paraId="49C68682" w14:textId="77777777" w:rsidR="0067577D" w:rsidRPr="00A57506" w:rsidRDefault="004C4BA9" w:rsidP="0067577D">
      <w:pPr>
        <w:rPr>
          <w:color w:val="000000" w:themeColor="text1"/>
          <w:lang w:val="en-US"/>
        </w:rPr>
      </w:pPr>
      <w:r w:rsidRPr="001529C7">
        <w:rPr>
          <w:color w:val="000000" w:themeColor="text1"/>
          <w:lang w:val="en"/>
        </w:rPr>
        <w:t xml:space="preserve">Development of competition at retail market is also hindered by </w:t>
      </w:r>
      <w:r w:rsidRPr="00F53AC6">
        <w:rPr>
          <w:b/>
          <w:color w:val="000000" w:themeColor="text1"/>
          <w:lang w:val="en"/>
        </w:rPr>
        <w:t>differentiation of tariffs</w:t>
      </w:r>
      <w:r w:rsidRPr="001529C7">
        <w:rPr>
          <w:color w:val="000000" w:themeColor="text1"/>
          <w:lang w:val="en"/>
        </w:rPr>
        <w:t xml:space="preserve"> for electricity supply services of regulated ESOs, due to which there is a tendency for legal entities and budget organizations to leave for alternative unregulated ESOs.</w:t>
      </w:r>
    </w:p>
    <w:p w14:paraId="6022F5A7" w14:textId="77777777" w:rsidR="0067577D" w:rsidRPr="00A57506" w:rsidRDefault="004C4BA9" w:rsidP="0067577D">
      <w:pPr>
        <w:rPr>
          <w:color w:val="000000" w:themeColor="text1"/>
          <w:lang w:val="en-US"/>
        </w:rPr>
      </w:pPr>
      <w:r w:rsidRPr="001529C7">
        <w:rPr>
          <w:color w:val="000000" w:themeColor="text1"/>
          <w:lang w:val="en"/>
        </w:rPr>
        <w:t xml:space="preserve">In addition, decrease in volumes attributable to legal entities leads to annual increase in the average tariff of guaranteeing suppliers. In order to create equal conditions of competition between ESOs, it is necessary to change approach in subsidizing household consumers to the </w:t>
      </w:r>
      <w:r w:rsidRPr="00F53AC6">
        <w:rPr>
          <w:b/>
          <w:color w:val="000000" w:themeColor="text1"/>
          <w:lang w:val="en"/>
        </w:rPr>
        <w:t>targeted orientation of support measures</w:t>
      </w:r>
      <w:r w:rsidRPr="001529C7">
        <w:rPr>
          <w:color w:val="000000" w:themeColor="text1"/>
          <w:lang w:val="en"/>
        </w:rPr>
        <w:t xml:space="preserve"> for socially vulnerable segments of population.</w:t>
      </w:r>
    </w:p>
    <w:p w14:paraId="3836EBFF" w14:textId="77777777" w:rsidR="0067577D" w:rsidRPr="001529C7" w:rsidRDefault="004C4BA9" w:rsidP="0067577D">
      <w:pPr>
        <w:rPr>
          <w:color w:val="000000" w:themeColor="text1"/>
          <w:lang w:val="kk-KZ"/>
        </w:rPr>
      </w:pPr>
      <w:r w:rsidRPr="001529C7">
        <w:rPr>
          <w:color w:val="000000" w:themeColor="text1"/>
          <w:lang w:val="en"/>
        </w:rPr>
        <w:t xml:space="preserve">In this regard, the National Project provides for step-by-step elimination of tariff differentiation by consumer groups. It follows from the calculations that, in general across the Republic, local budgets will save </w:t>
      </w:r>
      <w:r w:rsidRPr="00F53AC6">
        <w:rPr>
          <w:b/>
          <w:color w:val="000000" w:themeColor="text1"/>
          <w:lang w:val="en"/>
        </w:rPr>
        <w:t>over 38 billion KZT</w:t>
      </w:r>
      <w:r w:rsidRPr="001529C7">
        <w:rPr>
          <w:color w:val="000000" w:themeColor="text1"/>
          <w:lang w:val="en"/>
        </w:rPr>
        <w:t xml:space="preserve">, that can be directed to targeted subsidizing of utility costs of socially vulnerable segments of the </w:t>
      </w:r>
      <w:r w:rsidRPr="001529C7">
        <w:rPr>
          <w:color w:val="000000" w:themeColor="text1"/>
          <w:lang w:val="en"/>
        </w:rPr>
        <w:lastRenderedPageBreak/>
        <w:t xml:space="preserve">population. Also, expenses of small and medium-sized businesses will decrease </w:t>
      </w:r>
      <w:r w:rsidRPr="00F53AC6">
        <w:rPr>
          <w:b/>
          <w:color w:val="000000" w:themeColor="text1"/>
          <w:lang w:val="en"/>
        </w:rPr>
        <w:t>by more than 38 billion KZT</w:t>
      </w:r>
      <w:r w:rsidRPr="001529C7">
        <w:rPr>
          <w:color w:val="000000" w:themeColor="text1"/>
          <w:lang w:val="en"/>
        </w:rPr>
        <w:t>.</w:t>
      </w:r>
    </w:p>
    <w:p w14:paraId="2E0877CB" w14:textId="77777777" w:rsidR="0067577D" w:rsidRPr="00A57506" w:rsidRDefault="004C4BA9" w:rsidP="0067577D">
      <w:pPr>
        <w:rPr>
          <w:color w:val="000000" w:themeColor="text1"/>
          <w:lang w:val="en-US"/>
        </w:rPr>
      </w:pPr>
      <w:r w:rsidRPr="001529C7">
        <w:rPr>
          <w:color w:val="000000" w:themeColor="text1"/>
          <w:lang w:val="en"/>
        </w:rPr>
        <w:t>In addition, at the meeting for development of energy and engineering infrastructure, dated March 2, 2022, Head of State instructed to start implementing a project on partial equalization of tariffs between consumer groups, and in his Address to the People of Kazakhstan dated September 1, 2022, he noted the need for gradual rejection from cross-subsidizing tariffs in natural monopolies and in socially significant markets.</w:t>
      </w:r>
    </w:p>
    <w:p w14:paraId="15E87EA4" w14:textId="77777777" w:rsidR="0067577D" w:rsidRPr="00A57506" w:rsidRDefault="004C4BA9" w:rsidP="0067577D">
      <w:pPr>
        <w:rPr>
          <w:color w:val="000000" w:themeColor="text1"/>
          <w:lang w:val="en-US"/>
        </w:rPr>
      </w:pPr>
      <w:r w:rsidRPr="001529C7">
        <w:rPr>
          <w:color w:val="000000" w:themeColor="text1"/>
          <w:lang w:val="en"/>
        </w:rPr>
        <w:t xml:space="preserve">Almaty, Kostanay region and West Kazakhstan region </w:t>
      </w:r>
      <w:r w:rsidRPr="00846C82">
        <w:rPr>
          <w:i/>
          <w:color w:val="000000" w:themeColor="text1"/>
          <w:sz w:val="24"/>
          <w:lang w:val="en"/>
        </w:rPr>
        <w:t>(hereinafter - WKO)</w:t>
      </w:r>
      <w:r w:rsidRPr="001529C7">
        <w:rPr>
          <w:color w:val="000000" w:themeColor="text1"/>
          <w:lang w:val="en"/>
        </w:rPr>
        <w:t xml:space="preserve"> were selected as pilot regions.</w:t>
      </w:r>
    </w:p>
    <w:p w14:paraId="134F0F88" w14:textId="77777777" w:rsidR="0067577D" w:rsidRPr="00A57506" w:rsidRDefault="004C4BA9" w:rsidP="0067577D">
      <w:pPr>
        <w:rPr>
          <w:color w:val="000000" w:themeColor="text1"/>
          <w:lang w:val="en-US"/>
        </w:rPr>
      </w:pPr>
      <w:r w:rsidRPr="001529C7">
        <w:rPr>
          <w:color w:val="000000" w:themeColor="text1"/>
          <w:lang w:val="en"/>
        </w:rPr>
        <w:t xml:space="preserve">State stakeholders have carried out extensive awareness raising campaign. Local executive bodies have developed mechanism of social assistance for socially vulnerable part of population at the expense of budget savings from tariff equalization. </w:t>
      </w:r>
    </w:p>
    <w:p w14:paraId="5B137F7D" w14:textId="77777777" w:rsidR="0067577D" w:rsidRPr="00A57506" w:rsidRDefault="004C4BA9" w:rsidP="0067577D">
      <w:pPr>
        <w:rPr>
          <w:color w:val="000000" w:themeColor="text1"/>
          <w:lang w:val="en-US"/>
        </w:rPr>
      </w:pPr>
      <w:r w:rsidRPr="001529C7">
        <w:rPr>
          <w:color w:val="000000" w:themeColor="text1"/>
          <w:lang w:val="en"/>
        </w:rPr>
        <w:t>However, it was decided to reduce differentiation of tariffs between the household consumer tariff and average daily tariff:</w:t>
      </w:r>
    </w:p>
    <w:p w14:paraId="160EC943" w14:textId="77777777" w:rsidR="0067577D" w:rsidRPr="00A57506" w:rsidRDefault="004C4BA9" w:rsidP="0067577D">
      <w:pPr>
        <w:rPr>
          <w:color w:val="000000" w:themeColor="text1"/>
          <w:lang w:val="en-US"/>
        </w:rPr>
      </w:pPr>
      <w:r w:rsidRPr="001529C7">
        <w:rPr>
          <w:color w:val="000000" w:themeColor="text1"/>
          <w:lang w:val="en"/>
        </w:rPr>
        <w:t xml:space="preserve">- in Almaty by 2.3% </w:t>
      </w:r>
      <w:r w:rsidRPr="00846C82">
        <w:rPr>
          <w:i/>
          <w:color w:val="000000" w:themeColor="text1"/>
          <w:sz w:val="24"/>
          <w:lang w:val="en"/>
        </w:rPr>
        <w:t>(from 14.6% to 12.3%);</w:t>
      </w:r>
    </w:p>
    <w:p w14:paraId="504BC390" w14:textId="77777777" w:rsidR="0067577D" w:rsidRPr="00A57506" w:rsidRDefault="004C4BA9" w:rsidP="0067577D">
      <w:pPr>
        <w:rPr>
          <w:color w:val="000000" w:themeColor="text1"/>
          <w:lang w:val="en-US"/>
        </w:rPr>
      </w:pPr>
      <w:r w:rsidRPr="001529C7">
        <w:rPr>
          <w:color w:val="000000" w:themeColor="text1"/>
          <w:lang w:val="en"/>
        </w:rPr>
        <w:t xml:space="preserve">- in Kostanay region by 3.4% </w:t>
      </w:r>
      <w:r w:rsidRPr="00846C82">
        <w:rPr>
          <w:i/>
          <w:color w:val="000000" w:themeColor="text1"/>
          <w:sz w:val="24"/>
          <w:lang w:val="en"/>
        </w:rPr>
        <w:t>(29% to 25.6%);</w:t>
      </w:r>
    </w:p>
    <w:p w14:paraId="059A5C4F" w14:textId="77777777" w:rsidR="0067577D" w:rsidRPr="00A57506" w:rsidRDefault="004C4BA9" w:rsidP="0067577D">
      <w:pPr>
        <w:rPr>
          <w:i/>
          <w:color w:val="000000" w:themeColor="text1"/>
          <w:sz w:val="24"/>
          <w:lang w:val="en-US"/>
        </w:rPr>
      </w:pPr>
      <w:r w:rsidRPr="001529C7">
        <w:rPr>
          <w:color w:val="000000" w:themeColor="text1"/>
          <w:lang w:val="en"/>
        </w:rPr>
        <w:t>- in West Kazakhstan region by 8.2%</w:t>
      </w:r>
      <w:r w:rsidRPr="00846C82">
        <w:rPr>
          <w:i/>
          <w:color w:val="000000" w:themeColor="text1"/>
          <w:sz w:val="24"/>
          <w:lang w:val="en"/>
        </w:rPr>
        <w:t xml:space="preserve"> (from 18% to 9.8%).</w:t>
      </w:r>
    </w:p>
    <w:p w14:paraId="0DD3F2E2" w14:textId="77777777" w:rsidR="0067577D" w:rsidRPr="00A57506" w:rsidRDefault="004C4BA9" w:rsidP="0067577D">
      <w:pPr>
        <w:rPr>
          <w:color w:val="000000" w:themeColor="text1"/>
          <w:lang w:val="en-US"/>
        </w:rPr>
      </w:pPr>
      <w:r w:rsidRPr="001529C7">
        <w:rPr>
          <w:color w:val="000000" w:themeColor="text1"/>
          <w:lang w:val="en"/>
        </w:rPr>
        <w:t>CRNM justifies its decision by increasing the ceiling prices for electricity of EPOs from July 1, 2022. Thus, the National Project and instructions of the Head of State on gradual reduction of tariffs differentiation between groups of consumers for electricity services were implemented partially.</w:t>
      </w:r>
    </w:p>
    <w:p w14:paraId="171973B6" w14:textId="77777777" w:rsidR="0067577D" w:rsidRPr="00A57506" w:rsidRDefault="004C4BA9" w:rsidP="0067577D">
      <w:pPr>
        <w:rPr>
          <w:i/>
          <w:iCs/>
          <w:color w:val="000000" w:themeColor="text1"/>
          <w:sz w:val="24"/>
          <w:szCs w:val="24"/>
          <w:lang w:val="en-US"/>
        </w:rPr>
      </w:pPr>
      <w:r w:rsidRPr="001529C7">
        <w:rPr>
          <w:b/>
          <w:bCs/>
          <w:i/>
          <w:iCs/>
          <w:color w:val="000000" w:themeColor="text1"/>
          <w:sz w:val="24"/>
          <w:szCs w:val="24"/>
          <w:lang w:val="en"/>
        </w:rPr>
        <w:t>For reference:</w:t>
      </w:r>
      <w:r w:rsidRPr="001529C7">
        <w:rPr>
          <w:i/>
          <w:iCs/>
          <w:color w:val="000000" w:themeColor="text1"/>
          <w:sz w:val="24"/>
          <w:szCs w:val="24"/>
          <w:lang w:val="en"/>
        </w:rPr>
        <w:t xml:space="preserve"> National Project for 2022 provides the following targets for the maximum difference between group of consumers and average electricity tariff:</w:t>
      </w:r>
    </w:p>
    <w:p w14:paraId="4678DC04" w14:textId="77777777" w:rsidR="0067577D" w:rsidRPr="00A57506" w:rsidRDefault="004C4BA9" w:rsidP="0067577D">
      <w:pPr>
        <w:rPr>
          <w:i/>
          <w:iCs/>
          <w:color w:val="000000" w:themeColor="text1"/>
          <w:sz w:val="24"/>
          <w:szCs w:val="24"/>
          <w:lang w:val="en-US"/>
        </w:rPr>
      </w:pPr>
      <w:r>
        <w:rPr>
          <w:i/>
          <w:iCs/>
          <w:color w:val="000000" w:themeColor="text1"/>
          <w:sz w:val="24"/>
          <w:szCs w:val="24"/>
          <w:lang w:val="en"/>
        </w:rPr>
        <w:t>in Almaty - 0% (current difference - 12.3%);</w:t>
      </w:r>
    </w:p>
    <w:p w14:paraId="259D698F"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Kyzylorda region – 12% (current difference - 12%);</w:t>
      </w:r>
    </w:p>
    <w:p w14:paraId="22E76034"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Karaganda region – 19.5% (current difference - 31%);</w:t>
      </w:r>
    </w:p>
    <w:p w14:paraId="216268C9"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East Kazakhstan region – 15% (current difference - 31%);</w:t>
      </w:r>
    </w:p>
    <w:p w14:paraId="575A9BD8"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Akmola region – 25% (current difference - 31%);</w:t>
      </w:r>
    </w:p>
    <w:p w14:paraId="4A19897B"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Zhambyl region – 27% (current difference - 36%);</w:t>
      </w:r>
    </w:p>
    <w:p w14:paraId="50BC0F9F"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Mangystau region – 2% (current difference - 23%);</w:t>
      </w:r>
    </w:p>
    <w:p w14:paraId="59B01BBB"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Pavlodar region – 29% (current difference - 37%);</w:t>
      </w:r>
    </w:p>
    <w:p w14:paraId="5424AE06"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North Kazakhstan region - 31% (current difference - 35%);</w:t>
      </w:r>
    </w:p>
    <w:p w14:paraId="1E34F4E6" w14:textId="77777777" w:rsidR="0067577D" w:rsidRPr="00A57506" w:rsidRDefault="004C4BA9" w:rsidP="0067577D">
      <w:pPr>
        <w:rPr>
          <w:i/>
          <w:iCs/>
          <w:color w:val="000000" w:themeColor="text1"/>
          <w:sz w:val="24"/>
          <w:szCs w:val="24"/>
          <w:lang w:val="en-US"/>
        </w:rPr>
      </w:pPr>
      <w:r w:rsidRPr="001529C7">
        <w:rPr>
          <w:i/>
          <w:iCs/>
          <w:color w:val="000000" w:themeColor="text1"/>
          <w:sz w:val="24"/>
          <w:szCs w:val="24"/>
          <w:lang w:val="en"/>
        </w:rPr>
        <w:t>in Turkestan region and Shymkent – 29% (current difference - 30%).</w:t>
      </w:r>
    </w:p>
    <w:p w14:paraId="70A3D16D" w14:textId="77777777" w:rsidR="0067577D" w:rsidRPr="00A57506" w:rsidRDefault="004C4BA9" w:rsidP="0067577D">
      <w:pPr>
        <w:rPr>
          <w:color w:val="000000" w:themeColor="text1"/>
          <w:lang w:val="en-US"/>
        </w:rPr>
      </w:pPr>
      <w:r w:rsidRPr="001529C7">
        <w:rPr>
          <w:color w:val="000000" w:themeColor="text1"/>
          <w:lang w:val="en"/>
        </w:rPr>
        <w:t xml:space="preserve">In addition, in a number of regions, there is a significant </w:t>
      </w:r>
      <w:r w:rsidRPr="00F53AC6">
        <w:rPr>
          <w:b/>
          <w:color w:val="000000" w:themeColor="text1"/>
          <w:lang w:val="en"/>
        </w:rPr>
        <w:t>increase in differentiation of electricity tariffs</w:t>
      </w:r>
      <w:r w:rsidRPr="001529C7">
        <w:rPr>
          <w:color w:val="000000" w:themeColor="text1"/>
          <w:lang w:val="en"/>
        </w:rPr>
        <w:t xml:space="preserve"> compared to 2021. </w:t>
      </w:r>
    </w:p>
    <w:p w14:paraId="57A63370" w14:textId="77777777" w:rsidR="0067577D" w:rsidRPr="00A57506" w:rsidRDefault="004C4BA9" w:rsidP="0067577D">
      <w:pPr>
        <w:rPr>
          <w:color w:val="000000" w:themeColor="text1"/>
          <w:lang w:val="en-US"/>
        </w:rPr>
      </w:pPr>
      <w:r w:rsidRPr="001529C7">
        <w:rPr>
          <w:color w:val="000000" w:themeColor="text1"/>
          <w:lang w:val="en"/>
        </w:rPr>
        <w:t>For example, in East Kazakhstan region, tariff differentiation was increased by 1%, in Akmola region by 6%, in Zhambyl region by 9%, in Mangystau region by 21%, in Pavlodar region by 8%, in North Kazakhstan region by 4%.</w:t>
      </w:r>
    </w:p>
    <w:p w14:paraId="1E103ECF" w14:textId="77777777" w:rsidR="00EF3931" w:rsidRPr="00A57506" w:rsidRDefault="004C4BA9" w:rsidP="0067577D">
      <w:pPr>
        <w:spacing w:before="120"/>
        <w:rPr>
          <w:i/>
          <w:color w:val="000000" w:themeColor="text1"/>
          <w:lang w:val="en-US"/>
        </w:rPr>
      </w:pPr>
      <w:r w:rsidRPr="001529C7">
        <w:rPr>
          <w:b/>
          <w:bCs/>
          <w:i/>
          <w:color w:val="000000" w:themeColor="text1"/>
          <w:lang w:val="en"/>
        </w:rPr>
        <w:t>Barriers for competition development</w:t>
      </w:r>
    </w:p>
    <w:p w14:paraId="70464CFC"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The main obstacle to development of competition in electricity markets is </w:t>
      </w:r>
      <w:r w:rsidRPr="00F53AC6">
        <w:rPr>
          <w:b/>
          <w:color w:val="000000" w:themeColor="text1"/>
          <w:lang w:val="en"/>
        </w:rPr>
        <w:t>state regulation of prices</w:t>
      </w:r>
      <w:r w:rsidRPr="001529C7">
        <w:rPr>
          <w:color w:val="000000" w:themeColor="text1"/>
          <w:lang w:val="en"/>
        </w:rPr>
        <w:t xml:space="preserve"> for power plants and regulated ESOs. This, in turn, reduces incentives for both power plant owners and new investors to upgrade existing and build </w:t>
      </w:r>
      <w:r w:rsidRPr="001529C7">
        <w:rPr>
          <w:color w:val="000000" w:themeColor="text1"/>
          <w:lang w:val="en"/>
        </w:rPr>
        <w:lastRenderedPageBreak/>
        <w:t xml:space="preserve">new capacities, that generally hinders industry development and keeps the situation with shortage of electricity.  </w:t>
      </w:r>
    </w:p>
    <w:p w14:paraId="54044BD1"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In this regard, Government needs to ensure </w:t>
      </w:r>
      <w:r w:rsidRPr="00F53AC6">
        <w:rPr>
          <w:b/>
          <w:color w:val="000000" w:themeColor="text1"/>
          <w:lang w:val="en"/>
        </w:rPr>
        <w:t>gradual deregulation</w:t>
      </w:r>
      <w:r w:rsidRPr="001529C7">
        <w:rPr>
          <w:color w:val="000000" w:themeColor="text1"/>
          <w:lang w:val="en"/>
        </w:rPr>
        <w:t xml:space="preserve"> of </w:t>
      </w:r>
      <w:r w:rsidR="00F53AC6" w:rsidRPr="00F53AC6">
        <w:rPr>
          <w:b/>
          <w:color w:val="000000" w:themeColor="text1"/>
          <w:lang w:val="en"/>
        </w:rPr>
        <w:t>prices</w:t>
      </w:r>
      <w:r w:rsidRPr="001529C7">
        <w:rPr>
          <w:color w:val="000000" w:themeColor="text1"/>
          <w:lang w:val="en"/>
        </w:rPr>
        <w:t xml:space="preserve"> in the industry in order to form market principles of functioning that allow investors to respond to market signals and consider the possibility of building new capacities and ensuring equal conditions of competition between ESOs. </w:t>
      </w:r>
    </w:p>
    <w:p w14:paraId="43DD7CE6"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In addition, for thermal power plants, which are also producers of thermal energy and are regulated under legislation on natural monopolies, </w:t>
      </w:r>
      <w:r w:rsidRPr="00F53AC6">
        <w:rPr>
          <w:b/>
          <w:color w:val="000000" w:themeColor="text1"/>
          <w:lang w:val="en"/>
        </w:rPr>
        <w:t>cross-subsidization</w:t>
      </w:r>
      <w:r w:rsidRPr="001529C7">
        <w:rPr>
          <w:color w:val="000000" w:themeColor="text1"/>
          <w:lang w:val="en"/>
        </w:rPr>
        <w:t xml:space="preserve"> of thermal energy is applied at the expense of electricity tariffs. Thus, thermal power plants are now </w:t>
      </w:r>
      <w:r w:rsidRPr="00F53AC6">
        <w:rPr>
          <w:b/>
          <w:color w:val="000000" w:themeColor="text1"/>
          <w:lang w:val="en"/>
        </w:rPr>
        <w:t>in unequal conditions</w:t>
      </w:r>
      <w:r w:rsidRPr="001529C7">
        <w:rPr>
          <w:color w:val="000000" w:themeColor="text1"/>
          <w:lang w:val="en"/>
        </w:rPr>
        <w:t xml:space="preserve"> of competition with other energy enterprises that produce only electricity.</w:t>
      </w:r>
    </w:p>
    <w:p w14:paraId="230D5395" w14:textId="77777777" w:rsidR="0067577D" w:rsidRPr="00A57506" w:rsidRDefault="004C4BA9" w:rsidP="0067577D">
      <w:pPr>
        <w:rPr>
          <w:color w:val="000000" w:themeColor="text1"/>
          <w:lang w:val="en-US"/>
        </w:rPr>
      </w:pPr>
      <w:r w:rsidRPr="001529C7">
        <w:rPr>
          <w:color w:val="000000" w:themeColor="text1"/>
          <w:lang w:val="en"/>
        </w:rPr>
        <w:t xml:space="preserve">The level of state participation in generation also remains high. The share of </w:t>
      </w:r>
      <w:r w:rsidRPr="00F53AC6">
        <w:rPr>
          <w:b/>
          <w:color w:val="000000" w:themeColor="text1"/>
          <w:lang w:val="en"/>
        </w:rPr>
        <w:t>18 state-owned companies</w:t>
      </w:r>
      <w:r w:rsidRPr="001529C7">
        <w:rPr>
          <w:color w:val="000000" w:themeColor="text1"/>
          <w:lang w:val="en"/>
        </w:rPr>
        <w:t xml:space="preserve"> </w:t>
      </w:r>
      <w:r w:rsidRPr="00846C82">
        <w:rPr>
          <w:i/>
          <w:color w:val="000000" w:themeColor="text1"/>
          <w:sz w:val="24"/>
          <w:lang w:val="en"/>
        </w:rPr>
        <w:t>(including those within Samruk-Energo)</w:t>
      </w:r>
      <w:r w:rsidRPr="001529C7">
        <w:rPr>
          <w:color w:val="000000" w:themeColor="text1"/>
          <w:lang w:val="en"/>
        </w:rPr>
        <w:t xml:space="preserve"> in supply of electricity to the grid </w:t>
      </w:r>
      <w:r w:rsidRPr="00846C82">
        <w:rPr>
          <w:i/>
          <w:color w:val="000000" w:themeColor="text1"/>
          <w:sz w:val="24"/>
          <w:lang w:val="en"/>
        </w:rPr>
        <w:t>(excluding their own needs and interstate flows)</w:t>
      </w:r>
      <w:r w:rsidRPr="001529C7">
        <w:rPr>
          <w:color w:val="000000" w:themeColor="text1"/>
          <w:lang w:val="en"/>
        </w:rPr>
        <w:t xml:space="preserve"> is 42% or ~0.4% of GDP.</w:t>
      </w:r>
    </w:p>
    <w:p w14:paraId="514C2E4E" w14:textId="77777777" w:rsidR="0067577D" w:rsidRPr="00A57506" w:rsidRDefault="004C4BA9" w:rsidP="0067577D">
      <w:pPr>
        <w:rPr>
          <w:color w:val="000000" w:themeColor="text1"/>
          <w:lang w:val="en-US"/>
        </w:rPr>
      </w:pPr>
      <w:r w:rsidRPr="001529C7">
        <w:rPr>
          <w:color w:val="000000" w:themeColor="text1"/>
          <w:lang w:val="en"/>
        </w:rPr>
        <w:t>With that, there is only one state-owned ESO represented by AlmatyEnergoSbyt LLP, which is also a part of the Samruk-Energo group, in the retail market of Kazakhstan.</w:t>
      </w:r>
    </w:p>
    <w:p w14:paraId="7299427F" w14:textId="77777777" w:rsidR="0067577D" w:rsidRPr="00A57506" w:rsidRDefault="004C4BA9" w:rsidP="0067577D">
      <w:pPr>
        <w:rPr>
          <w:color w:val="000000" w:themeColor="text1"/>
          <w:lang w:val="en-US"/>
        </w:rPr>
      </w:pPr>
      <w:r w:rsidRPr="001529C7">
        <w:rPr>
          <w:color w:val="000000" w:themeColor="text1"/>
          <w:lang w:val="en"/>
        </w:rPr>
        <w:t xml:space="preserve">In general, the documents of government planning system provide targets for reducing share of state participation to 13.9% by 2026. To achieve this indicator, it is necessary to ensure implementation of measures aimed at denationalization reducing state involvement in economy, including electric power industry. </w:t>
      </w:r>
    </w:p>
    <w:p w14:paraId="7C98EC02" w14:textId="29EB57C4" w:rsidR="0067577D" w:rsidRPr="00A57506" w:rsidRDefault="004C4BA9" w:rsidP="0067577D">
      <w:pPr>
        <w:rPr>
          <w:color w:val="000000" w:themeColor="text1"/>
          <w:lang w:val="en-US"/>
        </w:rPr>
      </w:pPr>
      <w:r w:rsidRPr="001529C7">
        <w:rPr>
          <w:color w:val="000000" w:themeColor="text1"/>
          <w:lang w:val="en"/>
        </w:rPr>
        <w:t xml:space="preserve">There is </w:t>
      </w:r>
      <w:r w:rsidRPr="00F53AC6">
        <w:rPr>
          <w:b/>
          <w:i/>
          <w:color w:val="000000" w:themeColor="text1"/>
          <w:lang w:val="en"/>
        </w:rPr>
        <w:t>still high concentration</w:t>
      </w:r>
      <w:r w:rsidRPr="001529C7">
        <w:rPr>
          <w:color w:val="000000" w:themeColor="text1"/>
          <w:lang w:val="en"/>
        </w:rPr>
        <w:t xml:space="preserve"> in retail electricity market, where shares of ESOs, vertically integrated with electric net</w:t>
      </w:r>
      <w:r w:rsidR="00AF59F7">
        <w:rPr>
          <w:color w:val="000000" w:themeColor="text1"/>
          <w:lang w:val="en"/>
        </w:rPr>
        <w:t>w</w:t>
      </w:r>
      <w:r w:rsidRPr="001529C7">
        <w:rPr>
          <w:color w:val="000000" w:themeColor="text1"/>
          <w:lang w:val="en"/>
        </w:rPr>
        <w:t xml:space="preserve">ork and </w:t>
      </w:r>
      <w:r w:rsidRPr="00846C82">
        <w:rPr>
          <w:i/>
          <w:color w:val="000000" w:themeColor="text1"/>
          <w:sz w:val="24"/>
          <w:lang w:val="en"/>
        </w:rPr>
        <w:t>(or)</w:t>
      </w:r>
      <w:r w:rsidRPr="001529C7">
        <w:rPr>
          <w:color w:val="000000" w:themeColor="text1"/>
          <w:lang w:val="en"/>
        </w:rPr>
        <w:t xml:space="preserve"> energy-producing organizations vary from 55-75% to 75-100%, depending on the region.</w:t>
      </w:r>
    </w:p>
    <w:p w14:paraId="11A2FBE5" w14:textId="77777777" w:rsidR="00CA75BE" w:rsidRPr="00A57506" w:rsidRDefault="00CA75BE" w:rsidP="00F411E1">
      <w:pPr>
        <w:rPr>
          <w:color w:val="000000" w:themeColor="text1"/>
          <w:lang w:val="en-US"/>
        </w:rPr>
      </w:pPr>
    </w:p>
    <w:p w14:paraId="34A63AB6" w14:textId="77777777" w:rsidR="00CA75BE"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3</w:t>
      </w:r>
      <w:r w:rsidRPr="001529C7">
        <w:rPr>
          <w:b w:val="0"/>
          <w:color w:val="000000" w:themeColor="text1"/>
          <w:sz w:val="28"/>
          <w:szCs w:val="28"/>
        </w:rPr>
        <w:fldChar w:fldCharType="end"/>
      </w:r>
      <w:r w:rsidRPr="001529C7">
        <w:rPr>
          <w:b w:val="0"/>
          <w:color w:val="000000" w:themeColor="text1"/>
          <w:sz w:val="28"/>
          <w:szCs w:val="28"/>
          <w:lang w:val="en"/>
        </w:rPr>
        <w:t>. Affiliation of energy supply organizations with regional electric grid companies by region.</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5"/>
        <w:gridCol w:w="3078"/>
        <w:gridCol w:w="3078"/>
        <w:gridCol w:w="3078"/>
      </w:tblGrid>
      <w:tr w:rsidR="00706070" w14:paraId="47F1EF85" w14:textId="77777777" w:rsidTr="003C781E">
        <w:trPr>
          <w:trHeight w:val="593"/>
        </w:trPr>
        <w:tc>
          <w:tcPr>
            <w:tcW w:w="395" w:type="dxa"/>
            <w:shd w:val="clear" w:color="auto" w:fill="auto"/>
            <w:tcMar>
              <w:top w:w="4" w:type="dxa"/>
              <w:left w:w="4" w:type="dxa"/>
              <w:bottom w:w="0" w:type="dxa"/>
              <w:right w:w="4" w:type="dxa"/>
            </w:tcMar>
            <w:vAlign w:val="center"/>
            <w:hideMark/>
          </w:tcPr>
          <w:p w14:paraId="68272CA2" w14:textId="77777777" w:rsidR="00EF3931" w:rsidRPr="001529C7" w:rsidRDefault="004C4BA9"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lang w:val="en"/>
              </w:rPr>
              <w:t>№</w:t>
            </w:r>
          </w:p>
        </w:tc>
        <w:tc>
          <w:tcPr>
            <w:tcW w:w="3078" w:type="dxa"/>
            <w:shd w:val="clear" w:color="auto" w:fill="auto"/>
            <w:tcMar>
              <w:top w:w="4" w:type="dxa"/>
              <w:left w:w="4" w:type="dxa"/>
              <w:bottom w:w="0" w:type="dxa"/>
              <w:right w:w="4" w:type="dxa"/>
            </w:tcMar>
            <w:vAlign w:val="center"/>
            <w:hideMark/>
          </w:tcPr>
          <w:p w14:paraId="41E83EDC" w14:textId="77777777" w:rsidR="00EF3931" w:rsidRPr="001529C7" w:rsidRDefault="004C4BA9"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lang w:val="en"/>
              </w:rPr>
              <w:t>Region</w:t>
            </w:r>
          </w:p>
        </w:tc>
        <w:tc>
          <w:tcPr>
            <w:tcW w:w="3078" w:type="dxa"/>
            <w:shd w:val="clear" w:color="auto" w:fill="auto"/>
            <w:tcMar>
              <w:top w:w="4" w:type="dxa"/>
              <w:left w:w="4" w:type="dxa"/>
              <w:bottom w:w="0" w:type="dxa"/>
              <w:right w:w="4" w:type="dxa"/>
            </w:tcMar>
            <w:vAlign w:val="center"/>
            <w:hideMark/>
          </w:tcPr>
          <w:p w14:paraId="05C04901" w14:textId="77777777" w:rsidR="00EF3931" w:rsidRPr="001529C7" w:rsidRDefault="004C4BA9"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lang w:val="en"/>
              </w:rPr>
              <w:t>Regional electric grid company</w:t>
            </w:r>
          </w:p>
        </w:tc>
        <w:tc>
          <w:tcPr>
            <w:tcW w:w="3078" w:type="dxa"/>
            <w:shd w:val="clear" w:color="auto" w:fill="auto"/>
            <w:tcMar>
              <w:top w:w="4" w:type="dxa"/>
              <w:left w:w="4" w:type="dxa"/>
              <w:bottom w:w="0" w:type="dxa"/>
              <w:right w:w="4" w:type="dxa"/>
            </w:tcMar>
            <w:vAlign w:val="center"/>
            <w:hideMark/>
          </w:tcPr>
          <w:p w14:paraId="3CBD5EFD" w14:textId="77777777" w:rsidR="00EF3931" w:rsidRPr="001529C7" w:rsidRDefault="004C4BA9"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lang w:val="en"/>
              </w:rPr>
              <w:t>Affiliated energy supply organization</w:t>
            </w:r>
          </w:p>
        </w:tc>
      </w:tr>
      <w:tr w:rsidR="00706070" w14:paraId="365CA7E4" w14:textId="77777777" w:rsidTr="003C781E">
        <w:trPr>
          <w:trHeight w:val="247"/>
        </w:trPr>
        <w:tc>
          <w:tcPr>
            <w:tcW w:w="395" w:type="dxa"/>
            <w:shd w:val="clear" w:color="auto" w:fill="auto"/>
            <w:tcMar>
              <w:top w:w="4" w:type="dxa"/>
              <w:left w:w="4" w:type="dxa"/>
              <w:bottom w:w="0" w:type="dxa"/>
              <w:right w:w="4" w:type="dxa"/>
            </w:tcMar>
            <w:vAlign w:val="center"/>
            <w:hideMark/>
          </w:tcPr>
          <w:p w14:paraId="277E9277" w14:textId="77777777" w:rsidR="00EF3931" w:rsidRPr="001529C7" w:rsidRDefault="004C4BA9"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lang w:val="en"/>
              </w:rPr>
              <w:t>1</w:t>
            </w:r>
          </w:p>
        </w:tc>
        <w:tc>
          <w:tcPr>
            <w:tcW w:w="3078" w:type="dxa"/>
            <w:shd w:val="clear" w:color="auto" w:fill="auto"/>
            <w:tcMar>
              <w:top w:w="4" w:type="dxa"/>
              <w:left w:w="4" w:type="dxa"/>
              <w:bottom w:w="0" w:type="dxa"/>
              <w:right w:w="4" w:type="dxa"/>
            </w:tcMar>
            <w:vAlign w:val="center"/>
            <w:hideMark/>
          </w:tcPr>
          <w:p w14:paraId="3DC5AE35" w14:textId="77777777" w:rsidR="00EF3931" w:rsidRPr="001529C7" w:rsidRDefault="004C4BA9" w:rsidP="0056211E">
            <w:pPr>
              <w:ind w:firstLine="0"/>
              <w:jc w:val="center"/>
              <w:textAlignment w:val="center"/>
              <w:rPr>
                <w:color w:val="000000" w:themeColor="text1"/>
                <w:sz w:val="20"/>
                <w:szCs w:val="20"/>
              </w:rPr>
            </w:pPr>
            <w:r w:rsidRPr="00DB6ACF">
              <w:rPr>
                <w:color w:val="000000" w:themeColor="text1"/>
                <w:kern w:val="24"/>
                <w:sz w:val="20"/>
                <w:szCs w:val="20"/>
                <w:lang w:val="en"/>
              </w:rPr>
              <w:t>Astana city</w:t>
            </w:r>
          </w:p>
        </w:tc>
        <w:tc>
          <w:tcPr>
            <w:tcW w:w="3078" w:type="dxa"/>
            <w:shd w:val="clear" w:color="auto" w:fill="auto"/>
            <w:tcMar>
              <w:top w:w="4" w:type="dxa"/>
              <w:left w:w="4" w:type="dxa"/>
              <w:bottom w:w="0" w:type="dxa"/>
              <w:right w:w="4" w:type="dxa"/>
            </w:tcMar>
            <w:vAlign w:val="center"/>
            <w:hideMark/>
          </w:tcPr>
          <w:p w14:paraId="63B8EBF6" w14:textId="77777777" w:rsidR="00EF3931" w:rsidRPr="00A57506" w:rsidRDefault="004C4BA9" w:rsidP="00F411E1">
            <w:pPr>
              <w:ind w:firstLine="0"/>
              <w:jc w:val="center"/>
              <w:textAlignment w:val="center"/>
              <w:rPr>
                <w:color w:val="000000" w:themeColor="text1"/>
                <w:kern w:val="24"/>
                <w:sz w:val="20"/>
                <w:szCs w:val="20"/>
                <w:lang w:val="en-US"/>
              </w:rPr>
            </w:pPr>
            <w:r w:rsidRPr="001529C7">
              <w:rPr>
                <w:color w:val="000000" w:themeColor="text1"/>
                <w:kern w:val="24"/>
                <w:sz w:val="20"/>
                <w:szCs w:val="20"/>
                <w:lang w:val="en"/>
              </w:rPr>
              <w:t xml:space="preserve">"Akmola REC" JSC </w:t>
            </w:r>
          </w:p>
          <w:p w14:paraId="48412BDC" w14:textId="77777777" w:rsidR="00EF3931" w:rsidRPr="00A57506" w:rsidRDefault="004C4BA9" w:rsidP="00F411E1">
            <w:pPr>
              <w:ind w:firstLine="0"/>
              <w:jc w:val="center"/>
              <w:textAlignment w:val="center"/>
              <w:rPr>
                <w:color w:val="000000" w:themeColor="text1"/>
                <w:sz w:val="20"/>
                <w:szCs w:val="20"/>
                <w:lang w:val="en-US"/>
              </w:rPr>
            </w:pPr>
            <w:r w:rsidRPr="001529C7">
              <w:rPr>
                <w:color w:val="000000" w:themeColor="text1"/>
                <w:kern w:val="24"/>
                <w:sz w:val="20"/>
                <w:szCs w:val="20"/>
                <w:lang w:val="en"/>
              </w:rPr>
              <w:t>(1/3 of transmission volume)</w:t>
            </w:r>
          </w:p>
        </w:tc>
        <w:tc>
          <w:tcPr>
            <w:tcW w:w="3078" w:type="dxa"/>
            <w:shd w:val="clear" w:color="auto" w:fill="auto"/>
            <w:tcMar>
              <w:top w:w="4" w:type="dxa"/>
              <w:left w:w="4" w:type="dxa"/>
              <w:bottom w:w="0" w:type="dxa"/>
              <w:right w:w="4" w:type="dxa"/>
            </w:tcMar>
            <w:vAlign w:val="center"/>
            <w:hideMark/>
          </w:tcPr>
          <w:p w14:paraId="073C7B8E"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AstanaEnergosbyt LLP</w:t>
            </w:r>
          </w:p>
        </w:tc>
      </w:tr>
      <w:tr w:rsidR="00706070" w14:paraId="31539188" w14:textId="77777777" w:rsidTr="003C781E">
        <w:trPr>
          <w:trHeight w:val="247"/>
        </w:trPr>
        <w:tc>
          <w:tcPr>
            <w:tcW w:w="395" w:type="dxa"/>
            <w:vMerge w:val="restart"/>
            <w:shd w:val="clear" w:color="auto" w:fill="auto"/>
            <w:tcMar>
              <w:top w:w="4" w:type="dxa"/>
              <w:left w:w="4" w:type="dxa"/>
              <w:bottom w:w="0" w:type="dxa"/>
              <w:right w:w="4" w:type="dxa"/>
            </w:tcMar>
            <w:vAlign w:val="center"/>
            <w:hideMark/>
          </w:tcPr>
          <w:p w14:paraId="1BA19D3D" w14:textId="77777777" w:rsidR="00EF3931" w:rsidRPr="001529C7" w:rsidRDefault="004C4BA9"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lang w:val="en"/>
              </w:rPr>
              <w:t>2</w:t>
            </w:r>
          </w:p>
        </w:tc>
        <w:tc>
          <w:tcPr>
            <w:tcW w:w="3078" w:type="dxa"/>
            <w:vMerge w:val="restart"/>
            <w:shd w:val="clear" w:color="auto" w:fill="auto"/>
            <w:tcMar>
              <w:top w:w="4" w:type="dxa"/>
              <w:left w:w="4" w:type="dxa"/>
              <w:bottom w:w="0" w:type="dxa"/>
              <w:right w:w="4" w:type="dxa"/>
            </w:tcMar>
            <w:vAlign w:val="center"/>
          </w:tcPr>
          <w:p w14:paraId="2219E49C"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Akmola region</w:t>
            </w:r>
          </w:p>
        </w:tc>
        <w:tc>
          <w:tcPr>
            <w:tcW w:w="3078" w:type="dxa"/>
            <w:shd w:val="clear" w:color="auto" w:fill="auto"/>
            <w:tcMar>
              <w:top w:w="4" w:type="dxa"/>
              <w:left w:w="4" w:type="dxa"/>
              <w:bottom w:w="0" w:type="dxa"/>
              <w:right w:w="4" w:type="dxa"/>
            </w:tcMar>
            <w:vAlign w:val="center"/>
          </w:tcPr>
          <w:p w14:paraId="5663F808"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 xml:space="preserve">"Akmola REC" JSC </w:t>
            </w:r>
          </w:p>
        </w:tc>
        <w:tc>
          <w:tcPr>
            <w:tcW w:w="3078" w:type="dxa"/>
            <w:shd w:val="clear" w:color="auto" w:fill="auto"/>
            <w:tcMar>
              <w:top w:w="4" w:type="dxa"/>
              <w:left w:w="4" w:type="dxa"/>
              <w:bottom w:w="0" w:type="dxa"/>
              <w:right w:w="4" w:type="dxa"/>
            </w:tcMar>
            <w:vAlign w:val="center"/>
          </w:tcPr>
          <w:p w14:paraId="542F300F"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AREC Energosbyt LLP</w:t>
            </w:r>
          </w:p>
        </w:tc>
      </w:tr>
      <w:tr w:rsidR="00706070" w14:paraId="050A6FFC" w14:textId="77777777" w:rsidTr="003C781E">
        <w:trPr>
          <w:trHeight w:val="128"/>
        </w:trPr>
        <w:tc>
          <w:tcPr>
            <w:tcW w:w="395" w:type="dxa"/>
            <w:vMerge/>
            <w:shd w:val="clear" w:color="auto" w:fill="auto"/>
            <w:tcMar>
              <w:top w:w="4" w:type="dxa"/>
              <w:left w:w="4" w:type="dxa"/>
              <w:bottom w:w="0" w:type="dxa"/>
              <w:right w:w="4" w:type="dxa"/>
            </w:tcMar>
            <w:vAlign w:val="center"/>
          </w:tcPr>
          <w:p w14:paraId="6E02DF54" w14:textId="77777777" w:rsidR="00EF3931" w:rsidRPr="001529C7" w:rsidRDefault="00EF3931" w:rsidP="00F411E1">
            <w:pPr>
              <w:ind w:firstLine="0"/>
              <w:jc w:val="center"/>
              <w:textAlignment w:val="center"/>
              <w:rPr>
                <w:b/>
                <w:bCs/>
                <w:color w:val="000000" w:themeColor="text1"/>
                <w:kern w:val="24"/>
                <w:sz w:val="16"/>
                <w:szCs w:val="16"/>
              </w:rPr>
            </w:pPr>
          </w:p>
        </w:tc>
        <w:tc>
          <w:tcPr>
            <w:tcW w:w="3078" w:type="dxa"/>
            <w:vMerge/>
            <w:shd w:val="clear" w:color="auto" w:fill="auto"/>
            <w:tcMar>
              <w:top w:w="4" w:type="dxa"/>
              <w:left w:w="4" w:type="dxa"/>
              <w:bottom w:w="0" w:type="dxa"/>
              <w:right w:w="4" w:type="dxa"/>
            </w:tcMar>
            <w:vAlign w:val="center"/>
          </w:tcPr>
          <w:p w14:paraId="7F3E79F2" w14:textId="77777777" w:rsidR="00EF3931" w:rsidRPr="001529C7" w:rsidRDefault="00EF3931" w:rsidP="00F411E1">
            <w:pPr>
              <w:ind w:firstLine="0"/>
              <w:jc w:val="center"/>
              <w:textAlignment w:val="center"/>
              <w:rPr>
                <w:color w:val="000000" w:themeColor="text1"/>
                <w:kern w:val="24"/>
                <w:sz w:val="20"/>
                <w:szCs w:val="20"/>
              </w:rPr>
            </w:pPr>
          </w:p>
        </w:tc>
        <w:tc>
          <w:tcPr>
            <w:tcW w:w="3078" w:type="dxa"/>
            <w:shd w:val="clear" w:color="auto" w:fill="auto"/>
            <w:tcMar>
              <w:top w:w="4" w:type="dxa"/>
              <w:left w:w="4" w:type="dxa"/>
              <w:bottom w:w="0" w:type="dxa"/>
              <w:right w:w="4" w:type="dxa"/>
            </w:tcMar>
            <w:vAlign w:val="center"/>
          </w:tcPr>
          <w:p w14:paraId="1AD9306D"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Kokshetau Energo LLP</w:t>
            </w:r>
          </w:p>
        </w:tc>
        <w:tc>
          <w:tcPr>
            <w:tcW w:w="3078" w:type="dxa"/>
            <w:shd w:val="clear" w:color="auto" w:fill="auto"/>
            <w:tcMar>
              <w:top w:w="4" w:type="dxa"/>
              <w:left w:w="4" w:type="dxa"/>
              <w:bottom w:w="0" w:type="dxa"/>
              <w:right w:w="4" w:type="dxa"/>
            </w:tcMar>
            <w:vAlign w:val="center"/>
          </w:tcPr>
          <w:p w14:paraId="192394A6"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Kokshetau Energo Center LLP</w:t>
            </w:r>
          </w:p>
        </w:tc>
      </w:tr>
      <w:tr w:rsidR="00706070" w14:paraId="6B5F63CF" w14:textId="77777777" w:rsidTr="003C781E">
        <w:trPr>
          <w:trHeight w:val="247"/>
        </w:trPr>
        <w:tc>
          <w:tcPr>
            <w:tcW w:w="395" w:type="dxa"/>
            <w:shd w:val="clear" w:color="auto" w:fill="auto"/>
            <w:tcMar>
              <w:top w:w="4" w:type="dxa"/>
              <w:left w:w="4" w:type="dxa"/>
              <w:bottom w:w="0" w:type="dxa"/>
              <w:right w:w="4" w:type="dxa"/>
            </w:tcMar>
            <w:vAlign w:val="center"/>
          </w:tcPr>
          <w:p w14:paraId="7C76DB8D"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3</w:t>
            </w:r>
          </w:p>
        </w:tc>
        <w:tc>
          <w:tcPr>
            <w:tcW w:w="3078" w:type="dxa"/>
            <w:shd w:val="clear" w:color="auto" w:fill="auto"/>
            <w:tcMar>
              <w:top w:w="4" w:type="dxa"/>
              <w:left w:w="4" w:type="dxa"/>
              <w:bottom w:w="0" w:type="dxa"/>
              <w:right w:w="4" w:type="dxa"/>
            </w:tcMar>
            <w:vAlign w:val="center"/>
          </w:tcPr>
          <w:p w14:paraId="76D1BB96"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Pavlodar region</w:t>
            </w:r>
          </w:p>
        </w:tc>
        <w:tc>
          <w:tcPr>
            <w:tcW w:w="3078" w:type="dxa"/>
            <w:shd w:val="clear" w:color="auto" w:fill="auto"/>
            <w:tcMar>
              <w:top w:w="4" w:type="dxa"/>
              <w:left w:w="4" w:type="dxa"/>
              <w:bottom w:w="0" w:type="dxa"/>
              <w:right w:w="4" w:type="dxa"/>
            </w:tcMar>
            <w:vAlign w:val="center"/>
          </w:tcPr>
          <w:p w14:paraId="671663FF"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Pavlodar REC JSC</w:t>
            </w:r>
          </w:p>
        </w:tc>
        <w:tc>
          <w:tcPr>
            <w:tcW w:w="3078" w:type="dxa"/>
            <w:shd w:val="clear" w:color="auto" w:fill="auto"/>
            <w:tcMar>
              <w:top w:w="4" w:type="dxa"/>
              <w:left w:w="4" w:type="dxa"/>
              <w:bottom w:w="0" w:type="dxa"/>
              <w:right w:w="4" w:type="dxa"/>
            </w:tcMar>
            <w:vAlign w:val="center"/>
          </w:tcPr>
          <w:p w14:paraId="61072D3D"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sz w:val="20"/>
                <w:szCs w:val="20"/>
                <w:lang w:val="en"/>
              </w:rPr>
              <w:t>Pavlodarenergosbyt LLP</w:t>
            </w:r>
          </w:p>
        </w:tc>
      </w:tr>
      <w:tr w:rsidR="00706070" w14:paraId="4A1E8135" w14:textId="77777777" w:rsidTr="003C781E">
        <w:trPr>
          <w:trHeight w:val="247"/>
        </w:trPr>
        <w:tc>
          <w:tcPr>
            <w:tcW w:w="395" w:type="dxa"/>
            <w:shd w:val="clear" w:color="auto" w:fill="auto"/>
            <w:tcMar>
              <w:top w:w="4" w:type="dxa"/>
              <w:left w:w="4" w:type="dxa"/>
              <w:bottom w:w="0" w:type="dxa"/>
              <w:right w:w="4" w:type="dxa"/>
            </w:tcMar>
            <w:vAlign w:val="center"/>
          </w:tcPr>
          <w:p w14:paraId="4584F68F"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4</w:t>
            </w:r>
          </w:p>
        </w:tc>
        <w:tc>
          <w:tcPr>
            <w:tcW w:w="3078" w:type="dxa"/>
            <w:shd w:val="clear" w:color="auto" w:fill="auto"/>
            <w:tcMar>
              <w:top w:w="4" w:type="dxa"/>
              <w:left w:w="4" w:type="dxa"/>
              <w:bottom w:w="0" w:type="dxa"/>
              <w:right w:w="4" w:type="dxa"/>
            </w:tcMar>
            <w:vAlign w:val="center"/>
          </w:tcPr>
          <w:p w14:paraId="18F39741"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North Kazakhstan region</w:t>
            </w:r>
          </w:p>
        </w:tc>
        <w:tc>
          <w:tcPr>
            <w:tcW w:w="3078" w:type="dxa"/>
            <w:shd w:val="clear" w:color="auto" w:fill="auto"/>
            <w:tcMar>
              <w:top w:w="4" w:type="dxa"/>
              <w:left w:w="4" w:type="dxa"/>
              <w:bottom w:w="0" w:type="dxa"/>
              <w:right w:w="4" w:type="dxa"/>
            </w:tcMar>
            <w:vAlign w:val="center"/>
          </w:tcPr>
          <w:p w14:paraId="53FE6125"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 xml:space="preserve">"North Kazakhstan REC" JSC </w:t>
            </w:r>
          </w:p>
        </w:tc>
        <w:tc>
          <w:tcPr>
            <w:tcW w:w="3078" w:type="dxa"/>
            <w:shd w:val="clear" w:color="auto" w:fill="auto"/>
            <w:tcMar>
              <w:top w:w="4" w:type="dxa"/>
              <w:left w:w="4" w:type="dxa"/>
              <w:bottom w:w="0" w:type="dxa"/>
              <w:right w:w="4" w:type="dxa"/>
            </w:tcMar>
            <w:vAlign w:val="center"/>
          </w:tcPr>
          <w:p w14:paraId="60E19BAF" w14:textId="77777777" w:rsidR="00EF3931" w:rsidRPr="001529C7" w:rsidRDefault="00EF3931" w:rsidP="00F411E1">
            <w:pPr>
              <w:ind w:firstLine="0"/>
              <w:jc w:val="center"/>
              <w:textAlignment w:val="center"/>
              <w:rPr>
                <w:color w:val="000000" w:themeColor="text1"/>
                <w:sz w:val="20"/>
                <w:szCs w:val="20"/>
              </w:rPr>
            </w:pPr>
          </w:p>
        </w:tc>
      </w:tr>
      <w:tr w:rsidR="00706070" w14:paraId="4DDB1071" w14:textId="77777777" w:rsidTr="003C781E">
        <w:trPr>
          <w:trHeight w:val="247"/>
        </w:trPr>
        <w:tc>
          <w:tcPr>
            <w:tcW w:w="395" w:type="dxa"/>
            <w:shd w:val="clear" w:color="auto" w:fill="auto"/>
            <w:tcMar>
              <w:top w:w="4" w:type="dxa"/>
              <w:left w:w="4" w:type="dxa"/>
              <w:bottom w:w="0" w:type="dxa"/>
              <w:right w:w="4" w:type="dxa"/>
            </w:tcMar>
            <w:vAlign w:val="center"/>
          </w:tcPr>
          <w:p w14:paraId="0F4FB908"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5</w:t>
            </w:r>
          </w:p>
        </w:tc>
        <w:tc>
          <w:tcPr>
            <w:tcW w:w="3078" w:type="dxa"/>
            <w:shd w:val="clear" w:color="auto" w:fill="auto"/>
            <w:tcMar>
              <w:top w:w="4" w:type="dxa"/>
              <w:left w:w="4" w:type="dxa"/>
              <w:bottom w:w="0" w:type="dxa"/>
              <w:right w:w="4" w:type="dxa"/>
            </w:tcMar>
            <w:vAlign w:val="center"/>
          </w:tcPr>
          <w:p w14:paraId="668ABB01" w14:textId="09C68C47" w:rsidR="00EF3931" w:rsidRPr="001529C7" w:rsidRDefault="004C4BA9" w:rsidP="00807ADE">
            <w:pPr>
              <w:ind w:firstLine="0"/>
              <w:jc w:val="center"/>
              <w:textAlignment w:val="center"/>
              <w:rPr>
                <w:color w:val="000000" w:themeColor="text1"/>
                <w:kern w:val="24"/>
                <w:sz w:val="20"/>
                <w:szCs w:val="20"/>
              </w:rPr>
            </w:pPr>
            <w:r w:rsidRPr="001529C7">
              <w:rPr>
                <w:color w:val="000000" w:themeColor="text1"/>
                <w:kern w:val="24"/>
                <w:sz w:val="20"/>
                <w:szCs w:val="20"/>
                <w:lang w:val="en"/>
              </w:rPr>
              <w:t>Karaganda region</w:t>
            </w:r>
          </w:p>
        </w:tc>
        <w:tc>
          <w:tcPr>
            <w:tcW w:w="3078" w:type="dxa"/>
            <w:shd w:val="clear" w:color="auto" w:fill="auto"/>
            <w:tcMar>
              <w:top w:w="4" w:type="dxa"/>
              <w:left w:w="4" w:type="dxa"/>
              <w:bottom w:w="0" w:type="dxa"/>
              <w:right w:w="4" w:type="dxa"/>
            </w:tcMar>
            <w:vAlign w:val="center"/>
          </w:tcPr>
          <w:p w14:paraId="733511E4"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 xml:space="preserve">"Kagandy Zharyk" LLP </w:t>
            </w:r>
          </w:p>
        </w:tc>
        <w:tc>
          <w:tcPr>
            <w:tcW w:w="3078" w:type="dxa"/>
            <w:shd w:val="clear" w:color="auto" w:fill="auto"/>
            <w:tcMar>
              <w:top w:w="4" w:type="dxa"/>
              <w:left w:w="4" w:type="dxa"/>
              <w:bottom w:w="0" w:type="dxa"/>
              <w:right w:w="4" w:type="dxa"/>
            </w:tcMar>
            <w:vAlign w:val="center"/>
          </w:tcPr>
          <w:p w14:paraId="55FC5F26"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sz w:val="20"/>
                <w:szCs w:val="20"/>
                <w:lang w:val="en"/>
              </w:rPr>
              <w:t xml:space="preserve">"Karagandyzhylusbyt" LLP, "RSC" LLP </w:t>
            </w:r>
          </w:p>
        </w:tc>
      </w:tr>
      <w:tr w:rsidR="00706070" w14:paraId="72A5F583" w14:textId="77777777" w:rsidTr="003C781E">
        <w:trPr>
          <w:trHeight w:val="247"/>
        </w:trPr>
        <w:tc>
          <w:tcPr>
            <w:tcW w:w="395" w:type="dxa"/>
            <w:shd w:val="clear" w:color="auto" w:fill="auto"/>
            <w:tcMar>
              <w:top w:w="4" w:type="dxa"/>
              <w:left w:w="4" w:type="dxa"/>
              <w:bottom w:w="0" w:type="dxa"/>
              <w:right w:w="4" w:type="dxa"/>
            </w:tcMar>
            <w:vAlign w:val="center"/>
          </w:tcPr>
          <w:p w14:paraId="68129E82"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6</w:t>
            </w:r>
          </w:p>
        </w:tc>
        <w:tc>
          <w:tcPr>
            <w:tcW w:w="3078" w:type="dxa"/>
            <w:shd w:val="clear" w:color="auto" w:fill="auto"/>
            <w:tcMar>
              <w:top w:w="4" w:type="dxa"/>
              <w:left w:w="4" w:type="dxa"/>
              <w:bottom w:w="0" w:type="dxa"/>
              <w:right w:w="4" w:type="dxa"/>
            </w:tcMar>
            <w:vAlign w:val="center"/>
          </w:tcPr>
          <w:p w14:paraId="2D57CACD" w14:textId="77777777" w:rsidR="00EF3931" w:rsidRPr="00A57506" w:rsidRDefault="004C4BA9" w:rsidP="00F411E1">
            <w:pPr>
              <w:ind w:firstLine="0"/>
              <w:jc w:val="center"/>
              <w:textAlignment w:val="center"/>
              <w:rPr>
                <w:color w:val="000000" w:themeColor="text1"/>
                <w:kern w:val="24"/>
                <w:sz w:val="20"/>
                <w:szCs w:val="20"/>
                <w:lang w:val="en-US"/>
              </w:rPr>
            </w:pPr>
            <w:r w:rsidRPr="001529C7">
              <w:rPr>
                <w:color w:val="000000" w:themeColor="text1"/>
                <w:kern w:val="24"/>
                <w:sz w:val="20"/>
                <w:szCs w:val="20"/>
                <w:lang w:val="en"/>
              </w:rPr>
              <w:t xml:space="preserve">Turkestan region and Shymkent city </w:t>
            </w:r>
          </w:p>
        </w:tc>
        <w:tc>
          <w:tcPr>
            <w:tcW w:w="3078" w:type="dxa"/>
            <w:shd w:val="clear" w:color="auto" w:fill="auto"/>
            <w:tcMar>
              <w:top w:w="4" w:type="dxa"/>
              <w:left w:w="4" w:type="dxa"/>
              <w:bottom w:w="0" w:type="dxa"/>
              <w:right w:w="4" w:type="dxa"/>
            </w:tcMar>
            <w:vAlign w:val="center"/>
          </w:tcPr>
          <w:p w14:paraId="1C0BF1B1"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Ontustik Zharyk Transit LLP</w:t>
            </w:r>
          </w:p>
        </w:tc>
        <w:tc>
          <w:tcPr>
            <w:tcW w:w="3078" w:type="dxa"/>
            <w:shd w:val="clear" w:color="auto" w:fill="auto"/>
            <w:tcMar>
              <w:top w:w="4" w:type="dxa"/>
              <w:left w:w="4" w:type="dxa"/>
              <w:bottom w:w="0" w:type="dxa"/>
              <w:right w:w="4" w:type="dxa"/>
            </w:tcMar>
            <w:vAlign w:val="center"/>
          </w:tcPr>
          <w:p w14:paraId="1143D744"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sz w:val="20"/>
                <w:szCs w:val="20"/>
                <w:lang w:val="en"/>
              </w:rPr>
              <w:t>Energopotok LLP</w:t>
            </w:r>
          </w:p>
        </w:tc>
      </w:tr>
      <w:tr w:rsidR="00706070" w14:paraId="0F7793DE" w14:textId="77777777" w:rsidTr="003C781E">
        <w:trPr>
          <w:trHeight w:val="247"/>
        </w:trPr>
        <w:tc>
          <w:tcPr>
            <w:tcW w:w="395" w:type="dxa"/>
            <w:shd w:val="clear" w:color="auto" w:fill="auto"/>
            <w:tcMar>
              <w:top w:w="4" w:type="dxa"/>
              <w:left w:w="4" w:type="dxa"/>
              <w:bottom w:w="0" w:type="dxa"/>
              <w:right w:w="4" w:type="dxa"/>
            </w:tcMar>
            <w:vAlign w:val="center"/>
          </w:tcPr>
          <w:p w14:paraId="63C88A10"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7</w:t>
            </w:r>
          </w:p>
        </w:tc>
        <w:tc>
          <w:tcPr>
            <w:tcW w:w="3078" w:type="dxa"/>
            <w:shd w:val="clear" w:color="auto" w:fill="auto"/>
            <w:tcMar>
              <w:top w:w="4" w:type="dxa"/>
              <w:left w:w="4" w:type="dxa"/>
              <w:bottom w:w="0" w:type="dxa"/>
              <w:right w:w="4" w:type="dxa"/>
            </w:tcMar>
            <w:vAlign w:val="center"/>
          </w:tcPr>
          <w:p w14:paraId="1F65822C"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Mangystau region</w:t>
            </w:r>
          </w:p>
        </w:tc>
        <w:tc>
          <w:tcPr>
            <w:tcW w:w="3078" w:type="dxa"/>
            <w:shd w:val="clear" w:color="auto" w:fill="auto"/>
            <w:tcMar>
              <w:top w:w="4" w:type="dxa"/>
              <w:left w:w="4" w:type="dxa"/>
              <w:bottom w:w="0" w:type="dxa"/>
              <w:right w:w="4" w:type="dxa"/>
            </w:tcMar>
            <w:vAlign w:val="center"/>
          </w:tcPr>
          <w:p w14:paraId="143F9D37"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Mangystau REC JSC</w:t>
            </w:r>
          </w:p>
        </w:tc>
        <w:tc>
          <w:tcPr>
            <w:tcW w:w="3078" w:type="dxa"/>
            <w:shd w:val="clear" w:color="auto" w:fill="auto"/>
            <w:tcMar>
              <w:top w:w="4" w:type="dxa"/>
              <w:left w:w="4" w:type="dxa"/>
              <w:bottom w:w="0" w:type="dxa"/>
              <w:right w:w="4" w:type="dxa"/>
            </w:tcMar>
            <w:vAlign w:val="center"/>
          </w:tcPr>
          <w:p w14:paraId="677F088A"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sz w:val="20"/>
                <w:szCs w:val="20"/>
                <w:lang w:val="en"/>
              </w:rPr>
              <w:t>Mangystau Zharyk LLP</w:t>
            </w:r>
          </w:p>
        </w:tc>
      </w:tr>
      <w:tr w:rsidR="00706070" w14:paraId="30BEAAB6" w14:textId="77777777" w:rsidTr="003C781E">
        <w:trPr>
          <w:trHeight w:val="247"/>
        </w:trPr>
        <w:tc>
          <w:tcPr>
            <w:tcW w:w="395" w:type="dxa"/>
            <w:shd w:val="clear" w:color="auto" w:fill="auto"/>
            <w:tcMar>
              <w:top w:w="4" w:type="dxa"/>
              <w:left w:w="4" w:type="dxa"/>
              <w:bottom w:w="0" w:type="dxa"/>
              <w:right w:w="4" w:type="dxa"/>
            </w:tcMar>
            <w:vAlign w:val="center"/>
          </w:tcPr>
          <w:p w14:paraId="7970572E"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9</w:t>
            </w:r>
          </w:p>
        </w:tc>
        <w:tc>
          <w:tcPr>
            <w:tcW w:w="3078" w:type="dxa"/>
            <w:shd w:val="clear" w:color="auto" w:fill="auto"/>
            <w:tcMar>
              <w:top w:w="4" w:type="dxa"/>
              <w:left w:w="4" w:type="dxa"/>
              <w:bottom w:w="0" w:type="dxa"/>
              <w:right w:w="4" w:type="dxa"/>
            </w:tcMar>
            <w:vAlign w:val="center"/>
          </w:tcPr>
          <w:p w14:paraId="65CD6E01"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Atyrau region</w:t>
            </w:r>
          </w:p>
        </w:tc>
        <w:tc>
          <w:tcPr>
            <w:tcW w:w="3078" w:type="dxa"/>
            <w:shd w:val="clear" w:color="auto" w:fill="auto"/>
            <w:tcMar>
              <w:top w:w="4" w:type="dxa"/>
              <w:left w:w="4" w:type="dxa"/>
              <w:bottom w:w="0" w:type="dxa"/>
              <w:right w:w="4" w:type="dxa"/>
            </w:tcMar>
            <w:vAlign w:val="center"/>
          </w:tcPr>
          <w:p w14:paraId="15020497"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Atyrau Zharyk JSC</w:t>
            </w:r>
          </w:p>
        </w:tc>
        <w:tc>
          <w:tcPr>
            <w:tcW w:w="3078" w:type="dxa"/>
            <w:shd w:val="clear" w:color="auto" w:fill="auto"/>
            <w:tcMar>
              <w:top w:w="4" w:type="dxa"/>
              <w:left w:w="4" w:type="dxa"/>
              <w:bottom w:w="0" w:type="dxa"/>
              <w:right w:w="4" w:type="dxa"/>
            </w:tcMar>
            <w:vAlign w:val="center"/>
          </w:tcPr>
          <w:p w14:paraId="0976E1BC"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Atyrauenergosnab LLP</w:t>
            </w:r>
          </w:p>
        </w:tc>
      </w:tr>
      <w:tr w:rsidR="00706070" w14:paraId="67D51CE8" w14:textId="77777777" w:rsidTr="003C781E">
        <w:trPr>
          <w:trHeight w:val="247"/>
        </w:trPr>
        <w:tc>
          <w:tcPr>
            <w:tcW w:w="395" w:type="dxa"/>
            <w:shd w:val="clear" w:color="auto" w:fill="auto"/>
            <w:tcMar>
              <w:top w:w="4" w:type="dxa"/>
              <w:left w:w="4" w:type="dxa"/>
              <w:bottom w:w="0" w:type="dxa"/>
              <w:right w:w="4" w:type="dxa"/>
            </w:tcMar>
            <w:vAlign w:val="center"/>
          </w:tcPr>
          <w:p w14:paraId="1DA7D18D"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10</w:t>
            </w:r>
          </w:p>
        </w:tc>
        <w:tc>
          <w:tcPr>
            <w:tcW w:w="3078" w:type="dxa"/>
            <w:shd w:val="clear" w:color="auto" w:fill="auto"/>
            <w:tcMar>
              <w:top w:w="4" w:type="dxa"/>
              <w:left w:w="4" w:type="dxa"/>
              <w:bottom w:w="0" w:type="dxa"/>
              <w:right w:w="4" w:type="dxa"/>
            </w:tcMar>
            <w:vAlign w:val="center"/>
          </w:tcPr>
          <w:p w14:paraId="4A1EC1FF"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Zhambyl region</w:t>
            </w:r>
          </w:p>
        </w:tc>
        <w:tc>
          <w:tcPr>
            <w:tcW w:w="3078" w:type="dxa"/>
            <w:shd w:val="clear" w:color="auto" w:fill="auto"/>
            <w:tcMar>
              <w:top w:w="4" w:type="dxa"/>
              <w:left w:w="4" w:type="dxa"/>
              <w:bottom w:w="0" w:type="dxa"/>
              <w:right w:w="4" w:type="dxa"/>
            </w:tcMar>
            <w:vAlign w:val="center"/>
          </w:tcPr>
          <w:p w14:paraId="1905412F"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 xml:space="preserve">"Zhambyl electric networks" JSC </w:t>
            </w:r>
          </w:p>
        </w:tc>
        <w:tc>
          <w:tcPr>
            <w:tcW w:w="3078" w:type="dxa"/>
            <w:shd w:val="clear" w:color="auto" w:fill="auto"/>
            <w:tcMar>
              <w:top w:w="4" w:type="dxa"/>
              <w:left w:w="4" w:type="dxa"/>
              <w:bottom w:w="0" w:type="dxa"/>
              <w:right w:w="4" w:type="dxa"/>
            </w:tcMar>
            <w:vAlign w:val="center"/>
          </w:tcPr>
          <w:p w14:paraId="79A270FA"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Zhambyl Zharyk Sauda LLP</w:t>
            </w:r>
          </w:p>
        </w:tc>
      </w:tr>
      <w:tr w:rsidR="00706070" w14:paraId="410D08F9" w14:textId="77777777" w:rsidTr="003C781E">
        <w:trPr>
          <w:trHeight w:val="200"/>
        </w:trPr>
        <w:tc>
          <w:tcPr>
            <w:tcW w:w="395" w:type="dxa"/>
            <w:shd w:val="clear" w:color="auto" w:fill="auto"/>
            <w:tcMar>
              <w:top w:w="4" w:type="dxa"/>
              <w:left w:w="4" w:type="dxa"/>
              <w:bottom w:w="0" w:type="dxa"/>
              <w:right w:w="4" w:type="dxa"/>
            </w:tcMar>
            <w:vAlign w:val="center"/>
            <w:hideMark/>
          </w:tcPr>
          <w:p w14:paraId="75C2D44F" w14:textId="77777777" w:rsidR="00EF3931" w:rsidRPr="001529C7" w:rsidRDefault="004C4BA9"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lang w:val="en"/>
              </w:rPr>
              <w:t>11</w:t>
            </w:r>
          </w:p>
        </w:tc>
        <w:tc>
          <w:tcPr>
            <w:tcW w:w="3078" w:type="dxa"/>
            <w:shd w:val="clear" w:color="auto" w:fill="auto"/>
            <w:tcMar>
              <w:top w:w="4" w:type="dxa"/>
              <w:left w:w="4" w:type="dxa"/>
              <w:bottom w:w="0" w:type="dxa"/>
              <w:right w:w="4" w:type="dxa"/>
            </w:tcMar>
            <w:vAlign w:val="center"/>
            <w:hideMark/>
          </w:tcPr>
          <w:p w14:paraId="4E57C758"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Almaty region</w:t>
            </w:r>
          </w:p>
        </w:tc>
        <w:tc>
          <w:tcPr>
            <w:tcW w:w="3078" w:type="dxa"/>
            <w:shd w:val="clear" w:color="auto" w:fill="auto"/>
            <w:tcMar>
              <w:top w:w="4" w:type="dxa"/>
              <w:left w:w="4" w:type="dxa"/>
              <w:bottom w:w="0" w:type="dxa"/>
              <w:right w:w="4" w:type="dxa"/>
            </w:tcMar>
            <w:vAlign w:val="center"/>
            <w:hideMark/>
          </w:tcPr>
          <w:p w14:paraId="1887637F"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TATEC JSC</w:t>
            </w:r>
          </w:p>
        </w:tc>
        <w:tc>
          <w:tcPr>
            <w:tcW w:w="3078" w:type="dxa"/>
            <w:shd w:val="clear" w:color="auto" w:fill="auto"/>
            <w:tcMar>
              <w:top w:w="4" w:type="dxa"/>
              <w:left w:w="4" w:type="dxa"/>
              <w:bottom w:w="0" w:type="dxa"/>
              <w:right w:w="4" w:type="dxa"/>
            </w:tcMar>
            <w:vAlign w:val="center"/>
            <w:hideMark/>
          </w:tcPr>
          <w:p w14:paraId="1D00C187"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Zhetysuenergotrade LLP</w:t>
            </w:r>
          </w:p>
        </w:tc>
      </w:tr>
      <w:tr w:rsidR="00706070" w14:paraId="26B66851" w14:textId="77777777" w:rsidTr="003C781E">
        <w:trPr>
          <w:trHeight w:val="192"/>
        </w:trPr>
        <w:tc>
          <w:tcPr>
            <w:tcW w:w="395" w:type="dxa"/>
            <w:shd w:val="clear" w:color="auto" w:fill="auto"/>
            <w:tcMar>
              <w:top w:w="4" w:type="dxa"/>
              <w:left w:w="4" w:type="dxa"/>
              <w:bottom w:w="0" w:type="dxa"/>
              <w:right w:w="4" w:type="dxa"/>
            </w:tcMar>
            <w:vAlign w:val="center"/>
            <w:hideMark/>
          </w:tcPr>
          <w:p w14:paraId="2C1E0363" w14:textId="77777777" w:rsidR="00EF3931" w:rsidRPr="001529C7" w:rsidRDefault="004C4BA9"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lang w:val="en"/>
              </w:rPr>
              <w:t>12</w:t>
            </w:r>
          </w:p>
        </w:tc>
        <w:tc>
          <w:tcPr>
            <w:tcW w:w="3078" w:type="dxa"/>
            <w:shd w:val="clear" w:color="auto" w:fill="auto"/>
            <w:tcMar>
              <w:top w:w="4" w:type="dxa"/>
              <w:left w:w="4" w:type="dxa"/>
              <w:bottom w:w="0" w:type="dxa"/>
              <w:right w:w="4" w:type="dxa"/>
            </w:tcMar>
            <w:vAlign w:val="center"/>
            <w:hideMark/>
          </w:tcPr>
          <w:p w14:paraId="1674B905"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East Kazakhstan region</w:t>
            </w:r>
          </w:p>
        </w:tc>
        <w:tc>
          <w:tcPr>
            <w:tcW w:w="3078" w:type="dxa"/>
            <w:shd w:val="clear" w:color="auto" w:fill="auto"/>
            <w:tcMar>
              <w:top w:w="4" w:type="dxa"/>
              <w:left w:w="4" w:type="dxa"/>
              <w:bottom w:w="0" w:type="dxa"/>
              <w:right w:w="4" w:type="dxa"/>
            </w:tcMar>
            <w:vAlign w:val="center"/>
            <w:hideMark/>
          </w:tcPr>
          <w:p w14:paraId="16EAB64E"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 xml:space="preserve">"East Kazakhstan REC" JSC </w:t>
            </w:r>
          </w:p>
        </w:tc>
        <w:tc>
          <w:tcPr>
            <w:tcW w:w="3078" w:type="dxa"/>
            <w:shd w:val="clear" w:color="auto" w:fill="auto"/>
            <w:tcMar>
              <w:top w:w="4" w:type="dxa"/>
              <w:left w:w="4" w:type="dxa"/>
              <w:bottom w:w="0" w:type="dxa"/>
              <w:right w:w="4" w:type="dxa"/>
            </w:tcMar>
            <w:vAlign w:val="center"/>
            <w:hideMark/>
          </w:tcPr>
          <w:p w14:paraId="45609EBC" w14:textId="77777777" w:rsidR="00EF3931" w:rsidRPr="001529C7" w:rsidRDefault="004C4BA9" w:rsidP="00F411E1">
            <w:pPr>
              <w:ind w:firstLine="0"/>
              <w:jc w:val="center"/>
              <w:textAlignment w:val="center"/>
              <w:rPr>
                <w:color w:val="000000" w:themeColor="text1"/>
                <w:sz w:val="20"/>
                <w:szCs w:val="20"/>
              </w:rPr>
            </w:pPr>
            <w:r w:rsidRPr="001529C7">
              <w:rPr>
                <w:color w:val="000000" w:themeColor="text1"/>
                <w:kern w:val="24"/>
                <w:sz w:val="20"/>
                <w:szCs w:val="20"/>
                <w:lang w:val="en"/>
              </w:rPr>
              <w:t>Shygysenergotrade LLP</w:t>
            </w:r>
          </w:p>
        </w:tc>
      </w:tr>
      <w:tr w:rsidR="00706070" w14:paraId="2212712E" w14:textId="77777777" w:rsidTr="003C781E">
        <w:trPr>
          <w:trHeight w:val="192"/>
        </w:trPr>
        <w:tc>
          <w:tcPr>
            <w:tcW w:w="395" w:type="dxa"/>
            <w:shd w:val="clear" w:color="auto" w:fill="auto"/>
            <w:tcMar>
              <w:top w:w="4" w:type="dxa"/>
              <w:left w:w="4" w:type="dxa"/>
              <w:bottom w:w="0" w:type="dxa"/>
              <w:right w:w="4" w:type="dxa"/>
            </w:tcMar>
            <w:vAlign w:val="center"/>
          </w:tcPr>
          <w:p w14:paraId="3ECCB2FC" w14:textId="77777777" w:rsidR="00EF3931" w:rsidRPr="001529C7" w:rsidRDefault="004C4BA9"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lang w:val="en"/>
              </w:rPr>
              <w:t>13</w:t>
            </w:r>
          </w:p>
        </w:tc>
        <w:tc>
          <w:tcPr>
            <w:tcW w:w="3078" w:type="dxa"/>
            <w:shd w:val="clear" w:color="auto" w:fill="auto"/>
            <w:tcMar>
              <w:top w:w="4" w:type="dxa"/>
              <w:left w:w="4" w:type="dxa"/>
              <w:bottom w:w="0" w:type="dxa"/>
              <w:right w:w="4" w:type="dxa"/>
            </w:tcMar>
            <w:vAlign w:val="center"/>
          </w:tcPr>
          <w:p w14:paraId="4DFB32EE"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Almaty city</w:t>
            </w:r>
          </w:p>
        </w:tc>
        <w:tc>
          <w:tcPr>
            <w:tcW w:w="3078" w:type="dxa"/>
            <w:shd w:val="clear" w:color="auto" w:fill="auto"/>
            <w:tcMar>
              <w:top w:w="4" w:type="dxa"/>
              <w:left w:w="4" w:type="dxa"/>
              <w:bottom w:w="0" w:type="dxa"/>
              <w:right w:w="4" w:type="dxa"/>
            </w:tcMar>
            <w:vAlign w:val="center"/>
          </w:tcPr>
          <w:p w14:paraId="38DDB5F2"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kern w:val="24"/>
                <w:sz w:val="20"/>
                <w:szCs w:val="20"/>
                <w:lang w:val="en"/>
              </w:rPr>
              <w:t xml:space="preserve">"Alatau Zharyk Companiyasy" JSC </w:t>
            </w:r>
          </w:p>
        </w:tc>
        <w:tc>
          <w:tcPr>
            <w:tcW w:w="3078" w:type="dxa"/>
            <w:shd w:val="clear" w:color="auto" w:fill="auto"/>
            <w:tcMar>
              <w:top w:w="4" w:type="dxa"/>
              <w:left w:w="4" w:type="dxa"/>
              <w:bottom w:w="0" w:type="dxa"/>
              <w:right w:w="4" w:type="dxa"/>
            </w:tcMar>
            <w:vAlign w:val="center"/>
          </w:tcPr>
          <w:p w14:paraId="2C99C474" w14:textId="77777777" w:rsidR="00EF3931" w:rsidRPr="001529C7" w:rsidRDefault="004C4BA9" w:rsidP="00F411E1">
            <w:pPr>
              <w:ind w:firstLine="0"/>
              <w:jc w:val="center"/>
              <w:textAlignment w:val="center"/>
              <w:rPr>
                <w:color w:val="000000" w:themeColor="text1"/>
                <w:kern w:val="24"/>
                <w:sz w:val="20"/>
                <w:szCs w:val="20"/>
              </w:rPr>
            </w:pPr>
            <w:r w:rsidRPr="001529C7">
              <w:rPr>
                <w:color w:val="000000" w:themeColor="text1"/>
                <w:sz w:val="20"/>
                <w:szCs w:val="20"/>
                <w:lang w:val="en"/>
              </w:rPr>
              <w:t>Almatyenergosbyt LLP</w:t>
            </w:r>
          </w:p>
        </w:tc>
      </w:tr>
    </w:tbl>
    <w:p w14:paraId="388CBFC9" w14:textId="77777777" w:rsidR="00EF3931" w:rsidRPr="001529C7" w:rsidRDefault="00EF3931" w:rsidP="00F411E1">
      <w:pPr>
        <w:rPr>
          <w:color w:val="000000" w:themeColor="text1"/>
        </w:rPr>
      </w:pPr>
    </w:p>
    <w:p w14:paraId="0AA66634" w14:textId="77777777" w:rsidR="0067577D" w:rsidRPr="00A57506" w:rsidRDefault="004C4BA9" w:rsidP="0067577D">
      <w:pPr>
        <w:rPr>
          <w:color w:val="000000" w:themeColor="text1"/>
          <w:lang w:val="en-US"/>
        </w:rPr>
      </w:pPr>
      <w:r w:rsidRPr="001529C7">
        <w:rPr>
          <w:color w:val="000000" w:themeColor="text1"/>
          <w:lang w:val="en"/>
        </w:rPr>
        <w:lastRenderedPageBreak/>
        <w:t xml:space="preserve">Currently, the Agency receives numerous requests from ESOs who cannot conclude an agreement on provision of electricity transmission services through networks of regional electric grid companies </w:t>
      </w:r>
      <w:r w:rsidRPr="00F53AC6">
        <w:rPr>
          <w:i/>
          <w:iCs/>
          <w:color w:val="000000" w:themeColor="text1"/>
          <w:sz w:val="24"/>
          <w:lang w:val="en"/>
        </w:rPr>
        <w:t>(hereinafter referred to as REC)</w:t>
      </w:r>
      <w:r w:rsidRPr="001529C7">
        <w:rPr>
          <w:color w:val="000000" w:themeColor="text1"/>
          <w:lang w:val="en"/>
        </w:rPr>
        <w:t>.</w:t>
      </w:r>
    </w:p>
    <w:p w14:paraId="2CAB86C0" w14:textId="77777777" w:rsidR="0067577D" w:rsidRPr="00A57506" w:rsidRDefault="004C4BA9" w:rsidP="0067577D">
      <w:pPr>
        <w:rPr>
          <w:color w:val="000000" w:themeColor="text1"/>
          <w:lang w:val="en-US"/>
        </w:rPr>
      </w:pPr>
      <w:r w:rsidRPr="001529C7">
        <w:rPr>
          <w:color w:val="000000" w:themeColor="text1"/>
          <w:lang w:val="en"/>
        </w:rPr>
        <w:t>RECs, carrying out electricity transmission activities, are subjects of natural monopolies and are regulated by authorized body for natural monopolies in terms of providing equal access to electric grid for consumers and setting tariffs for their services.</w:t>
      </w:r>
    </w:p>
    <w:p w14:paraId="4B5D2D85" w14:textId="77777777" w:rsidR="0067577D" w:rsidRPr="00A57506" w:rsidRDefault="004C4BA9" w:rsidP="0067577D">
      <w:pPr>
        <w:rPr>
          <w:color w:val="000000" w:themeColor="text1"/>
          <w:lang w:val="en-US"/>
        </w:rPr>
      </w:pPr>
      <w:r w:rsidRPr="001529C7">
        <w:rPr>
          <w:color w:val="000000" w:themeColor="text1"/>
          <w:lang w:val="en"/>
        </w:rPr>
        <w:t>With that, until 2004 in Kazakhstan, RECs provided energy supply services to consumers connected to their networks.</w:t>
      </w:r>
    </w:p>
    <w:p w14:paraId="50A822E1" w14:textId="77777777" w:rsidR="0067577D" w:rsidRPr="00A57506" w:rsidRDefault="004C4BA9" w:rsidP="0067577D">
      <w:pPr>
        <w:rPr>
          <w:color w:val="000000" w:themeColor="text1"/>
          <w:lang w:val="en-US"/>
        </w:rPr>
      </w:pPr>
      <w:r w:rsidRPr="001529C7">
        <w:rPr>
          <w:color w:val="000000" w:themeColor="text1"/>
          <w:lang w:val="en"/>
        </w:rPr>
        <w:t>Since 2004, energy supply services had been separated from electricity transmission services and form competitive market where two or more ESOs can operate.</w:t>
      </w:r>
    </w:p>
    <w:p w14:paraId="5D4EEA3A" w14:textId="77777777" w:rsidR="0067577D" w:rsidRPr="00A57506" w:rsidRDefault="004C4BA9" w:rsidP="0067577D">
      <w:pPr>
        <w:rPr>
          <w:color w:val="000000" w:themeColor="text1"/>
          <w:lang w:val="en-US"/>
        </w:rPr>
      </w:pPr>
      <w:r w:rsidRPr="001529C7">
        <w:rPr>
          <w:color w:val="000000" w:themeColor="text1"/>
          <w:lang w:val="en"/>
        </w:rPr>
        <w:t xml:space="preserve">Since introduction of competitive model until today, the state has issued more than </w:t>
      </w:r>
      <w:r w:rsidRPr="00F53AC6">
        <w:rPr>
          <w:b/>
          <w:color w:val="000000" w:themeColor="text1"/>
          <w:lang w:val="en"/>
        </w:rPr>
        <w:t>300 licenses</w:t>
      </w:r>
      <w:r w:rsidRPr="001529C7">
        <w:rPr>
          <w:color w:val="000000" w:themeColor="text1"/>
          <w:lang w:val="en"/>
        </w:rPr>
        <w:t xml:space="preserve"> for purchase of electricity for energy supply purposes. In each region, in addition to guaranteeing electricity supplier, there are at least 5 independent ESOs. With that, there is a positive trend in emergence of new market participants, over the past 5 years, more </w:t>
      </w:r>
      <w:r w:rsidRPr="00F53AC6">
        <w:rPr>
          <w:b/>
          <w:color w:val="000000" w:themeColor="text1"/>
          <w:lang w:val="en"/>
        </w:rPr>
        <w:t>than 50 new ESOs</w:t>
      </w:r>
      <w:r w:rsidRPr="001529C7">
        <w:rPr>
          <w:color w:val="000000" w:themeColor="text1"/>
          <w:lang w:val="en"/>
        </w:rPr>
        <w:t xml:space="preserve"> have entered the market.</w:t>
      </w:r>
    </w:p>
    <w:p w14:paraId="377CA0C4" w14:textId="77777777" w:rsidR="0067577D" w:rsidRPr="00A57506" w:rsidRDefault="004C4BA9" w:rsidP="0067577D">
      <w:pPr>
        <w:rPr>
          <w:color w:val="000000" w:themeColor="text1"/>
          <w:lang w:val="en-US"/>
        </w:rPr>
      </w:pPr>
      <w:r w:rsidRPr="001529C7">
        <w:rPr>
          <w:color w:val="000000" w:themeColor="text1"/>
          <w:lang w:val="en"/>
        </w:rPr>
        <w:t xml:space="preserve">However, due to affiliation of RECs with ESOs, that are guaranteeing suppliers of electricity, occupying dominant positions, RECs are not interested in admitting new ESOs to the market, since new ESOs take to service legal entities due to existing practice of tariff differentiation. </w:t>
      </w:r>
    </w:p>
    <w:p w14:paraId="4330560C" w14:textId="77777777" w:rsidR="0067577D" w:rsidRPr="00A57506" w:rsidRDefault="004C4BA9" w:rsidP="0067577D">
      <w:pPr>
        <w:rPr>
          <w:color w:val="000000" w:themeColor="text1"/>
          <w:lang w:val="en-US"/>
        </w:rPr>
      </w:pPr>
      <w:r w:rsidRPr="001529C7">
        <w:rPr>
          <w:color w:val="000000" w:themeColor="text1"/>
          <w:lang w:val="en"/>
        </w:rPr>
        <w:t xml:space="preserve">Thus, </w:t>
      </w:r>
      <w:r w:rsidRPr="00F53AC6">
        <w:rPr>
          <w:b/>
          <w:color w:val="000000" w:themeColor="text1"/>
          <w:lang w:val="en"/>
        </w:rPr>
        <w:t>RECs refuse</w:t>
      </w:r>
      <w:r w:rsidRPr="001529C7">
        <w:rPr>
          <w:color w:val="000000" w:themeColor="text1"/>
          <w:lang w:val="en"/>
        </w:rPr>
        <w:t xml:space="preserve"> for various reasons to conclude a contract for transmission of electricity with new ESOs.</w:t>
      </w:r>
    </w:p>
    <w:p w14:paraId="3061D1D8" w14:textId="77777777" w:rsidR="0067577D" w:rsidRPr="00A57506" w:rsidRDefault="004C4BA9" w:rsidP="0067577D">
      <w:pPr>
        <w:rPr>
          <w:color w:val="000000" w:themeColor="text1"/>
          <w:lang w:val="en-US"/>
        </w:rPr>
      </w:pPr>
      <w:r w:rsidRPr="001529C7">
        <w:rPr>
          <w:color w:val="000000" w:themeColor="text1"/>
          <w:lang w:val="en"/>
        </w:rPr>
        <w:t xml:space="preserve">Existing differentiation of ESO tariffs limits competition struggle of both regulated ESO for non-household consumers and unregulated ESO for household consumers. This eventually leads to overflow of legal entities from regulated to unregulated ESOs, increased expenditures of SMEs on utilities, influencing cost of their final products, inefficient use of budget funds in terms of support for all segments of population, but not socially vulnerable segments of population.  </w:t>
      </w:r>
    </w:p>
    <w:p w14:paraId="33BC09E3" w14:textId="77777777" w:rsidR="0067577D" w:rsidRPr="00A57506" w:rsidRDefault="004C4BA9" w:rsidP="0067577D">
      <w:pPr>
        <w:rPr>
          <w:color w:val="000000" w:themeColor="text1"/>
          <w:lang w:val="en-US"/>
        </w:rPr>
      </w:pPr>
      <w:r w:rsidRPr="001529C7">
        <w:rPr>
          <w:color w:val="000000" w:themeColor="text1"/>
          <w:lang w:val="en"/>
        </w:rPr>
        <w:t xml:space="preserve">Separate factor of low level of competition between ESOs, in addition to differentiation and regulation of ESO tariffs and limited access to REC networks, is </w:t>
      </w:r>
      <w:r w:rsidRPr="00F53AC6">
        <w:rPr>
          <w:b/>
          <w:color w:val="000000" w:themeColor="text1"/>
          <w:lang w:val="en"/>
        </w:rPr>
        <w:t>lack of available mechanisms for changing ESOs</w:t>
      </w:r>
      <w:r w:rsidRPr="001529C7">
        <w:rPr>
          <w:color w:val="000000" w:themeColor="text1"/>
          <w:lang w:val="en"/>
        </w:rPr>
        <w:t xml:space="preserve">. In this regard, it is necessary to create conditions for simplifying procedure for consumers to change his ESO. </w:t>
      </w:r>
    </w:p>
    <w:p w14:paraId="4FD408B4" w14:textId="1E66953A" w:rsidR="0067577D" w:rsidRPr="00A57506" w:rsidRDefault="004C4BA9" w:rsidP="0067577D">
      <w:pPr>
        <w:rPr>
          <w:color w:val="000000" w:themeColor="text1"/>
          <w:lang w:val="en-US"/>
        </w:rPr>
      </w:pPr>
      <w:r w:rsidRPr="001529C7">
        <w:rPr>
          <w:color w:val="000000" w:themeColor="text1"/>
          <w:lang w:val="en"/>
        </w:rPr>
        <w:t xml:space="preserve">National Project provides for measures aimed at eliminating price distortions at electricity markets and ensuring access for new suppliers. One of the main tasks is to increase share of consumers who have switched to alternative electricity suppliers, as well as to reduce time for changing suppliers by creation of online platform </w:t>
      </w:r>
      <w:r w:rsidRPr="00846C82">
        <w:rPr>
          <w:i/>
          <w:color w:val="000000" w:themeColor="text1"/>
          <w:sz w:val="24"/>
          <w:lang w:val="en"/>
        </w:rPr>
        <w:t>(marketplace)</w:t>
      </w:r>
      <w:r w:rsidRPr="001529C7">
        <w:rPr>
          <w:color w:val="000000" w:themeColor="text1"/>
          <w:lang w:val="en"/>
        </w:rPr>
        <w:t xml:space="preserve">. </w:t>
      </w:r>
    </w:p>
    <w:p w14:paraId="145EC6EC" w14:textId="77777777" w:rsidR="0067577D" w:rsidRPr="00A57506" w:rsidRDefault="004C4BA9" w:rsidP="0067577D">
      <w:pPr>
        <w:rPr>
          <w:color w:val="000000" w:themeColor="text1"/>
          <w:lang w:val="en-US"/>
        </w:rPr>
      </w:pPr>
      <w:r w:rsidRPr="001529C7">
        <w:rPr>
          <w:color w:val="000000" w:themeColor="text1"/>
          <w:lang w:val="en"/>
        </w:rPr>
        <w:t xml:space="preserve">The experience of Germany shows that the consumer can compare prices of various electricity suppliers and choose the most favorable tariff using a special Internet resource. Then, he can apply for a contract with a new supplier through various communication channels, such as telephone, Internet or office. </w:t>
      </w:r>
    </w:p>
    <w:p w14:paraId="130203EF" w14:textId="740F4B3E" w:rsidR="0067577D" w:rsidRPr="00A57506" w:rsidRDefault="004C4BA9" w:rsidP="0067577D">
      <w:pPr>
        <w:rPr>
          <w:color w:val="000000" w:themeColor="text1"/>
          <w:lang w:val="en-US"/>
        </w:rPr>
      </w:pPr>
      <w:r w:rsidRPr="001529C7">
        <w:rPr>
          <w:color w:val="000000" w:themeColor="text1"/>
          <w:lang w:val="en"/>
        </w:rPr>
        <w:lastRenderedPageBreak/>
        <w:t xml:space="preserve">After receiving application, new supplier informs the former supplier about termination of the contract and carries out all necessary procedures to transfer consumer to its service. This process takes about two weeks on average and allows the consumer to receive </w:t>
      </w:r>
      <w:r w:rsidRPr="00F53AC6">
        <w:rPr>
          <w:b/>
          <w:color w:val="000000" w:themeColor="text1"/>
          <w:lang w:val="en"/>
        </w:rPr>
        <w:t>discounts of up to 30%</w:t>
      </w:r>
      <w:r w:rsidRPr="001529C7">
        <w:rPr>
          <w:color w:val="000000" w:themeColor="text1"/>
          <w:lang w:val="en"/>
        </w:rPr>
        <w:t>. Today, "KOREM" JSC has developed an online digital platform that allows consumers to choose ESO based on the most favorable offers at the market.</w:t>
      </w:r>
    </w:p>
    <w:p w14:paraId="4F5DA424" w14:textId="77777777" w:rsidR="00904339" w:rsidRPr="00A57506" w:rsidRDefault="004C4BA9" w:rsidP="0067577D">
      <w:pPr>
        <w:spacing w:before="120"/>
        <w:rPr>
          <w:b/>
          <w:bCs/>
          <w:i/>
          <w:color w:val="000000" w:themeColor="text1"/>
          <w:lang w:val="en-US"/>
        </w:rPr>
      </w:pPr>
      <w:r w:rsidRPr="001529C7">
        <w:rPr>
          <w:b/>
          <w:bCs/>
          <w:i/>
          <w:color w:val="000000" w:themeColor="text1"/>
          <w:lang w:val="en"/>
        </w:rPr>
        <w:t xml:space="preserve">Proposals and recommendations for competition development </w:t>
      </w:r>
    </w:p>
    <w:p w14:paraId="566EDB62" w14:textId="77777777" w:rsidR="0067577D" w:rsidRPr="00A57506" w:rsidRDefault="004C4BA9" w:rsidP="0067577D">
      <w:pPr>
        <w:rPr>
          <w:color w:val="000000" w:themeColor="text1"/>
          <w:lang w:val="en-US"/>
        </w:rPr>
      </w:pPr>
      <w:r w:rsidRPr="001529C7">
        <w:rPr>
          <w:color w:val="000000" w:themeColor="text1"/>
          <w:lang w:val="en"/>
        </w:rPr>
        <w:t>The Agency proposes the following to ensure development of competition at electricity market.</w:t>
      </w:r>
    </w:p>
    <w:p w14:paraId="75E3246D" w14:textId="77777777" w:rsidR="0067577D" w:rsidRPr="00A57506" w:rsidRDefault="004C4BA9" w:rsidP="0067577D">
      <w:pPr>
        <w:rPr>
          <w:color w:val="000000" w:themeColor="text1"/>
          <w:lang w:val="en-US"/>
        </w:rPr>
      </w:pPr>
      <w:r w:rsidRPr="001529C7">
        <w:rPr>
          <w:color w:val="000000" w:themeColor="text1"/>
          <w:lang w:val="en"/>
        </w:rPr>
        <w:t xml:space="preserve">1) in order to reduce risks of violation of antimonopoly legislation, as well as in order to preserve competition between ESOs, it is necessary to </w:t>
      </w:r>
      <w:r w:rsidRPr="00F53AC6">
        <w:rPr>
          <w:b/>
          <w:color w:val="000000" w:themeColor="text1"/>
          <w:lang w:val="en"/>
        </w:rPr>
        <w:t>ensure transparent and equal access</w:t>
      </w:r>
      <w:r w:rsidRPr="001529C7">
        <w:rPr>
          <w:color w:val="000000" w:themeColor="text1"/>
          <w:lang w:val="en"/>
        </w:rPr>
        <w:t xml:space="preserve"> to electricity volumes at Single buyer by digitalizing its services for ESOs and other consumers at uniform prices.</w:t>
      </w:r>
    </w:p>
    <w:p w14:paraId="25F96408" w14:textId="77777777" w:rsidR="0067577D" w:rsidRPr="00A57506" w:rsidRDefault="004C4BA9" w:rsidP="0067577D">
      <w:pPr>
        <w:rPr>
          <w:color w:val="000000" w:themeColor="text1"/>
          <w:lang w:val="en-US"/>
        </w:rPr>
      </w:pPr>
      <w:r w:rsidRPr="001529C7">
        <w:rPr>
          <w:color w:val="000000" w:themeColor="text1"/>
          <w:lang w:val="en"/>
        </w:rPr>
        <w:t>The Ministry of Energy is currently developing by-laws regulating Single Buyer activities, within which the Ministry of Energy supports the Agency's proposals on digitalization of its services for transparent and equal access to electricity volumes;</w:t>
      </w:r>
    </w:p>
    <w:p w14:paraId="6B7F5940"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2) ensuring introduction of amendments and additions to legislative acts regarding </w:t>
      </w:r>
      <w:r w:rsidRPr="002E721E">
        <w:rPr>
          <w:b/>
          <w:color w:val="000000" w:themeColor="text1"/>
          <w:lang w:val="en"/>
        </w:rPr>
        <w:t>exclusion of recognizing own income formed as a result of Single Buyer activities</w:t>
      </w:r>
      <w:r w:rsidRPr="001529C7">
        <w:rPr>
          <w:color w:val="000000" w:themeColor="text1"/>
          <w:lang w:val="en"/>
        </w:rPr>
        <w:t xml:space="preserve">, and collecting corporate income from this entity. </w:t>
      </w:r>
    </w:p>
    <w:p w14:paraId="0F8FDDFF"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This proposal was previously supported by both the Ministry of Energy and Senate deputies. At this stage, it is necessary to initiate appropriate amendments to the Tax Code;</w:t>
      </w:r>
    </w:p>
    <w:p w14:paraId="1D4428ED" w14:textId="77777777" w:rsidR="0067577D" w:rsidRPr="00A57506" w:rsidRDefault="004C4BA9" w:rsidP="0067577D">
      <w:pPr>
        <w:rPr>
          <w:color w:val="000000" w:themeColor="text1"/>
          <w:lang w:val="en-US"/>
        </w:rPr>
      </w:pPr>
      <w:r w:rsidRPr="001529C7">
        <w:rPr>
          <w:color w:val="000000" w:themeColor="text1"/>
          <w:lang w:val="en"/>
        </w:rPr>
        <w:t xml:space="preserve">3) ensuring </w:t>
      </w:r>
      <w:r w:rsidRPr="002E721E">
        <w:rPr>
          <w:b/>
          <w:color w:val="000000" w:themeColor="text1"/>
          <w:lang w:val="en"/>
        </w:rPr>
        <w:t>gradual abolition of tariff differentiation</w:t>
      </w:r>
      <w:r w:rsidRPr="001529C7">
        <w:rPr>
          <w:color w:val="000000" w:themeColor="text1"/>
          <w:lang w:val="en"/>
        </w:rPr>
        <w:t xml:space="preserve"> by consumer groups for electricity supply in order to create equal conditions of competition between regulated and unregulated ESOs with point subsidization of electricity costs for socially vulnerable segments of population.</w:t>
      </w:r>
    </w:p>
    <w:p w14:paraId="5AE2C2CB" w14:textId="77777777" w:rsidR="0067577D" w:rsidRPr="00A57506" w:rsidRDefault="004C4BA9" w:rsidP="0067577D">
      <w:pPr>
        <w:rPr>
          <w:color w:val="000000" w:themeColor="text1"/>
          <w:lang w:val="en-US"/>
        </w:rPr>
      </w:pPr>
      <w:r w:rsidRPr="001529C7">
        <w:rPr>
          <w:color w:val="000000" w:themeColor="text1"/>
          <w:lang w:val="en"/>
        </w:rPr>
        <w:t xml:space="preserve">This proposal is being implemented both within the framework of National Project and individual instructions of the Head of State, including Address to People of Kazakhstan dated September 1, 2022;  </w:t>
      </w:r>
    </w:p>
    <w:p w14:paraId="4857D683" w14:textId="77777777" w:rsidR="0067577D" w:rsidRPr="00A57506" w:rsidRDefault="004C4BA9" w:rsidP="0067577D">
      <w:pPr>
        <w:rPr>
          <w:color w:val="000000" w:themeColor="text1"/>
          <w:lang w:val="en-US"/>
        </w:rPr>
      </w:pPr>
      <w:r w:rsidRPr="001529C7">
        <w:rPr>
          <w:color w:val="000000" w:themeColor="text1"/>
          <w:lang w:val="en"/>
        </w:rPr>
        <w:t xml:space="preserve">4) in order to </w:t>
      </w:r>
      <w:r w:rsidRPr="002E721E">
        <w:rPr>
          <w:b/>
          <w:color w:val="000000" w:themeColor="text1"/>
          <w:lang w:val="en"/>
        </w:rPr>
        <w:t xml:space="preserve">reduce cost of switching </w:t>
      </w:r>
      <w:r w:rsidRPr="001529C7">
        <w:rPr>
          <w:color w:val="000000" w:themeColor="text1"/>
          <w:lang w:val="en"/>
        </w:rPr>
        <w:t xml:space="preserve"> for consumers, as well as to strengthen competition between ESOs for consumers, it is necessary to run pilot test of online digital platform of "KOREM" JSC on changing electricity suppliers in one of country's regions for its subsequent scaling-up, with the condition that other developers can be provided services of </w:t>
      </w:r>
      <w:r w:rsidRPr="002E721E">
        <w:rPr>
          <w:b/>
          <w:color w:val="000000" w:themeColor="text1"/>
          <w:lang w:val="en"/>
        </w:rPr>
        <w:t>marketplace</w:t>
      </w:r>
      <w:r w:rsidRPr="001529C7">
        <w:rPr>
          <w:color w:val="000000" w:themeColor="text1"/>
          <w:lang w:val="en"/>
        </w:rPr>
        <w:t xml:space="preserve"> for online switching of ESOs by consumers; </w:t>
      </w:r>
    </w:p>
    <w:p w14:paraId="6CCD4797" w14:textId="77777777" w:rsidR="0067577D" w:rsidRPr="00A57506" w:rsidRDefault="004C4BA9" w:rsidP="0067577D">
      <w:pPr>
        <w:rPr>
          <w:color w:val="000000" w:themeColor="text1"/>
          <w:lang w:val="en-US"/>
        </w:rPr>
      </w:pPr>
      <w:r w:rsidRPr="001529C7">
        <w:rPr>
          <w:color w:val="000000" w:themeColor="text1"/>
          <w:lang w:val="en"/>
        </w:rPr>
        <w:t xml:space="preserve">5) in order to ensure </w:t>
      </w:r>
      <w:r w:rsidRPr="002E721E">
        <w:rPr>
          <w:b/>
          <w:color w:val="000000" w:themeColor="text1"/>
          <w:lang w:val="en"/>
        </w:rPr>
        <w:t>unhindered access to REC networks</w:t>
      </w:r>
      <w:r w:rsidRPr="001529C7">
        <w:rPr>
          <w:color w:val="000000" w:themeColor="text1"/>
          <w:lang w:val="en"/>
        </w:rPr>
        <w:t xml:space="preserve">, it is necessary to introduce a practice with legislative consolidation of service model for provision of electricity transmission services, which provides for services on the basis of electricity sales contracts with Single buyer; </w:t>
      </w:r>
    </w:p>
    <w:p w14:paraId="1A404A31" w14:textId="77777777" w:rsidR="0067577D" w:rsidRPr="00A57506" w:rsidRDefault="004C4BA9" w:rsidP="0067577D">
      <w:pPr>
        <w:rPr>
          <w:color w:val="000000" w:themeColor="text1"/>
          <w:lang w:val="en-US"/>
        </w:rPr>
      </w:pPr>
      <w:r w:rsidRPr="001529C7">
        <w:rPr>
          <w:color w:val="000000" w:themeColor="text1"/>
          <w:lang w:val="en"/>
        </w:rPr>
        <w:t xml:space="preserve">6) in order to reduce concentration at wholesale market and develop competition in retail market, it is proposed to </w:t>
      </w:r>
      <w:r w:rsidRPr="002E721E">
        <w:rPr>
          <w:b/>
          <w:color w:val="000000" w:themeColor="text1"/>
          <w:lang w:val="en"/>
        </w:rPr>
        <w:t>privatize</w:t>
      </w:r>
      <w:r w:rsidRPr="001529C7">
        <w:rPr>
          <w:color w:val="000000" w:themeColor="text1"/>
          <w:lang w:val="en"/>
        </w:rPr>
        <w:t xml:space="preserve"> subsidiaries of Samruk Energy JSC in separate lots with mandatory conditions:</w:t>
      </w:r>
    </w:p>
    <w:p w14:paraId="2F6B07A7" w14:textId="77777777" w:rsidR="0067577D" w:rsidRPr="00A57506" w:rsidRDefault="004C4BA9" w:rsidP="0067577D">
      <w:pPr>
        <w:rPr>
          <w:color w:val="000000" w:themeColor="text1"/>
          <w:lang w:val="en-US"/>
        </w:rPr>
      </w:pPr>
      <w:r w:rsidRPr="001529C7">
        <w:rPr>
          <w:color w:val="000000" w:themeColor="text1"/>
          <w:lang w:val="en"/>
        </w:rPr>
        <w:t>- single lot - "Ekibastuzskaya GRES-1 named after Bulat Nurzhanov" LLP and "Ekibastuzskaya GRES-2" JSC, "Moynakskaya HPP" JSC;</w:t>
      </w:r>
    </w:p>
    <w:p w14:paraId="381160F1" w14:textId="77777777" w:rsidR="0067577D" w:rsidRPr="00A57506" w:rsidRDefault="004C4BA9" w:rsidP="0067577D">
      <w:pPr>
        <w:rPr>
          <w:color w:val="000000" w:themeColor="text1"/>
          <w:lang w:val="en-US"/>
        </w:rPr>
      </w:pPr>
      <w:r w:rsidRPr="001529C7">
        <w:rPr>
          <w:color w:val="000000" w:themeColor="text1"/>
          <w:lang w:val="en"/>
        </w:rPr>
        <w:lastRenderedPageBreak/>
        <w:t>- separate lot - "Shardarinskaya HPP" JSC;</w:t>
      </w:r>
    </w:p>
    <w:p w14:paraId="0DC0DE23" w14:textId="77777777" w:rsidR="0067577D" w:rsidRPr="00A57506" w:rsidRDefault="004C4BA9" w:rsidP="0067577D">
      <w:pPr>
        <w:rPr>
          <w:color w:val="000000" w:themeColor="text1"/>
          <w:lang w:val="en-US"/>
        </w:rPr>
      </w:pPr>
      <w:r w:rsidRPr="001529C7">
        <w:rPr>
          <w:color w:val="000000" w:themeColor="text1"/>
          <w:lang w:val="en"/>
        </w:rPr>
        <w:t>- separate lot - "Samruk-Green Energy" LLP;</w:t>
      </w:r>
    </w:p>
    <w:p w14:paraId="3B169D5C" w14:textId="77777777" w:rsidR="0067577D" w:rsidRPr="00A57506" w:rsidRDefault="004C4BA9" w:rsidP="0067577D">
      <w:pPr>
        <w:rPr>
          <w:color w:val="000000" w:themeColor="text1"/>
          <w:lang w:val="en-US"/>
        </w:rPr>
      </w:pPr>
      <w:r w:rsidRPr="001529C7">
        <w:rPr>
          <w:color w:val="000000" w:themeColor="text1"/>
          <w:lang w:val="en"/>
        </w:rPr>
        <w:t>Almatyenergosbyt LLP before its unbundling into several independent energy supply organizations;</w:t>
      </w:r>
    </w:p>
    <w:p w14:paraId="6D9FB88C" w14:textId="77777777" w:rsidR="0067577D" w:rsidRPr="00A57506" w:rsidRDefault="004C4BA9" w:rsidP="0067577D">
      <w:pPr>
        <w:rPr>
          <w:color w:val="000000" w:themeColor="text1"/>
          <w:lang w:val="en-US"/>
        </w:rPr>
      </w:pPr>
      <w:r w:rsidRPr="001529C7">
        <w:rPr>
          <w:color w:val="000000" w:themeColor="text1"/>
          <w:lang w:val="en"/>
        </w:rPr>
        <w:t xml:space="preserve">- "Almaty Electric Power Plants" JSC before its unbundling by creating independent EPO on the basis of CHP-1 </w:t>
      </w:r>
      <w:r w:rsidRPr="00846C82">
        <w:rPr>
          <w:i/>
          <w:color w:val="000000" w:themeColor="text1"/>
          <w:sz w:val="24"/>
          <w:lang w:val="en"/>
        </w:rPr>
        <w:t>(85MW),</w:t>
      </w:r>
      <w:r w:rsidRPr="001529C7">
        <w:rPr>
          <w:color w:val="000000" w:themeColor="text1"/>
          <w:lang w:val="en"/>
        </w:rPr>
        <w:t xml:space="preserve"> CHP-2 </w:t>
      </w:r>
      <w:r w:rsidRPr="00846C82">
        <w:rPr>
          <w:i/>
          <w:color w:val="000000" w:themeColor="text1"/>
          <w:sz w:val="24"/>
          <w:lang w:val="en"/>
        </w:rPr>
        <w:t>(240MW),</w:t>
      </w:r>
      <w:r w:rsidRPr="001529C7">
        <w:rPr>
          <w:color w:val="000000" w:themeColor="text1"/>
          <w:lang w:val="en"/>
        </w:rPr>
        <w:t xml:space="preserve"> CHP-3 </w:t>
      </w:r>
      <w:r w:rsidRPr="00846C82">
        <w:rPr>
          <w:i/>
          <w:color w:val="000000" w:themeColor="text1"/>
          <w:sz w:val="24"/>
          <w:lang w:val="en"/>
        </w:rPr>
        <w:t>(90 MW),</w:t>
      </w:r>
      <w:r w:rsidRPr="001529C7">
        <w:rPr>
          <w:color w:val="000000" w:themeColor="text1"/>
          <w:lang w:val="en"/>
        </w:rPr>
        <w:t xml:space="preserve"> Kapshagai HPP </w:t>
      </w:r>
      <w:r w:rsidRPr="00846C82">
        <w:rPr>
          <w:i/>
          <w:color w:val="000000" w:themeColor="text1"/>
          <w:sz w:val="24"/>
          <w:lang w:val="en"/>
        </w:rPr>
        <w:t>(90MW)</w:t>
      </w:r>
      <w:r w:rsidRPr="001529C7">
        <w:rPr>
          <w:color w:val="000000" w:themeColor="text1"/>
          <w:lang w:val="en"/>
        </w:rPr>
        <w:t>;</w:t>
      </w:r>
    </w:p>
    <w:p w14:paraId="2377C2CE" w14:textId="77777777" w:rsidR="0067577D" w:rsidRPr="00A57506" w:rsidRDefault="004C4BA9" w:rsidP="0067577D">
      <w:pPr>
        <w:rPr>
          <w:color w:val="000000" w:themeColor="text1"/>
          <w:lang w:val="en-US"/>
        </w:rPr>
      </w:pPr>
      <w:r w:rsidRPr="001529C7">
        <w:rPr>
          <w:color w:val="000000" w:themeColor="text1"/>
          <w:lang w:val="en"/>
        </w:rPr>
        <w:t xml:space="preserve">- "Alatau Zharyk companiyasy" JSC for the purpose of preservation in state ownership and transfer to private environment by transfer to concession </w:t>
      </w:r>
      <w:r w:rsidRPr="00846C82">
        <w:rPr>
          <w:i/>
          <w:color w:val="000000" w:themeColor="text1"/>
          <w:sz w:val="24"/>
          <w:lang w:val="en"/>
        </w:rPr>
        <w:t>(trust management)</w:t>
      </w:r>
      <w:r w:rsidRPr="001529C7">
        <w:rPr>
          <w:color w:val="000000" w:themeColor="text1"/>
          <w:lang w:val="en"/>
        </w:rPr>
        <w:t xml:space="preserve"> on competitive basis </w:t>
      </w:r>
      <w:r w:rsidRPr="00846C82">
        <w:rPr>
          <w:i/>
          <w:color w:val="000000" w:themeColor="text1"/>
          <w:sz w:val="24"/>
          <w:lang w:val="en"/>
        </w:rPr>
        <w:t>(competition for the market);</w:t>
      </w:r>
    </w:p>
    <w:p w14:paraId="44791AB3"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7) in order to increase investment attractiveness and competition, it is necessary to ensure </w:t>
      </w:r>
      <w:r w:rsidRPr="002E721E">
        <w:rPr>
          <w:b/>
          <w:color w:val="000000" w:themeColor="text1"/>
          <w:lang w:val="en"/>
        </w:rPr>
        <w:t>consolidation of EPO into groups</w:t>
      </w:r>
      <w:r w:rsidRPr="001529C7">
        <w:rPr>
          <w:color w:val="000000" w:themeColor="text1"/>
          <w:lang w:val="en"/>
        </w:rPr>
        <w:t xml:space="preserve"> when approving marginal tariffs;</w:t>
      </w:r>
    </w:p>
    <w:p w14:paraId="750211E7" w14:textId="77777777" w:rsidR="0067577D" w:rsidRPr="00A57506" w:rsidRDefault="004C4BA9" w:rsidP="0067577D">
      <w:pPr>
        <w:pStyle w:val="ListParagraph"/>
        <w:tabs>
          <w:tab w:val="clear" w:pos="567"/>
        </w:tabs>
        <w:ind w:left="0"/>
        <w:rPr>
          <w:color w:val="000000" w:themeColor="text1"/>
          <w:lang w:val="en-US"/>
        </w:rPr>
      </w:pPr>
      <w:r w:rsidRPr="001529C7">
        <w:rPr>
          <w:color w:val="000000" w:themeColor="text1"/>
          <w:lang w:val="en"/>
        </w:rPr>
        <w:t xml:space="preserve">8) in order to provide equal conditions for competition at electricity market between thermal power plants and other types of plants, it is necessary to take measures to </w:t>
      </w:r>
      <w:r w:rsidRPr="002E721E">
        <w:rPr>
          <w:b/>
          <w:color w:val="000000" w:themeColor="text1"/>
          <w:lang w:val="en"/>
        </w:rPr>
        <w:t>eliminate cross-subsidization of thermal energy at the expense of electricity</w:t>
      </w:r>
      <w:r w:rsidRPr="001529C7">
        <w:rPr>
          <w:color w:val="000000" w:themeColor="text1"/>
          <w:lang w:val="en"/>
        </w:rPr>
        <w:t>.</w:t>
      </w:r>
    </w:p>
    <w:p w14:paraId="6B75B2B1" w14:textId="77777777" w:rsidR="0067577D" w:rsidRPr="001529C7" w:rsidRDefault="004C4BA9" w:rsidP="0067577D">
      <w:pPr>
        <w:rPr>
          <w:color w:val="000000" w:themeColor="text1"/>
        </w:rPr>
      </w:pPr>
      <w:r w:rsidRPr="001529C7">
        <w:rPr>
          <w:color w:val="000000" w:themeColor="text1"/>
          <w:lang w:val="en"/>
        </w:rPr>
        <w:t>Most of the above proposals are supported by interested government agencies and will be included in the Roadmap for Development of Competition at Electricity Market. Additional work is required on individual proposals.</w:t>
      </w:r>
    </w:p>
    <w:p w14:paraId="1D55202C" w14:textId="77777777" w:rsidR="00047DE3" w:rsidRPr="00A57506" w:rsidRDefault="004C4BA9" w:rsidP="00EC0CAB">
      <w:pPr>
        <w:pStyle w:val="Heading2"/>
        <w:numPr>
          <w:ilvl w:val="1"/>
          <w:numId w:val="4"/>
        </w:numPr>
        <w:tabs>
          <w:tab w:val="left" w:pos="1134"/>
        </w:tabs>
        <w:spacing w:before="240" w:after="240"/>
        <w:ind w:firstLine="567"/>
        <w:rPr>
          <w:rFonts w:cs="Times New Roman"/>
          <w:szCs w:val="28"/>
          <w:lang w:val="en-US"/>
        </w:rPr>
      </w:pPr>
      <w:bookmarkStart w:id="37" w:name="_Toc142467908"/>
      <w:r w:rsidRPr="001529C7">
        <w:rPr>
          <w:rFonts w:cs="Times New Roman"/>
          <w:szCs w:val="28"/>
          <w:lang w:val="en"/>
        </w:rPr>
        <w:t>Wholesale and retail markets of coal sales</w:t>
      </w:r>
      <w:bookmarkEnd w:id="37"/>
    </w:p>
    <w:p w14:paraId="65BFF2CD" w14:textId="77777777" w:rsidR="0067577D" w:rsidRPr="00A57506" w:rsidRDefault="004C4BA9" w:rsidP="0067577D">
      <w:pPr>
        <w:rPr>
          <w:color w:val="000000" w:themeColor="text1"/>
          <w:lang w:val="en-US"/>
        </w:rPr>
      </w:pPr>
      <w:r w:rsidRPr="001529C7">
        <w:rPr>
          <w:color w:val="000000" w:themeColor="text1"/>
          <w:lang w:val="en"/>
        </w:rPr>
        <w:t>Analysis of wholesale and retail markets of coal sales was carried out in accordance with Agency's Work Plan for 2022.</w:t>
      </w:r>
    </w:p>
    <w:p w14:paraId="0FD292DE" w14:textId="36CB9AA7" w:rsidR="0067577D" w:rsidRPr="00A57506" w:rsidRDefault="004C4BA9" w:rsidP="0067577D">
      <w:pPr>
        <w:rPr>
          <w:color w:val="000000" w:themeColor="text1"/>
          <w:lang w:val="en-US"/>
        </w:rPr>
      </w:pPr>
      <w:r w:rsidRPr="001529C7">
        <w:rPr>
          <w:color w:val="000000" w:themeColor="text1"/>
          <w:lang w:val="en"/>
        </w:rPr>
        <w:t xml:space="preserve">Coal industry is one of the most important resource sectors of the Republic of Kazakhstan. In terms of coal reserves, Kazakhstan is among the top ten leading countries. State balance sheet takes into account reserves for 49 deposits, amounting to 33.6 billion tons, including </w:t>
      </w:r>
      <w:r w:rsidR="00AF59F7" w:rsidRPr="001529C7">
        <w:rPr>
          <w:color w:val="000000" w:themeColor="text1"/>
          <w:lang w:val="en"/>
        </w:rPr>
        <w:t>hard coal</w:t>
      </w:r>
      <w:r w:rsidRPr="001529C7">
        <w:rPr>
          <w:color w:val="000000" w:themeColor="text1"/>
          <w:lang w:val="en"/>
        </w:rPr>
        <w:t xml:space="preserve"> – 21.5 billion tons, brown coal – 12.1 billion tons.  More than 90% of the proven coal reserves are concentrated in the north and central part of Kazakhstan.</w:t>
      </w:r>
    </w:p>
    <w:p w14:paraId="1C5913CF" w14:textId="77777777" w:rsidR="0067577D" w:rsidRPr="00A57506" w:rsidRDefault="004C4BA9" w:rsidP="0067577D">
      <w:pPr>
        <w:rPr>
          <w:color w:val="000000" w:themeColor="text1"/>
          <w:lang w:val="en-US"/>
        </w:rPr>
      </w:pPr>
      <w:r w:rsidRPr="001529C7">
        <w:rPr>
          <w:color w:val="000000" w:themeColor="text1"/>
          <w:lang w:val="en"/>
        </w:rPr>
        <w:t>Today, Republic's coal industry provides about 70% of electricity generation in Kazakhstan, one hundred percent coke production, fully meets fuel needs of municipal sector and population.</w:t>
      </w:r>
    </w:p>
    <w:p w14:paraId="2059B8C7" w14:textId="77777777" w:rsidR="0067577D" w:rsidRPr="00A57506" w:rsidRDefault="004C4BA9" w:rsidP="0067577D">
      <w:pPr>
        <w:rPr>
          <w:color w:val="000000" w:themeColor="text1"/>
          <w:lang w:val="en-US"/>
        </w:rPr>
      </w:pPr>
      <w:r w:rsidRPr="001529C7">
        <w:rPr>
          <w:color w:val="000000" w:themeColor="text1"/>
          <w:lang w:val="en"/>
        </w:rPr>
        <w:t>The main coal mining enterprises are located in the Karaganda, Ekibastuz and Maykubensk coal basins, as well as at Shubarkol, Borlinsky and Karazhyrinsky fields. The peculiarity of Kazakhstan's coal industry in comparison with the world coal-owning states is that this industry is not subsidized by the state. The development of coal deposits in Kazakhstan is carried out on the basis of subsoil use contracts concluded between the state represented by the Ministry of Industry and Infrastructure Development and subsoil users.</w:t>
      </w:r>
    </w:p>
    <w:p w14:paraId="2D127632" w14:textId="77777777" w:rsidR="0067577D" w:rsidRPr="00A57506" w:rsidRDefault="004C4BA9" w:rsidP="0067577D">
      <w:pPr>
        <w:rPr>
          <w:color w:val="000000" w:themeColor="text1"/>
          <w:lang w:val="en-US"/>
        </w:rPr>
      </w:pPr>
      <w:r w:rsidRPr="001529C7">
        <w:rPr>
          <w:color w:val="000000" w:themeColor="text1"/>
          <w:lang w:val="en"/>
        </w:rPr>
        <w:t xml:space="preserve">According to the information of Ministry of Industry and Infrastructure Development for analyzed period </w:t>
      </w:r>
      <w:r w:rsidRPr="00846C82">
        <w:rPr>
          <w:i/>
          <w:color w:val="000000" w:themeColor="text1"/>
          <w:sz w:val="24"/>
          <w:lang w:val="en"/>
        </w:rPr>
        <w:t>(2018-2021 and the first half of 2022)</w:t>
      </w:r>
      <w:r w:rsidRPr="001529C7">
        <w:rPr>
          <w:color w:val="000000" w:themeColor="text1"/>
          <w:lang w:val="en"/>
        </w:rPr>
        <w:t xml:space="preserve"> there were </w:t>
      </w:r>
      <w:r w:rsidRPr="002E721E">
        <w:rPr>
          <w:b/>
          <w:color w:val="000000" w:themeColor="text1"/>
          <w:lang w:val="en"/>
        </w:rPr>
        <w:t>46 contracts</w:t>
      </w:r>
      <w:r w:rsidRPr="001529C7">
        <w:rPr>
          <w:color w:val="000000" w:themeColor="text1"/>
          <w:lang w:val="en"/>
        </w:rPr>
        <w:t xml:space="preserve"> and </w:t>
      </w:r>
      <w:r w:rsidRPr="002E721E">
        <w:rPr>
          <w:b/>
          <w:color w:val="000000" w:themeColor="text1"/>
          <w:lang w:val="en"/>
        </w:rPr>
        <w:t xml:space="preserve">1 license for </w:t>
      </w:r>
      <w:r w:rsidRPr="001529C7">
        <w:rPr>
          <w:color w:val="000000" w:themeColor="text1"/>
          <w:lang w:val="en"/>
        </w:rPr>
        <w:t xml:space="preserve">subsoil use.  </w:t>
      </w:r>
      <w:r w:rsidRPr="002E721E">
        <w:rPr>
          <w:b/>
          <w:color w:val="000000" w:themeColor="text1"/>
          <w:lang w:val="en"/>
        </w:rPr>
        <w:t>27 main market entities</w:t>
      </w:r>
      <w:r w:rsidRPr="001529C7">
        <w:rPr>
          <w:color w:val="000000" w:themeColor="text1"/>
          <w:lang w:val="en"/>
        </w:rPr>
        <w:t xml:space="preserve"> carry out the extraction and primary wholesale sale of coal in the republic.</w:t>
      </w:r>
    </w:p>
    <w:p w14:paraId="384D3614" w14:textId="77777777" w:rsidR="0067577D" w:rsidRPr="00A57506" w:rsidRDefault="004C4BA9" w:rsidP="0067577D">
      <w:pPr>
        <w:rPr>
          <w:color w:val="000000" w:themeColor="text1"/>
          <w:lang w:val="en-US"/>
        </w:rPr>
      </w:pPr>
      <w:r w:rsidRPr="001529C7">
        <w:rPr>
          <w:color w:val="000000" w:themeColor="text1"/>
          <w:lang w:val="en"/>
        </w:rPr>
        <w:lastRenderedPageBreak/>
        <w:t>There are enterprises that are at the stage of exploration and preparatory work and, accordingly, do not produce and sell coal.</w:t>
      </w:r>
    </w:p>
    <w:p w14:paraId="052075E9" w14:textId="77777777" w:rsidR="0067577D" w:rsidRPr="00A57506" w:rsidRDefault="004C4BA9" w:rsidP="0067577D">
      <w:pPr>
        <w:ind w:right="-286"/>
        <w:rPr>
          <w:color w:val="000000" w:themeColor="text1"/>
          <w:lang w:val="en-US"/>
        </w:rPr>
      </w:pPr>
      <w:r>
        <w:rPr>
          <w:color w:val="000000" w:themeColor="text1"/>
          <w:lang w:val="en"/>
        </w:rPr>
        <w:t>Coal is traded within the geographical borders of the Republic of Kazakhstan and is sold for use:</w:t>
      </w:r>
    </w:p>
    <w:p w14:paraId="49581A8D" w14:textId="77777777" w:rsidR="0067577D" w:rsidRPr="00A57506" w:rsidRDefault="004C4BA9" w:rsidP="0067577D">
      <w:pPr>
        <w:ind w:right="-286"/>
        <w:rPr>
          <w:color w:val="000000" w:themeColor="text1"/>
          <w:lang w:val="en-US"/>
        </w:rPr>
      </w:pPr>
      <w:r w:rsidRPr="001529C7">
        <w:rPr>
          <w:color w:val="000000" w:themeColor="text1"/>
          <w:lang w:val="en"/>
        </w:rPr>
        <w:t>- for the needs of energy-producing organizations;</w:t>
      </w:r>
    </w:p>
    <w:p w14:paraId="53FF61D2" w14:textId="77777777" w:rsidR="0067577D" w:rsidRPr="00A57506" w:rsidRDefault="004C4BA9" w:rsidP="0067577D">
      <w:pPr>
        <w:ind w:right="-286"/>
        <w:rPr>
          <w:color w:val="000000" w:themeColor="text1"/>
          <w:lang w:val="en-US"/>
        </w:rPr>
      </w:pPr>
      <w:r w:rsidRPr="001529C7">
        <w:rPr>
          <w:color w:val="000000" w:themeColor="text1"/>
          <w:lang w:val="en"/>
        </w:rPr>
        <w:t>- for the needs of municipal consumers;</w:t>
      </w:r>
    </w:p>
    <w:p w14:paraId="0758A3E3" w14:textId="77777777" w:rsidR="0067577D" w:rsidRPr="00A57506" w:rsidRDefault="004C4BA9" w:rsidP="0067577D">
      <w:pPr>
        <w:ind w:right="-286"/>
        <w:rPr>
          <w:color w:val="000000" w:themeColor="text1"/>
          <w:lang w:val="en-US"/>
        </w:rPr>
      </w:pPr>
      <w:r w:rsidRPr="001529C7">
        <w:rPr>
          <w:color w:val="000000" w:themeColor="text1"/>
          <w:lang w:val="en"/>
        </w:rPr>
        <w:t>- for the needs of industrial enterprises.</w:t>
      </w:r>
    </w:p>
    <w:p w14:paraId="6E93F2D6" w14:textId="77777777" w:rsidR="0067577D" w:rsidRPr="00A57506" w:rsidRDefault="004C4BA9" w:rsidP="0067577D">
      <w:pPr>
        <w:rPr>
          <w:color w:val="000000" w:themeColor="text1"/>
          <w:lang w:val="en-US"/>
        </w:rPr>
      </w:pPr>
      <w:r w:rsidRPr="001529C7">
        <w:rPr>
          <w:color w:val="000000" w:themeColor="text1"/>
          <w:lang w:val="en"/>
        </w:rPr>
        <w:t xml:space="preserve">According to official statistics, in 2022, volume of coal and lignite production </w:t>
      </w:r>
      <w:r w:rsidRPr="00846C82">
        <w:rPr>
          <w:i/>
          <w:color w:val="000000" w:themeColor="text1"/>
          <w:sz w:val="24"/>
          <w:lang w:val="en"/>
        </w:rPr>
        <w:t>(except coal concentrate)</w:t>
      </w:r>
      <w:r w:rsidRPr="001529C7">
        <w:rPr>
          <w:color w:val="000000" w:themeColor="text1"/>
          <w:lang w:val="en"/>
        </w:rPr>
        <w:t xml:space="preserve"> amounted to 113.9 million tons, that is 1.8 million tons or 1.7% more than in 2021</w:t>
      </w:r>
      <w:r>
        <w:rPr>
          <w:rStyle w:val="FootnoteReference"/>
          <w:color w:val="000000" w:themeColor="text1"/>
        </w:rPr>
        <w:footnoteReference w:id="22"/>
      </w:r>
      <w:r w:rsidRPr="001529C7">
        <w:rPr>
          <w:color w:val="000000" w:themeColor="text1"/>
          <w:lang w:val="en"/>
        </w:rPr>
        <w:t>.</w:t>
      </w:r>
    </w:p>
    <w:p w14:paraId="3CD7DE80" w14:textId="77777777" w:rsidR="0067577D" w:rsidRPr="00A57506" w:rsidRDefault="004C4BA9" w:rsidP="0067577D">
      <w:pPr>
        <w:rPr>
          <w:color w:val="000000" w:themeColor="text1"/>
          <w:lang w:val="en-US"/>
        </w:rPr>
      </w:pPr>
      <w:r w:rsidRPr="001529C7">
        <w:rPr>
          <w:color w:val="000000" w:themeColor="text1"/>
          <w:lang w:val="en"/>
        </w:rPr>
        <w:t>In 2022 , shipment of coal to domestic market of the country amounted to</w:t>
      </w:r>
      <w:r>
        <w:rPr>
          <w:rStyle w:val="FootnoteReference"/>
          <w:color w:val="000000" w:themeColor="text1"/>
        </w:rPr>
        <w:footnoteReference w:id="23"/>
      </w:r>
      <w:r w:rsidRPr="001529C7">
        <w:rPr>
          <w:color w:val="000000" w:themeColor="text1"/>
          <w:lang w:val="en"/>
        </w:rPr>
        <w:t>:</w:t>
      </w:r>
    </w:p>
    <w:p w14:paraId="407F9790" w14:textId="77777777" w:rsidR="0067577D" w:rsidRPr="00A57506" w:rsidRDefault="004C4BA9" w:rsidP="0067577D">
      <w:pPr>
        <w:rPr>
          <w:color w:val="000000" w:themeColor="text1"/>
          <w:lang w:val="en-US"/>
        </w:rPr>
      </w:pPr>
      <w:r w:rsidRPr="001529C7">
        <w:rPr>
          <w:color w:val="000000" w:themeColor="text1"/>
          <w:lang w:val="en"/>
        </w:rPr>
        <w:t>- energy-producing enterprises - 64.4 million tons;</w:t>
      </w:r>
    </w:p>
    <w:p w14:paraId="79E63897" w14:textId="77777777" w:rsidR="0067577D" w:rsidRPr="00A57506" w:rsidRDefault="004C4BA9" w:rsidP="0067577D">
      <w:pPr>
        <w:rPr>
          <w:color w:val="000000" w:themeColor="text1"/>
          <w:lang w:val="en-US"/>
        </w:rPr>
      </w:pPr>
      <w:r w:rsidRPr="001529C7">
        <w:rPr>
          <w:color w:val="000000" w:themeColor="text1"/>
          <w:lang w:val="en"/>
        </w:rPr>
        <w:t>- industrial enterprises - 6.1 million tons;</w:t>
      </w:r>
    </w:p>
    <w:p w14:paraId="1015EB6D" w14:textId="77777777" w:rsidR="0067577D" w:rsidRPr="00A57506" w:rsidRDefault="004C4BA9" w:rsidP="0067577D">
      <w:pPr>
        <w:rPr>
          <w:color w:val="000000" w:themeColor="text1"/>
          <w:lang w:val="en-US"/>
        </w:rPr>
      </w:pPr>
      <w:r w:rsidRPr="001529C7">
        <w:rPr>
          <w:color w:val="000000" w:themeColor="text1"/>
          <w:lang w:val="en"/>
        </w:rPr>
        <w:t>- 11.03 million tons were shipped for municipal and household needs and population.</w:t>
      </w:r>
    </w:p>
    <w:p w14:paraId="33F55DBC" w14:textId="2E2BDC4B" w:rsidR="00B95AA4" w:rsidRPr="007F61A3" w:rsidRDefault="00B95AA4" w:rsidP="00F411E1">
      <w:pPr>
        <w:ind w:firstLine="0"/>
        <w:rPr>
          <w:color w:val="000000" w:themeColor="text1"/>
          <w:lang w:val="en-US"/>
        </w:rPr>
      </w:pPr>
    </w:p>
    <w:p w14:paraId="6719C46B" w14:textId="63AF03D5" w:rsidR="00B95AA4" w:rsidRPr="007F61A3" w:rsidRDefault="00807ADE" w:rsidP="00F411E1">
      <w:pPr>
        <w:ind w:hanging="709"/>
        <w:jc w:val="center"/>
        <w:rPr>
          <w:color w:val="000000" w:themeColor="text1"/>
          <w:lang w:val="en-US"/>
        </w:rPr>
      </w:pPr>
      <w:r>
        <w:rPr>
          <w:noProof/>
        </w:rPr>
        <w:drawing>
          <wp:anchor distT="0" distB="0" distL="114300" distR="114300" simplePos="0" relativeHeight="251671552" behindDoc="0" locked="0" layoutInCell="1" allowOverlap="1" wp14:anchorId="28212BE8" wp14:editId="5855FC37">
            <wp:simplePos x="0" y="0"/>
            <wp:positionH relativeFrom="column">
              <wp:posOffset>1013988</wp:posOffset>
            </wp:positionH>
            <wp:positionV relativeFrom="paragraph">
              <wp:posOffset>52969</wp:posOffset>
            </wp:positionV>
            <wp:extent cx="4572000" cy="2743200"/>
            <wp:effectExtent l="0" t="0" r="0" b="0"/>
            <wp:wrapSquare wrapText="bothSides"/>
            <wp:docPr id="25" name="Chart 25">
              <a:extLst xmlns:a="http://schemas.openxmlformats.org/drawingml/2006/main">
                <a:ext uri="{FF2B5EF4-FFF2-40B4-BE49-F238E27FC236}">
                  <a16:creationId xmlns:a16="http://schemas.microsoft.com/office/drawing/2014/main" id="{394337A7-5461-4DB0-B5A9-936DFBE56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F7D270A" w14:textId="56BCE066" w:rsidR="00807ADE" w:rsidRPr="007F61A3" w:rsidRDefault="00807ADE" w:rsidP="00F411E1">
      <w:pPr>
        <w:ind w:hanging="709"/>
        <w:jc w:val="center"/>
        <w:rPr>
          <w:color w:val="000000" w:themeColor="text1"/>
          <w:lang w:val="en-US"/>
        </w:rPr>
      </w:pPr>
    </w:p>
    <w:p w14:paraId="26F9849E" w14:textId="4D6179E3" w:rsidR="00807ADE" w:rsidRPr="007F61A3" w:rsidRDefault="00807ADE" w:rsidP="00F411E1">
      <w:pPr>
        <w:ind w:hanging="709"/>
        <w:jc w:val="center"/>
        <w:rPr>
          <w:color w:val="000000" w:themeColor="text1"/>
          <w:lang w:val="en-US"/>
        </w:rPr>
      </w:pPr>
    </w:p>
    <w:p w14:paraId="2F8DE729" w14:textId="71E9E6BC" w:rsidR="00807ADE" w:rsidRPr="007F61A3" w:rsidRDefault="00807ADE" w:rsidP="00F411E1">
      <w:pPr>
        <w:ind w:hanging="709"/>
        <w:jc w:val="center"/>
        <w:rPr>
          <w:color w:val="000000" w:themeColor="text1"/>
          <w:lang w:val="en-US"/>
        </w:rPr>
      </w:pPr>
    </w:p>
    <w:p w14:paraId="3545A825" w14:textId="4C505202" w:rsidR="00807ADE" w:rsidRPr="007F61A3" w:rsidRDefault="00807ADE" w:rsidP="00F411E1">
      <w:pPr>
        <w:ind w:hanging="709"/>
        <w:jc w:val="center"/>
        <w:rPr>
          <w:color w:val="000000" w:themeColor="text1"/>
          <w:lang w:val="en-US"/>
        </w:rPr>
      </w:pPr>
    </w:p>
    <w:p w14:paraId="4066E3E7" w14:textId="4641F234" w:rsidR="00807ADE" w:rsidRPr="007F61A3" w:rsidRDefault="00807ADE" w:rsidP="00F411E1">
      <w:pPr>
        <w:ind w:hanging="709"/>
        <w:jc w:val="center"/>
        <w:rPr>
          <w:color w:val="000000" w:themeColor="text1"/>
          <w:lang w:val="en-US"/>
        </w:rPr>
      </w:pPr>
    </w:p>
    <w:p w14:paraId="6AF59432" w14:textId="6A43442A" w:rsidR="00807ADE" w:rsidRPr="007F61A3" w:rsidRDefault="00807ADE" w:rsidP="00F411E1">
      <w:pPr>
        <w:ind w:hanging="709"/>
        <w:jc w:val="center"/>
        <w:rPr>
          <w:color w:val="000000" w:themeColor="text1"/>
          <w:lang w:val="en-US"/>
        </w:rPr>
      </w:pPr>
    </w:p>
    <w:p w14:paraId="319ADECB" w14:textId="1D61DBED" w:rsidR="00807ADE" w:rsidRPr="007F61A3" w:rsidRDefault="00807ADE" w:rsidP="00F411E1">
      <w:pPr>
        <w:ind w:hanging="709"/>
        <w:jc w:val="center"/>
        <w:rPr>
          <w:color w:val="000000" w:themeColor="text1"/>
          <w:lang w:val="en-US"/>
        </w:rPr>
      </w:pPr>
    </w:p>
    <w:p w14:paraId="4E3EE631" w14:textId="5E11D07F" w:rsidR="00807ADE" w:rsidRPr="007F61A3" w:rsidRDefault="00807ADE" w:rsidP="00F411E1">
      <w:pPr>
        <w:ind w:hanging="709"/>
        <w:jc w:val="center"/>
        <w:rPr>
          <w:color w:val="000000" w:themeColor="text1"/>
          <w:lang w:val="en-US"/>
        </w:rPr>
      </w:pPr>
    </w:p>
    <w:p w14:paraId="6C788B26" w14:textId="677F2A09" w:rsidR="00807ADE" w:rsidRPr="007F61A3" w:rsidRDefault="00807ADE" w:rsidP="00F411E1">
      <w:pPr>
        <w:ind w:hanging="709"/>
        <w:jc w:val="center"/>
        <w:rPr>
          <w:color w:val="000000" w:themeColor="text1"/>
          <w:lang w:val="en-US"/>
        </w:rPr>
      </w:pPr>
    </w:p>
    <w:p w14:paraId="147C9794" w14:textId="0ACFC95B" w:rsidR="00807ADE" w:rsidRPr="007F61A3" w:rsidRDefault="00807ADE" w:rsidP="00F411E1">
      <w:pPr>
        <w:ind w:hanging="709"/>
        <w:jc w:val="center"/>
        <w:rPr>
          <w:color w:val="000000" w:themeColor="text1"/>
          <w:lang w:val="en-US"/>
        </w:rPr>
      </w:pPr>
    </w:p>
    <w:p w14:paraId="606C7190" w14:textId="3B4D826C" w:rsidR="00807ADE" w:rsidRPr="007F61A3" w:rsidRDefault="00807ADE" w:rsidP="00F411E1">
      <w:pPr>
        <w:ind w:hanging="709"/>
        <w:jc w:val="center"/>
        <w:rPr>
          <w:color w:val="000000" w:themeColor="text1"/>
          <w:lang w:val="en-US"/>
        </w:rPr>
      </w:pPr>
    </w:p>
    <w:p w14:paraId="27912C4C" w14:textId="075D28E5" w:rsidR="00807ADE" w:rsidRPr="007F61A3" w:rsidRDefault="00807ADE" w:rsidP="00F411E1">
      <w:pPr>
        <w:ind w:hanging="709"/>
        <w:jc w:val="center"/>
        <w:rPr>
          <w:color w:val="000000" w:themeColor="text1"/>
          <w:lang w:val="en-US"/>
        </w:rPr>
      </w:pPr>
    </w:p>
    <w:p w14:paraId="1BF67F08" w14:textId="77777777" w:rsidR="00807ADE" w:rsidRPr="007F61A3" w:rsidRDefault="00807ADE" w:rsidP="00F411E1">
      <w:pPr>
        <w:ind w:hanging="709"/>
        <w:jc w:val="center"/>
        <w:rPr>
          <w:color w:val="000000" w:themeColor="text1"/>
          <w:lang w:val="en-US"/>
        </w:rPr>
      </w:pPr>
    </w:p>
    <w:p w14:paraId="629135E1" w14:textId="77777777" w:rsidR="004D4898" w:rsidRPr="00A57506" w:rsidRDefault="004C4BA9" w:rsidP="0067577D">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9</w:t>
      </w:r>
      <w:r w:rsidRPr="001529C7">
        <w:rPr>
          <w:b w:val="0"/>
          <w:color w:val="000000" w:themeColor="text1"/>
          <w:sz w:val="28"/>
          <w:szCs w:val="28"/>
        </w:rPr>
        <w:fldChar w:fldCharType="end"/>
      </w:r>
      <w:r w:rsidRPr="001529C7">
        <w:rPr>
          <w:b w:val="0"/>
          <w:color w:val="000000" w:themeColor="text1"/>
          <w:sz w:val="28"/>
          <w:szCs w:val="28"/>
          <w:lang w:val="en"/>
        </w:rPr>
        <w:t>– Coal production and supply, million tons.</w:t>
      </w:r>
    </w:p>
    <w:p w14:paraId="77CCDFFD" w14:textId="77777777" w:rsidR="0067577D" w:rsidRPr="00A57506" w:rsidRDefault="004C4BA9" w:rsidP="0067577D">
      <w:pPr>
        <w:rPr>
          <w:color w:val="000000" w:themeColor="text1"/>
          <w:lang w:val="en-US"/>
        </w:rPr>
      </w:pPr>
      <w:r w:rsidRPr="001529C7">
        <w:rPr>
          <w:color w:val="000000" w:themeColor="text1"/>
          <w:lang w:val="en"/>
        </w:rPr>
        <w:t>Transportation and delivery of coal is carried out by rail and road transport.</w:t>
      </w:r>
    </w:p>
    <w:p w14:paraId="09B9D24B" w14:textId="77777777" w:rsidR="0067577D" w:rsidRPr="00A57506" w:rsidRDefault="004C4BA9" w:rsidP="0067577D">
      <w:pPr>
        <w:rPr>
          <w:color w:val="000000" w:themeColor="text1"/>
          <w:lang w:val="en-US"/>
        </w:rPr>
      </w:pPr>
      <w:r w:rsidRPr="001529C7">
        <w:rPr>
          <w:color w:val="000000" w:themeColor="text1"/>
          <w:lang w:val="en"/>
        </w:rPr>
        <w:t>Coal pricing is based on market relations and is not regulated by the state.</w:t>
      </w:r>
    </w:p>
    <w:p w14:paraId="38C53195" w14:textId="77777777" w:rsidR="0067577D" w:rsidRPr="00A57506" w:rsidRDefault="004C4BA9" w:rsidP="0067577D">
      <w:pPr>
        <w:rPr>
          <w:color w:val="000000" w:themeColor="text1"/>
          <w:lang w:val="en-US"/>
        </w:rPr>
      </w:pPr>
      <w:r w:rsidRPr="001529C7">
        <w:rPr>
          <w:color w:val="000000" w:themeColor="text1"/>
          <w:lang w:val="en"/>
        </w:rPr>
        <w:t>Coal is shipped to energy companies at selling prices of surface mines under direct contracts.</w:t>
      </w:r>
    </w:p>
    <w:p w14:paraId="000BECA9" w14:textId="77777777" w:rsidR="0067577D" w:rsidRPr="00A57506" w:rsidRDefault="004C4BA9" w:rsidP="0067577D">
      <w:pPr>
        <w:rPr>
          <w:color w:val="000000" w:themeColor="text1"/>
          <w:lang w:val="en-US"/>
        </w:rPr>
      </w:pPr>
      <w:r w:rsidRPr="001529C7">
        <w:rPr>
          <w:color w:val="000000" w:themeColor="text1"/>
          <w:lang w:val="en"/>
        </w:rPr>
        <w:t xml:space="preserve"> The bulk of coal for municipal consumers and population is sold through commodity exchange.</w:t>
      </w:r>
    </w:p>
    <w:p w14:paraId="6482C677" w14:textId="77777777" w:rsidR="0067577D" w:rsidRPr="00A57506" w:rsidRDefault="004C4BA9" w:rsidP="0067577D">
      <w:pPr>
        <w:rPr>
          <w:color w:val="000000" w:themeColor="text1"/>
          <w:lang w:val="en-US"/>
        </w:rPr>
      </w:pPr>
      <w:r w:rsidRPr="001529C7">
        <w:rPr>
          <w:color w:val="000000" w:themeColor="text1"/>
          <w:lang w:val="en"/>
        </w:rPr>
        <w:t xml:space="preserve">The Agency has developed </w:t>
      </w:r>
      <w:r w:rsidRPr="001529C7">
        <w:rPr>
          <w:b/>
          <w:color w:val="000000" w:themeColor="text1"/>
          <w:lang w:val="en"/>
        </w:rPr>
        <w:t>Recommendations</w:t>
      </w:r>
      <w:r w:rsidRPr="001529C7">
        <w:rPr>
          <w:color w:val="000000" w:themeColor="text1"/>
          <w:lang w:val="en"/>
        </w:rPr>
        <w:t xml:space="preserve"> </w:t>
      </w:r>
      <w:r w:rsidRPr="00846C82">
        <w:rPr>
          <w:i/>
          <w:color w:val="000000" w:themeColor="text1"/>
          <w:sz w:val="24"/>
          <w:lang w:val="en"/>
        </w:rPr>
        <w:t>(sectional rules)</w:t>
      </w:r>
      <w:r w:rsidRPr="001529C7">
        <w:rPr>
          <w:color w:val="000000" w:themeColor="text1"/>
          <w:lang w:val="en"/>
        </w:rPr>
        <w:t xml:space="preserve"> for sale of municipal coal through commodity exchanges </w:t>
      </w:r>
      <w:r w:rsidRPr="00846C82">
        <w:rPr>
          <w:i/>
          <w:color w:val="000000" w:themeColor="text1"/>
          <w:sz w:val="24"/>
          <w:lang w:val="en"/>
        </w:rPr>
        <w:t>(hereinafter referred to as Sectional Rules)</w:t>
      </w:r>
      <w:r w:rsidRPr="001529C7">
        <w:rPr>
          <w:color w:val="000000" w:themeColor="text1"/>
          <w:lang w:val="en"/>
        </w:rPr>
        <w:t>.</w:t>
      </w:r>
    </w:p>
    <w:p w14:paraId="0804B07B" w14:textId="77777777" w:rsidR="0067577D" w:rsidRPr="00A57506" w:rsidRDefault="004C4BA9" w:rsidP="0067577D">
      <w:pPr>
        <w:rPr>
          <w:color w:val="000000" w:themeColor="text1"/>
          <w:lang w:val="en-US"/>
        </w:rPr>
      </w:pPr>
      <w:r w:rsidRPr="001529C7">
        <w:rPr>
          <w:color w:val="000000" w:themeColor="text1"/>
          <w:lang w:val="en"/>
        </w:rPr>
        <w:lastRenderedPageBreak/>
        <w:t>This innovation is registered by the order of the Minister of Trade and Integration No. 498-NK dated August 13, 2021.</w:t>
      </w:r>
    </w:p>
    <w:p w14:paraId="36F3195A" w14:textId="77777777" w:rsidR="0067577D" w:rsidRPr="00A57506" w:rsidRDefault="004C4BA9" w:rsidP="0067577D">
      <w:pPr>
        <w:rPr>
          <w:color w:val="000000" w:themeColor="text1"/>
          <w:lang w:val="en-US"/>
        </w:rPr>
      </w:pPr>
      <w:r w:rsidRPr="001529C7">
        <w:rPr>
          <w:color w:val="000000" w:themeColor="text1"/>
          <w:lang w:val="en"/>
        </w:rPr>
        <w:t>The main purpose of introduction of this exchange trading scheme is to provide population with "cheap" municipal coal without unproductive intermediaries in the pricing scheme.</w:t>
      </w:r>
    </w:p>
    <w:p w14:paraId="27207427" w14:textId="77777777" w:rsidR="0067577D" w:rsidRPr="00A22DA1" w:rsidRDefault="004C4BA9" w:rsidP="0067577D">
      <w:pPr>
        <w:rPr>
          <w:color w:val="000000" w:themeColor="text1"/>
          <w:lang w:val="en-US"/>
        </w:rPr>
      </w:pPr>
      <w:r w:rsidRPr="001529C7">
        <w:rPr>
          <w:color w:val="000000" w:themeColor="text1"/>
          <w:lang w:val="en"/>
        </w:rPr>
        <w:t>Provision of direct access for regional operators for amount of 544 thousand tons in 2021</w:t>
      </w:r>
      <w:r w:rsidRPr="00846C82">
        <w:rPr>
          <w:i/>
          <w:color w:val="000000" w:themeColor="text1"/>
          <w:sz w:val="24"/>
          <w:lang w:val="en"/>
        </w:rPr>
        <w:t xml:space="preserve"> ("Shubarkol Komir" JSC - 387 thousand tons, "Karazhyra" JSC - 108 thousand tons, "Maykuben-West" JSC - 49 thousand tons) </w:t>
      </w:r>
      <w:r w:rsidRPr="001529C7">
        <w:rPr>
          <w:color w:val="000000" w:themeColor="text1"/>
          <w:lang w:val="en"/>
        </w:rPr>
        <w:t>and 576 thousand tons in 2022</w:t>
      </w:r>
      <w:r w:rsidRPr="00846C82">
        <w:rPr>
          <w:i/>
          <w:color w:val="000000" w:themeColor="text1"/>
          <w:sz w:val="24"/>
          <w:lang w:val="en"/>
        </w:rPr>
        <w:t xml:space="preserve"> ("Shubarkol Komir" JSC - 411 thousand tons, "Karazhyra" JSC - 130 thousand tons, "Maykuben-West" JSC - 35 thousand tons) </w:t>
      </w:r>
      <w:r w:rsidRPr="001529C7">
        <w:rPr>
          <w:color w:val="000000" w:themeColor="text1"/>
          <w:lang w:val="en"/>
        </w:rPr>
        <w:t>allowed reducing costs of coal operators in amount of approx. 5.6 billion KZT.</w:t>
      </w:r>
    </w:p>
    <w:p w14:paraId="2314C992" w14:textId="77777777" w:rsidR="0067577D" w:rsidRPr="00A57506" w:rsidRDefault="004C4BA9" w:rsidP="0067577D">
      <w:pPr>
        <w:rPr>
          <w:color w:val="000000" w:themeColor="text1"/>
          <w:lang w:val="en-US"/>
        </w:rPr>
      </w:pPr>
      <w:r w:rsidRPr="001529C7">
        <w:rPr>
          <w:color w:val="000000" w:themeColor="text1"/>
          <w:lang w:val="en"/>
        </w:rPr>
        <w:t>Article 90-6 of the Code provides for competence of antimonopoly authority to monitor prices on commodity markets in order to establish signs of violation of legislation in the field of competition protection.</w:t>
      </w:r>
    </w:p>
    <w:p w14:paraId="6F85B1DD" w14:textId="3BF8C240" w:rsidR="0067577D" w:rsidRPr="00A57506" w:rsidRDefault="004C4BA9" w:rsidP="0067577D">
      <w:pPr>
        <w:rPr>
          <w:color w:val="000000" w:themeColor="text1"/>
          <w:lang w:val="en-US"/>
        </w:rPr>
      </w:pPr>
      <w:r w:rsidRPr="001529C7">
        <w:rPr>
          <w:color w:val="000000" w:themeColor="text1"/>
          <w:lang w:val="en"/>
        </w:rPr>
        <w:t xml:space="preserve">According to the results of the heating season and price monitoring, there were no sharp </w:t>
      </w:r>
      <w:r w:rsidR="00AF59F7">
        <w:rPr>
          <w:color w:val="000000" w:themeColor="text1"/>
          <w:lang w:val="en"/>
        </w:rPr>
        <w:t>f</w:t>
      </w:r>
      <w:r w:rsidRPr="001529C7">
        <w:rPr>
          <w:color w:val="000000" w:themeColor="text1"/>
          <w:lang w:val="en"/>
        </w:rPr>
        <w:t>luctuations. At coal railway dead ends, the price of municipal coal, depending on the region, brand and fraction of coal, ranged from 9 to 23 thousand KZT/ton. The price depends on size fractions, ash content and distance to final consumers, taking into account transport costs.</w:t>
      </w:r>
    </w:p>
    <w:p w14:paraId="77056497" w14:textId="77777777" w:rsidR="0067577D" w:rsidRPr="00A57506" w:rsidRDefault="004C4BA9" w:rsidP="0067577D">
      <w:pPr>
        <w:rPr>
          <w:color w:val="000000" w:themeColor="text1"/>
          <w:lang w:val="en-US"/>
        </w:rPr>
      </w:pPr>
      <w:r w:rsidRPr="001529C7">
        <w:rPr>
          <w:color w:val="000000" w:themeColor="text1"/>
          <w:lang w:val="en"/>
        </w:rPr>
        <w:t xml:space="preserve">With that, </w:t>
      </w:r>
      <w:r w:rsidRPr="002E721E">
        <w:rPr>
          <w:b/>
          <w:color w:val="000000" w:themeColor="text1"/>
          <w:lang w:val="en"/>
        </w:rPr>
        <w:t>16 acts of antimonopoly compliance</w:t>
      </w:r>
      <w:r w:rsidRPr="001529C7">
        <w:rPr>
          <w:color w:val="000000" w:themeColor="text1"/>
          <w:lang w:val="en"/>
        </w:rPr>
        <w:t xml:space="preserve"> aimed at reducing risks of violation of antimonopoly legislation by market entities have been agreed with regional owners of coal bases (dead ends) who purchase coal for resale to population for household needs. </w:t>
      </w:r>
    </w:p>
    <w:p w14:paraId="24F0F80F" w14:textId="77777777" w:rsidR="0067577D" w:rsidRPr="00A57506" w:rsidRDefault="004C4BA9" w:rsidP="0067577D">
      <w:pPr>
        <w:rPr>
          <w:color w:val="000000" w:themeColor="text1"/>
          <w:lang w:val="en-US"/>
        </w:rPr>
      </w:pPr>
      <w:r w:rsidRPr="001529C7">
        <w:rPr>
          <w:color w:val="000000" w:themeColor="text1"/>
          <w:lang w:val="en"/>
        </w:rPr>
        <w:t>The issue of selling coal to population has a social nature, in this connection the Agency conducts weekly monitoring of coal selling prices at railway dead ends in order to prevent unjustified price increases.</w:t>
      </w:r>
    </w:p>
    <w:p w14:paraId="4B690D06" w14:textId="77777777" w:rsidR="0067577D" w:rsidRPr="00A57506" w:rsidRDefault="004C4BA9" w:rsidP="0067577D">
      <w:pPr>
        <w:rPr>
          <w:color w:val="000000" w:themeColor="text1"/>
          <w:lang w:val="en-US"/>
        </w:rPr>
      </w:pPr>
      <w:r w:rsidRPr="001529C7">
        <w:rPr>
          <w:color w:val="000000" w:themeColor="text1"/>
          <w:lang w:val="en"/>
        </w:rPr>
        <w:t>If power-generating coal is sold directly to energy-producing and industrial enterprises, then municipal coal is sold through a network of intermediaries.</w:t>
      </w:r>
    </w:p>
    <w:p w14:paraId="18257427" w14:textId="77777777" w:rsidR="0067577D" w:rsidRPr="00A57506" w:rsidRDefault="004C4BA9" w:rsidP="0067577D">
      <w:pPr>
        <w:rPr>
          <w:i/>
          <w:color w:val="000000" w:themeColor="text1"/>
          <w:sz w:val="24"/>
          <w:lang w:val="en-US"/>
        </w:rPr>
      </w:pPr>
      <w:r w:rsidRPr="001529C7">
        <w:rPr>
          <w:color w:val="000000" w:themeColor="text1"/>
          <w:lang w:val="en"/>
        </w:rPr>
        <w:t xml:space="preserve">To do this, coal mining companies use stock trading, where huge volumes </w:t>
      </w:r>
      <w:r w:rsidRPr="00846C82">
        <w:rPr>
          <w:i/>
          <w:color w:val="000000" w:themeColor="text1"/>
          <w:sz w:val="24"/>
          <w:lang w:val="en"/>
        </w:rPr>
        <w:t>(up to 3 million tons or up to 71% of the annual shipment volume)</w:t>
      </w:r>
      <w:r w:rsidRPr="001529C7">
        <w:rPr>
          <w:color w:val="000000" w:themeColor="text1"/>
          <w:lang w:val="en"/>
        </w:rPr>
        <w:t xml:space="preserve"> are sold within a few minutes to a limited number of suppliers, which do not change for several years </w:t>
      </w:r>
      <w:r w:rsidRPr="00846C82">
        <w:rPr>
          <w:i/>
          <w:color w:val="000000" w:themeColor="text1"/>
          <w:sz w:val="24"/>
          <w:lang w:val="en"/>
        </w:rPr>
        <w:t>(from 2 to 17).</w:t>
      </w:r>
    </w:p>
    <w:p w14:paraId="6FE5AEE4" w14:textId="77777777" w:rsidR="0067577D" w:rsidRPr="00A57506" w:rsidRDefault="004C4BA9" w:rsidP="0067577D">
      <w:pPr>
        <w:rPr>
          <w:color w:val="000000" w:themeColor="text1"/>
          <w:lang w:val="en-US"/>
        </w:rPr>
      </w:pPr>
      <w:r w:rsidRPr="001529C7">
        <w:rPr>
          <w:iCs/>
          <w:color w:val="000000" w:themeColor="text1"/>
          <w:lang w:val="en"/>
        </w:rPr>
        <w:t>For example, in December 2022, "Halyk Komir" LLP buys 120 thousand tons of coal at weighted average price of 6,500 KZT/ton through commodity exchange of "TB "Caspian" JSC from "Karazhyra" JSC and resells it for 12,595 KZT/ton.</w:t>
      </w:r>
    </w:p>
    <w:p w14:paraId="59735FE8" w14:textId="77777777" w:rsidR="00AF4AB4" w:rsidRPr="00A57506" w:rsidRDefault="00AF4AB4" w:rsidP="00F411E1">
      <w:pPr>
        <w:pStyle w:val="Caption"/>
        <w:keepNext/>
        <w:spacing w:after="0"/>
        <w:ind w:firstLine="0"/>
        <w:rPr>
          <w:b w:val="0"/>
          <w:color w:val="000000" w:themeColor="text1"/>
          <w:sz w:val="28"/>
          <w:szCs w:val="28"/>
          <w:lang w:val="en-US"/>
        </w:rPr>
      </w:pPr>
    </w:p>
    <w:p w14:paraId="3A332385" w14:textId="77777777" w:rsidR="00AF4AB4"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4</w:t>
      </w:r>
      <w:r w:rsidRPr="001529C7">
        <w:rPr>
          <w:b w:val="0"/>
          <w:color w:val="000000" w:themeColor="text1"/>
          <w:sz w:val="28"/>
          <w:szCs w:val="28"/>
        </w:rPr>
        <w:fldChar w:fldCharType="end"/>
      </w:r>
      <w:r w:rsidRPr="001529C7">
        <w:rPr>
          <w:b w:val="0"/>
          <w:color w:val="000000" w:themeColor="text1"/>
          <w:sz w:val="28"/>
          <w:szCs w:val="28"/>
          <w:lang w:val="en"/>
        </w:rPr>
        <w:t>. Primary sale through commodity exchange.</w:t>
      </w:r>
    </w:p>
    <w:tbl>
      <w:tblPr>
        <w:tblStyle w:val="TableGrid"/>
        <w:tblW w:w="9634" w:type="dxa"/>
        <w:tblLook w:val="04A0" w:firstRow="1" w:lastRow="0" w:firstColumn="1" w:lastColumn="0" w:noHBand="0" w:noVBand="1"/>
      </w:tblPr>
      <w:tblGrid>
        <w:gridCol w:w="1980"/>
        <w:gridCol w:w="1134"/>
        <w:gridCol w:w="1276"/>
        <w:gridCol w:w="1559"/>
        <w:gridCol w:w="1843"/>
        <w:gridCol w:w="1842"/>
      </w:tblGrid>
      <w:tr w:rsidR="00706070" w:rsidRPr="00A22DA1" w14:paraId="4FD0137D" w14:textId="77777777" w:rsidTr="004D4898">
        <w:tc>
          <w:tcPr>
            <w:tcW w:w="1980" w:type="dxa"/>
            <w:vAlign w:val="center"/>
          </w:tcPr>
          <w:p w14:paraId="56E66FCB"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Seller</w:t>
            </w:r>
          </w:p>
        </w:tc>
        <w:tc>
          <w:tcPr>
            <w:tcW w:w="1134" w:type="dxa"/>
            <w:vAlign w:val="center"/>
          </w:tcPr>
          <w:p w14:paraId="615BADB7"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Stock market</w:t>
            </w:r>
          </w:p>
        </w:tc>
        <w:tc>
          <w:tcPr>
            <w:tcW w:w="1276" w:type="dxa"/>
            <w:vAlign w:val="center"/>
          </w:tcPr>
          <w:p w14:paraId="15241FB2"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Volume, tons.</w:t>
            </w:r>
          </w:p>
        </w:tc>
        <w:tc>
          <w:tcPr>
            <w:tcW w:w="1559" w:type="dxa"/>
            <w:vAlign w:val="center"/>
          </w:tcPr>
          <w:p w14:paraId="25E0BDD1"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Buyer</w:t>
            </w:r>
          </w:p>
        </w:tc>
        <w:tc>
          <w:tcPr>
            <w:tcW w:w="1843" w:type="dxa"/>
            <w:vAlign w:val="center"/>
          </w:tcPr>
          <w:p w14:paraId="39DEBFB6"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Transaction amount, KZT.</w:t>
            </w:r>
          </w:p>
        </w:tc>
        <w:tc>
          <w:tcPr>
            <w:tcW w:w="1842" w:type="dxa"/>
            <w:vAlign w:val="center"/>
          </w:tcPr>
          <w:p w14:paraId="316D7937" w14:textId="77777777" w:rsidR="00B95AA4" w:rsidRPr="00A57506" w:rsidRDefault="004C4BA9" w:rsidP="00F411E1">
            <w:pPr>
              <w:ind w:firstLine="0"/>
              <w:jc w:val="center"/>
              <w:rPr>
                <w:color w:val="000000" w:themeColor="text1"/>
                <w:sz w:val="22"/>
                <w:szCs w:val="22"/>
                <w:lang w:val="en-US"/>
              </w:rPr>
            </w:pPr>
            <w:r w:rsidRPr="001529C7">
              <w:rPr>
                <w:color w:val="000000" w:themeColor="text1"/>
                <w:sz w:val="22"/>
                <w:szCs w:val="22"/>
                <w:lang w:val="en"/>
              </w:rPr>
              <w:t>Weighted average. price, KZT/ton.</w:t>
            </w:r>
          </w:p>
        </w:tc>
      </w:tr>
      <w:tr w:rsidR="00706070" w14:paraId="273A892E" w14:textId="77777777" w:rsidTr="004D4898">
        <w:tc>
          <w:tcPr>
            <w:tcW w:w="1980" w:type="dxa"/>
            <w:vAlign w:val="center"/>
          </w:tcPr>
          <w:p w14:paraId="7C887A73"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w:t>
            </w:r>
            <w:proofErr w:type="spellStart"/>
            <w:r w:rsidRPr="001529C7">
              <w:rPr>
                <w:color w:val="000000" w:themeColor="text1"/>
                <w:sz w:val="22"/>
                <w:szCs w:val="22"/>
                <w:lang w:val="en"/>
              </w:rPr>
              <w:t>Karazhyra</w:t>
            </w:r>
            <w:proofErr w:type="spellEnd"/>
            <w:r w:rsidRPr="001529C7">
              <w:rPr>
                <w:color w:val="000000" w:themeColor="text1"/>
                <w:sz w:val="22"/>
                <w:szCs w:val="22"/>
                <w:lang w:val="en"/>
              </w:rPr>
              <w:t>" JSC</w:t>
            </w:r>
          </w:p>
        </w:tc>
        <w:tc>
          <w:tcPr>
            <w:tcW w:w="1134" w:type="dxa"/>
            <w:vAlign w:val="center"/>
          </w:tcPr>
          <w:p w14:paraId="1ACE7807"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 xml:space="preserve">"TB "Kaspiy" JSC </w:t>
            </w:r>
          </w:p>
        </w:tc>
        <w:tc>
          <w:tcPr>
            <w:tcW w:w="1276" w:type="dxa"/>
            <w:vAlign w:val="center"/>
          </w:tcPr>
          <w:p w14:paraId="7DDF6DE5"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120,000</w:t>
            </w:r>
          </w:p>
        </w:tc>
        <w:tc>
          <w:tcPr>
            <w:tcW w:w="1559" w:type="dxa"/>
            <w:vAlign w:val="center"/>
          </w:tcPr>
          <w:p w14:paraId="7F87E3B9"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Halyk Komir LLP</w:t>
            </w:r>
          </w:p>
        </w:tc>
        <w:tc>
          <w:tcPr>
            <w:tcW w:w="1843" w:type="dxa"/>
            <w:vAlign w:val="center"/>
          </w:tcPr>
          <w:p w14:paraId="1B382207"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780 000 000</w:t>
            </w:r>
          </w:p>
        </w:tc>
        <w:tc>
          <w:tcPr>
            <w:tcW w:w="1842" w:type="dxa"/>
            <w:vAlign w:val="center"/>
          </w:tcPr>
          <w:p w14:paraId="537E16B9"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6 500</w:t>
            </w:r>
          </w:p>
        </w:tc>
      </w:tr>
    </w:tbl>
    <w:p w14:paraId="0BAD789D" w14:textId="77777777" w:rsidR="00AF4AB4" w:rsidRPr="001529C7" w:rsidRDefault="00AF4AB4" w:rsidP="00F411E1">
      <w:pPr>
        <w:pStyle w:val="Caption"/>
        <w:keepNext/>
        <w:spacing w:after="0"/>
        <w:ind w:firstLine="0"/>
        <w:rPr>
          <w:b w:val="0"/>
          <w:color w:val="000000" w:themeColor="text1"/>
          <w:sz w:val="28"/>
          <w:szCs w:val="28"/>
        </w:rPr>
      </w:pPr>
    </w:p>
    <w:p w14:paraId="18F8DCC7" w14:textId="77777777" w:rsidR="00B95AA4"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5</w:t>
      </w:r>
      <w:r w:rsidRPr="001529C7">
        <w:rPr>
          <w:b w:val="0"/>
          <w:color w:val="000000" w:themeColor="text1"/>
          <w:sz w:val="28"/>
          <w:szCs w:val="28"/>
        </w:rPr>
        <w:fldChar w:fldCharType="end"/>
      </w:r>
      <w:r w:rsidRPr="001529C7">
        <w:rPr>
          <w:b w:val="0"/>
          <w:color w:val="000000" w:themeColor="text1"/>
          <w:sz w:val="28"/>
          <w:szCs w:val="28"/>
          <w:lang w:val="en"/>
        </w:rPr>
        <w:t>. Secondary sale through commodity exchange.</w:t>
      </w:r>
    </w:p>
    <w:tbl>
      <w:tblPr>
        <w:tblStyle w:val="TableGrid"/>
        <w:tblW w:w="9634" w:type="dxa"/>
        <w:tblLook w:val="04A0" w:firstRow="1" w:lastRow="0" w:firstColumn="1" w:lastColumn="0" w:noHBand="0" w:noVBand="1"/>
      </w:tblPr>
      <w:tblGrid>
        <w:gridCol w:w="1980"/>
        <w:gridCol w:w="1134"/>
        <w:gridCol w:w="1276"/>
        <w:gridCol w:w="1559"/>
        <w:gridCol w:w="1843"/>
        <w:gridCol w:w="1842"/>
      </w:tblGrid>
      <w:tr w:rsidR="00706070" w:rsidRPr="00A22DA1" w14:paraId="1733699F" w14:textId="77777777" w:rsidTr="004D4898">
        <w:tc>
          <w:tcPr>
            <w:tcW w:w="1980" w:type="dxa"/>
            <w:vAlign w:val="center"/>
          </w:tcPr>
          <w:p w14:paraId="1E3A8B8C"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Seller</w:t>
            </w:r>
          </w:p>
        </w:tc>
        <w:tc>
          <w:tcPr>
            <w:tcW w:w="1134" w:type="dxa"/>
            <w:vAlign w:val="center"/>
          </w:tcPr>
          <w:p w14:paraId="470837C0"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Stock market</w:t>
            </w:r>
          </w:p>
        </w:tc>
        <w:tc>
          <w:tcPr>
            <w:tcW w:w="1276" w:type="dxa"/>
            <w:vAlign w:val="center"/>
          </w:tcPr>
          <w:p w14:paraId="214F9BF1"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Volume, tons.</w:t>
            </w:r>
          </w:p>
        </w:tc>
        <w:tc>
          <w:tcPr>
            <w:tcW w:w="1559" w:type="dxa"/>
            <w:vAlign w:val="center"/>
          </w:tcPr>
          <w:p w14:paraId="061E2234"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Buyer</w:t>
            </w:r>
          </w:p>
        </w:tc>
        <w:tc>
          <w:tcPr>
            <w:tcW w:w="1843" w:type="dxa"/>
            <w:vAlign w:val="center"/>
          </w:tcPr>
          <w:p w14:paraId="4D12DA77"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Transaction amount, KZT.</w:t>
            </w:r>
          </w:p>
        </w:tc>
        <w:tc>
          <w:tcPr>
            <w:tcW w:w="1842" w:type="dxa"/>
            <w:vAlign w:val="center"/>
          </w:tcPr>
          <w:p w14:paraId="6753DC32" w14:textId="77777777" w:rsidR="00B95AA4" w:rsidRPr="00A57506" w:rsidRDefault="004C4BA9" w:rsidP="00F411E1">
            <w:pPr>
              <w:ind w:firstLine="0"/>
              <w:jc w:val="center"/>
              <w:rPr>
                <w:color w:val="000000" w:themeColor="text1"/>
                <w:sz w:val="22"/>
                <w:szCs w:val="22"/>
                <w:lang w:val="en-US"/>
              </w:rPr>
            </w:pPr>
            <w:r w:rsidRPr="001529C7">
              <w:rPr>
                <w:color w:val="000000" w:themeColor="text1"/>
                <w:sz w:val="22"/>
                <w:szCs w:val="22"/>
                <w:lang w:val="en"/>
              </w:rPr>
              <w:t>Weighted average. price, KZT/ton.</w:t>
            </w:r>
          </w:p>
        </w:tc>
      </w:tr>
      <w:tr w:rsidR="00706070" w14:paraId="6D5E27F5" w14:textId="77777777" w:rsidTr="004D4898">
        <w:tc>
          <w:tcPr>
            <w:tcW w:w="1980" w:type="dxa"/>
            <w:vAlign w:val="center"/>
          </w:tcPr>
          <w:p w14:paraId="2A67AB1D" w14:textId="77777777" w:rsidR="00B95AA4" w:rsidRPr="001529C7" w:rsidRDefault="004C4BA9" w:rsidP="00F411E1">
            <w:pPr>
              <w:ind w:firstLine="0"/>
              <w:jc w:val="center"/>
              <w:rPr>
                <w:color w:val="000000" w:themeColor="text1"/>
                <w:sz w:val="22"/>
                <w:szCs w:val="22"/>
              </w:rPr>
            </w:pPr>
            <w:proofErr w:type="spellStart"/>
            <w:r w:rsidRPr="001529C7">
              <w:rPr>
                <w:color w:val="000000" w:themeColor="text1"/>
                <w:sz w:val="22"/>
                <w:szCs w:val="22"/>
                <w:lang w:val="en"/>
              </w:rPr>
              <w:t>Halyk</w:t>
            </w:r>
            <w:proofErr w:type="spellEnd"/>
            <w:r w:rsidRPr="001529C7">
              <w:rPr>
                <w:color w:val="000000" w:themeColor="text1"/>
                <w:sz w:val="22"/>
                <w:szCs w:val="22"/>
                <w:lang w:val="en"/>
              </w:rPr>
              <w:t xml:space="preserve"> </w:t>
            </w:r>
            <w:proofErr w:type="spellStart"/>
            <w:r w:rsidRPr="001529C7">
              <w:rPr>
                <w:color w:val="000000" w:themeColor="text1"/>
                <w:sz w:val="22"/>
                <w:szCs w:val="22"/>
                <w:lang w:val="en"/>
              </w:rPr>
              <w:t>Komir</w:t>
            </w:r>
            <w:proofErr w:type="spellEnd"/>
            <w:r w:rsidRPr="001529C7">
              <w:rPr>
                <w:color w:val="000000" w:themeColor="text1"/>
                <w:sz w:val="22"/>
                <w:szCs w:val="22"/>
                <w:lang w:val="en"/>
              </w:rPr>
              <w:t xml:space="preserve"> LLP</w:t>
            </w:r>
          </w:p>
        </w:tc>
        <w:tc>
          <w:tcPr>
            <w:tcW w:w="1134" w:type="dxa"/>
            <w:vAlign w:val="center"/>
          </w:tcPr>
          <w:p w14:paraId="661C53C5"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 xml:space="preserve">"TB "Kaspiy" JSC </w:t>
            </w:r>
          </w:p>
        </w:tc>
        <w:tc>
          <w:tcPr>
            <w:tcW w:w="1276" w:type="dxa"/>
            <w:vAlign w:val="center"/>
          </w:tcPr>
          <w:p w14:paraId="67C69D68"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1 000</w:t>
            </w:r>
          </w:p>
        </w:tc>
        <w:tc>
          <w:tcPr>
            <w:tcW w:w="1559" w:type="dxa"/>
            <w:vAlign w:val="center"/>
          </w:tcPr>
          <w:p w14:paraId="49918DC0"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 xml:space="preserve">Halyk komir IE </w:t>
            </w:r>
          </w:p>
        </w:tc>
        <w:tc>
          <w:tcPr>
            <w:tcW w:w="1843" w:type="dxa"/>
            <w:vAlign w:val="center"/>
          </w:tcPr>
          <w:p w14:paraId="6FF7D8F6"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12 595 000</w:t>
            </w:r>
          </w:p>
        </w:tc>
        <w:tc>
          <w:tcPr>
            <w:tcW w:w="1842" w:type="dxa"/>
            <w:vAlign w:val="center"/>
          </w:tcPr>
          <w:p w14:paraId="124B49E2" w14:textId="77777777" w:rsidR="00B95AA4" w:rsidRPr="001529C7" w:rsidRDefault="004C4BA9" w:rsidP="00F411E1">
            <w:pPr>
              <w:ind w:firstLine="0"/>
              <w:jc w:val="center"/>
              <w:rPr>
                <w:color w:val="000000" w:themeColor="text1"/>
                <w:sz w:val="22"/>
                <w:szCs w:val="22"/>
              </w:rPr>
            </w:pPr>
            <w:r w:rsidRPr="001529C7">
              <w:rPr>
                <w:color w:val="000000" w:themeColor="text1"/>
                <w:sz w:val="22"/>
                <w:szCs w:val="22"/>
                <w:lang w:val="en"/>
              </w:rPr>
              <w:t>12 595</w:t>
            </w:r>
          </w:p>
        </w:tc>
      </w:tr>
    </w:tbl>
    <w:p w14:paraId="502FDF6F" w14:textId="77777777" w:rsidR="00B95AA4" w:rsidRPr="001529C7" w:rsidRDefault="00B95AA4" w:rsidP="00F411E1">
      <w:pPr>
        <w:rPr>
          <w:color w:val="000000" w:themeColor="text1"/>
        </w:rPr>
      </w:pPr>
    </w:p>
    <w:p w14:paraId="579B81DC" w14:textId="77777777" w:rsidR="0067577D" w:rsidRPr="00A57506" w:rsidRDefault="004C4BA9" w:rsidP="0067577D">
      <w:pPr>
        <w:rPr>
          <w:color w:val="000000" w:themeColor="text1"/>
          <w:lang w:val="en-US"/>
        </w:rPr>
      </w:pPr>
      <w:r w:rsidRPr="001529C7">
        <w:rPr>
          <w:color w:val="000000" w:themeColor="text1"/>
          <w:lang w:val="en"/>
        </w:rPr>
        <w:t xml:space="preserve">Thus, the mark-up of Halyk Komir LLP, which does not own technically equipped railway dead end </w:t>
      </w:r>
      <w:r w:rsidRPr="00846C82">
        <w:rPr>
          <w:i/>
          <w:color w:val="000000" w:themeColor="text1"/>
          <w:sz w:val="24"/>
          <w:lang w:val="en"/>
        </w:rPr>
        <w:t>(weighing equipment, loading and unloading transport, etc.)</w:t>
      </w:r>
      <w:r w:rsidRPr="001529C7">
        <w:rPr>
          <w:color w:val="000000" w:themeColor="text1"/>
          <w:lang w:val="en"/>
        </w:rPr>
        <w:t xml:space="preserve"> on ownership right or other legal grounds, is about 94%.</w:t>
      </w:r>
    </w:p>
    <w:p w14:paraId="03D1BB47" w14:textId="77777777" w:rsidR="0067577D" w:rsidRPr="00A57506" w:rsidRDefault="004C4BA9" w:rsidP="0067577D">
      <w:pPr>
        <w:rPr>
          <w:color w:val="000000" w:themeColor="text1"/>
          <w:lang w:val="en-US"/>
        </w:rPr>
      </w:pPr>
      <w:r w:rsidRPr="001529C7">
        <w:rPr>
          <w:color w:val="000000" w:themeColor="text1"/>
          <w:lang w:val="en"/>
        </w:rPr>
        <w:t>The task of such intermediaries, who do not have storage infrastructure, is to find buyers. Exchange transactions are concluded by brokers who simultaneously represented interests of sellers and buyers, and access to trading is maximally limited for independent suppliers.</w:t>
      </w:r>
    </w:p>
    <w:p w14:paraId="200A4AEB" w14:textId="77777777" w:rsidR="0067577D" w:rsidRPr="00A57506" w:rsidRDefault="004C4BA9" w:rsidP="0067577D">
      <w:pPr>
        <w:rPr>
          <w:color w:val="000000" w:themeColor="text1"/>
          <w:lang w:val="en-US"/>
        </w:rPr>
      </w:pPr>
      <w:r w:rsidRPr="001529C7">
        <w:rPr>
          <w:color w:val="000000" w:themeColor="text1"/>
          <w:lang w:val="en"/>
        </w:rPr>
        <w:t>Some commodity exchanges were opened for the purpose of bidding by certain narrow circle of sellers and buyers, being so-called "pocket" exchanges.</w:t>
      </w:r>
    </w:p>
    <w:p w14:paraId="45E8CEB8" w14:textId="77777777" w:rsidR="0067577D" w:rsidRPr="00A57506" w:rsidRDefault="004C4BA9" w:rsidP="0067577D">
      <w:pPr>
        <w:rPr>
          <w:color w:val="000000" w:themeColor="text1"/>
          <w:lang w:val="en-US"/>
        </w:rPr>
      </w:pPr>
      <w:r w:rsidRPr="001529C7">
        <w:rPr>
          <w:color w:val="000000" w:themeColor="text1"/>
          <w:lang w:val="en"/>
        </w:rPr>
        <w:t>The analysis highlights several areas of coal use in the domestic market of the Republic of Kazakhstan: for electric power industry, for municipal needs of population, for industrial enterprises.</w:t>
      </w:r>
    </w:p>
    <w:p w14:paraId="0F4F4F46" w14:textId="77777777" w:rsidR="0067577D" w:rsidRPr="00A57506" w:rsidRDefault="004C4BA9" w:rsidP="0067577D">
      <w:pPr>
        <w:rPr>
          <w:color w:val="000000" w:themeColor="text1"/>
          <w:lang w:val="en-US"/>
        </w:rPr>
      </w:pPr>
      <w:r w:rsidRPr="001529C7">
        <w:rPr>
          <w:color w:val="000000" w:themeColor="text1"/>
          <w:lang w:val="en"/>
        </w:rPr>
        <w:t xml:space="preserve">Bogatyr Komir LLP occupies a dominant position in the market of coal sales for energy–producing organizations </w:t>
      </w:r>
      <w:r w:rsidRPr="00846C82">
        <w:rPr>
          <w:i/>
          <w:color w:val="000000" w:themeColor="text1"/>
          <w:sz w:val="24"/>
          <w:lang w:val="en"/>
        </w:rPr>
        <w:t>(2018 – 86.07%, 2019 – 86.47%, 2020 – 84.84%, 2021 - 86.33%, the first half of 2022 - 83.1%)</w:t>
      </w:r>
      <w:r w:rsidRPr="001529C7">
        <w:rPr>
          <w:color w:val="000000" w:themeColor="text1"/>
          <w:lang w:val="en"/>
        </w:rPr>
        <w:t>.</w:t>
      </w:r>
    </w:p>
    <w:p w14:paraId="70A0EF84" w14:textId="77777777" w:rsidR="00510614" w:rsidRPr="00A57506" w:rsidRDefault="00510614" w:rsidP="00F411E1">
      <w:pPr>
        <w:rPr>
          <w:color w:val="000000" w:themeColor="text1"/>
          <w:lang w:val="en-US"/>
        </w:rPr>
      </w:pPr>
    </w:p>
    <w:p w14:paraId="691198E8" w14:textId="77777777" w:rsidR="00AF4AB4"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w:t>
      </w:r>
      <w:r w:rsidRPr="001529C7">
        <w:rPr>
          <w:b w:val="0"/>
          <w:color w:val="000000" w:themeColor="text1"/>
          <w:sz w:val="28"/>
          <w:szCs w:val="28"/>
        </w:rPr>
        <w:fldChar w:fldCharType="begin"/>
      </w:r>
      <w:r w:rsidRPr="001529C7">
        <w:rPr>
          <w:b w:val="0"/>
          <w:color w:val="000000" w:themeColor="text1"/>
          <w:sz w:val="28"/>
          <w:szCs w:val="28"/>
          <w:lang w:val="en"/>
        </w:rPr>
        <w:instrText xml:space="preserve"> SEQ Таблица \* ARABIC </w:instrText>
      </w:r>
      <w:r w:rsidRPr="001529C7">
        <w:rPr>
          <w:b w:val="0"/>
          <w:color w:val="000000" w:themeColor="text1"/>
          <w:sz w:val="28"/>
          <w:szCs w:val="28"/>
        </w:rPr>
        <w:fldChar w:fldCharType="separate"/>
      </w:r>
      <w:r w:rsidRPr="001529C7">
        <w:rPr>
          <w:b w:val="0"/>
          <w:color w:val="000000" w:themeColor="text1"/>
          <w:sz w:val="28"/>
          <w:szCs w:val="28"/>
          <w:lang w:val="en"/>
        </w:rPr>
        <w:t>6</w:t>
      </w:r>
      <w:r w:rsidRPr="001529C7">
        <w:rPr>
          <w:b w:val="0"/>
          <w:color w:val="000000" w:themeColor="text1"/>
          <w:sz w:val="28"/>
          <w:szCs w:val="28"/>
        </w:rPr>
        <w:fldChar w:fldCharType="end"/>
      </w:r>
      <w:r w:rsidRPr="001529C7">
        <w:rPr>
          <w:b w:val="0"/>
          <w:color w:val="000000" w:themeColor="text1"/>
          <w:sz w:val="28"/>
          <w:szCs w:val="28"/>
          <w:lang w:val="en"/>
        </w:rPr>
        <w:t>. The share of dominance at the market of coal sales for energy-producing organizations.</w:t>
      </w:r>
    </w:p>
    <w:tbl>
      <w:tblPr>
        <w:tblW w:w="9629" w:type="dxa"/>
        <w:tblCellMar>
          <w:left w:w="0" w:type="dxa"/>
          <w:right w:w="0" w:type="dxa"/>
        </w:tblCellMar>
        <w:tblLook w:val="04A0" w:firstRow="1" w:lastRow="0" w:firstColumn="1" w:lastColumn="0" w:noHBand="0" w:noVBand="1"/>
      </w:tblPr>
      <w:tblGrid>
        <w:gridCol w:w="458"/>
        <w:gridCol w:w="3950"/>
        <w:gridCol w:w="2679"/>
        <w:gridCol w:w="2542"/>
      </w:tblGrid>
      <w:tr w:rsidR="00706070" w14:paraId="3871D928" w14:textId="77777777" w:rsidTr="00AF4AB4">
        <w:trPr>
          <w:trHeight w:val="286"/>
        </w:trPr>
        <w:tc>
          <w:tcPr>
            <w:tcW w:w="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3E328"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w:t>
            </w:r>
          </w:p>
        </w:tc>
        <w:tc>
          <w:tcPr>
            <w:tcW w:w="39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CE5E6E"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Name</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98730"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2021</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4258F"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First half of 2022</w:t>
            </w:r>
          </w:p>
        </w:tc>
      </w:tr>
      <w:tr w:rsidR="00706070" w14:paraId="3C483B49" w14:textId="77777777" w:rsidTr="00AF4AB4">
        <w:trPr>
          <w:trHeight w:val="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A4B744"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3950" w:type="dxa"/>
            <w:vMerge/>
            <w:tcBorders>
              <w:top w:val="single" w:sz="8" w:space="0" w:color="000000"/>
              <w:left w:val="single" w:sz="8" w:space="0" w:color="000000"/>
              <w:bottom w:val="single" w:sz="8" w:space="0" w:color="000000"/>
              <w:right w:val="single" w:sz="8" w:space="0" w:color="000000"/>
            </w:tcBorders>
            <w:vAlign w:val="center"/>
            <w:hideMark/>
          </w:tcPr>
          <w:p w14:paraId="0417561E"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4F6909"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Share, %</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7D4838"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Share, %</w:t>
            </w:r>
          </w:p>
        </w:tc>
      </w:tr>
      <w:tr w:rsidR="00706070" w14:paraId="10084A7B"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1744C9"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1</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B6AC56"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Bogatyr Komir LLP</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FE267F"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86.33</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17CC60"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83.1</w:t>
            </w:r>
          </w:p>
        </w:tc>
      </w:tr>
      <w:tr w:rsidR="00706070" w14:paraId="5DB8DDD0"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1E0EBA"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2</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27B856"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"Karazhyra" JSC</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D768A5"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7.12</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1D684FE"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8.91</w:t>
            </w:r>
          </w:p>
        </w:tc>
      </w:tr>
      <w:tr w:rsidR="00706070" w14:paraId="17BBD64E"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2250BA"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3</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7FB314"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Kazakhmys Coal LLP</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05F95A"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3.16</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3BF1E5"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3.41</w:t>
            </w:r>
          </w:p>
        </w:tc>
      </w:tr>
      <w:tr w:rsidR="00706070" w14:paraId="03FC0257" w14:textId="77777777" w:rsidTr="00AF4AB4">
        <w:trPr>
          <w:trHeight w:val="588"/>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192868"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4</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FEEDB"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"Eurasian</w:t>
            </w:r>
          </w:p>
          <w:p w14:paraId="25EB0F91"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energy corporation" JSC</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C0F682"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2.57</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BDA1FC"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0.83</w:t>
            </w:r>
          </w:p>
        </w:tc>
      </w:tr>
      <w:tr w:rsidR="00706070" w14:paraId="7B34118F"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F26326"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5</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D294B3"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"Angrensor Energo" JSC</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9F8673"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0.32</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F5A126"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3.43</w:t>
            </w:r>
          </w:p>
        </w:tc>
      </w:tr>
      <w:tr w:rsidR="00706070" w14:paraId="12DC8BD5"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92843A"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6</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E7607C" w14:textId="77777777" w:rsidR="00B95AA4" w:rsidRPr="001529C7" w:rsidRDefault="004C4BA9"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lang w:val="en"/>
              </w:rPr>
              <w:t>Other market entities</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6D76D3"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0.5</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744736"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lang w:val="en"/>
              </w:rPr>
              <w:t>0.32</w:t>
            </w:r>
          </w:p>
        </w:tc>
      </w:tr>
      <w:tr w:rsidR="00706070" w14:paraId="2F659AEA"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ED1A1C"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0F72B2"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Total</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AFFE4B"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100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BB3ED0" w14:textId="77777777" w:rsidR="00B95AA4" w:rsidRPr="001529C7" w:rsidRDefault="004C4BA9"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lang w:val="en"/>
              </w:rPr>
              <w:t>100</w:t>
            </w:r>
          </w:p>
        </w:tc>
      </w:tr>
    </w:tbl>
    <w:p w14:paraId="67F4C551" w14:textId="77777777" w:rsidR="00B95AA4" w:rsidRPr="001529C7" w:rsidRDefault="00B95AA4" w:rsidP="00F411E1">
      <w:pPr>
        <w:rPr>
          <w:color w:val="000000" w:themeColor="text1"/>
        </w:rPr>
      </w:pPr>
    </w:p>
    <w:p w14:paraId="3442AB1D" w14:textId="77777777" w:rsidR="00510614" w:rsidRPr="00A57506" w:rsidRDefault="004C4BA9" w:rsidP="00510614">
      <w:pPr>
        <w:rPr>
          <w:color w:val="000000" w:themeColor="text1"/>
          <w:lang w:val="en-US"/>
        </w:rPr>
      </w:pPr>
      <w:r w:rsidRPr="001529C7">
        <w:rPr>
          <w:color w:val="000000" w:themeColor="text1"/>
          <w:lang w:val="en"/>
        </w:rPr>
        <w:t>At the market of coal sales for EPO needs, Bogatyr Komir LLP occupies  constant dominant, almost monopolistic share of more than 80% on average.</w:t>
      </w:r>
    </w:p>
    <w:p w14:paraId="7CAB4695" w14:textId="77777777" w:rsidR="00510614" w:rsidRPr="00A57506" w:rsidRDefault="00510614" w:rsidP="00510614">
      <w:pPr>
        <w:rPr>
          <w:color w:val="000000" w:themeColor="text1"/>
          <w:lang w:val="en-US"/>
        </w:rPr>
      </w:pPr>
    </w:p>
    <w:p w14:paraId="51BFB42B" w14:textId="77777777" w:rsidR="00510614" w:rsidRPr="00A57506" w:rsidRDefault="004C4BA9" w:rsidP="00510614">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lastRenderedPageBreak/>
        <w:t>Table 8. Price dynamics (weighted average) for power generating coal in 2018-2021 and the first half of 2022, KZT per 1 ton without VAT.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
        <w:gridCol w:w="3056"/>
        <w:gridCol w:w="981"/>
        <w:gridCol w:w="1276"/>
        <w:gridCol w:w="1267"/>
        <w:gridCol w:w="1266"/>
        <w:gridCol w:w="1300"/>
      </w:tblGrid>
      <w:tr w:rsidR="00706070" w14:paraId="17B265F1" w14:textId="77777777" w:rsidTr="00F02A5B">
        <w:trPr>
          <w:trHeight w:val="510"/>
        </w:trPr>
        <w:tc>
          <w:tcPr>
            <w:tcW w:w="488" w:type="dxa"/>
            <w:shd w:val="clear" w:color="auto" w:fill="auto"/>
            <w:tcMar>
              <w:top w:w="15" w:type="dxa"/>
              <w:left w:w="108" w:type="dxa"/>
              <w:bottom w:w="0" w:type="dxa"/>
              <w:right w:w="108" w:type="dxa"/>
            </w:tcMar>
            <w:hideMark/>
          </w:tcPr>
          <w:p w14:paraId="426FC125"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b/>
                <w:bCs/>
                <w:color w:val="000000" w:themeColor="text1"/>
                <w:kern w:val="24"/>
                <w:sz w:val="24"/>
                <w:szCs w:val="24"/>
                <w:lang w:val="en"/>
              </w:rPr>
              <w:t>№</w:t>
            </w:r>
          </w:p>
        </w:tc>
        <w:tc>
          <w:tcPr>
            <w:tcW w:w="3056" w:type="dxa"/>
            <w:shd w:val="clear" w:color="auto" w:fill="auto"/>
            <w:tcMar>
              <w:top w:w="15" w:type="dxa"/>
              <w:left w:w="108" w:type="dxa"/>
              <w:bottom w:w="0" w:type="dxa"/>
              <w:right w:w="108" w:type="dxa"/>
            </w:tcMar>
            <w:hideMark/>
          </w:tcPr>
          <w:p w14:paraId="54517504"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Coal mining companies</w:t>
            </w:r>
          </w:p>
        </w:tc>
        <w:tc>
          <w:tcPr>
            <w:tcW w:w="981" w:type="dxa"/>
            <w:shd w:val="clear" w:color="auto" w:fill="auto"/>
            <w:tcMar>
              <w:top w:w="15" w:type="dxa"/>
              <w:left w:w="108" w:type="dxa"/>
              <w:bottom w:w="0" w:type="dxa"/>
              <w:right w:w="108" w:type="dxa"/>
            </w:tcMar>
            <w:hideMark/>
          </w:tcPr>
          <w:p w14:paraId="54030CB8"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2018</w:t>
            </w:r>
          </w:p>
        </w:tc>
        <w:tc>
          <w:tcPr>
            <w:tcW w:w="1276" w:type="dxa"/>
            <w:shd w:val="clear" w:color="auto" w:fill="auto"/>
            <w:tcMar>
              <w:top w:w="15" w:type="dxa"/>
              <w:left w:w="108" w:type="dxa"/>
              <w:bottom w:w="0" w:type="dxa"/>
              <w:right w:w="108" w:type="dxa"/>
            </w:tcMar>
            <w:hideMark/>
          </w:tcPr>
          <w:p w14:paraId="140BC8C3"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2019</w:t>
            </w:r>
          </w:p>
        </w:tc>
        <w:tc>
          <w:tcPr>
            <w:tcW w:w="1267" w:type="dxa"/>
            <w:shd w:val="clear" w:color="auto" w:fill="auto"/>
            <w:tcMar>
              <w:top w:w="15" w:type="dxa"/>
              <w:left w:w="108" w:type="dxa"/>
              <w:bottom w:w="0" w:type="dxa"/>
              <w:right w:w="108" w:type="dxa"/>
            </w:tcMar>
            <w:hideMark/>
          </w:tcPr>
          <w:p w14:paraId="2321931E"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2020</w:t>
            </w:r>
          </w:p>
        </w:tc>
        <w:tc>
          <w:tcPr>
            <w:tcW w:w="1266" w:type="dxa"/>
            <w:shd w:val="clear" w:color="auto" w:fill="auto"/>
            <w:tcMar>
              <w:top w:w="15" w:type="dxa"/>
              <w:left w:w="108" w:type="dxa"/>
              <w:bottom w:w="0" w:type="dxa"/>
              <w:right w:w="108" w:type="dxa"/>
            </w:tcMar>
            <w:hideMark/>
          </w:tcPr>
          <w:p w14:paraId="5A15BB2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2021</w:t>
            </w:r>
          </w:p>
        </w:tc>
        <w:tc>
          <w:tcPr>
            <w:tcW w:w="1300" w:type="dxa"/>
            <w:shd w:val="clear" w:color="auto" w:fill="auto"/>
            <w:tcMar>
              <w:top w:w="15" w:type="dxa"/>
              <w:left w:w="108" w:type="dxa"/>
              <w:bottom w:w="0" w:type="dxa"/>
              <w:right w:w="108" w:type="dxa"/>
            </w:tcMar>
            <w:hideMark/>
          </w:tcPr>
          <w:p w14:paraId="0EBA2F39"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I half of 2022</w:t>
            </w:r>
          </w:p>
        </w:tc>
      </w:tr>
      <w:tr w:rsidR="00706070" w14:paraId="2BA05907" w14:textId="77777777" w:rsidTr="00F02A5B">
        <w:trPr>
          <w:trHeight w:val="510"/>
        </w:trPr>
        <w:tc>
          <w:tcPr>
            <w:tcW w:w="488" w:type="dxa"/>
            <w:shd w:val="clear" w:color="auto" w:fill="auto"/>
            <w:tcMar>
              <w:top w:w="15" w:type="dxa"/>
              <w:left w:w="108" w:type="dxa"/>
              <w:bottom w:w="0" w:type="dxa"/>
              <w:right w:w="108" w:type="dxa"/>
            </w:tcMar>
            <w:vAlign w:val="center"/>
            <w:hideMark/>
          </w:tcPr>
          <w:p w14:paraId="31FD85ED"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1</w:t>
            </w:r>
          </w:p>
        </w:tc>
        <w:tc>
          <w:tcPr>
            <w:tcW w:w="3056" w:type="dxa"/>
            <w:shd w:val="clear" w:color="auto" w:fill="auto"/>
            <w:tcMar>
              <w:top w:w="15" w:type="dxa"/>
              <w:left w:w="108" w:type="dxa"/>
              <w:bottom w:w="0" w:type="dxa"/>
              <w:right w:w="108" w:type="dxa"/>
            </w:tcMar>
            <w:vAlign w:val="center"/>
            <w:hideMark/>
          </w:tcPr>
          <w:p w14:paraId="6607917D"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Bogatyr Komir LLP</w:t>
            </w:r>
          </w:p>
        </w:tc>
        <w:tc>
          <w:tcPr>
            <w:tcW w:w="981" w:type="dxa"/>
            <w:shd w:val="clear" w:color="auto" w:fill="auto"/>
            <w:tcMar>
              <w:top w:w="15" w:type="dxa"/>
              <w:left w:w="108" w:type="dxa"/>
              <w:bottom w:w="0" w:type="dxa"/>
              <w:right w:w="108" w:type="dxa"/>
            </w:tcMar>
            <w:vAlign w:val="center"/>
            <w:hideMark/>
          </w:tcPr>
          <w:p w14:paraId="4B6551AF"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lang w:val="en"/>
              </w:rPr>
              <w:t>1 940</w:t>
            </w:r>
          </w:p>
        </w:tc>
        <w:tc>
          <w:tcPr>
            <w:tcW w:w="1276" w:type="dxa"/>
            <w:shd w:val="clear" w:color="auto" w:fill="auto"/>
            <w:tcMar>
              <w:top w:w="15" w:type="dxa"/>
              <w:left w:w="108" w:type="dxa"/>
              <w:bottom w:w="0" w:type="dxa"/>
              <w:right w:w="108" w:type="dxa"/>
            </w:tcMar>
            <w:vAlign w:val="center"/>
            <w:hideMark/>
          </w:tcPr>
          <w:p w14:paraId="08FB8849"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1 940</w:t>
            </w:r>
          </w:p>
        </w:tc>
        <w:tc>
          <w:tcPr>
            <w:tcW w:w="1267" w:type="dxa"/>
            <w:shd w:val="clear" w:color="auto" w:fill="auto"/>
            <w:tcMar>
              <w:top w:w="15" w:type="dxa"/>
              <w:left w:w="108" w:type="dxa"/>
              <w:bottom w:w="0" w:type="dxa"/>
              <w:right w:w="108" w:type="dxa"/>
            </w:tcMar>
            <w:vAlign w:val="center"/>
            <w:hideMark/>
          </w:tcPr>
          <w:p w14:paraId="34A8069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2 132</w:t>
            </w:r>
          </w:p>
          <w:p w14:paraId="2D12109F"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(9,9%)</w:t>
            </w:r>
          </w:p>
        </w:tc>
        <w:tc>
          <w:tcPr>
            <w:tcW w:w="1266" w:type="dxa"/>
            <w:shd w:val="clear" w:color="auto" w:fill="auto"/>
            <w:tcMar>
              <w:top w:w="15" w:type="dxa"/>
              <w:left w:w="108" w:type="dxa"/>
              <w:bottom w:w="0" w:type="dxa"/>
              <w:right w:w="108" w:type="dxa"/>
            </w:tcMar>
            <w:vAlign w:val="center"/>
            <w:hideMark/>
          </w:tcPr>
          <w:p w14:paraId="291472F6"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2 077</w:t>
            </w:r>
          </w:p>
          <w:p w14:paraId="108B20FC"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(-2,6%)</w:t>
            </w:r>
          </w:p>
        </w:tc>
        <w:tc>
          <w:tcPr>
            <w:tcW w:w="1300" w:type="dxa"/>
            <w:shd w:val="clear" w:color="auto" w:fill="auto"/>
            <w:tcMar>
              <w:top w:w="15" w:type="dxa"/>
              <w:left w:w="108" w:type="dxa"/>
              <w:bottom w:w="0" w:type="dxa"/>
              <w:right w:w="108" w:type="dxa"/>
            </w:tcMar>
            <w:vAlign w:val="center"/>
            <w:hideMark/>
          </w:tcPr>
          <w:p w14:paraId="447D2050"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2 228</w:t>
            </w:r>
          </w:p>
          <w:p w14:paraId="0F4D82D2"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(7,3%)</w:t>
            </w:r>
          </w:p>
        </w:tc>
      </w:tr>
      <w:tr w:rsidR="00706070" w14:paraId="4DBFE09B" w14:textId="77777777" w:rsidTr="00F02A5B">
        <w:trPr>
          <w:trHeight w:val="510"/>
        </w:trPr>
        <w:tc>
          <w:tcPr>
            <w:tcW w:w="488" w:type="dxa"/>
            <w:shd w:val="clear" w:color="auto" w:fill="auto"/>
            <w:tcMar>
              <w:top w:w="15" w:type="dxa"/>
              <w:left w:w="108" w:type="dxa"/>
              <w:bottom w:w="0" w:type="dxa"/>
              <w:right w:w="108" w:type="dxa"/>
            </w:tcMar>
            <w:vAlign w:val="center"/>
            <w:hideMark/>
          </w:tcPr>
          <w:p w14:paraId="418437DC"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2</w:t>
            </w:r>
          </w:p>
        </w:tc>
        <w:tc>
          <w:tcPr>
            <w:tcW w:w="3056" w:type="dxa"/>
            <w:shd w:val="clear" w:color="auto" w:fill="auto"/>
            <w:tcMar>
              <w:top w:w="15" w:type="dxa"/>
              <w:left w:w="108" w:type="dxa"/>
              <w:bottom w:w="0" w:type="dxa"/>
              <w:right w:w="108" w:type="dxa"/>
            </w:tcMar>
            <w:vAlign w:val="center"/>
            <w:hideMark/>
          </w:tcPr>
          <w:p w14:paraId="085FD65B"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Eurasian Energy Corporation JSC</w:t>
            </w:r>
          </w:p>
        </w:tc>
        <w:tc>
          <w:tcPr>
            <w:tcW w:w="981" w:type="dxa"/>
            <w:shd w:val="clear" w:color="auto" w:fill="auto"/>
            <w:tcMar>
              <w:top w:w="15" w:type="dxa"/>
              <w:left w:w="108" w:type="dxa"/>
              <w:bottom w:w="0" w:type="dxa"/>
              <w:right w:w="108" w:type="dxa"/>
            </w:tcMar>
            <w:vAlign w:val="center"/>
            <w:hideMark/>
          </w:tcPr>
          <w:p w14:paraId="5FAF15F5"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lang w:val="en"/>
              </w:rPr>
              <w:t>3 206</w:t>
            </w:r>
          </w:p>
        </w:tc>
        <w:tc>
          <w:tcPr>
            <w:tcW w:w="1276" w:type="dxa"/>
            <w:shd w:val="clear" w:color="auto" w:fill="auto"/>
            <w:tcMar>
              <w:top w:w="15" w:type="dxa"/>
              <w:left w:w="108" w:type="dxa"/>
              <w:bottom w:w="0" w:type="dxa"/>
              <w:right w:w="108" w:type="dxa"/>
            </w:tcMar>
            <w:vAlign w:val="center"/>
            <w:hideMark/>
          </w:tcPr>
          <w:p w14:paraId="5AEA3AFC"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2 260</w:t>
            </w:r>
          </w:p>
          <w:p w14:paraId="66E5AD5C"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(-29,51%)</w:t>
            </w:r>
          </w:p>
        </w:tc>
        <w:tc>
          <w:tcPr>
            <w:tcW w:w="1267" w:type="dxa"/>
            <w:shd w:val="clear" w:color="auto" w:fill="auto"/>
            <w:tcMar>
              <w:top w:w="15" w:type="dxa"/>
              <w:left w:w="108" w:type="dxa"/>
              <w:bottom w:w="0" w:type="dxa"/>
              <w:right w:w="108" w:type="dxa"/>
            </w:tcMar>
            <w:vAlign w:val="center"/>
            <w:hideMark/>
          </w:tcPr>
          <w:p w14:paraId="14389E22"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3 707</w:t>
            </w:r>
          </w:p>
          <w:p w14:paraId="5B172D8E"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(64,03%)</w:t>
            </w:r>
          </w:p>
        </w:tc>
        <w:tc>
          <w:tcPr>
            <w:tcW w:w="1266" w:type="dxa"/>
            <w:shd w:val="clear" w:color="auto" w:fill="auto"/>
            <w:tcMar>
              <w:top w:w="15" w:type="dxa"/>
              <w:left w:w="108" w:type="dxa"/>
              <w:bottom w:w="0" w:type="dxa"/>
              <w:right w:w="108" w:type="dxa"/>
            </w:tcMar>
            <w:vAlign w:val="center"/>
            <w:hideMark/>
          </w:tcPr>
          <w:p w14:paraId="233B8B10"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2 765</w:t>
            </w:r>
          </w:p>
          <w:p w14:paraId="3E529C8F"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(-25,41%)</w:t>
            </w:r>
          </w:p>
        </w:tc>
        <w:tc>
          <w:tcPr>
            <w:tcW w:w="1300" w:type="dxa"/>
            <w:shd w:val="clear" w:color="auto" w:fill="auto"/>
            <w:tcMar>
              <w:top w:w="15" w:type="dxa"/>
              <w:left w:w="108" w:type="dxa"/>
              <w:bottom w:w="0" w:type="dxa"/>
              <w:right w:w="108" w:type="dxa"/>
            </w:tcMar>
            <w:vAlign w:val="center"/>
            <w:hideMark/>
          </w:tcPr>
          <w:p w14:paraId="024CF930"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3 292</w:t>
            </w:r>
          </w:p>
          <w:p w14:paraId="5E0054BE"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(19,06%)</w:t>
            </w:r>
          </w:p>
        </w:tc>
      </w:tr>
      <w:tr w:rsidR="00706070" w14:paraId="7BCC0ED7" w14:textId="77777777" w:rsidTr="00F02A5B">
        <w:trPr>
          <w:trHeight w:val="510"/>
        </w:trPr>
        <w:tc>
          <w:tcPr>
            <w:tcW w:w="488" w:type="dxa"/>
            <w:shd w:val="clear" w:color="auto" w:fill="auto"/>
            <w:tcMar>
              <w:top w:w="15" w:type="dxa"/>
              <w:left w:w="108" w:type="dxa"/>
              <w:bottom w:w="0" w:type="dxa"/>
              <w:right w:w="108" w:type="dxa"/>
            </w:tcMar>
            <w:vAlign w:val="center"/>
            <w:hideMark/>
          </w:tcPr>
          <w:p w14:paraId="55187426"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3</w:t>
            </w:r>
          </w:p>
        </w:tc>
        <w:tc>
          <w:tcPr>
            <w:tcW w:w="3056" w:type="dxa"/>
            <w:shd w:val="clear" w:color="auto" w:fill="auto"/>
            <w:tcMar>
              <w:top w:w="15" w:type="dxa"/>
              <w:left w:w="108" w:type="dxa"/>
              <w:bottom w:w="0" w:type="dxa"/>
              <w:right w:w="108" w:type="dxa"/>
            </w:tcMar>
            <w:vAlign w:val="center"/>
            <w:hideMark/>
          </w:tcPr>
          <w:p w14:paraId="262CA77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"Karazhyra" JSC</w:t>
            </w:r>
          </w:p>
        </w:tc>
        <w:tc>
          <w:tcPr>
            <w:tcW w:w="981" w:type="dxa"/>
            <w:shd w:val="clear" w:color="auto" w:fill="auto"/>
            <w:tcMar>
              <w:top w:w="15" w:type="dxa"/>
              <w:left w:w="108" w:type="dxa"/>
              <w:bottom w:w="0" w:type="dxa"/>
              <w:right w:w="108" w:type="dxa"/>
            </w:tcMar>
            <w:vAlign w:val="center"/>
            <w:hideMark/>
          </w:tcPr>
          <w:p w14:paraId="1A21CCB6"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lang w:val="en"/>
              </w:rPr>
              <w:t>3 146</w:t>
            </w:r>
          </w:p>
        </w:tc>
        <w:tc>
          <w:tcPr>
            <w:tcW w:w="1276" w:type="dxa"/>
            <w:shd w:val="clear" w:color="auto" w:fill="auto"/>
            <w:tcMar>
              <w:top w:w="15" w:type="dxa"/>
              <w:left w:w="108" w:type="dxa"/>
              <w:bottom w:w="0" w:type="dxa"/>
              <w:right w:w="108" w:type="dxa"/>
            </w:tcMar>
            <w:vAlign w:val="center"/>
            <w:hideMark/>
          </w:tcPr>
          <w:p w14:paraId="1DB73058"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3 330</w:t>
            </w:r>
          </w:p>
          <w:p w14:paraId="17C66BB9"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(5,85%)</w:t>
            </w:r>
          </w:p>
        </w:tc>
        <w:tc>
          <w:tcPr>
            <w:tcW w:w="1267" w:type="dxa"/>
            <w:shd w:val="clear" w:color="auto" w:fill="auto"/>
            <w:tcMar>
              <w:top w:w="15" w:type="dxa"/>
              <w:left w:w="108" w:type="dxa"/>
              <w:bottom w:w="0" w:type="dxa"/>
              <w:right w:w="108" w:type="dxa"/>
            </w:tcMar>
            <w:vAlign w:val="center"/>
            <w:hideMark/>
          </w:tcPr>
          <w:p w14:paraId="321F642F"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3 458</w:t>
            </w:r>
          </w:p>
          <w:p w14:paraId="79533FF4"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(3,84%)</w:t>
            </w:r>
          </w:p>
        </w:tc>
        <w:tc>
          <w:tcPr>
            <w:tcW w:w="1266" w:type="dxa"/>
            <w:shd w:val="clear" w:color="auto" w:fill="auto"/>
            <w:tcMar>
              <w:top w:w="15" w:type="dxa"/>
              <w:left w:w="108" w:type="dxa"/>
              <w:bottom w:w="0" w:type="dxa"/>
              <w:right w:w="108" w:type="dxa"/>
            </w:tcMar>
            <w:vAlign w:val="center"/>
            <w:hideMark/>
          </w:tcPr>
          <w:p w14:paraId="09C96E87"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3 599</w:t>
            </w:r>
          </w:p>
          <w:p w14:paraId="0FA1E053"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(4,08%)</w:t>
            </w:r>
          </w:p>
        </w:tc>
        <w:tc>
          <w:tcPr>
            <w:tcW w:w="1300" w:type="dxa"/>
            <w:shd w:val="clear" w:color="auto" w:fill="auto"/>
            <w:tcMar>
              <w:top w:w="15" w:type="dxa"/>
              <w:left w:w="108" w:type="dxa"/>
              <w:bottom w:w="0" w:type="dxa"/>
              <w:right w:w="108" w:type="dxa"/>
            </w:tcMar>
            <w:vAlign w:val="center"/>
            <w:hideMark/>
          </w:tcPr>
          <w:p w14:paraId="50279B3B"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3 903</w:t>
            </w:r>
          </w:p>
          <w:p w14:paraId="1A7B006D"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(8,45%)</w:t>
            </w:r>
          </w:p>
        </w:tc>
      </w:tr>
      <w:tr w:rsidR="00706070" w14:paraId="7E5CADC4" w14:textId="77777777" w:rsidTr="00F02A5B">
        <w:trPr>
          <w:trHeight w:val="510"/>
        </w:trPr>
        <w:tc>
          <w:tcPr>
            <w:tcW w:w="488" w:type="dxa"/>
            <w:shd w:val="clear" w:color="auto" w:fill="auto"/>
            <w:tcMar>
              <w:top w:w="15" w:type="dxa"/>
              <w:left w:w="108" w:type="dxa"/>
              <w:bottom w:w="0" w:type="dxa"/>
              <w:right w:w="108" w:type="dxa"/>
            </w:tcMar>
            <w:vAlign w:val="center"/>
            <w:hideMark/>
          </w:tcPr>
          <w:p w14:paraId="5E62459D"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4</w:t>
            </w:r>
          </w:p>
        </w:tc>
        <w:tc>
          <w:tcPr>
            <w:tcW w:w="3056" w:type="dxa"/>
            <w:shd w:val="clear" w:color="auto" w:fill="auto"/>
            <w:tcMar>
              <w:top w:w="15" w:type="dxa"/>
              <w:left w:w="108" w:type="dxa"/>
              <w:bottom w:w="0" w:type="dxa"/>
              <w:right w:w="108" w:type="dxa"/>
            </w:tcMar>
            <w:vAlign w:val="center"/>
            <w:hideMark/>
          </w:tcPr>
          <w:p w14:paraId="7B158D72"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Kazakhmys Coal LLP</w:t>
            </w:r>
          </w:p>
        </w:tc>
        <w:tc>
          <w:tcPr>
            <w:tcW w:w="981" w:type="dxa"/>
            <w:shd w:val="clear" w:color="auto" w:fill="auto"/>
            <w:tcMar>
              <w:top w:w="15" w:type="dxa"/>
              <w:left w:w="108" w:type="dxa"/>
              <w:bottom w:w="0" w:type="dxa"/>
              <w:right w:w="108" w:type="dxa"/>
            </w:tcMar>
            <w:vAlign w:val="center"/>
            <w:hideMark/>
          </w:tcPr>
          <w:p w14:paraId="04E04075"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lang w:val="en"/>
              </w:rPr>
              <w:t>3 757</w:t>
            </w:r>
          </w:p>
        </w:tc>
        <w:tc>
          <w:tcPr>
            <w:tcW w:w="1276" w:type="dxa"/>
            <w:shd w:val="clear" w:color="auto" w:fill="auto"/>
            <w:tcMar>
              <w:top w:w="15" w:type="dxa"/>
              <w:left w:w="108" w:type="dxa"/>
              <w:bottom w:w="0" w:type="dxa"/>
              <w:right w:w="108" w:type="dxa"/>
            </w:tcMar>
            <w:vAlign w:val="center"/>
            <w:hideMark/>
          </w:tcPr>
          <w:p w14:paraId="2A158DA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3 846</w:t>
            </w:r>
          </w:p>
          <w:p w14:paraId="17E87F56"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(2,37%)</w:t>
            </w:r>
          </w:p>
        </w:tc>
        <w:tc>
          <w:tcPr>
            <w:tcW w:w="1267" w:type="dxa"/>
            <w:shd w:val="clear" w:color="auto" w:fill="auto"/>
            <w:tcMar>
              <w:top w:w="15" w:type="dxa"/>
              <w:left w:w="108" w:type="dxa"/>
              <w:bottom w:w="0" w:type="dxa"/>
              <w:right w:w="108" w:type="dxa"/>
            </w:tcMar>
            <w:vAlign w:val="center"/>
            <w:hideMark/>
          </w:tcPr>
          <w:p w14:paraId="4D69D225"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2 814</w:t>
            </w:r>
          </w:p>
          <w:p w14:paraId="6FAFAF5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(-26,83%)</w:t>
            </w:r>
          </w:p>
        </w:tc>
        <w:tc>
          <w:tcPr>
            <w:tcW w:w="1266" w:type="dxa"/>
            <w:shd w:val="clear" w:color="auto" w:fill="auto"/>
            <w:tcMar>
              <w:top w:w="15" w:type="dxa"/>
              <w:left w:w="108" w:type="dxa"/>
              <w:bottom w:w="0" w:type="dxa"/>
              <w:right w:w="108" w:type="dxa"/>
            </w:tcMar>
            <w:vAlign w:val="center"/>
            <w:hideMark/>
          </w:tcPr>
          <w:p w14:paraId="41E70EB3"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3 334</w:t>
            </w:r>
          </w:p>
          <w:p w14:paraId="582BBE5F"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(18,48%)</w:t>
            </w:r>
          </w:p>
        </w:tc>
        <w:tc>
          <w:tcPr>
            <w:tcW w:w="1300" w:type="dxa"/>
            <w:shd w:val="clear" w:color="auto" w:fill="auto"/>
            <w:tcMar>
              <w:top w:w="15" w:type="dxa"/>
              <w:left w:w="108" w:type="dxa"/>
              <w:bottom w:w="0" w:type="dxa"/>
              <w:right w:w="108" w:type="dxa"/>
            </w:tcMar>
            <w:vAlign w:val="center"/>
            <w:hideMark/>
          </w:tcPr>
          <w:p w14:paraId="21331815"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3 635</w:t>
            </w:r>
          </w:p>
          <w:p w14:paraId="402FA1BD"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(9,03%)</w:t>
            </w:r>
          </w:p>
        </w:tc>
      </w:tr>
      <w:tr w:rsidR="00706070" w14:paraId="6B36099B" w14:textId="77777777" w:rsidTr="00F02A5B">
        <w:trPr>
          <w:trHeight w:val="510"/>
        </w:trPr>
        <w:tc>
          <w:tcPr>
            <w:tcW w:w="488" w:type="dxa"/>
            <w:shd w:val="clear" w:color="auto" w:fill="auto"/>
            <w:tcMar>
              <w:top w:w="15" w:type="dxa"/>
              <w:left w:w="108" w:type="dxa"/>
              <w:bottom w:w="0" w:type="dxa"/>
              <w:right w:w="108" w:type="dxa"/>
            </w:tcMar>
            <w:vAlign w:val="center"/>
            <w:hideMark/>
          </w:tcPr>
          <w:p w14:paraId="44833DCD" w14:textId="77777777" w:rsidR="00510614" w:rsidRPr="001529C7" w:rsidRDefault="004C4BA9"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5</w:t>
            </w:r>
          </w:p>
        </w:tc>
        <w:tc>
          <w:tcPr>
            <w:tcW w:w="3056" w:type="dxa"/>
            <w:shd w:val="clear" w:color="auto" w:fill="auto"/>
            <w:tcMar>
              <w:top w:w="15" w:type="dxa"/>
              <w:left w:w="108" w:type="dxa"/>
              <w:bottom w:w="0" w:type="dxa"/>
              <w:right w:w="108" w:type="dxa"/>
            </w:tcMar>
            <w:vAlign w:val="center"/>
            <w:hideMark/>
          </w:tcPr>
          <w:p w14:paraId="79E6B637"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"Angrensor Energo" JSC</w:t>
            </w:r>
          </w:p>
        </w:tc>
        <w:tc>
          <w:tcPr>
            <w:tcW w:w="981" w:type="dxa"/>
            <w:shd w:val="clear" w:color="auto" w:fill="auto"/>
            <w:tcMar>
              <w:top w:w="15" w:type="dxa"/>
              <w:left w:w="108" w:type="dxa"/>
              <w:bottom w:w="0" w:type="dxa"/>
              <w:right w:w="108" w:type="dxa"/>
            </w:tcMar>
            <w:vAlign w:val="center"/>
            <w:hideMark/>
          </w:tcPr>
          <w:p w14:paraId="22E94688"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lang w:val="en"/>
              </w:rPr>
              <w:t>2 730</w:t>
            </w:r>
          </w:p>
        </w:tc>
        <w:tc>
          <w:tcPr>
            <w:tcW w:w="1276" w:type="dxa"/>
            <w:shd w:val="clear" w:color="auto" w:fill="auto"/>
            <w:tcMar>
              <w:top w:w="15" w:type="dxa"/>
              <w:left w:w="108" w:type="dxa"/>
              <w:bottom w:w="0" w:type="dxa"/>
              <w:right w:w="108" w:type="dxa"/>
            </w:tcMar>
            <w:vAlign w:val="center"/>
            <w:hideMark/>
          </w:tcPr>
          <w:p w14:paraId="6A438E45"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2 533</w:t>
            </w:r>
          </w:p>
          <w:p w14:paraId="3CB5D61E"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(-7,22%)</w:t>
            </w:r>
          </w:p>
        </w:tc>
        <w:tc>
          <w:tcPr>
            <w:tcW w:w="1267" w:type="dxa"/>
            <w:shd w:val="clear" w:color="auto" w:fill="auto"/>
            <w:tcMar>
              <w:top w:w="15" w:type="dxa"/>
              <w:left w:w="108" w:type="dxa"/>
              <w:bottom w:w="0" w:type="dxa"/>
              <w:right w:w="108" w:type="dxa"/>
            </w:tcMar>
            <w:vAlign w:val="center"/>
            <w:hideMark/>
          </w:tcPr>
          <w:p w14:paraId="26E409B4"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2 797</w:t>
            </w:r>
          </w:p>
          <w:p w14:paraId="1554F8D6"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(10,42%)</w:t>
            </w:r>
          </w:p>
        </w:tc>
        <w:tc>
          <w:tcPr>
            <w:tcW w:w="1266" w:type="dxa"/>
            <w:shd w:val="clear" w:color="auto" w:fill="auto"/>
            <w:tcMar>
              <w:top w:w="15" w:type="dxa"/>
              <w:left w:w="108" w:type="dxa"/>
              <w:bottom w:w="0" w:type="dxa"/>
              <w:right w:w="108" w:type="dxa"/>
            </w:tcMar>
            <w:vAlign w:val="center"/>
            <w:hideMark/>
          </w:tcPr>
          <w:p w14:paraId="77DAF74A"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3 931</w:t>
            </w:r>
          </w:p>
          <w:p w14:paraId="264DD203"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(40,54%)</w:t>
            </w:r>
          </w:p>
        </w:tc>
        <w:tc>
          <w:tcPr>
            <w:tcW w:w="1300" w:type="dxa"/>
            <w:shd w:val="clear" w:color="auto" w:fill="auto"/>
            <w:tcMar>
              <w:top w:w="15" w:type="dxa"/>
              <w:left w:w="108" w:type="dxa"/>
              <w:bottom w:w="0" w:type="dxa"/>
              <w:right w:w="108" w:type="dxa"/>
            </w:tcMar>
            <w:vAlign w:val="center"/>
            <w:hideMark/>
          </w:tcPr>
          <w:p w14:paraId="127E87F2"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4 960</w:t>
            </w:r>
          </w:p>
          <w:p w14:paraId="1B321400" w14:textId="77777777" w:rsidR="00510614" w:rsidRPr="001529C7" w:rsidRDefault="004C4BA9"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(26,18%)</w:t>
            </w:r>
          </w:p>
        </w:tc>
      </w:tr>
    </w:tbl>
    <w:p w14:paraId="131B75B3" w14:textId="77777777" w:rsidR="00510614" w:rsidRPr="001529C7" w:rsidRDefault="00510614" w:rsidP="00510614">
      <w:pPr>
        <w:ind w:hanging="142"/>
        <w:rPr>
          <w:color w:val="000000" w:themeColor="text1"/>
        </w:rPr>
      </w:pPr>
    </w:p>
    <w:p w14:paraId="1F7F0735" w14:textId="77777777" w:rsidR="0067577D" w:rsidRPr="00A57506" w:rsidRDefault="004C4BA9" w:rsidP="0067577D">
      <w:pPr>
        <w:rPr>
          <w:color w:val="000000" w:themeColor="text1"/>
          <w:lang w:val="en-US"/>
        </w:rPr>
      </w:pPr>
      <w:r w:rsidRPr="001529C7">
        <w:rPr>
          <w:color w:val="000000" w:themeColor="text1"/>
          <w:lang w:val="en"/>
        </w:rPr>
        <w:t>In addition, in 2022, Bogatyr Komir LLP increased selling price for power-generating coal from August 1 to 2,282 KZT/ton, from September 1 to 2,396 KZT/ton, from October 1 to 2,516 KZT/ton, from November 1 to 2,642 KZT/ton; from December 1 up to 2,774 KZT/ton, and from January 1, 2023 up to 2,968 KZT/ton.</w:t>
      </w:r>
    </w:p>
    <w:p w14:paraId="6744320D" w14:textId="77777777" w:rsidR="0067577D" w:rsidRPr="00A57506" w:rsidRDefault="004C4BA9" w:rsidP="0067577D">
      <w:pPr>
        <w:rPr>
          <w:color w:val="000000" w:themeColor="text1"/>
          <w:lang w:val="en-US"/>
        </w:rPr>
      </w:pPr>
      <w:r w:rsidRPr="001529C7">
        <w:rPr>
          <w:color w:val="000000" w:themeColor="text1"/>
          <w:lang w:val="en"/>
        </w:rPr>
        <w:t>Taking into account existing signs of violation of legislation in the field of competition protection, issue of taking antitrust response measures against Bogatyr Komir LLP is currently being considered for establishing monopolistically high price for power-generating coal, namely, exceeding growth rates of prices for power-generating coal in January-December 2022.</w:t>
      </w:r>
    </w:p>
    <w:p w14:paraId="3E410699" w14:textId="77777777" w:rsidR="0067577D" w:rsidRPr="00A57506" w:rsidRDefault="004C4BA9" w:rsidP="0067577D">
      <w:pPr>
        <w:rPr>
          <w:color w:val="000000" w:themeColor="text1"/>
          <w:lang w:val="en-US"/>
        </w:rPr>
      </w:pPr>
      <w:r w:rsidRPr="001529C7">
        <w:rPr>
          <w:color w:val="000000" w:themeColor="text1"/>
          <w:lang w:val="en"/>
        </w:rPr>
        <w:t>"Karazhyra" JSC and "Shubarkol Komir" JSC occupy a dominant position in market of coal sales for needs of municipal consumers with combined dominant share more than 60%.</w:t>
      </w:r>
    </w:p>
    <w:p w14:paraId="5FA6E84F" w14:textId="77777777" w:rsidR="00C43410" w:rsidRPr="00A57506" w:rsidRDefault="00C43410" w:rsidP="00F411E1">
      <w:pPr>
        <w:rPr>
          <w:color w:val="000000" w:themeColor="text1"/>
          <w:lang w:val="en-US"/>
        </w:rPr>
      </w:pPr>
    </w:p>
    <w:p w14:paraId="212AF88A" w14:textId="77777777" w:rsidR="00AF4AB4"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 9. The share of dominance at the market of coal sales for municipal consumers.</w:t>
      </w:r>
    </w:p>
    <w:tbl>
      <w:tblPr>
        <w:tblW w:w="9640" w:type="dxa"/>
        <w:tblCellMar>
          <w:left w:w="0" w:type="dxa"/>
          <w:right w:w="0" w:type="dxa"/>
        </w:tblCellMar>
        <w:tblLook w:val="04A0" w:firstRow="1" w:lastRow="0" w:firstColumn="1" w:lastColumn="0" w:noHBand="0" w:noVBand="1"/>
      </w:tblPr>
      <w:tblGrid>
        <w:gridCol w:w="560"/>
        <w:gridCol w:w="4392"/>
        <w:gridCol w:w="2551"/>
        <w:gridCol w:w="2137"/>
      </w:tblGrid>
      <w:tr w:rsidR="00706070" w14:paraId="187564C4" w14:textId="77777777" w:rsidTr="00C43410">
        <w:trPr>
          <w:trHeight w:val="341"/>
        </w:trPr>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D97CF"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w:t>
            </w:r>
          </w:p>
        </w:tc>
        <w:tc>
          <w:tcPr>
            <w:tcW w:w="43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05933A"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Name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EDE64B"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2021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A8BD5D"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First half of 2022</w:t>
            </w:r>
          </w:p>
        </w:tc>
      </w:tr>
      <w:tr w:rsidR="00706070" w14:paraId="791E396F" w14:textId="77777777" w:rsidTr="00C43410">
        <w:trPr>
          <w:trHeight w:val="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A76DB8" w14:textId="77777777" w:rsidR="00B95AA4" w:rsidRPr="001529C7" w:rsidRDefault="00B95AA4" w:rsidP="00F411E1">
            <w:pPr>
              <w:tabs>
                <w:tab w:val="clear" w:pos="567"/>
              </w:tabs>
              <w:ind w:firstLine="0"/>
              <w:jc w:val="center"/>
              <w:rPr>
                <w:color w:val="000000" w:themeColor="text1"/>
                <w:sz w:val="24"/>
                <w:szCs w:val="24"/>
              </w:rPr>
            </w:pPr>
          </w:p>
        </w:tc>
        <w:tc>
          <w:tcPr>
            <w:tcW w:w="4392" w:type="dxa"/>
            <w:vMerge/>
            <w:tcBorders>
              <w:top w:val="single" w:sz="8" w:space="0" w:color="000000"/>
              <w:left w:val="single" w:sz="8" w:space="0" w:color="000000"/>
              <w:bottom w:val="single" w:sz="8" w:space="0" w:color="000000"/>
              <w:right w:val="single" w:sz="8" w:space="0" w:color="000000"/>
            </w:tcBorders>
            <w:vAlign w:val="center"/>
            <w:hideMark/>
          </w:tcPr>
          <w:p w14:paraId="342926BA" w14:textId="77777777" w:rsidR="00B95AA4" w:rsidRPr="001529C7" w:rsidRDefault="00B95AA4" w:rsidP="00F411E1">
            <w:pPr>
              <w:tabs>
                <w:tab w:val="clear" w:pos="567"/>
              </w:tabs>
              <w:ind w:firstLine="0"/>
              <w:jc w:val="center"/>
              <w:rPr>
                <w:color w:val="000000" w:themeColor="text1"/>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BF8337"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Share, %</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19A00F"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Share, %</w:t>
            </w:r>
          </w:p>
        </w:tc>
      </w:tr>
      <w:tr w:rsidR="00706070" w14:paraId="7B81DC52"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8E5D4C"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DFDC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"Karazhyra" JSC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1CCA7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29.08</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8F88D9"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30.26</w:t>
            </w:r>
          </w:p>
        </w:tc>
      </w:tr>
      <w:tr w:rsidR="00706070" w14:paraId="6D54F30C" w14:textId="77777777" w:rsidTr="00C43410">
        <w:trPr>
          <w:trHeight w:val="485"/>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EE40C8"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381066" w14:textId="77777777" w:rsidR="00B95AA4" w:rsidRPr="00A57506" w:rsidRDefault="004C4BA9" w:rsidP="00F411E1">
            <w:pPr>
              <w:tabs>
                <w:tab w:val="clear" w:pos="567"/>
              </w:tabs>
              <w:ind w:firstLine="0"/>
              <w:jc w:val="left"/>
              <w:rPr>
                <w:color w:val="000000" w:themeColor="text1"/>
                <w:sz w:val="24"/>
                <w:szCs w:val="24"/>
                <w:lang w:val="en-US"/>
              </w:rPr>
            </w:pPr>
            <w:r w:rsidRPr="001529C7">
              <w:rPr>
                <w:color w:val="000000" w:themeColor="text1"/>
                <w:kern w:val="24"/>
                <w:sz w:val="24"/>
                <w:szCs w:val="24"/>
                <w:lang w:val="en"/>
              </w:rPr>
              <w:t>"Shubarkol Komir" JSC and</w:t>
            </w:r>
          </w:p>
          <w:p w14:paraId="2BD9E76E" w14:textId="77777777" w:rsidR="00B95AA4" w:rsidRPr="00A57506" w:rsidRDefault="004C4BA9" w:rsidP="00F411E1">
            <w:pPr>
              <w:tabs>
                <w:tab w:val="clear" w:pos="567"/>
              </w:tabs>
              <w:ind w:firstLine="0"/>
              <w:jc w:val="left"/>
              <w:rPr>
                <w:color w:val="000000" w:themeColor="text1"/>
                <w:sz w:val="24"/>
                <w:szCs w:val="24"/>
                <w:lang w:val="en-US"/>
              </w:rPr>
            </w:pPr>
            <w:r w:rsidRPr="001529C7">
              <w:rPr>
                <w:color w:val="000000" w:themeColor="text1"/>
                <w:kern w:val="24"/>
                <w:sz w:val="24"/>
                <w:szCs w:val="24"/>
                <w:lang w:val="en"/>
              </w:rPr>
              <w:t>Eurasian Energy Corporation JSC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9040A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33.94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0D0A6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34.12</w:t>
            </w:r>
          </w:p>
        </w:tc>
      </w:tr>
      <w:tr w:rsidR="00706070" w14:paraId="7C5BD8B5" w14:textId="77777777" w:rsidTr="00C43410">
        <w:trPr>
          <w:trHeight w:val="252"/>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D0745"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CE244"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"Maykuben-West" JSC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5142D1"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11.42</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7D05FE"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12.57</w:t>
            </w:r>
          </w:p>
        </w:tc>
      </w:tr>
      <w:tr w:rsidR="00706070" w14:paraId="1F7D071A"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5861F"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4</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474289"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"GRK "Sat Komir" JSC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02B22"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4.01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13750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2.77</w:t>
            </w:r>
          </w:p>
        </w:tc>
      </w:tr>
      <w:tr w:rsidR="00706070" w14:paraId="59AECBF4"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86327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5</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A8D5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Sherubai Komir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1C3BF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2.61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35168C"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3.65</w:t>
            </w:r>
          </w:p>
        </w:tc>
      </w:tr>
      <w:tr w:rsidR="00706070" w14:paraId="7BA6F323"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D33A57"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6</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71E84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STS-1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E7FEDA"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3.38</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28A0A0"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4.27</w:t>
            </w:r>
          </w:p>
        </w:tc>
      </w:tr>
      <w:tr w:rsidR="00706070" w14:paraId="61DEA4E7"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CA7DD3"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7</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9E816"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Coal Resource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596511"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2.47</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870530"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2.07</w:t>
            </w:r>
          </w:p>
        </w:tc>
      </w:tr>
      <w:tr w:rsidR="00706070" w14:paraId="6280E2E0"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69210A"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8</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253E6C"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Transkomir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D87B25"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1.79</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F8FFF9"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3.04</w:t>
            </w:r>
          </w:p>
        </w:tc>
      </w:tr>
      <w:tr w:rsidR="00706070" w14:paraId="6E11196B"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C890A"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9</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1FA0E"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Kulan Komir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92D87B"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1.53</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87C80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0.58</w:t>
            </w:r>
          </w:p>
        </w:tc>
      </w:tr>
      <w:tr w:rsidR="00706070" w14:paraId="5C8714FB"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90127"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10</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E0291"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Gamma Sarykol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3566DF"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1.54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B82598"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1.47</w:t>
            </w:r>
          </w:p>
        </w:tc>
      </w:tr>
      <w:tr w:rsidR="00706070" w14:paraId="5470E23E"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CB61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11</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21EF63"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Bogatyr Komir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1E985CD"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1.25</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BEE55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0.78</w:t>
            </w:r>
          </w:p>
        </w:tc>
      </w:tr>
      <w:tr w:rsidR="00706070" w14:paraId="70EE3EF8"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441BD"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lastRenderedPageBreak/>
              <w:t>12</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AA1A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"Razrez "Kuznetsky"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497C9F9"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1.54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2C34B1"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1.59</w:t>
            </w:r>
          </w:p>
        </w:tc>
      </w:tr>
      <w:tr w:rsidR="00706070" w14:paraId="46762BE2"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F293AC"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13</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1816C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"Firm "Rapid" LLP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2DF243"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B3A96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1.16</w:t>
            </w:r>
          </w:p>
        </w:tc>
      </w:tr>
      <w:tr w:rsidR="00706070" w14:paraId="5D00FEE6"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7E4CAD"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14</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05EF2" w14:textId="77777777" w:rsidR="00B95AA4" w:rsidRPr="001529C7" w:rsidRDefault="004C4BA9" w:rsidP="00F411E1">
            <w:pPr>
              <w:tabs>
                <w:tab w:val="clear" w:pos="567"/>
              </w:tabs>
              <w:ind w:firstLine="0"/>
              <w:jc w:val="left"/>
              <w:rPr>
                <w:color w:val="000000" w:themeColor="text1"/>
                <w:sz w:val="24"/>
                <w:szCs w:val="24"/>
              </w:rPr>
            </w:pPr>
            <w:r w:rsidRPr="001529C7">
              <w:rPr>
                <w:color w:val="000000" w:themeColor="text1"/>
                <w:kern w:val="24"/>
                <w:sz w:val="24"/>
                <w:szCs w:val="24"/>
                <w:lang w:val="en"/>
              </w:rPr>
              <w:t>Other market entities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C571214"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4.44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5D4A86" w14:textId="77777777" w:rsidR="00B95AA4" w:rsidRPr="001529C7" w:rsidRDefault="004C4BA9" w:rsidP="00F411E1">
            <w:pPr>
              <w:tabs>
                <w:tab w:val="clear" w:pos="567"/>
              </w:tabs>
              <w:ind w:firstLine="0"/>
              <w:jc w:val="center"/>
              <w:rPr>
                <w:color w:val="000000" w:themeColor="text1"/>
                <w:sz w:val="24"/>
                <w:szCs w:val="24"/>
              </w:rPr>
            </w:pPr>
            <w:r w:rsidRPr="001529C7">
              <w:rPr>
                <w:bCs/>
                <w:color w:val="000000" w:themeColor="text1"/>
                <w:kern w:val="24"/>
                <w:sz w:val="24"/>
                <w:szCs w:val="24"/>
                <w:lang w:val="en"/>
              </w:rPr>
              <w:t>1.67</w:t>
            </w:r>
          </w:p>
        </w:tc>
      </w:tr>
      <w:tr w:rsidR="00706070" w14:paraId="2C2A21F6" w14:textId="77777777" w:rsidTr="00C43410">
        <w:trPr>
          <w:trHeight w:val="39"/>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FA017" w14:textId="77777777" w:rsidR="00B95AA4" w:rsidRPr="001529C7" w:rsidRDefault="00B95AA4" w:rsidP="00F411E1">
            <w:pPr>
              <w:tabs>
                <w:tab w:val="clear" w:pos="567"/>
              </w:tabs>
              <w:ind w:firstLine="0"/>
              <w:jc w:val="center"/>
              <w:rPr>
                <w:color w:val="000000" w:themeColor="text1"/>
                <w:sz w:val="24"/>
                <w:szCs w:val="24"/>
              </w:rPr>
            </w:pP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ED405D"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Total</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CAF77E"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100</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857018" w14:textId="77777777" w:rsidR="00B95AA4" w:rsidRPr="001529C7" w:rsidRDefault="004C4BA9" w:rsidP="00F411E1">
            <w:pPr>
              <w:tabs>
                <w:tab w:val="clear" w:pos="567"/>
              </w:tabs>
              <w:ind w:firstLine="0"/>
              <w:jc w:val="center"/>
              <w:rPr>
                <w:color w:val="000000" w:themeColor="text1"/>
                <w:sz w:val="24"/>
                <w:szCs w:val="24"/>
              </w:rPr>
            </w:pPr>
            <w:r w:rsidRPr="001529C7">
              <w:rPr>
                <w:b/>
                <w:bCs/>
                <w:color w:val="000000" w:themeColor="text1"/>
                <w:kern w:val="24"/>
                <w:sz w:val="24"/>
                <w:szCs w:val="24"/>
                <w:lang w:val="en"/>
              </w:rPr>
              <w:t>100</w:t>
            </w:r>
          </w:p>
        </w:tc>
      </w:tr>
    </w:tbl>
    <w:p w14:paraId="67659AA7" w14:textId="77777777" w:rsidR="00B95AA4" w:rsidRPr="001529C7" w:rsidRDefault="00B95AA4" w:rsidP="00F411E1">
      <w:pPr>
        <w:rPr>
          <w:color w:val="000000" w:themeColor="text1"/>
        </w:rPr>
      </w:pPr>
    </w:p>
    <w:p w14:paraId="3FEAF307" w14:textId="77777777" w:rsidR="0067577D" w:rsidRPr="00A57506" w:rsidRDefault="004C4BA9" w:rsidP="0067577D">
      <w:pPr>
        <w:rPr>
          <w:color w:val="000000" w:themeColor="text1"/>
          <w:lang w:val="en-US"/>
        </w:rPr>
      </w:pPr>
      <w:r w:rsidRPr="001529C7">
        <w:rPr>
          <w:color w:val="000000" w:themeColor="text1"/>
          <w:lang w:val="en"/>
        </w:rPr>
        <w:t xml:space="preserve">Degree of monopolization of the market for extraction and wholesale sale of coal for municipal needs is highly </w:t>
      </w:r>
      <w:r w:rsidRPr="00F764BB">
        <w:rPr>
          <w:b/>
          <w:bCs/>
          <w:i/>
          <w:iCs/>
          <w:color w:val="000000" w:themeColor="text1"/>
          <w:lang w:val="en"/>
        </w:rPr>
        <w:t>concentrated</w:t>
      </w:r>
      <w:r w:rsidRPr="001529C7">
        <w:rPr>
          <w:color w:val="000000" w:themeColor="text1"/>
          <w:lang w:val="en"/>
        </w:rPr>
        <w:t>.</w:t>
      </w:r>
    </w:p>
    <w:p w14:paraId="337A1EC6" w14:textId="77777777" w:rsidR="0067577D" w:rsidRPr="00A57506" w:rsidRDefault="004C4BA9" w:rsidP="0067577D">
      <w:pPr>
        <w:rPr>
          <w:color w:val="000000" w:themeColor="text1"/>
          <w:lang w:val="en-US"/>
        </w:rPr>
      </w:pPr>
      <w:r w:rsidRPr="001529C7">
        <w:rPr>
          <w:color w:val="000000" w:themeColor="text1"/>
          <w:lang w:val="en"/>
        </w:rPr>
        <w:t>in 2021: (CR3) 70% &lt; 74,44 &lt; 100%, 2000 &lt; 2128 &lt; 10 000</w:t>
      </w:r>
    </w:p>
    <w:p w14:paraId="6EFB537D" w14:textId="77777777" w:rsidR="0067577D" w:rsidRPr="00A57506" w:rsidRDefault="004C4BA9" w:rsidP="0067577D">
      <w:pPr>
        <w:rPr>
          <w:color w:val="000000" w:themeColor="text1"/>
          <w:lang w:val="en-US"/>
        </w:rPr>
      </w:pPr>
      <w:r w:rsidRPr="001529C7">
        <w:rPr>
          <w:color w:val="000000" w:themeColor="text1"/>
          <w:lang w:val="en"/>
        </w:rPr>
        <w:t>first half of 2022: (CR3) 70% &lt; 76,95 &lt; 100%, 2 000 &lt; 2238 &lt; 10 000.</w:t>
      </w:r>
    </w:p>
    <w:p w14:paraId="3ABEE024" w14:textId="77777777" w:rsidR="004A09EC" w:rsidRPr="00A57506" w:rsidRDefault="004A09EC" w:rsidP="00F411E1">
      <w:pPr>
        <w:pStyle w:val="Caption"/>
        <w:keepNext/>
        <w:spacing w:after="0"/>
        <w:ind w:firstLine="0"/>
        <w:rPr>
          <w:b w:val="0"/>
          <w:color w:val="000000" w:themeColor="text1"/>
          <w:sz w:val="28"/>
          <w:szCs w:val="28"/>
          <w:lang w:val="en-US"/>
        </w:rPr>
      </w:pPr>
    </w:p>
    <w:p w14:paraId="47A99720" w14:textId="77777777" w:rsidR="004A09EC"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 10. Share of dominance in accordance with concentration coefficients and Herfindahl–Hirschman indices.</w:t>
      </w:r>
    </w:p>
    <w:tbl>
      <w:tblPr>
        <w:tblStyle w:val="2"/>
        <w:tblW w:w="9634" w:type="dxa"/>
        <w:tblInd w:w="-5" w:type="dxa"/>
        <w:tblLook w:val="04A0" w:firstRow="1" w:lastRow="0" w:firstColumn="1" w:lastColumn="0" w:noHBand="0" w:noVBand="1"/>
      </w:tblPr>
      <w:tblGrid>
        <w:gridCol w:w="4248"/>
        <w:gridCol w:w="1984"/>
        <w:gridCol w:w="1560"/>
        <w:gridCol w:w="1842"/>
      </w:tblGrid>
      <w:tr w:rsidR="00706070" w14:paraId="0B477A4C" w14:textId="77777777" w:rsidTr="00904339">
        <w:tc>
          <w:tcPr>
            <w:tcW w:w="4248" w:type="dxa"/>
            <w:shd w:val="clear" w:color="auto" w:fill="FFFFFF" w:themeFill="background1"/>
            <w:vAlign w:val="center"/>
          </w:tcPr>
          <w:p w14:paraId="50177C7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Name</w:t>
            </w:r>
          </w:p>
        </w:tc>
        <w:tc>
          <w:tcPr>
            <w:tcW w:w="1984" w:type="dxa"/>
            <w:shd w:val="clear" w:color="auto" w:fill="FFFFFF" w:themeFill="background1"/>
            <w:vAlign w:val="center"/>
          </w:tcPr>
          <w:p w14:paraId="300FCDC2"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Market share (%)</w:t>
            </w:r>
          </w:p>
        </w:tc>
        <w:tc>
          <w:tcPr>
            <w:tcW w:w="1560" w:type="dxa"/>
            <w:shd w:val="clear" w:color="auto" w:fill="FFFFFF" w:themeFill="background1"/>
            <w:vAlign w:val="center"/>
          </w:tcPr>
          <w:p w14:paraId="6955591A"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Total market share</w:t>
            </w:r>
          </w:p>
        </w:tc>
        <w:tc>
          <w:tcPr>
            <w:tcW w:w="1842" w:type="dxa"/>
            <w:shd w:val="clear" w:color="auto" w:fill="FFFFFF" w:themeFill="background1"/>
            <w:vAlign w:val="center"/>
          </w:tcPr>
          <w:p w14:paraId="0A481B2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HHI</w:t>
            </w:r>
          </w:p>
        </w:tc>
      </w:tr>
      <w:tr w:rsidR="00706070" w14:paraId="2EBA61BC" w14:textId="77777777" w:rsidTr="00C43410">
        <w:tc>
          <w:tcPr>
            <w:tcW w:w="4248" w:type="dxa"/>
            <w:vAlign w:val="center"/>
          </w:tcPr>
          <w:p w14:paraId="502B6D21"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"Karazhyra" JSC</w:t>
            </w:r>
          </w:p>
        </w:tc>
        <w:tc>
          <w:tcPr>
            <w:tcW w:w="1984" w:type="dxa"/>
            <w:vAlign w:val="center"/>
          </w:tcPr>
          <w:p w14:paraId="2D067BAF"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30.47</w:t>
            </w:r>
          </w:p>
        </w:tc>
        <w:tc>
          <w:tcPr>
            <w:tcW w:w="1560" w:type="dxa"/>
            <w:vMerge w:val="restart"/>
            <w:vAlign w:val="center"/>
          </w:tcPr>
          <w:p w14:paraId="6CC3A33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71.68</w:t>
            </w:r>
          </w:p>
        </w:tc>
        <w:tc>
          <w:tcPr>
            <w:tcW w:w="1842" w:type="dxa"/>
            <w:vMerge w:val="restart"/>
            <w:vAlign w:val="center"/>
          </w:tcPr>
          <w:p w14:paraId="285A63FB"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1 929</w:t>
            </w:r>
          </w:p>
        </w:tc>
      </w:tr>
      <w:tr w:rsidR="00706070" w14:paraId="75515BE6" w14:textId="77777777" w:rsidTr="00C43410">
        <w:tc>
          <w:tcPr>
            <w:tcW w:w="4248" w:type="dxa"/>
            <w:vAlign w:val="center"/>
          </w:tcPr>
          <w:p w14:paraId="3F444310"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"Shubarkol Komir" JSC and "EEC" JSC</w:t>
            </w:r>
          </w:p>
        </w:tc>
        <w:tc>
          <w:tcPr>
            <w:tcW w:w="1984" w:type="dxa"/>
            <w:vAlign w:val="center"/>
          </w:tcPr>
          <w:p w14:paraId="38CD8784"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29.3</w:t>
            </w:r>
          </w:p>
        </w:tc>
        <w:tc>
          <w:tcPr>
            <w:tcW w:w="1560" w:type="dxa"/>
            <w:vMerge/>
            <w:vAlign w:val="center"/>
          </w:tcPr>
          <w:p w14:paraId="3FD4B077"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vAlign w:val="center"/>
          </w:tcPr>
          <w:p w14:paraId="5D82931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01816892" w14:textId="77777777" w:rsidTr="00C43410">
        <w:tc>
          <w:tcPr>
            <w:tcW w:w="4248" w:type="dxa"/>
            <w:vAlign w:val="center"/>
          </w:tcPr>
          <w:p w14:paraId="4D3F8D80"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Bogatyr Komir LLP</w:t>
            </w:r>
          </w:p>
        </w:tc>
        <w:tc>
          <w:tcPr>
            <w:tcW w:w="1984" w:type="dxa"/>
            <w:vAlign w:val="center"/>
          </w:tcPr>
          <w:p w14:paraId="1A244696"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11.91</w:t>
            </w:r>
          </w:p>
        </w:tc>
        <w:tc>
          <w:tcPr>
            <w:tcW w:w="1560" w:type="dxa"/>
            <w:vMerge/>
            <w:vAlign w:val="center"/>
          </w:tcPr>
          <w:p w14:paraId="7CB4AF39"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vAlign w:val="center"/>
          </w:tcPr>
          <w:p w14:paraId="3AB30988"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101D860A" w14:textId="77777777" w:rsidTr="00C43410">
        <w:tc>
          <w:tcPr>
            <w:tcW w:w="4248" w:type="dxa"/>
            <w:vAlign w:val="center"/>
          </w:tcPr>
          <w:p w14:paraId="5C956B6D"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"Karazhyra" JSC</w:t>
            </w:r>
          </w:p>
        </w:tc>
        <w:tc>
          <w:tcPr>
            <w:tcW w:w="1984" w:type="dxa"/>
            <w:vAlign w:val="center"/>
          </w:tcPr>
          <w:p w14:paraId="6B470BE3"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34.56</w:t>
            </w:r>
          </w:p>
        </w:tc>
        <w:tc>
          <w:tcPr>
            <w:tcW w:w="1560" w:type="dxa"/>
            <w:vMerge w:val="restart"/>
            <w:vAlign w:val="center"/>
          </w:tcPr>
          <w:p w14:paraId="1FA00039"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73.81</w:t>
            </w:r>
          </w:p>
        </w:tc>
        <w:tc>
          <w:tcPr>
            <w:tcW w:w="1842" w:type="dxa"/>
            <w:vMerge w:val="restart"/>
            <w:shd w:val="clear" w:color="auto" w:fill="FFFFFF" w:themeFill="background1"/>
            <w:vAlign w:val="center"/>
          </w:tcPr>
          <w:p w14:paraId="58354ED1"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2 288</w:t>
            </w:r>
          </w:p>
        </w:tc>
      </w:tr>
      <w:tr w:rsidR="00706070" w14:paraId="09F8CD00" w14:textId="77777777" w:rsidTr="00C43410">
        <w:tc>
          <w:tcPr>
            <w:tcW w:w="4248" w:type="dxa"/>
            <w:vAlign w:val="center"/>
          </w:tcPr>
          <w:p w14:paraId="57ABE681"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"Shubarkol Komir" JSC and "EEC" JSC</w:t>
            </w:r>
          </w:p>
        </w:tc>
        <w:tc>
          <w:tcPr>
            <w:tcW w:w="1984" w:type="dxa"/>
            <w:vAlign w:val="center"/>
          </w:tcPr>
          <w:p w14:paraId="78B6B787"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32.34</w:t>
            </w:r>
          </w:p>
        </w:tc>
        <w:tc>
          <w:tcPr>
            <w:tcW w:w="1560" w:type="dxa"/>
            <w:vMerge/>
            <w:vAlign w:val="center"/>
          </w:tcPr>
          <w:p w14:paraId="14ABBFFD"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1BF10FD3"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58CE21BB" w14:textId="77777777" w:rsidTr="00C43410">
        <w:tc>
          <w:tcPr>
            <w:tcW w:w="4248" w:type="dxa"/>
            <w:vAlign w:val="center"/>
          </w:tcPr>
          <w:p w14:paraId="28DD2715"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Bogatyr Komir LLP</w:t>
            </w:r>
          </w:p>
        </w:tc>
        <w:tc>
          <w:tcPr>
            <w:tcW w:w="1984" w:type="dxa"/>
            <w:vAlign w:val="center"/>
          </w:tcPr>
          <w:p w14:paraId="47311F4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6.91</w:t>
            </w:r>
          </w:p>
        </w:tc>
        <w:tc>
          <w:tcPr>
            <w:tcW w:w="1560" w:type="dxa"/>
            <w:vMerge/>
            <w:vAlign w:val="center"/>
          </w:tcPr>
          <w:p w14:paraId="428AC289"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6055DB6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3BB863E8" w14:textId="77777777" w:rsidTr="00C43410">
        <w:tc>
          <w:tcPr>
            <w:tcW w:w="4248" w:type="dxa"/>
            <w:vAlign w:val="center"/>
          </w:tcPr>
          <w:p w14:paraId="76F0E8AF"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"Karazhyra" JSC</w:t>
            </w:r>
          </w:p>
        </w:tc>
        <w:tc>
          <w:tcPr>
            <w:tcW w:w="1984" w:type="dxa"/>
            <w:vAlign w:val="center"/>
          </w:tcPr>
          <w:p w14:paraId="131B750B"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33.67</w:t>
            </w:r>
          </w:p>
        </w:tc>
        <w:tc>
          <w:tcPr>
            <w:tcW w:w="1560" w:type="dxa"/>
            <w:vMerge w:val="restart"/>
            <w:vAlign w:val="center"/>
          </w:tcPr>
          <w:p w14:paraId="1F65D707"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77.04</w:t>
            </w:r>
          </w:p>
        </w:tc>
        <w:tc>
          <w:tcPr>
            <w:tcW w:w="1842" w:type="dxa"/>
            <w:vMerge w:val="restart"/>
            <w:shd w:val="clear" w:color="auto" w:fill="FFFFFF" w:themeFill="background1"/>
            <w:vAlign w:val="center"/>
          </w:tcPr>
          <w:p w14:paraId="20F6EB95"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2 302</w:t>
            </w:r>
          </w:p>
        </w:tc>
      </w:tr>
      <w:tr w:rsidR="00706070" w14:paraId="7C655DF1" w14:textId="77777777" w:rsidTr="00C43410">
        <w:tc>
          <w:tcPr>
            <w:tcW w:w="4248" w:type="dxa"/>
            <w:vAlign w:val="center"/>
          </w:tcPr>
          <w:p w14:paraId="2BDD9EA3"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"Shubarkol Komir" JSC and "EEC" JSC</w:t>
            </w:r>
          </w:p>
        </w:tc>
        <w:tc>
          <w:tcPr>
            <w:tcW w:w="1984" w:type="dxa"/>
            <w:vAlign w:val="center"/>
          </w:tcPr>
          <w:p w14:paraId="701BA782"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32.37</w:t>
            </w:r>
          </w:p>
        </w:tc>
        <w:tc>
          <w:tcPr>
            <w:tcW w:w="1560" w:type="dxa"/>
            <w:vMerge/>
            <w:vAlign w:val="center"/>
          </w:tcPr>
          <w:p w14:paraId="6FF60D53"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4D6A26F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6978E080" w14:textId="77777777" w:rsidTr="00C43410">
        <w:tc>
          <w:tcPr>
            <w:tcW w:w="4248" w:type="dxa"/>
            <w:vAlign w:val="center"/>
          </w:tcPr>
          <w:p w14:paraId="57D1D7B1"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"Maykuben-West" JSC and "Shubarkol premium" JSC</w:t>
            </w:r>
          </w:p>
        </w:tc>
        <w:tc>
          <w:tcPr>
            <w:tcW w:w="1984" w:type="dxa"/>
            <w:vAlign w:val="center"/>
          </w:tcPr>
          <w:p w14:paraId="284C85E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11</w:t>
            </w:r>
          </w:p>
        </w:tc>
        <w:tc>
          <w:tcPr>
            <w:tcW w:w="1560" w:type="dxa"/>
            <w:vMerge/>
            <w:vAlign w:val="center"/>
          </w:tcPr>
          <w:p w14:paraId="1ABAD321"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0C42606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2DCFD8F4" w14:textId="77777777" w:rsidTr="00C43410">
        <w:tc>
          <w:tcPr>
            <w:tcW w:w="4248" w:type="dxa"/>
            <w:vAlign w:val="center"/>
          </w:tcPr>
          <w:p w14:paraId="5D497839"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"Shubarkol Komir" JSC and "EEC" JSC</w:t>
            </w:r>
          </w:p>
        </w:tc>
        <w:tc>
          <w:tcPr>
            <w:tcW w:w="1984" w:type="dxa"/>
            <w:vAlign w:val="center"/>
          </w:tcPr>
          <w:p w14:paraId="669607DC"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33.94</w:t>
            </w:r>
          </w:p>
        </w:tc>
        <w:tc>
          <w:tcPr>
            <w:tcW w:w="1560" w:type="dxa"/>
            <w:vMerge w:val="restart"/>
            <w:vAlign w:val="center"/>
          </w:tcPr>
          <w:p w14:paraId="24B86501"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74.44</w:t>
            </w:r>
          </w:p>
        </w:tc>
        <w:tc>
          <w:tcPr>
            <w:tcW w:w="1842" w:type="dxa"/>
            <w:vMerge w:val="restart"/>
            <w:shd w:val="clear" w:color="auto" w:fill="FFFFFF" w:themeFill="background1"/>
            <w:vAlign w:val="center"/>
          </w:tcPr>
          <w:p w14:paraId="5107A849"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2 128</w:t>
            </w:r>
          </w:p>
        </w:tc>
      </w:tr>
      <w:tr w:rsidR="00706070" w14:paraId="1EEC4405" w14:textId="77777777" w:rsidTr="00C43410">
        <w:tc>
          <w:tcPr>
            <w:tcW w:w="4248" w:type="dxa"/>
            <w:vAlign w:val="center"/>
          </w:tcPr>
          <w:p w14:paraId="19C2D9B7"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"Karazhyra" JSC</w:t>
            </w:r>
          </w:p>
        </w:tc>
        <w:tc>
          <w:tcPr>
            <w:tcW w:w="1984" w:type="dxa"/>
            <w:vAlign w:val="center"/>
          </w:tcPr>
          <w:p w14:paraId="6327097C"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29.08</w:t>
            </w:r>
          </w:p>
        </w:tc>
        <w:tc>
          <w:tcPr>
            <w:tcW w:w="1560" w:type="dxa"/>
            <w:vMerge/>
            <w:vAlign w:val="center"/>
          </w:tcPr>
          <w:p w14:paraId="6BA3C93D"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056C1848"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583AC204" w14:textId="77777777" w:rsidTr="00C43410">
        <w:tc>
          <w:tcPr>
            <w:tcW w:w="4248" w:type="dxa"/>
            <w:vAlign w:val="center"/>
          </w:tcPr>
          <w:p w14:paraId="68FA40B1"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"Maykuben-West" JSC and "Shubarkol premium" JSC</w:t>
            </w:r>
          </w:p>
        </w:tc>
        <w:tc>
          <w:tcPr>
            <w:tcW w:w="1984" w:type="dxa"/>
            <w:vAlign w:val="center"/>
          </w:tcPr>
          <w:p w14:paraId="6390AE13"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11.42</w:t>
            </w:r>
          </w:p>
        </w:tc>
        <w:tc>
          <w:tcPr>
            <w:tcW w:w="1560" w:type="dxa"/>
            <w:vMerge/>
            <w:vAlign w:val="center"/>
          </w:tcPr>
          <w:p w14:paraId="4072FEB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16A1CCCE"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706070" w14:paraId="4F20D176" w14:textId="77777777" w:rsidTr="00C43410">
        <w:tc>
          <w:tcPr>
            <w:tcW w:w="4248" w:type="dxa"/>
            <w:vAlign w:val="center"/>
          </w:tcPr>
          <w:p w14:paraId="613202B8"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"Shubarkol Komir" JSC and "EEC" JSC</w:t>
            </w:r>
          </w:p>
        </w:tc>
        <w:tc>
          <w:tcPr>
            <w:tcW w:w="1984" w:type="dxa"/>
            <w:vAlign w:val="center"/>
          </w:tcPr>
          <w:p w14:paraId="569F42E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34.12</w:t>
            </w:r>
          </w:p>
        </w:tc>
        <w:tc>
          <w:tcPr>
            <w:tcW w:w="1560" w:type="dxa"/>
            <w:vMerge w:val="restart"/>
            <w:vAlign w:val="center"/>
          </w:tcPr>
          <w:p w14:paraId="36D7887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76.95</w:t>
            </w:r>
          </w:p>
        </w:tc>
        <w:tc>
          <w:tcPr>
            <w:tcW w:w="1842" w:type="dxa"/>
            <w:vMerge w:val="restart"/>
            <w:shd w:val="clear" w:color="auto" w:fill="FFFFFF" w:themeFill="background1"/>
            <w:vAlign w:val="center"/>
          </w:tcPr>
          <w:p w14:paraId="059C100F"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2 238</w:t>
            </w:r>
          </w:p>
        </w:tc>
      </w:tr>
      <w:tr w:rsidR="00706070" w14:paraId="356B2A44" w14:textId="77777777" w:rsidTr="00C43410">
        <w:tc>
          <w:tcPr>
            <w:tcW w:w="4248" w:type="dxa"/>
            <w:vAlign w:val="center"/>
          </w:tcPr>
          <w:p w14:paraId="391076A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"Karazhyra" JSC</w:t>
            </w:r>
          </w:p>
        </w:tc>
        <w:tc>
          <w:tcPr>
            <w:tcW w:w="1984" w:type="dxa"/>
            <w:vAlign w:val="center"/>
          </w:tcPr>
          <w:p w14:paraId="47A5D0BF"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30.26</w:t>
            </w:r>
          </w:p>
        </w:tc>
        <w:tc>
          <w:tcPr>
            <w:tcW w:w="1560" w:type="dxa"/>
            <w:vMerge/>
            <w:vAlign w:val="center"/>
          </w:tcPr>
          <w:p w14:paraId="3F45F991"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7A8402C5"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r>
      <w:tr w:rsidR="00706070" w14:paraId="23487C05" w14:textId="77777777" w:rsidTr="00C43410">
        <w:tc>
          <w:tcPr>
            <w:tcW w:w="4248" w:type="dxa"/>
            <w:vAlign w:val="center"/>
          </w:tcPr>
          <w:p w14:paraId="6B413F5A" w14:textId="77777777" w:rsidR="00B95AA4" w:rsidRPr="00A57506" w:rsidRDefault="004C4BA9" w:rsidP="00F411E1">
            <w:pPr>
              <w:ind w:firstLine="0"/>
              <w:jc w:val="center"/>
              <w:rPr>
                <w:rFonts w:ascii="Times New Roman" w:eastAsia="Times New Roman" w:hAnsi="Times New Roman" w:cs="Times New Roman"/>
                <w:color w:val="000000" w:themeColor="text1"/>
                <w:sz w:val="24"/>
                <w:szCs w:val="24"/>
                <w:lang w:val="en-US" w:eastAsia="ru-RU"/>
              </w:rPr>
            </w:pPr>
            <w:r w:rsidRPr="001529C7">
              <w:rPr>
                <w:rFonts w:ascii="Times New Roman" w:eastAsia="Times New Roman" w:hAnsi="Times New Roman" w:cs="Times New Roman"/>
                <w:color w:val="000000" w:themeColor="text1"/>
                <w:sz w:val="24"/>
                <w:szCs w:val="24"/>
                <w:lang w:val="en" w:eastAsia="ru-RU"/>
              </w:rPr>
              <w:t>"Maykuben-West" JSC and "Shubarkol premium" JSC</w:t>
            </w:r>
          </w:p>
        </w:tc>
        <w:tc>
          <w:tcPr>
            <w:tcW w:w="1984" w:type="dxa"/>
            <w:vAlign w:val="center"/>
          </w:tcPr>
          <w:p w14:paraId="412858EE" w14:textId="77777777" w:rsidR="00B95AA4" w:rsidRPr="001529C7" w:rsidRDefault="004C4BA9"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val="en" w:eastAsia="ru-RU"/>
              </w:rPr>
              <w:t>12.57</w:t>
            </w:r>
          </w:p>
        </w:tc>
        <w:tc>
          <w:tcPr>
            <w:tcW w:w="1560" w:type="dxa"/>
            <w:vMerge/>
            <w:vAlign w:val="center"/>
          </w:tcPr>
          <w:p w14:paraId="43E87867"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485FEE5F"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r>
    </w:tbl>
    <w:p w14:paraId="2ECA8690" w14:textId="77777777" w:rsidR="00B95AA4" w:rsidRPr="001529C7" w:rsidRDefault="00B95AA4" w:rsidP="00F411E1">
      <w:pPr>
        <w:rPr>
          <w:color w:val="000000" w:themeColor="text1"/>
        </w:rPr>
      </w:pPr>
    </w:p>
    <w:p w14:paraId="2A990560" w14:textId="77777777" w:rsidR="0067577D" w:rsidRPr="00A57506" w:rsidRDefault="004C4BA9" w:rsidP="0067577D">
      <w:pPr>
        <w:rPr>
          <w:color w:val="000000" w:themeColor="text1"/>
          <w:lang w:val="en-US"/>
        </w:rPr>
      </w:pPr>
      <w:r w:rsidRPr="001529C7">
        <w:rPr>
          <w:color w:val="000000" w:themeColor="text1"/>
          <w:lang w:val="en"/>
        </w:rPr>
        <w:t>At wholesale market of municipal coal, share of three coal mining companies is 74.4%.</w:t>
      </w:r>
    </w:p>
    <w:p w14:paraId="4B6FFD28" w14:textId="77777777" w:rsidR="00B95AA4" w:rsidRPr="00A57506" w:rsidRDefault="00B95AA4" w:rsidP="00F411E1">
      <w:pPr>
        <w:rPr>
          <w:color w:val="000000" w:themeColor="text1"/>
          <w:lang w:val="en-US"/>
        </w:rPr>
      </w:pPr>
    </w:p>
    <w:p w14:paraId="224FB3BC" w14:textId="77777777" w:rsidR="004A09EC"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 11. Price dynamics (weighted average) for municipal coal in 2018-2021 and the first half of 2022, KZT per 1 ton without VAT.</w:t>
      </w:r>
    </w:p>
    <w:tbl>
      <w:tblPr>
        <w:tblW w:w="9629" w:type="dxa"/>
        <w:tblCellMar>
          <w:left w:w="0" w:type="dxa"/>
          <w:right w:w="0" w:type="dxa"/>
        </w:tblCellMar>
        <w:tblLook w:val="04A0" w:firstRow="1" w:lastRow="0" w:firstColumn="1" w:lastColumn="0" w:noHBand="0" w:noVBand="1"/>
      </w:tblPr>
      <w:tblGrid>
        <w:gridCol w:w="660"/>
        <w:gridCol w:w="3026"/>
        <w:gridCol w:w="1134"/>
        <w:gridCol w:w="1276"/>
        <w:gridCol w:w="1134"/>
        <w:gridCol w:w="1134"/>
        <w:gridCol w:w="1265"/>
      </w:tblGrid>
      <w:tr w:rsidR="00706070" w14:paraId="36572A1E"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F02B8" w14:textId="77777777" w:rsidR="00B95AA4" w:rsidRPr="001529C7" w:rsidRDefault="004C4BA9" w:rsidP="00F411E1">
            <w:pPr>
              <w:tabs>
                <w:tab w:val="clear" w:pos="567"/>
              </w:tabs>
              <w:ind w:firstLine="29"/>
              <w:jc w:val="center"/>
              <w:rPr>
                <w:rFonts w:ascii="Arial" w:hAnsi="Arial" w:cs="Arial"/>
                <w:color w:val="000000" w:themeColor="text1"/>
                <w:sz w:val="36"/>
                <w:szCs w:val="36"/>
              </w:rPr>
            </w:pPr>
            <w:r w:rsidRPr="001529C7">
              <w:rPr>
                <w:b/>
                <w:bCs/>
                <w:color w:val="000000" w:themeColor="text1"/>
                <w:kern w:val="24"/>
                <w:sz w:val="24"/>
                <w:szCs w:val="24"/>
                <w:lang w:val="en"/>
              </w:rPr>
              <w:t>№</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83B5C"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Coal mining companies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DA358D"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2018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454919"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22CFB"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547E69"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2021</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826B31"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lang w:val="en"/>
              </w:rPr>
              <w:t>I half of 2022</w:t>
            </w:r>
          </w:p>
        </w:tc>
      </w:tr>
      <w:tr w:rsidR="00706070" w14:paraId="55217505"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F78947" w14:textId="77777777" w:rsidR="00B95AA4" w:rsidRPr="001529C7" w:rsidRDefault="004C4BA9"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1</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5A5477"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 xml:space="preserve">"Shubarkol Komir" JSC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6733B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4 816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8EA0D"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5 153</w:t>
            </w:r>
          </w:p>
          <w:p w14:paraId="3777A906"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9C1CC8"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5 463</w:t>
            </w:r>
          </w:p>
          <w:p w14:paraId="7408D0B6"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(6,02%)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BCED4"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5 592</w:t>
            </w:r>
          </w:p>
          <w:p w14:paraId="3E7A6678"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(2,36%)</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9E00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5 506</w:t>
            </w:r>
          </w:p>
          <w:p w14:paraId="0DD590D2"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(-1,54%)</w:t>
            </w:r>
          </w:p>
        </w:tc>
      </w:tr>
      <w:tr w:rsidR="00706070" w14:paraId="5F8AEAA5"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932B83" w14:textId="77777777" w:rsidR="00B95AA4" w:rsidRPr="001529C7" w:rsidRDefault="004C4BA9"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2</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9339B"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"Karazhyra" JSC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3D9441"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2 856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6D5E5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3 605</w:t>
            </w:r>
          </w:p>
          <w:p w14:paraId="21CA5DC5"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(26,23%)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7C20C3"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4 108</w:t>
            </w:r>
          </w:p>
          <w:p w14:paraId="1401BCA6"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(13,95%)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EDDA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4 111</w:t>
            </w:r>
          </w:p>
          <w:p w14:paraId="4C7B50F3"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(0,07%)</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DD53F8"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4 270</w:t>
            </w:r>
          </w:p>
          <w:p w14:paraId="12EB14D5"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(3,87%)</w:t>
            </w:r>
          </w:p>
        </w:tc>
      </w:tr>
      <w:tr w:rsidR="00706070" w14:paraId="0B161CA4"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58AFC7" w14:textId="77777777" w:rsidR="00B95AA4" w:rsidRPr="001529C7" w:rsidRDefault="004C4BA9"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t>3</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5C5E74"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"Maykuben-West" JSC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A0570A"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5 435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37FEBE"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6 061</w:t>
            </w:r>
          </w:p>
          <w:p w14:paraId="733465E9"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(11,52%)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367FE6"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5 221</w:t>
            </w:r>
          </w:p>
          <w:p w14:paraId="11D575E5"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(-13,86%)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1895C7"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5 473</w:t>
            </w:r>
          </w:p>
          <w:p w14:paraId="5B36C6FD"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(4,83%)</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7CADA0"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5 656</w:t>
            </w:r>
          </w:p>
          <w:p w14:paraId="4D1DCB89"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(3,34%)</w:t>
            </w:r>
          </w:p>
        </w:tc>
      </w:tr>
      <w:tr w:rsidR="00706070" w14:paraId="493F1030"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557932" w14:textId="77777777" w:rsidR="00B95AA4" w:rsidRPr="001529C7" w:rsidRDefault="004C4BA9"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lang w:val="en"/>
              </w:rPr>
              <w:lastRenderedPageBreak/>
              <w:t>4</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176727"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"GRK "Sat Komir" JSC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D23E6"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3 493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B71B94"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4 472</w:t>
            </w:r>
          </w:p>
          <w:p w14:paraId="29A9BB42"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(28,03%)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81992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3 946</w:t>
            </w:r>
          </w:p>
          <w:p w14:paraId="59DE817B"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(-11,76%)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1A2A9E"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5 248</w:t>
            </w:r>
          </w:p>
          <w:p w14:paraId="2EE1CE8F"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(33%)</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BE11A7"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lang w:val="en"/>
              </w:rPr>
              <w:t>5 995</w:t>
            </w:r>
          </w:p>
          <w:p w14:paraId="41B7F501" w14:textId="77777777" w:rsidR="00B95AA4" w:rsidRPr="001529C7" w:rsidRDefault="004C4BA9"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lang w:val="en"/>
              </w:rPr>
              <w:t>(14,23%)</w:t>
            </w:r>
          </w:p>
        </w:tc>
      </w:tr>
    </w:tbl>
    <w:p w14:paraId="135CDFB3" w14:textId="77777777" w:rsidR="00C43410" w:rsidRPr="001529C7" w:rsidRDefault="00C43410" w:rsidP="00F411E1">
      <w:pPr>
        <w:rPr>
          <w:color w:val="000000" w:themeColor="text1"/>
        </w:rPr>
      </w:pPr>
    </w:p>
    <w:p w14:paraId="6CFE9CD5" w14:textId="77777777" w:rsidR="00B95AA4" w:rsidRPr="001529C7" w:rsidRDefault="004C4BA9" w:rsidP="00F411E1">
      <w:pPr>
        <w:rPr>
          <w:b/>
          <w:i/>
          <w:color w:val="000000" w:themeColor="text1"/>
        </w:rPr>
      </w:pPr>
      <w:r w:rsidRPr="001529C7">
        <w:rPr>
          <w:b/>
          <w:i/>
          <w:color w:val="000000" w:themeColor="text1"/>
          <w:lang w:val="en"/>
        </w:rPr>
        <w:t>Main events</w:t>
      </w:r>
    </w:p>
    <w:p w14:paraId="7ED38A2A" w14:textId="77777777" w:rsidR="0067577D" w:rsidRPr="00A57506" w:rsidRDefault="004C4BA9" w:rsidP="0067577D">
      <w:pPr>
        <w:rPr>
          <w:color w:val="000000" w:themeColor="text1"/>
          <w:lang w:val="en-US"/>
        </w:rPr>
      </w:pPr>
      <w:r w:rsidRPr="001529C7">
        <w:rPr>
          <w:color w:val="000000" w:themeColor="text1"/>
          <w:lang w:val="en"/>
        </w:rPr>
        <w:t>Monopoly structure of the wholesale markets for energy and municipal coal remains unchanged.</w:t>
      </w:r>
    </w:p>
    <w:p w14:paraId="146877F4" w14:textId="77777777" w:rsidR="0067577D" w:rsidRPr="00A57506" w:rsidRDefault="004C4BA9" w:rsidP="0067577D">
      <w:pPr>
        <w:rPr>
          <w:color w:val="000000" w:themeColor="text1"/>
          <w:lang w:val="en-US"/>
        </w:rPr>
      </w:pPr>
      <w:r w:rsidRPr="001529C7">
        <w:rPr>
          <w:color w:val="000000" w:themeColor="text1"/>
          <w:lang w:val="en"/>
        </w:rPr>
        <w:t>Share of Bogatyr Komir LLP in power-generating coal market exceeds 80%. Combined share of 3 main producers of municipal coal - "Shubarkol Komir" JSC, "Karazhyra" JSC, "Maykuben-West" JSC is 74%.</w:t>
      </w:r>
    </w:p>
    <w:p w14:paraId="06CE8783" w14:textId="77777777" w:rsidR="0067577D" w:rsidRPr="00A57506" w:rsidRDefault="004C4BA9" w:rsidP="0067577D">
      <w:pPr>
        <w:rPr>
          <w:color w:val="000000" w:themeColor="text1"/>
          <w:lang w:val="en-US"/>
        </w:rPr>
      </w:pPr>
      <w:r w:rsidRPr="001529C7">
        <w:rPr>
          <w:color w:val="000000" w:themeColor="text1"/>
          <w:lang w:val="en"/>
        </w:rPr>
        <w:t xml:space="preserve">In these conditions, dynamic growth of wholesale coal prices remains, being average of 6% per annum. </w:t>
      </w:r>
    </w:p>
    <w:p w14:paraId="3C316516" w14:textId="77777777" w:rsidR="0067577D" w:rsidRPr="00A57506" w:rsidRDefault="004C4BA9" w:rsidP="0067577D">
      <w:pPr>
        <w:rPr>
          <w:color w:val="000000" w:themeColor="text1"/>
          <w:lang w:val="en-US"/>
        </w:rPr>
      </w:pPr>
      <w:r w:rsidRPr="001529C7">
        <w:rPr>
          <w:color w:val="000000" w:themeColor="text1"/>
          <w:lang w:val="en"/>
        </w:rPr>
        <w:t xml:space="preserve">Thus, Bogatyr Komir LLP increased cost of power-generating coal by 15.5% in 2020, by 10% in 2021, reducing it to 2% based on results of discontinued investigation, and plans to increase to 40% in 2022. </w:t>
      </w:r>
    </w:p>
    <w:p w14:paraId="4DFFD52F" w14:textId="77777777" w:rsidR="0067577D" w:rsidRPr="00A57506" w:rsidRDefault="004C4BA9" w:rsidP="0067577D">
      <w:pPr>
        <w:rPr>
          <w:color w:val="000000" w:themeColor="text1"/>
          <w:lang w:val="en-US"/>
        </w:rPr>
      </w:pPr>
      <w:r w:rsidRPr="001529C7">
        <w:rPr>
          <w:color w:val="000000" w:themeColor="text1"/>
          <w:lang w:val="en"/>
        </w:rPr>
        <w:t>"Shubarkol Komir" JSC increased prices by 6.5% in 2019 and 4.2% in 2021. "Karazhyra" JSC - 36% in 2019 and 25% in 2021, that allowed it to increase profitability to 52% in 2021.</w:t>
      </w:r>
    </w:p>
    <w:p w14:paraId="6AA23DE5" w14:textId="77777777" w:rsidR="0067577D" w:rsidRPr="00A57506" w:rsidRDefault="004C4BA9" w:rsidP="0067577D">
      <w:pPr>
        <w:rPr>
          <w:color w:val="000000" w:themeColor="text1"/>
          <w:lang w:val="en-US"/>
        </w:rPr>
      </w:pPr>
      <w:r w:rsidRPr="001529C7">
        <w:rPr>
          <w:color w:val="000000" w:themeColor="text1"/>
          <w:lang w:val="en"/>
        </w:rPr>
        <w:t>If power-generating coal is sold directly to energy-producing and industrial enterprises, then municipal coal is sold through a network of intermediaries.</w:t>
      </w:r>
    </w:p>
    <w:p w14:paraId="6D2D6184" w14:textId="77777777" w:rsidR="0067577D" w:rsidRPr="00A57506" w:rsidRDefault="004C4BA9" w:rsidP="0067577D">
      <w:pPr>
        <w:rPr>
          <w:color w:val="000000" w:themeColor="text1"/>
          <w:lang w:val="en-US"/>
        </w:rPr>
      </w:pPr>
      <w:r w:rsidRPr="001529C7">
        <w:rPr>
          <w:color w:val="000000" w:themeColor="text1"/>
          <w:lang w:val="en"/>
        </w:rPr>
        <w:t>To do this, coal mining companies use stock trading with huge volumes.</w:t>
      </w:r>
    </w:p>
    <w:p w14:paraId="0102F14E" w14:textId="77777777" w:rsidR="0067577D" w:rsidRPr="00A57506" w:rsidRDefault="004C4BA9" w:rsidP="0067577D">
      <w:pPr>
        <w:rPr>
          <w:color w:val="000000" w:themeColor="text1"/>
          <w:lang w:val="en-US"/>
        </w:rPr>
      </w:pPr>
      <w:r w:rsidRPr="001529C7">
        <w:rPr>
          <w:color w:val="000000" w:themeColor="text1"/>
          <w:lang w:val="en"/>
        </w:rPr>
        <w:t xml:space="preserve">With that, as the results of the antimonopoly investigation showed in 2019, more than 90% of the transactions concluded at the auction were </w:t>
      </w:r>
      <w:r w:rsidRPr="002E721E">
        <w:rPr>
          <w:b/>
          <w:color w:val="000000" w:themeColor="text1"/>
          <w:lang w:val="en"/>
        </w:rPr>
        <w:t>not provided with either payment or shipment of coal</w:t>
      </w:r>
      <w:r w:rsidRPr="001529C7">
        <w:rPr>
          <w:color w:val="000000" w:themeColor="text1"/>
          <w:lang w:val="en"/>
        </w:rPr>
        <w:t>.</w:t>
      </w:r>
    </w:p>
    <w:p w14:paraId="68EFE39F" w14:textId="77777777" w:rsidR="0067577D" w:rsidRPr="00A57506" w:rsidRDefault="004C4BA9" w:rsidP="0067577D">
      <w:pPr>
        <w:rPr>
          <w:color w:val="000000" w:themeColor="text1"/>
          <w:lang w:val="en-US"/>
        </w:rPr>
      </w:pPr>
      <w:r w:rsidRPr="001529C7">
        <w:rPr>
          <w:color w:val="000000" w:themeColor="text1"/>
          <w:lang w:val="en"/>
        </w:rPr>
        <w:t xml:space="preserve">Currently, practice of using </w:t>
      </w:r>
      <w:r w:rsidRPr="002E721E">
        <w:rPr>
          <w:b/>
          <w:color w:val="000000" w:themeColor="text1"/>
          <w:lang w:val="en"/>
        </w:rPr>
        <w:t>"unproductive" intermediaries</w:t>
      </w:r>
      <w:r w:rsidRPr="001529C7">
        <w:rPr>
          <w:color w:val="000000" w:themeColor="text1"/>
          <w:lang w:val="en"/>
        </w:rPr>
        <w:t xml:space="preserve"> by coal producers, which leads to increase in the final cost of coal for population by an average </w:t>
      </w:r>
      <w:r w:rsidRPr="002E721E">
        <w:rPr>
          <w:b/>
          <w:color w:val="000000" w:themeColor="text1"/>
          <w:lang w:val="en"/>
        </w:rPr>
        <w:t>of 40-45%</w:t>
      </w:r>
      <w:r w:rsidRPr="001529C7">
        <w:rPr>
          <w:color w:val="000000" w:themeColor="text1"/>
          <w:lang w:val="en"/>
        </w:rPr>
        <w:t>, continues.</w:t>
      </w:r>
    </w:p>
    <w:p w14:paraId="55FC43FF" w14:textId="77777777" w:rsidR="0067577D" w:rsidRPr="00A57506" w:rsidRDefault="004C4BA9" w:rsidP="0067577D">
      <w:pPr>
        <w:rPr>
          <w:color w:val="000000" w:themeColor="text1"/>
          <w:lang w:val="en-US"/>
        </w:rPr>
      </w:pPr>
      <w:r w:rsidRPr="001529C7">
        <w:rPr>
          <w:color w:val="000000" w:themeColor="text1"/>
          <w:lang w:val="en"/>
        </w:rPr>
        <w:t xml:space="preserve">So, according to the results of auction on September 8-9 this year. "Shubarkol Komir" JSC offered 3.2 million tons of coal, that was bought by 16 regional operators </w:t>
      </w:r>
      <w:r w:rsidRPr="00D17C56">
        <w:rPr>
          <w:i/>
          <w:color w:val="000000" w:themeColor="text1"/>
          <w:sz w:val="24"/>
          <w:lang w:val="en"/>
        </w:rPr>
        <w:t>(26% of the volume)</w:t>
      </w:r>
      <w:r w:rsidRPr="001529C7">
        <w:rPr>
          <w:color w:val="000000" w:themeColor="text1"/>
          <w:lang w:val="en"/>
        </w:rPr>
        <w:t xml:space="preserve"> and 10 intermediaries </w:t>
      </w:r>
      <w:r w:rsidRPr="00D17C56">
        <w:rPr>
          <w:i/>
          <w:color w:val="000000" w:themeColor="text1"/>
          <w:sz w:val="24"/>
          <w:lang w:val="en"/>
        </w:rPr>
        <w:t>(74% of the volume)</w:t>
      </w:r>
      <w:r w:rsidRPr="001529C7">
        <w:rPr>
          <w:color w:val="000000" w:themeColor="text1"/>
          <w:lang w:val="en"/>
        </w:rPr>
        <w:t xml:space="preserve"> within a few minutes without remainders. </w:t>
      </w:r>
    </w:p>
    <w:p w14:paraId="49C96EE5" w14:textId="77777777" w:rsidR="0067577D" w:rsidRPr="00A57506" w:rsidRDefault="004C4BA9" w:rsidP="0067577D">
      <w:pPr>
        <w:rPr>
          <w:color w:val="000000" w:themeColor="text1"/>
          <w:lang w:val="en-US"/>
        </w:rPr>
      </w:pPr>
      <w:r w:rsidRPr="001529C7">
        <w:rPr>
          <w:color w:val="000000" w:themeColor="text1"/>
          <w:lang w:val="en"/>
        </w:rPr>
        <w:t>In this regard, in order to prevent vertical collusion at auctions, the Prosecutor General's Office has carried out measures to identify and suppress collusion at coal exchange auctions. The audit covered "Shubarkol-Komir" JSC, stock exchange companies, as well as large buyers in order to identify schemes for artificial increase of prices and possible collusion in the sale of coal.</w:t>
      </w:r>
    </w:p>
    <w:p w14:paraId="4FB01830" w14:textId="77777777" w:rsidR="0067577D" w:rsidRPr="001529C7" w:rsidRDefault="004C4BA9" w:rsidP="0067577D">
      <w:pPr>
        <w:rPr>
          <w:color w:val="000000" w:themeColor="text1"/>
          <w:lang w:val="kk-KZ"/>
        </w:rPr>
      </w:pPr>
      <w:r w:rsidRPr="001529C7">
        <w:rPr>
          <w:color w:val="000000" w:themeColor="text1"/>
          <w:lang w:val="en"/>
        </w:rPr>
        <w:t>It is established that in 2022, on average, municipal and household coal was sold by "Shubarkol-Komir" JSC at a price of 6.2 thousand KZT/ton. In the future, the cost of selling coal to a regional operator varies from 11 to 17 thousand KZT/ton. The final prices from dump trucks range from 25 to 30 thousand KZT.</w:t>
      </w:r>
    </w:p>
    <w:p w14:paraId="319CD0D7" w14:textId="77777777" w:rsidR="0067577D" w:rsidRPr="00A57506" w:rsidRDefault="004C4BA9" w:rsidP="0067577D">
      <w:pPr>
        <w:rPr>
          <w:color w:val="000000" w:themeColor="text1"/>
          <w:lang w:val="en-US"/>
        </w:rPr>
      </w:pPr>
      <w:r w:rsidRPr="001529C7">
        <w:rPr>
          <w:color w:val="000000" w:themeColor="text1"/>
          <w:lang w:val="en"/>
        </w:rPr>
        <w:t xml:space="preserve">Thus, the final cost for consumers coal delivery chain increases from dead end to consumer by 3-4 times from the cost of its initial sale. </w:t>
      </w:r>
    </w:p>
    <w:p w14:paraId="6804950E" w14:textId="77777777" w:rsidR="0067577D" w:rsidRPr="00A57506" w:rsidRDefault="004C4BA9" w:rsidP="0067577D">
      <w:pPr>
        <w:rPr>
          <w:color w:val="000000" w:themeColor="text1"/>
          <w:lang w:val="en-US"/>
        </w:rPr>
      </w:pPr>
      <w:r w:rsidRPr="001529C7">
        <w:rPr>
          <w:color w:val="000000" w:themeColor="text1"/>
          <w:lang w:val="en"/>
        </w:rPr>
        <w:t>According to results of audit of collusion in coal exchange trading, violations of current legislation that led to increase price of coal were not revealed.</w:t>
      </w:r>
    </w:p>
    <w:p w14:paraId="12D728D5" w14:textId="77777777" w:rsidR="0067577D" w:rsidRPr="001529C7" w:rsidRDefault="004C4BA9" w:rsidP="0067577D">
      <w:pPr>
        <w:rPr>
          <w:color w:val="000000" w:themeColor="text1"/>
          <w:lang w:val="kk-KZ"/>
        </w:rPr>
      </w:pPr>
      <w:r w:rsidRPr="001529C7">
        <w:rPr>
          <w:color w:val="000000" w:themeColor="text1"/>
          <w:lang w:val="en"/>
        </w:rPr>
        <w:lastRenderedPageBreak/>
        <w:t>At the same time, in order to stabilize prices, antimonopoly authority takes response measures against manufacturers and retail operators. Issues of tightening trading rules, strengthening requirements for suppliers and commodity exchanges on availability of appropriate infrastructure are being worked out as systemic measures.</w:t>
      </w:r>
    </w:p>
    <w:p w14:paraId="634638B0" w14:textId="77777777" w:rsidR="0067577D" w:rsidRPr="001529C7" w:rsidRDefault="004C4BA9" w:rsidP="0067577D">
      <w:pPr>
        <w:rPr>
          <w:color w:val="000000" w:themeColor="text1"/>
          <w:lang w:val="kk-KZ"/>
        </w:rPr>
      </w:pPr>
      <w:r w:rsidRPr="001529C7">
        <w:rPr>
          <w:color w:val="000000" w:themeColor="text1"/>
          <w:lang w:val="en"/>
        </w:rPr>
        <w:t xml:space="preserve">Thus, the sale of municipal coal </w:t>
      </w:r>
      <w:r w:rsidRPr="002E721E">
        <w:rPr>
          <w:b/>
          <w:color w:val="000000" w:themeColor="text1"/>
          <w:lang w:val="en"/>
        </w:rPr>
        <w:t xml:space="preserve">without participation of unproductive intermediaries in pricing scheme </w:t>
      </w:r>
      <w:r w:rsidRPr="001529C7">
        <w:rPr>
          <w:color w:val="000000" w:themeColor="text1"/>
          <w:lang w:val="en"/>
        </w:rPr>
        <w:t xml:space="preserve"> has been ensured by making changes to the List of stock exchange goods and Rules of exchange trading in terms of increasing exchange trading of municipal coal for regional operators </w:t>
      </w:r>
      <w:r w:rsidRPr="002E721E">
        <w:rPr>
          <w:b/>
          <w:color w:val="000000" w:themeColor="text1"/>
          <w:lang w:val="en"/>
        </w:rPr>
        <w:t>from 10% to 50%</w:t>
      </w:r>
      <w:r w:rsidRPr="001529C7">
        <w:rPr>
          <w:color w:val="000000" w:themeColor="text1"/>
          <w:lang w:val="en"/>
        </w:rPr>
        <w:t xml:space="preserve">, and obligation to offer their volumes at exchange trading for market entities, engaged in the processing </w:t>
      </w:r>
      <w:r w:rsidRPr="00D17C56">
        <w:rPr>
          <w:i/>
          <w:color w:val="000000" w:themeColor="text1"/>
          <w:sz w:val="24"/>
          <w:lang w:val="en"/>
        </w:rPr>
        <w:t>(enrichment)</w:t>
      </w:r>
      <w:r w:rsidRPr="001529C7">
        <w:rPr>
          <w:color w:val="000000" w:themeColor="text1"/>
          <w:lang w:val="en"/>
        </w:rPr>
        <w:t xml:space="preserve"> of coal has been introduced. Increase in exchange trading of municipal coal will provide direct access for regional operators for </w:t>
      </w:r>
      <w:r w:rsidRPr="002E721E">
        <w:rPr>
          <w:b/>
          <w:color w:val="000000" w:themeColor="text1"/>
          <w:lang w:val="en"/>
        </w:rPr>
        <w:t>about 4 million tons</w:t>
      </w:r>
      <w:r w:rsidRPr="001529C7">
        <w:rPr>
          <w:color w:val="000000" w:themeColor="text1"/>
          <w:lang w:val="en"/>
        </w:rPr>
        <w:t xml:space="preserve">, that will reduce expenses of coal operators by </w:t>
      </w:r>
      <w:r w:rsidRPr="002E721E">
        <w:rPr>
          <w:b/>
          <w:color w:val="000000" w:themeColor="text1"/>
          <w:lang w:val="en"/>
        </w:rPr>
        <w:t>about 16 billion KZT</w:t>
      </w:r>
      <w:r w:rsidRPr="001529C7">
        <w:rPr>
          <w:color w:val="000000" w:themeColor="text1"/>
          <w:lang w:val="en"/>
        </w:rPr>
        <w:t>.</w:t>
      </w:r>
    </w:p>
    <w:p w14:paraId="17F99274" w14:textId="77777777" w:rsidR="0067577D" w:rsidRPr="00A57506" w:rsidRDefault="004C4BA9" w:rsidP="0067577D">
      <w:pPr>
        <w:rPr>
          <w:color w:val="000000" w:themeColor="text1"/>
          <w:lang w:val="en-US"/>
        </w:rPr>
      </w:pPr>
      <w:r w:rsidRPr="001529C7">
        <w:rPr>
          <w:color w:val="000000" w:themeColor="text1"/>
          <w:lang w:val="en"/>
        </w:rPr>
        <w:t>In addition, the issue of taking antimonopoly response measures against Bogatyr Komir LLP is currently being considered in the market of power-generating coal, taking into account signs of violation of competition protection legislation.</w:t>
      </w:r>
    </w:p>
    <w:p w14:paraId="5C742FCD" w14:textId="77777777" w:rsidR="0067577D" w:rsidRPr="00A57506" w:rsidRDefault="004C4BA9" w:rsidP="0067577D">
      <w:pPr>
        <w:rPr>
          <w:color w:val="000000" w:themeColor="text1"/>
          <w:lang w:val="en-US"/>
        </w:rPr>
      </w:pPr>
      <w:r w:rsidRPr="001529C7">
        <w:rPr>
          <w:color w:val="000000" w:themeColor="text1"/>
          <w:lang w:val="en"/>
        </w:rPr>
        <w:t>However, these antitrust response measures have low effectiveness in terms of influencing behavior of Bogatyr Komir LLP at the system level. Taking into account remaining share of the subject and constant increase in prices, it is necessary to work out issue of attributing primary wholesale coal sales market for the needs of energy-producing organizations to socially significant markets with appropriate price regulation.</w:t>
      </w:r>
    </w:p>
    <w:p w14:paraId="705AA622" w14:textId="77777777" w:rsidR="0067577D" w:rsidRPr="00A57506" w:rsidRDefault="004C4BA9" w:rsidP="0067577D">
      <w:pPr>
        <w:rPr>
          <w:color w:val="000000" w:themeColor="text1"/>
          <w:lang w:val="en-US"/>
        </w:rPr>
      </w:pPr>
      <w:r w:rsidRPr="001529C7">
        <w:rPr>
          <w:rFonts w:eastAsia="Calibri"/>
          <w:bCs/>
          <w:color w:val="000000" w:themeColor="text1"/>
          <w:lang w:val="en"/>
        </w:rPr>
        <w:t>Based on the results of the analysis, measures have been developed that are included in</w:t>
      </w:r>
      <w:r w:rsidRPr="002E721E">
        <w:rPr>
          <w:b/>
          <w:color w:val="000000" w:themeColor="text1"/>
          <w:lang w:val="en"/>
        </w:rPr>
        <w:t xml:space="preserve"> Roadmap for Development of Competition at coal sales market</w:t>
      </w:r>
      <w:r w:rsidRPr="001529C7">
        <w:rPr>
          <w:color w:val="000000" w:themeColor="text1"/>
          <w:lang w:val="en"/>
        </w:rPr>
        <w:t>.</w:t>
      </w:r>
    </w:p>
    <w:p w14:paraId="60A45E4F" w14:textId="77777777" w:rsidR="0067577D" w:rsidRPr="00A57506" w:rsidRDefault="004C4BA9" w:rsidP="002E721E">
      <w:pPr>
        <w:rPr>
          <w:color w:val="000000" w:themeColor="text1"/>
          <w:lang w:val="en-US"/>
        </w:rPr>
      </w:pPr>
      <w:r w:rsidRPr="001529C7">
        <w:rPr>
          <w:color w:val="000000" w:themeColor="text1"/>
          <w:lang w:val="en"/>
        </w:rPr>
        <w:t>The measures provide ways to solve main problems of developing competition in coal industry and are aimed at increasing transparency of procurement procedure, eliminating unproductive intermediary structures at market municipal coal sales market and introduction of state price regulation of power-generating coal by attributing this market to socially significant market. In December 2022, this Roadmap was adopted by the Ministries of Industry and Infrastructure Development, Trade and Integration together with the Agency.</w:t>
      </w:r>
    </w:p>
    <w:p w14:paraId="1CC2F590" w14:textId="77777777" w:rsidR="00B95AA4" w:rsidRPr="00A57506" w:rsidRDefault="004C4BA9" w:rsidP="002E721E">
      <w:pPr>
        <w:rPr>
          <w:rFonts w:eastAsia="Calibri"/>
          <w:b/>
          <w:bCs/>
          <w:i/>
          <w:color w:val="000000" w:themeColor="text1"/>
          <w:lang w:val="en-US"/>
        </w:rPr>
      </w:pPr>
      <w:r w:rsidRPr="001529C7">
        <w:rPr>
          <w:b/>
          <w:bCs/>
          <w:i/>
          <w:color w:val="000000" w:themeColor="text1"/>
          <w:lang w:val="en"/>
        </w:rPr>
        <w:t xml:space="preserve">Proposals and recommendations for competition development </w:t>
      </w:r>
    </w:p>
    <w:p w14:paraId="7E534843" w14:textId="77777777" w:rsidR="0067577D" w:rsidRPr="00A57506" w:rsidRDefault="004C4BA9" w:rsidP="0067577D">
      <w:pPr>
        <w:rPr>
          <w:color w:val="000000" w:themeColor="text1"/>
          <w:lang w:val="en-US"/>
        </w:rPr>
      </w:pPr>
      <w:r w:rsidRPr="001529C7">
        <w:rPr>
          <w:color w:val="000000" w:themeColor="text1"/>
          <w:lang w:val="en"/>
        </w:rPr>
        <w:t>1)</w:t>
      </w:r>
      <w:r w:rsidR="002E721E" w:rsidRPr="00651CB3">
        <w:rPr>
          <w:b/>
          <w:color w:val="000000" w:themeColor="text1"/>
          <w:lang w:val="en"/>
        </w:rPr>
        <w:t xml:space="preserve"> elimination of intermediaries</w:t>
      </w:r>
      <w:r w:rsidRPr="001529C7">
        <w:rPr>
          <w:color w:val="000000" w:themeColor="text1"/>
          <w:lang w:val="en"/>
        </w:rPr>
        <w:t>:</w:t>
      </w:r>
    </w:p>
    <w:p w14:paraId="5C081FF5" w14:textId="77777777" w:rsidR="0067577D" w:rsidRPr="00A57506" w:rsidRDefault="004C4BA9" w:rsidP="0067577D">
      <w:pPr>
        <w:rPr>
          <w:color w:val="000000" w:themeColor="text1"/>
          <w:lang w:val="en-US"/>
        </w:rPr>
      </w:pPr>
      <w:r w:rsidRPr="001529C7">
        <w:rPr>
          <w:color w:val="000000" w:themeColor="text1"/>
          <w:lang w:val="en"/>
        </w:rPr>
        <w:t xml:space="preserve">- establishment of requirements for wholesale and retail suppliers of coal for availability of storage infrastructure, as well as ban on sales of coal between intermediaries </w:t>
      </w:r>
      <w:r w:rsidRPr="00D17C56">
        <w:rPr>
          <w:i/>
          <w:color w:val="000000" w:themeColor="text1"/>
          <w:sz w:val="24"/>
          <w:lang w:val="en"/>
        </w:rPr>
        <w:t>(by analogy with electricity and petroleum products markets)</w:t>
      </w:r>
      <w:r w:rsidRPr="001529C7">
        <w:rPr>
          <w:color w:val="000000" w:themeColor="text1"/>
          <w:lang w:val="en"/>
        </w:rPr>
        <w:t>;</w:t>
      </w:r>
    </w:p>
    <w:p w14:paraId="3EBEF051" w14:textId="77777777" w:rsidR="0067577D" w:rsidRPr="00A57506" w:rsidRDefault="004C4BA9" w:rsidP="0067577D">
      <w:pPr>
        <w:rPr>
          <w:color w:val="000000" w:themeColor="text1"/>
          <w:lang w:val="en-US"/>
        </w:rPr>
      </w:pPr>
      <w:r w:rsidRPr="001529C7">
        <w:rPr>
          <w:color w:val="000000" w:themeColor="text1"/>
          <w:lang w:val="en"/>
        </w:rPr>
        <w:t>- making changes to the List of exchange-traded goods and the Rules of exchange trading in terms of regulating sale ratio of 50% of municipal coal through commodity exchanges: 90% long-term annual contracts, 10% spot trading;</w:t>
      </w:r>
    </w:p>
    <w:p w14:paraId="3E1625FF" w14:textId="77777777" w:rsidR="0067577D" w:rsidRPr="00A57506" w:rsidRDefault="004C4BA9" w:rsidP="0067577D">
      <w:pPr>
        <w:rPr>
          <w:color w:val="000000" w:themeColor="text1"/>
          <w:lang w:val="en-US"/>
        </w:rPr>
      </w:pPr>
      <w:r w:rsidRPr="001529C7">
        <w:rPr>
          <w:bCs/>
          <w:color w:val="000000" w:themeColor="text1"/>
          <w:lang w:val="en"/>
        </w:rPr>
        <w:t xml:space="preserve">The recommendation has been implemented. The Ministry of Trade and Integration adopted Order No. 294 dated July 19, 2022, which provides for increase in exchange trading of municipal coal for regional operators up to 50%. With that, for the Rules of exchange trading to correspond to List of exchange-traded goods, the Ministry of Trade and Integration amended the List in terms of increasing the exchange trading </w:t>
      </w:r>
      <w:r w:rsidRPr="001529C7">
        <w:rPr>
          <w:bCs/>
          <w:color w:val="000000" w:themeColor="text1"/>
          <w:lang w:val="en"/>
        </w:rPr>
        <w:lastRenderedPageBreak/>
        <w:t xml:space="preserve">of municipal coal for regional operators </w:t>
      </w:r>
      <w:r w:rsidRPr="00651CB3">
        <w:rPr>
          <w:b/>
          <w:color w:val="000000" w:themeColor="text1"/>
          <w:lang w:val="en"/>
        </w:rPr>
        <w:t>to 50%</w:t>
      </w:r>
      <w:r w:rsidRPr="001529C7">
        <w:rPr>
          <w:bCs/>
          <w:color w:val="000000" w:themeColor="text1"/>
          <w:lang w:val="en"/>
        </w:rPr>
        <w:t xml:space="preserve">, and also introduced obligation to offer their volumes at exchange trading for market entities engaged in coal processing </w:t>
      </w:r>
      <w:r w:rsidRPr="00D17C56">
        <w:rPr>
          <w:i/>
          <w:color w:val="000000" w:themeColor="text1"/>
          <w:sz w:val="24"/>
          <w:lang w:val="en"/>
        </w:rPr>
        <w:t>(enrichment)</w:t>
      </w:r>
      <w:r w:rsidRPr="001529C7">
        <w:rPr>
          <w:bCs/>
          <w:color w:val="000000" w:themeColor="text1"/>
          <w:lang w:val="en"/>
        </w:rPr>
        <w:t>.</w:t>
      </w:r>
    </w:p>
    <w:p w14:paraId="72BC87EB" w14:textId="77777777" w:rsidR="0067577D" w:rsidRPr="00A57506" w:rsidRDefault="004C4BA9" w:rsidP="0067577D">
      <w:pPr>
        <w:rPr>
          <w:color w:val="000000" w:themeColor="text1"/>
          <w:lang w:val="en-US"/>
        </w:rPr>
      </w:pPr>
      <w:r w:rsidRPr="001529C7">
        <w:rPr>
          <w:color w:val="000000" w:themeColor="text1"/>
          <w:lang w:val="en"/>
        </w:rPr>
        <w:t xml:space="preserve">At this stage, it is necessary to make changes to the Rules of exchange trading in terms of regulating trading of municipal coal and its sales by </w:t>
      </w:r>
      <w:r w:rsidRPr="00651CB3">
        <w:rPr>
          <w:b/>
          <w:color w:val="000000" w:themeColor="text1"/>
          <w:lang w:val="en"/>
        </w:rPr>
        <w:t>90%</w:t>
      </w:r>
      <w:r w:rsidRPr="001529C7">
        <w:rPr>
          <w:color w:val="000000" w:themeColor="text1"/>
          <w:lang w:val="en"/>
        </w:rPr>
        <w:t xml:space="preserve"> through long-term annual contracts and 10% through spot trading;</w:t>
      </w:r>
    </w:p>
    <w:p w14:paraId="45B72BDF" w14:textId="77777777" w:rsidR="0067577D" w:rsidRPr="00A57506" w:rsidRDefault="004C4BA9" w:rsidP="0067577D">
      <w:pPr>
        <w:rPr>
          <w:color w:val="000000" w:themeColor="text1"/>
          <w:lang w:val="en-US"/>
        </w:rPr>
      </w:pPr>
      <w:r w:rsidRPr="001529C7">
        <w:rPr>
          <w:color w:val="000000" w:themeColor="text1"/>
          <w:lang w:val="en"/>
        </w:rPr>
        <w:t xml:space="preserve">2) </w:t>
      </w:r>
      <w:r w:rsidR="00651CB3" w:rsidRPr="00651CB3">
        <w:rPr>
          <w:b/>
          <w:color w:val="000000" w:themeColor="text1"/>
          <w:lang w:val="en"/>
        </w:rPr>
        <w:t>reduction of market concentration</w:t>
      </w:r>
      <w:r w:rsidRPr="001529C7">
        <w:rPr>
          <w:color w:val="000000" w:themeColor="text1"/>
          <w:lang w:val="en"/>
        </w:rPr>
        <w:t xml:space="preserve"> by:</w:t>
      </w:r>
    </w:p>
    <w:p w14:paraId="1F1ADA43" w14:textId="77777777" w:rsidR="0067577D" w:rsidRPr="00A57506" w:rsidRDefault="004C4BA9" w:rsidP="0067577D">
      <w:pPr>
        <w:rPr>
          <w:color w:val="000000" w:themeColor="text1"/>
          <w:lang w:val="en-US"/>
        </w:rPr>
      </w:pPr>
      <w:r w:rsidRPr="001529C7">
        <w:rPr>
          <w:color w:val="000000" w:themeColor="text1"/>
          <w:lang w:val="en"/>
        </w:rPr>
        <w:t xml:space="preserve">- compulsory joint use </w:t>
      </w:r>
      <w:r w:rsidRPr="00D17C56">
        <w:rPr>
          <w:i/>
          <w:color w:val="000000" w:themeColor="text1"/>
          <w:sz w:val="24"/>
          <w:lang w:val="en"/>
        </w:rPr>
        <w:t>(sharing)</w:t>
      </w:r>
      <w:r w:rsidRPr="001529C7">
        <w:rPr>
          <w:color w:val="000000" w:themeColor="text1"/>
          <w:lang w:val="en"/>
        </w:rPr>
        <w:t xml:space="preserve"> of large coal deposits by sites through revising contractual territories and holding auction for granting rights to alternative market entities on these sites </w:t>
      </w:r>
      <w:r w:rsidRPr="00D17C56">
        <w:rPr>
          <w:i/>
          <w:color w:val="000000" w:themeColor="text1"/>
          <w:sz w:val="24"/>
          <w:lang w:val="en"/>
        </w:rPr>
        <w:t>(legislative definition of competence of authorized bodies to issue relevant rules)</w:t>
      </w:r>
      <w:r w:rsidRPr="001529C7">
        <w:rPr>
          <w:color w:val="000000" w:themeColor="text1"/>
          <w:lang w:val="en"/>
        </w:rPr>
        <w:t>.</w:t>
      </w:r>
    </w:p>
    <w:p w14:paraId="6434046B" w14:textId="77777777" w:rsidR="0067577D" w:rsidRPr="00A57506" w:rsidRDefault="004C4BA9" w:rsidP="0067577D">
      <w:pPr>
        <w:rPr>
          <w:rFonts w:eastAsia="Calibri"/>
          <w:bCs/>
          <w:color w:val="000000" w:themeColor="text1"/>
          <w:lang w:val="en-US"/>
        </w:rPr>
      </w:pPr>
      <w:r w:rsidRPr="001529C7">
        <w:rPr>
          <w:rFonts w:eastAsia="Calibri"/>
          <w:bCs/>
          <w:color w:val="000000" w:themeColor="text1"/>
          <w:lang w:val="en"/>
        </w:rPr>
        <w:t>For this, the Ministry of Industry and Infrastructure Development has provided a position on exclusion from the Roadmap. This is due to the fact that according to the provisions of the contracts, the subsoil user is obliged to fulfill the obligations prescribed in it. With that , only violation of contract terms and provisions of the current legislation can be the basis for its termination. When subsoil users fulfill their obligations under the contract, alienating part of the contract territory is illegal;</w:t>
      </w:r>
    </w:p>
    <w:p w14:paraId="3A9A7309" w14:textId="77777777" w:rsidR="0067577D" w:rsidRPr="00A57506" w:rsidRDefault="004C4BA9" w:rsidP="0067577D">
      <w:pPr>
        <w:rPr>
          <w:color w:val="000000" w:themeColor="text1"/>
          <w:lang w:val="en-US"/>
        </w:rPr>
      </w:pPr>
      <w:r w:rsidRPr="001529C7">
        <w:rPr>
          <w:color w:val="000000" w:themeColor="text1"/>
          <w:lang w:val="en"/>
        </w:rPr>
        <w:t>- coordination of transactions on transfer of subsoil use rights for coal mining for economic concentration;</w:t>
      </w:r>
    </w:p>
    <w:p w14:paraId="523BE4E7" w14:textId="77777777" w:rsidR="0067577D" w:rsidRPr="00A57506" w:rsidRDefault="004C4BA9" w:rsidP="0067577D">
      <w:pPr>
        <w:rPr>
          <w:color w:val="000000" w:themeColor="text1"/>
          <w:lang w:val="en-US"/>
        </w:rPr>
      </w:pPr>
      <w:r w:rsidRPr="001529C7">
        <w:rPr>
          <w:color w:val="000000" w:themeColor="text1"/>
          <w:lang w:val="en"/>
        </w:rPr>
        <w:t xml:space="preserve">3) timely and full </w:t>
      </w:r>
      <w:r w:rsidRPr="00651CB3">
        <w:rPr>
          <w:b/>
          <w:color w:val="000000" w:themeColor="text1"/>
          <w:lang w:val="en"/>
        </w:rPr>
        <w:t>coverage of demand</w:t>
      </w:r>
      <w:r w:rsidRPr="001529C7">
        <w:rPr>
          <w:color w:val="000000" w:themeColor="text1"/>
          <w:lang w:val="en"/>
        </w:rPr>
        <w:t xml:space="preserve"> in the domestic market through:</w:t>
      </w:r>
    </w:p>
    <w:p w14:paraId="5EC95A71" w14:textId="77777777" w:rsidR="0067577D" w:rsidRPr="00A57506" w:rsidRDefault="004C4BA9" w:rsidP="0067577D">
      <w:pPr>
        <w:rPr>
          <w:color w:val="000000" w:themeColor="text1"/>
          <w:lang w:val="en-US"/>
        </w:rPr>
      </w:pPr>
      <w:r w:rsidRPr="001529C7">
        <w:rPr>
          <w:color w:val="000000" w:themeColor="text1"/>
          <w:lang w:val="en"/>
        </w:rPr>
        <w:t xml:space="preserve"> - priority provision of rolling stock for transportation of municipal coal purchased by regional operators at commodity exchange;</w:t>
      </w:r>
    </w:p>
    <w:p w14:paraId="6D9F89CC" w14:textId="77777777" w:rsidR="0067577D" w:rsidRPr="00A57506" w:rsidRDefault="004C4BA9" w:rsidP="0067577D">
      <w:pPr>
        <w:rPr>
          <w:color w:val="000000" w:themeColor="text1"/>
          <w:lang w:val="en-US"/>
        </w:rPr>
      </w:pPr>
      <w:r w:rsidRPr="001529C7">
        <w:rPr>
          <w:color w:val="000000" w:themeColor="text1"/>
          <w:lang w:val="en"/>
        </w:rPr>
        <w:t xml:space="preserve">- implementation of the mechanism of regional bases for the supply of municipal coal </w:t>
      </w:r>
      <w:r w:rsidRPr="00651CB3">
        <w:rPr>
          <w:i/>
          <w:color w:val="000000" w:themeColor="text1"/>
          <w:sz w:val="24"/>
          <w:lang w:val="en"/>
        </w:rPr>
        <w:t>(preservation of FCA conditions with division of trade by region)</w:t>
      </w:r>
      <w:r w:rsidRPr="001529C7">
        <w:rPr>
          <w:color w:val="000000" w:themeColor="text1"/>
          <w:lang w:val="en"/>
        </w:rPr>
        <w:t xml:space="preserve"> with possibility of switching to basis of supply of the Republic of Kazakhstan in case of unclaimed volumes;</w:t>
      </w:r>
    </w:p>
    <w:p w14:paraId="1C7654C4" w14:textId="77777777" w:rsidR="0067577D" w:rsidRPr="00A57506" w:rsidRDefault="004C4BA9" w:rsidP="0067577D">
      <w:pPr>
        <w:rPr>
          <w:color w:val="000000" w:themeColor="text1"/>
          <w:lang w:val="en-US"/>
        </w:rPr>
      </w:pPr>
      <w:r w:rsidRPr="001529C7">
        <w:rPr>
          <w:color w:val="000000" w:themeColor="text1"/>
          <w:lang w:val="en"/>
        </w:rPr>
        <w:t xml:space="preserve">4) </w:t>
      </w:r>
      <w:r w:rsidR="00651CB3" w:rsidRPr="00651CB3">
        <w:rPr>
          <w:b/>
          <w:color w:val="000000" w:themeColor="text1"/>
          <w:lang w:val="en"/>
        </w:rPr>
        <w:t>state regulation</w:t>
      </w:r>
      <w:r w:rsidRPr="001529C7">
        <w:rPr>
          <w:color w:val="000000" w:themeColor="text1"/>
          <w:lang w:val="en"/>
        </w:rPr>
        <w:t>. As of today, Agency has begun work on analyzing primary wholesale coal sale market for the needs of energy-producing organizations in terms of attribution to socially significant markets.</w:t>
      </w:r>
    </w:p>
    <w:p w14:paraId="029EAE36" w14:textId="77777777" w:rsidR="000129FC" w:rsidRPr="00A57506" w:rsidRDefault="004C4BA9" w:rsidP="00EC0CAB">
      <w:pPr>
        <w:pStyle w:val="Heading2"/>
        <w:numPr>
          <w:ilvl w:val="1"/>
          <w:numId w:val="4"/>
        </w:numPr>
        <w:tabs>
          <w:tab w:val="left" w:pos="1134"/>
        </w:tabs>
        <w:spacing w:before="240" w:after="240"/>
        <w:ind w:firstLine="567"/>
        <w:rPr>
          <w:rFonts w:cs="Times New Roman"/>
          <w:szCs w:val="28"/>
          <w:lang w:val="en-US"/>
        </w:rPr>
      </w:pPr>
      <w:bookmarkStart w:id="38" w:name="_Toc142467909"/>
      <w:r w:rsidRPr="001529C7">
        <w:rPr>
          <w:rFonts w:cs="Times New Roman"/>
          <w:szCs w:val="28"/>
          <w:lang w:val="en"/>
        </w:rPr>
        <w:t>Market of construction and installation services for connecting consumers to natural gas networks</w:t>
      </w:r>
      <w:bookmarkEnd w:id="38"/>
    </w:p>
    <w:p w14:paraId="1C8DFA47" w14:textId="77777777" w:rsidR="0067577D" w:rsidRPr="00A57506" w:rsidRDefault="004C4BA9" w:rsidP="0067577D">
      <w:pPr>
        <w:contextualSpacing/>
        <w:rPr>
          <w:b/>
          <w:i/>
          <w:color w:val="000000" w:themeColor="text1"/>
          <w:lang w:val="en-US"/>
        </w:rPr>
      </w:pPr>
      <w:r w:rsidRPr="001529C7">
        <w:rPr>
          <w:b/>
          <w:i/>
          <w:color w:val="000000" w:themeColor="text1"/>
          <w:lang w:val="en"/>
        </w:rPr>
        <w:t>Commercial gas market</w:t>
      </w:r>
    </w:p>
    <w:p w14:paraId="0DC7332A" w14:textId="77777777" w:rsidR="0067577D" w:rsidRPr="00A57506" w:rsidRDefault="004C4BA9" w:rsidP="0067577D">
      <w:pPr>
        <w:contextualSpacing/>
        <w:rPr>
          <w:color w:val="000000" w:themeColor="text1"/>
          <w:lang w:val="en-US"/>
        </w:rPr>
      </w:pPr>
      <w:r w:rsidRPr="001529C7">
        <w:rPr>
          <w:color w:val="000000" w:themeColor="text1"/>
          <w:lang w:val="en"/>
        </w:rPr>
        <w:t>National operator represented by "NC "QazaqGaz" JSC carries out wholesale sales of commercial gas at domestic market according to marginal tariffs approved by the Ministry of Energy. With that , due to anti-inflationary regulation, purchase price of commercial gas increases by no more than 15% annually.</w:t>
      </w:r>
    </w:p>
    <w:p w14:paraId="2E0293AC" w14:textId="1870B5C0" w:rsidR="0067577D" w:rsidRPr="00A57506" w:rsidRDefault="004C4BA9" w:rsidP="0067577D">
      <w:pPr>
        <w:widowControl w:val="0"/>
        <w:pBdr>
          <w:bottom w:val="single" w:sz="4" w:space="1" w:color="FFFFFF"/>
        </w:pBdr>
        <w:contextualSpacing/>
        <w:rPr>
          <w:bCs/>
          <w:lang w:val="en-US"/>
        </w:rPr>
      </w:pPr>
      <w:r w:rsidRPr="001529C7">
        <w:rPr>
          <w:lang w:val="en"/>
        </w:rPr>
        <w:t xml:space="preserve">Export prices of </w:t>
      </w:r>
      <w:bookmarkStart w:id="39" w:name="_Hlk97808759"/>
      <w:r w:rsidRPr="001529C7">
        <w:rPr>
          <w:lang w:val="en"/>
        </w:rPr>
        <w:t xml:space="preserve">"QazaqGaz" JSC are </w:t>
      </w:r>
      <w:bookmarkEnd w:id="39"/>
      <w:r w:rsidRPr="001529C7">
        <w:rPr>
          <w:lang w:val="en"/>
        </w:rPr>
        <w:t xml:space="preserve">formed according </w:t>
      </w:r>
      <w:r w:rsidR="003263B8">
        <w:rPr>
          <w:lang w:val="en"/>
        </w:rPr>
        <w:t xml:space="preserve">to </w:t>
      </w:r>
      <w:r w:rsidRPr="001529C7">
        <w:rPr>
          <w:lang w:val="en"/>
        </w:rPr>
        <w:t>market conditions, and therefore subsidize domestic prices.</w:t>
      </w:r>
    </w:p>
    <w:p w14:paraId="33E7F6EA" w14:textId="77777777" w:rsidR="0067577D" w:rsidRPr="00A57506" w:rsidRDefault="004C4BA9" w:rsidP="0067577D">
      <w:pPr>
        <w:widowControl w:val="0"/>
        <w:pBdr>
          <w:bottom w:val="single" w:sz="4" w:space="1" w:color="FFFFFF"/>
        </w:pBdr>
        <w:contextualSpacing/>
        <w:rPr>
          <w:bCs/>
          <w:lang w:val="en-US"/>
        </w:rPr>
      </w:pPr>
      <w:r w:rsidRPr="001529C7">
        <w:rPr>
          <w:bCs/>
          <w:lang w:val="en"/>
        </w:rPr>
        <w:t xml:space="preserve">This made it possible to subsidize domestic market for a long period. However, this imbalance of internal and external prices increasingly leads to problems of saturating domestic market, as volume of consumption at domestic market is growing, </w:t>
      </w:r>
      <w:r w:rsidRPr="001529C7">
        <w:rPr>
          <w:bCs/>
          <w:lang w:val="en"/>
        </w:rPr>
        <w:lastRenderedPageBreak/>
        <w:t xml:space="preserve">respectively reducing export volumes.  </w:t>
      </w:r>
    </w:p>
    <w:p w14:paraId="64F84925" w14:textId="77777777" w:rsidR="0067577D" w:rsidRPr="00A57506" w:rsidRDefault="004C4BA9" w:rsidP="0067577D">
      <w:pPr>
        <w:widowControl w:val="0"/>
        <w:pBdr>
          <w:bottom w:val="single" w:sz="4" w:space="1" w:color="FFFFFF"/>
        </w:pBdr>
        <w:contextualSpacing/>
        <w:rPr>
          <w:bCs/>
          <w:lang w:val="en-US"/>
        </w:rPr>
      </w:pPr>
      <w:r w:rsidRPr="001529C7">
        <w:rPr>
          <w:bCs/>
          <w:lang w:val="en"/>
        </w:rPr>
        <w:t xml:space="preserve">In an attempt to solve this problem, a number of legislative amendments have been initiated since 2022. </w:t>
      </w:r>
    </w:p>
    <w:p w14:paraId="241AFDFD" w14:textId="77777777" w:rsidR="0067577D" w:rsidRPr="00A57506" w:rsidRDefault="004C4BA9" w:rsidP="0067577D">
      <w:pPr>
        <w:widowControl w:val="0"/>
        <w:pBdr>
          <w:bottom w:val="single" w:sz="4" w:space="1" w:color="FFFFFF"/>
        </w:pBdr>
        <w:contextualSpacing/>
        <w:rPr>
          <w:lang w:val="en-US"/>
        </w:rPr>
      </w:pPr>
      <w:r w:rsidRPr="001529C7">
        <w:rPr>
          <w:lang w:val="en"/>
        </w:rPr>
        <w:t xml:space="preserve">In particular, new </w:t>
      </w:r>
      <w:r w:rsidRPr="00651CB3">
        <w:rPr>
          <w:b/>
          <w:lang w:val="en"/>
        </w:rPr>
        <w:t>incentive formula for purchase price</w:t>
      </w:r>
      <w:r w:rsidRPr="001529C7">
        <w:rPr>
          <w:lang w:val="en"/>
        </w:rPr>
        <w:t xml:space="preserve"> of gas by the National Operator from subsoil users for newly commissioned fields has been developed and approved.  </w:t>
      </w:r>
    </w:p>
    <w:p w14:paraId="3A8E9BD1" w14:textId="77777777" w:rsidR="0067577D" w:rsidRPr="00A57506" w:rsidRDefault="004C4BA9" w:rsidP="0067577D">
      <w:pPr>
        <w:widowControl w:val="0"/>
        <w:pBdr>
          <w:bottom w:val="single" w:sz="4" w:space="1" w:color="FFFFFF"/>
        </w:pBdr>
        <w:contextualSpacing/>
        <w:rPr>
          <w:bCs/>
          <w:lang w:val="en-US"/>
        </w:rPr>
      </w:pPr>
      <w:r w:rsidRPr="001529C7">
        <w:rPr>
          <w:lang w:val="en"/>
        </w:rPr>
        <w:t>With that ,</w:t>
      </w:r>
      <w:r w:rsidRPr="001529C7">
        <w:rPr>
          <w:color w:val="000000" w:themeColor="text1"/>
          <w:lang w:val="en"/>
        </w:rPr>
        <w:t xml:space="preserve"> revision of the purchase price for commercial gas did not affect cardinally operating fields, including small SUO, that leads to unequal conditions in primary market of wholesale sale of commercial gas, and as a consequence, violation of competition and investment climate.</w:t>
      </w:r>
    </w:p>
    <w:p w14:paraId="0BFC70A7" w14:textId="77777777" w:rsidR="0067577D" w:rsidRPr="00A57506" w:rsidRDefault="004C4BA9" w:rsidP="0067577D">
      <w:pPr>
        <w:widowControl w:val="0"/>
        <w:pBdr>
          <w:bottom w:val="single" w:sz="4" w:space="1" w:color="FFFFFF"/>
        </w:pBdr>
        <w:contextualSpacing/>
        <w:rPr>
          <w:color w:val="000000" w:themeColor="text1"/>
          <w:lang w:val="en-US"/>
        </w:rPr>
      </w:pPr>
      <w:r w:rsidRPr="001529C7">
        <w:rPr>
          <w:color w:val="000000" w:themeColor="text1"/>
          <w:lang w:val="en"/>
        </w:rPr>
        <w:t xml:space="preserve">Thus, situation on primary wholesale market of commercial gas sales </w:t>
      </w:r>
      <w:r w:rsidRPr="001529C7">
        <w:rPr>
          <w:i/>
          <w:color w:val="000000" w:themeColor="text1"/>
          <w:sz w:val="24"/>
          <w:lang w:val="en"/>
        </w:rPr>
        <w:t>(low investment attractiveness, administrative and economic barriers)</w:t>
      </w:r>
      <w:r w:rsidRPr="001529C7">
        <w:rPr>
          <w:color w:val="000000" w:themeColor="text1"/>
          <w:lang w:val="en"/>
        </w:rPr>
        <w:t xml:space="preserve"> has </w:t>
      </w:r>
      <w:r w:rsidRPr="00651CB3">
        <w:rPr>
          <w:b/>
          <w:color w:val="000000" w:themeColor="text1"/>
          <w:lang w:val="en"/>
        </w:rPr>
        <w:t>not been solved</w:t>
      </w:r>
      <w:r w:rsidRPr="001529C7">
        <w:rPr>
          <w:color w:val="000000" w:themeColor="text1"/>
          <w:lang w:val="en"/>
        </w:rPr>
        <w:t xml:space="preserve"> for the most part. </w:t>
      </w:r>
    </w:p>
    <w:p w14:paraId="6E7A7455" w14:textId="77777777" w:rsidR="0067577D" w:rsidRPr="00A57506" w:rsidRDefault="004C4BA9" w:rsidP="0067577D">
      <w:pPr>
        <w:widowControl w:val="0"/>
        <w:pBdr>
          <w:bottom w:val="single" w:sz="4" w:space="1" w:color="FFFFFF"/>
        </w:pBdr>
        <w:contextualSpacing/>
        <w:rPr>
          <w:lang w:val="en-US"/>
        </w:rPr>
      </w:pPr>
      <w:r w:rsidRPr="001529C7">
        <w:rPr>
          <w:lang w:val="en"/>
        </w:rPr>
        <w:t xml:space="preserve">It should also be noted that the new amendments granted the national operator the right to </w:t>
      </w:r>
      <w:r w:rsidRPr="00651CB3">
        <w:rPr>
          <w:b/>
          <w:lang w:val="en"/>
        </w:rPr>
        <w:t>10%</w:t>
      </w:r>
      <w:r w:rsidRPr="001529C7">
        <w:rPr>
          <w:lang w:val="en"/>
        </w:rPr>
        <w:t xml:space="preserve"> commission for servicing gas purchases and sales </w:t>
      </w:r>
      <w:r w:rsidRPr="00651CB3">
        <w:rPr>
          <w:i/>
          <w:sz w:val="24"/>
          <w:lang w:val="en"/>
        </w:rPr>
        <w:t>(profitability level)</w:t>
      </w:r>
      <w:r w:rsidRPr="001529C7">
        <w:rPr>
          <w:lang w:val="en"/>
        </w:rPr>
        <w:t xml:space="preserve">. </w:t>
      </w:r>
    </w:p>
    <w:p w14:paraId="6ACDCD86" w14:textId="77777777" w:rsidR="0067577D" w:rsidRPr="00A57506" w:rsidRDefault="004C4BA9" w:rsidP="0067577D">
      <w:pPr>
        <w:widowControl w:val="0"/>
        <w:pBdr>
          <w:bottom w:val="single" w:sz="4" w:space="1" w:color="FFFFFF"/>
        </w:pBdr>
        <w:contextualSpacing/>
        <w:rPr>
          <w:bCs/>
          <w:lang w:val="en-US"/>
        </w:rPr>
      </w:pPr>
      <w:r w:rsidRPr="001529C7">
        <w:rPr>
          <w:lang w:val="en"/>
        </w:rPr>
        <w:t xml:space="preserve">It should be noted that the national operator is not a producer of commercial gas, but its </w:t>
      </w:r>
      <w:r w:rsidRPr="00651CB3">
        <w:rPr>
          <w:b/>
          <w:lang w:val="en"/>
        </w:rPr>
        <w:t>reseller</w:t>
      </w:r>
      <w:r w:rsidRPr="001529C7">
        <w:rPr>
          <w:lang w:val="en"/>
        </w:rPr>
        <w:t xml:space="preserve">. For such structures, by analogy with the retail gas market, a </w:t>
      </w:r>
      <w:r w:rsidRPr="00651CB3">
        <w:rPr>
          <w:b/>
          <w:lang w:val="en"/>
        </w:rPr>
        <w:t>supply mark-up</w:t>
      </w:r>
      <w:r w:rsidRPr="001529C7">
        <w:rPr>
          <w:lang w:val="en"/>
        </w:rPr>
        <w:t xml:space="preserve"> is provided, established by the regulator based on actual planned sales costs </w:t>
      </w:r>
      <w:r w:rsidRPr="001529C7">
        <w:rPr>
          <w:sz w:val="24"/>
          <w:lang w:val="en"/>
        </w:rPr>
        <w:t>(</w:t>
      </w:r>
      <w:r w:rsidRPr="001529C7">
        <w:rPr>
          <w:i/>
          <w:iCs/>
          <w:sz w:val="24"/>
          <w:lang w:val="en"/>
        </w:rPr>
        <w:t>administrative, financial costs, payroll, etc.</w:t>
      </w:r>
      <w:r w:rsidRPr="001529C7">
        <w:rPr>
          <w:sz w:val="24"/>
          <w:lang w:val="en"/>
        </w:rPr>
        <w:t>)</w:t>
      </w:r>
      <w:r w:rsidRPr="001529C7">
        <w:rPr>
          <w:lang w:val="en"/>
        </w:rPr>
        <w:t xml:space="preserve">, and </w:t>
      </w:r>
      <w:r w:rsidRPr="00651CB3">
        <w:rPr>
          <w:b/>
          <w:lang w:val="en"/>
        </w:rPr>
        <w:t>not fixed amount</w:t>
      </w:r>
      <w:r w:rsidRPr="001529C7">
        <w:rPr>
          <w:lang w:val="en"/>
        </w:rPr>
        <w:t>.</w:t>
      </w:r>
    </w:p>
    <w:p w14:paraId="74527634" w14:textId="77777777" w:rsidR="0067577D" w:rsidRPr="00A57506" w:rsidRDefault="004C4BA9" w:rsidP="0067577D">
      <w:pPr>
        <w:widowControl w:val="0"/>
        <w:pBdr>
          <w:bottom w:val="single" w:sz="4" w:space="1" w:color="FFFFFF"/>
        </w:pBdr>
        <w:contextualSpacing/>
        <w:rPr>
          <w:lang w:val="en-US"/>
        </w:rPr>
      </w:pPr>
      <w:r w:rsidRPr="001529C7">
        <w:rPr>
          <w:lang w:val="en"/>
        </w:rPr>
        <w:t xml:space="preserve">In this connection, establishing certain profitability threshold of the National Operator leads to </w:t>
      </w:r>
      <w:r w:rsidRPr="00651CB3">
        <w:rPr>
          <w:b/>
          <w:lang w:val="en"/>
        </w:rPr>
        <w:t>unjustified increase in gas tariffs</w:t>
      </w:r>
      <w:r w:rsidRPr="001529C7">
        <w:rPr>
          <w:lang w:val="en"/>
        </w:rPr>
        <w:t xml:space="preserve">, while the calculation on actual basis could take into account current situation with financial and economic activities of the entity. </w:t>
      </w:r>
    </w:p>
    <w:p w14:paraId="1A8D91B8"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The Agency provided comments on the draft of relevant bill</w:t>
      </w:r>
      <w:r w:rsidRPr="001529C7">
        <w:rPr>
          <w:lang w:val="en"/>
        </w:rPr>
        <w:t>, but these comments</w:t>
      </w:r>
      <w:r w:rsidRPr="00651CB3">
        <w:rPr>
          <w:b/>
          <w:lang w:val="en"/>
        </w:rPr>
        <w:t xml:space="preserve"> were not accepted</w:t>
      </w:r>
      <w:r w:rsidRPr="001529C7">
        <w:rPr>
          <w:lang w:val="en"/>
        </w:rPr>
        <w:t>.</w:t>
      </w:r>
    </w:p>
    <w:p w14:paraId="441BF7D1" w14:textId="77777777" w:rsidR="0067577D" w:rsidRPr="00A57506" w:rsidRDefault="004C4BA9" w:rsidP="0067577D">
      <w:pPr>
        <w:widowControl w:val="0"/>
        <w:pBdr>
          <w:bottom w:val="single" w:sz="4" w:space="1" w:color="FFFFFF"/>
        </w:pBdr>
        <w:contextualSpacing/>
        <w:rPr>
          <w:color w:val="000000" w:themeColor="text1"/>
          <w:lang w:val="en-US"/>
        </w:rPr>
      </w:pPr>
      <w:r w:rsidRPr="001529C7">
        <w:rPr>
          <w:color w:val="000000" w:themeColor="text1"/>
          <w:lang w:val="en"/>
        </w:rPr>
        <w:t>In general, the problem of saturating domestic market with gas, attracting investment in industry can be solved by introducing exchange trading for commercial gas, which will allow the SUO to sell volumes of gas to consumers directly, without participation of a national operator, at market prices.</w:t>
      </w:r>
    </w:p>
    <w:p w14:paraId="7FFEDAB3" w14:textId="77777777" w:rsidR="0067577D" w:rsidRPr="00A57506" w:rsidRDefault="004C4BA9" w:rsidP="0067577D">
      <w:pPr>
        <w:widowControl w:val="0"/>
        <w:pBdr>
          <w:bottom w:val="single" w:sz="4" w:space="1" w:color="FFFFFF"/>
        </w:pBdr>
        <w:contextualSpacing/>
        <w:rPr>
          <w:bCs/>
          <w:lang w:val="en-US"/>
        </w:rPr>
      </w:pPr>
      <w:r w:rsidRPr="001529C7">
        <w:rPr>
          <w:bCs/>
          <w:lang w:val="en"/>
        </w:rPr>
        <w:t xml:space="preserve">When adopting the Law "On Gas and Gas Supply", which provides for granting preferential right to purchase commercial gas to "QazaqGaz" JSC, the rationale for amendments was the need to implement gasification program for the regions of the country. </w:t>
      </w:r>
    </w:p>
    <w:p w14:paraId="6F18F3B2" w14:textId="77777777" w:rsidR="0067577D" w:rsidRPr="00A57506" w:rsidRDefault="004C4BA9" w:rsidP="0067577D">
      <w:pPr>
        <w:widowControl w:val="0"/>
        <w:pBdr>
          <w:bottom w:val="single" w:sz="4" w:space="1" w:color="FFFFFF"/>
        </w:pBdr>
        <w:contextualSpacing/>
        <w:rPr>
          <w:lang w:val="en-US"/>
        </w:rPr>
      </w:pPr>
      <w:r w:rsidRPr="001529C7">
        <w:rPr>
          <w:bCs/>
          <w:lang w:val="en"/>
        </w:rPr>
        <w:t>The implementation of Gasification Program of the country's regions is calculated until 2030 and provides for new gasification projects according to updated General Scheme of Gasification and modernization, expansion of gas transportation infrastructure. The sources of financing of the program will be the state budget, own and borrowed funds, which will be paid back at the expense of transportation tariffs, wholesale and retail gas prices, as well as allocation of funds from state budget through the replenishment of the authorized capital.</w:t>
      </w:r>
    </w:p>
    <w:p w14:paraId="2B49D872" w14:textId="77777777" w:rsidR="0067577D" w:rsidRPr="00A57506" w:rsidRDefault="004C4BA9" w:rsidP="0067577D">
      <w:pPr>
        <w:widowControl w:val="0"/>
        <w:pBdr>
          <w:bottom w:val="single" w:sz="4" w:space="1" w:color="FFFFFF"/>
        </w:pBdr>
        <w:contextualSpacing/>
        <w:rPr>
          <w:bCs/>
          <w:lang w:val="en-US"/>
        </w:rPr>
      </w:pPr>
      <w:r w:rsidRPr="001529C7">
        <w:rPr>
          <w:bCs/>
          <w:lang w:val="en"/>
        </w:rPr>
        <w:t xml:space="preserve">Thus, the gasification of the country's regions is provided mainly at the expense of republican and local budgets, borrowed funds and tariff, while </w:t>
      </w:r>
      <w:r w:rsidRPr="00651CB3">
        <w:rPr>
          <w:b/>
          <w:bCs/>
          <w:lang w:val="en"/>
        </w:rPr>
        <w:t>justification for monopolizing</w:t>
      </w:r>
      <w:r w:rsidRPr="001529C7">
        <w:rPr>
          <w:bCs/>
          <w:lang w:val="en"/>
        </w:rPr>
        <w:t xml:space="preserve"> wholesale market by granting preferential rights to the National </w:t>
      </w:r>
      <w:r w:rsidRPr="001529C7">
        <w:rPr>
          <w:bCs/>
          <w:lang w:val="en"/>
        </w:rPr>
        <w:lastRenderedPageBreak/>
        <w:t xml:space="preserve">Operator was </w:t>
      </w:r>
      <w:r w:rsidRPr="00651CB3">
        <w:rPr>
          <w:b/>
          <w:bCs/>
          <w:lang w:val="en"/>
        </w:rPr>
        <w:t>financing of the country's gasification</w:t>
      </w:r>
      <w:r w:rsidRPr="001529C7">
        <w:rPr>
          <w:bCs/>
          <w:lang w:val="en"/>
        </w:rPr>
        <w:t>.</w:t>
      </w:r>
    </w:p>
    <w:p w14:paraId="4B014CBA" w14:textId="77777777" w:rsidR="0067577D" w:rsidRPr="00A57506" w:rsidRDefault="004C4BA9" w:rsidP="0067577D">
      <w:pPr>
        <w:widowControl w:val="0"/>
        <w:pBdr>
          <w:bottom w:val="single" w:sz="4" w:space="1" w:color="FFFFFF"/>
        </w:pBdr>
        <w:contextualSpacing/>
        <w:rPr>
          <w:bCs/>
          <w:lang w:val="en-US"/>
        </w:rPr>
      </w:pPr>
      <w:r w:rsidRPr="001529C7">
        <w:rPr>
          <w:bCs/>
          <w:lang w:val="en"/>
        </w:rPr>
        <w:t xml:space="preserve">In this regard, the attempts of the National Operator to </w:t>
      </w:r>
      <w:r w:rsidRPr="00651CB3">
        <w:rPr>
          <w:b/>
          <w:bCs/>
          <w:lang w:val="en"/>
        </w:rPr>
        <w:t>enter adjacent markets</w:t>
      </w:r>
      <w:r w:rsidRPr="001529C7">
        <w:rPr>
          <w:bCs/>
          <w:lang w:val="en"/>
        </w:rPr>
        <w:t xml:space="preserve"> </w:t>
      </w:r>
      <w:r w:rsidRPr="001529C7">
        <w:rPr>
          <w:bCs/>
          <w:i/>
          <w:sz w:val="24"/>
          <w:lang w:val="en"/>
        </w:rPr>
        <w:t>(construction and installation works)</w:t>
      </w:r>
      <w:r w:rsidRPr="001529C7">
        <w:rPr>
          <w:bCs/>
          <w:lang w:val="en"/>
        </w:rPr>
        <w:t xml:space="preserve"> continue, due to containment of tariffs for domestic sale of commercial gas, drop in export revenue and gas production. An example of this situation is the market of </w:t>
      </w:r>
      <w:r w:rsidR="00EF4D50" w:rsidRPr="001529C7">
        <w:rPr>
          <w:color w:val="000000" w:themeColor="text1"/>
          <w:lang w:val="en"/>
        </w:rPr>
        <w:t>construction and installation works</w:t>
      </w:r>
      <w:r w:rsidR="00EF4D50" w:rsidRPr="001529C7">
        <w:rPr>
          <w:i/>
          <w:color w:val="000000" w:themeColor="text1"/>
          <w:sz w:val="24"/>
          <w:lang w:val="en"/>
        </w:rPr>
        <w:t xml:space="preserve">(hereinafter referred to as CIW </w:t>
      </w:r>
      <w:r w:rsidR="00EF4D50" w:rsidRPr="001529C7">
        <w:rPr>
          <w:color w:val="000000" w:themeColor="text1"/>
          <w:lang w:val="en"/>
        </w:rPr>
        <w:t>)</w:t>
      </w:r>
      <w:r w:rsidRPr="001529C7">
        <w:rPr>
          <w:bCs/>
          <w:lang w:val="en"/>
        </w:rPr>
        <w:t xml:space="preserve">. </w:t>
      </w:r>
    </w:p>
    <w:p w14:paraId="0BE96812"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 xml:space="preserve">The analysis of </w:t>
      </w:r>
      <w:r w:rsidRPr="001529C7">
        <w:rPr>
          <w:b/>
          <w:color w:val="000000" w:themeColor="text1"/>
          <w:lang w:val="en"/>
        </w:rPr>
        <w:t xml:space="preserve">market of CIW  </w:t>
      </w:r>
      <w:r w:rsidRPr="001529C7">
        <w:rPr>
          <w:color w:val="000000" w:themeColor="text1"/>
          <w:lang w:val="en"/>
        </w:rPr>
        <w:t xml:space="preserve"> for connecting consumers to natural gas was carried out in accordance with the Agency's Work Plan for 2022.</w:t>
      </w:r>
    </w:p>
    <w:p w14:paraId="144A2E9E"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 xml:space="preserve">Based on incoming requests and active agenda of gasification of the housing stock, the analysis considered the market segment of works for connecting household consumers. </w:t>
      </w:r>
    </w:p>
    <w:p w14:paraId="7CEB2016"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 xml:space="preserve">In this regard, the analysis does not include the market segment in terms of connecting commercial and other consumers </w:t>
      </w:r>
      <w:r w:rsidRPr="00651CB3">
        <w:rPr>
          <w:i/>
          <w:iCs/>
          <w:color w:val="000000" w:themeColor="text1"/>
          <w:sz w:val="24"/>
          <w:lang w:val="en"/>
        </w:rPr>
        <w:t>(central heating facilities, other categories of business entities, social institutions)</w:t>
      </w:r>
      <w:r w:rsidRPr="001529C7">
        <w:rPr>
          <w:color w:val="000000" w:themeColor="text1"/>
          <w:lang w:val="en"/>
        </w:rPr>
        <w:t xml:space="preserve"> that are not households. </w:t>
      </w:r>
    </w:p>
    <w:p w14:paraId="633AF123"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This report contains information for each region.</w:t>
      </w:r>
    </w:p>
    <w:p w14:paraId="6741C360" w14:textId="77777777" w:rsidR="0067577D" w:rsidRPr="00A57506" w:rsidRDefault="004C4BA9" w:rsidP="0067577D">
      <w:pPr>
        <w:widowControl w:val="0"/>
        <w:pBdr>
          <w:bottom w:val="single" w:sz="4" w:space="1" w:color="FFFFFF"/>
        </w:pBdr>
        <w:contextualSpacing/>
        <w:rPr>
          <w:bCs/>
          <w:lang w:val="en-US"/>
        </w:rPr>
      </w:pPr>
      <w:r w:rsidRPr="001529C7">
        <w:rPr>
          <w:color w:val="000000" w:themeColor="text1"/>
          <w:lang w:val="en"/>
        </w:rPr>
        <w:t xml:space="preserve">Market under consideration as a whole represents the last stage </w:t>
      </w:r>
      <w:r w:rsidRPr="001529C7">
        <w:rPr>
          <w:i/>
          <w:color w:val="000000" w:themeColor="text1"/>
          <w:sz w:val="24"/>
          <w:lang w:val="en"/>
        </w:rPr>
        <w:t>("last mile")</w:t>
      </w:r>
      <w:r w:rsidRPr="001529C7">
        <w:rPr>
          <w:color w:val="000000" w:themeColor="text1"/>
          <w:lang w:val="en"/>
        </w:rPr>
        <w:t xml:space="preserve"> of consumers' gasification process  and is adjacent </w:t>
      </w:r>
      <w:r w:rsidRPr="001529C7">
        <w:rPr>
          <w:i/>
          <w:color w:val="000000" w:themeColor="text1"/>
          <w:sz w:val="24"/>
          <w:lang w:val="en"/>
        </w:rPr>
        <w:t>(connected)</w:t>
      </w:r>
      <w:r w:rsidRPr="001529C7">
        <w:rPr>
          <w:color w:val="000000" w:themeColor="text1"/>
          <w:lang w:val="en"/>
        </w:rPr>
        <w:t xml:space="preserve"> to market for supply of commercial gas through the pipeline.</w:t>
      </w:r>
    </w:p>
    <w:p w14:paraId="60F116C9" w14:textId="77777777" w:rsidR="0067577D" w:rsidRPr="00A57506" w:rsidRDefault="004C4BA9" w:rsidP="0067577D">
      <w:pPr>
        <w:widowControl w:val="0"/>
        <w:pBdr>
          <w:bottom w:val="single" w:sz="4" w:space="1" w:color="FFFFFF"/>
        </w:pBdr>
        <w:contextualSpacing/>
        <w:rPr>
          <w:color w:val="000000" w:themeColor="text1"/>
          <w:lang w:val="en-US"/>
        </w:rPr>
      </w:pPr>
      <w:r w:rsidRPr="001529C7">
        <w:rPr>
          <w:color w:val="000000" w:themeColor="text1"/>
          <w:lang w:val="en"/>
        </w:rPr>
        <w:t>Process of gasification</w:t>
      </w:r>
      <w:r w:rsidRPr="001529C7">
        <w:rPr>
          <w:i/>
          <w:color w:val="000000" w:themeColor="text1"/>
          <w:sz w:val="24"/>
          <w:lang w:val="en"/>
        </w:rPr>
        <w:t xml:space="preserve"> (laying gas pipelines) </w:t>
      </w:r>
      <w:r w:rsidRPr="001529C7">
        <w:rPr>
          <w:color w:val="000000" w:themeColor="text1"/>
          <w:lang w:val="en"/>
        </w:rPr>
        <w:t>includes construction and installation work on high-pressure (trunk)</w:t>
      </w:r>
      <w:r w:rsidRPr="001529C7">
        <w:rPr>
          <w:i/>
          <w:color w:val="000000" w:themeColor="text1"/>
          <w:sz w:val="24"/>
          <w:lang w:val="en"/>
        </w:rPr>
        <w:t>, medium</w:t>
      </w:r>
      <w:r w:rsidRPr="001529C7">
        <w:rPr>
          <w:color w:val="000000" w:themeColor="text1"/>
          <w:lang w:val="en"/>
        </w:rPr>
        <w:t xml:space="preserve">-pressure (distribution) </w:t>
      </w:r>
      <w:r w:rsidRPr="001529C7">
        <w:rPr>
          <w:i/>
          <w:color w:val="000000" w:themeColor="text1"/>
          <w:sz w:val="24"/>
          <w:lang w:val="en"/>
        </w:rPr>
        <w:t>and low-pressure</w:t>
      </w:r>
      <w:r w:rsidRPr="001529C7">
        <w:rPr>
          <w:color w:val="000000" w:themeColor="text1"/>
          <w:lang w:val="en"/>
        </w:rPr>
        <w:t xml:space="preserve"> pipes</w:t>
      </w:r>
      <w:r w:rsidRPr="001529C7">
        <w:rPr>
          <w:i/>
          <w:color w:val="000000" w:themeColor="text1"/>
          <w:sz w:val="24"/>
          <w:lang w:val="en"/>
        </w:rPr>
        <w:t xml:space="preserve"> ("intra-house networks" from input of distribution network to consumer's gas-consuming equipment (heating boilers, cooking stoves, water heaters, etc.)</w:t>
      </w:r>
      <w:r w:rsidRPr="001529C7">
        <w:rPr>
          <w:color w:val="000000" w:themeColor="text1"/>
          <w:lang w:val="en"/>
        </w:rPr>
        <w:t>.</w:t>
      </w:r>
    </w:p>
    <w:p w14:paraId="1C03FFDA" w14:textId="77777777" w:rsidR="0067577D" w:rsidRPr="00A57506" w:rsidRDefault="004C4BA9" w:rsidP="0067577D">
      <w:pPr>
        <w:widowControl w:val="0"/>
        <w:pBdr>
          <w:bottom w:val="single" w:sz="4" w:space="1" w:color="FFFFFF"/>
        </w:pBdr>
        <w:contextualSpacing/>
        <w:rPr>
          <w:bCs/>
          <w:lang w:val="en-US"/>
        </w:rPr>
      </w:pPr>
      <w:r w:rsidRPr="001529C7">
        <w:rPr>
          <w:bCs/>
          <w:lang w:val="en"/>
        </w:rPr>
        <w:t>Schematically, this is shown in Figure 19:</w:t>
      </w:r>
    </w:p>
    <w:p w14:paraId="607B1813" w14:textId="77777777" w:rsidR="00651CB3" w:rsidRPr="00A57506" w:rsidRDefault="00651CB3" w:rsidP="0067577D">
      <w:pPr>
        <w:widowControl w:val="0"/>
        <w:pBdr>
          <w:bottom w:val="single" w:sz="4" w:space="1" w:color="FFFFFF"/>
        </w:pBdr>
        <w:contextualSpacing/>
        <w:rPr>
          <w:bCs/>
          <w:lang w:val="en-US"/>
        </w:rPr>
      </w:pPr>
    </w:p>
    <w:p w14:paraId="6D576E7C" w14:textId="4A5DA851" w:rsidR="0067577D" w:rsidRPr="007F61A3" w:rsidRDefault="00807ADE" w:rsidP="0067577D">
      <w:pPr>
        <w:ind w:firstLine="0"/>
        <w:rPr>
          <w:color w:val="000000" w:themeColor="text1"/>
          <w:lang w:val="en-US"/>
        </w:rPr>
      </w:pPr>
      <w:r>
        <w:rPr>
          <w:noProof/>
          <w:color w:val="000000" w:themeColor="text1"/>
        </w:rPr>
        <w:drawing>
          <wp:anchor distT="0" distB="0" distL="114300" distR="114300" simplePos="0" relativeHeight="251669504" behindDoc="0" locked="0" layoutInCell="1" allowOverlap="1" wp14:anchorId="49042506" wp14:editId="26815319">
            <wp:simplePos x="0" y="0"/>
            <wp:positionH relativeFrom="column">
              <wp:posOffset>0</wp:posOffset>
            </wp:positionH>
            <wp:positionV relativeFrom="paragraph">
              <wp:posOffset>203200</wp:posOffset>
            </wp:positionV>
            <wp:extent cx="6095365" cy="198120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536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6863A" w14:textId="77777777" w:rsidR="0067577D" w:rsidRPr="007F61A3" w:rsidRDefault="0067577D" w:rsidP="0067577D">
      <w:pPr>
        <w:rPr>
          <w:color w:val="000000" w:themeColor="text1"/>
          <w:lang w:val="en-US"/>
        </w:rPr>
      </w:pPr>
    </w:p>
    <w:p w14:paraId="1CC85097" w14:textId="388FAB57" w:rsidR="00EF4D50" w:rsidRPr="00A57506" w:rsidRDefault="004C4BA9" w:rsidP="00EF4D50">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10</w:t>
      </w:r>
      <w:r w:rsidRPr="001529C7">
        <w:rPr>
          <w:b w:val="0"/>
          <w:color w:val="000000" w:themeColor="text1"/>
          <w:sz w:val="28"/>
          <w:szCs w:val="28"/>
        </w:rPr>
        <w:fldChar w:fldCharType="end"/>
      </w:r>
      <w:r w:rsidRPr="001529C7">
        <w:rPr>
          <w:b w:val="0"/>
          <w:color w:val="000000" w:themeColor="text1"/>
          <w:sz w:val="28"/>
          <w:szCs w:val="28"/>
          <w:lang w:val="en"/>
        </w:rPr>
        <w:t>- The structure of entire gasification stage and place of CIW market for connecting end consumers (population).</w:t>
      </w:r>
    </w:p>
    <w:p w14:paraId="4BC86B73" w14:textId="77777777" w:rsidR="00EF4D50" w:rsidRPr="00A57506" w:rsidRDefault="004C4BA9" w:rsidP="00EF4D50">
      <w:pPr>
        <w:rPr>
          <w:color w:val="000000" w:themeColor="text1"/>
          <w:lang w:val="en-US"/>
        </w:rPr>
      </w:pPr>
      <w:r w:rsidRPr="001529C7">
        <w:rPr>
          <w:color w:val="000000" w:themeColor="text1"/>
          <w:lang w:val="en"/>
        </w:rPr>
        <w:t xml:space="preserve">Customers of CIW on high and medium pressure pipelines are gas distribution organizations or other pipeline owners. </w:t>
      </w:r>
    </w:p>
    <w:p w14:paraId="62CEF643" w14:textId="77777777" w:rsidR="00EF4D50" w:rsidRPr="00A57506" w:rsidRDefault="004C4BA9" w:rsidP="00EF4D50">
      <w:pPr>
        <w:rPr>
          <w:color w:val="000000" w:themeColor="text1"/>
          <w:lang w:val="en-US"/>
        </w:rPr>
      </w:pPr>
      <w:r>
        <w:rPr>
          <w:color w:val="000000" w:themeColor="text1"/>
          <w:lang w:val="en"/>
        </w:rPr>
        <w:t>In turn, customers of CIW for intra-house networks are the gas consumers themselves.</w:t>
      </w:r>
    </w:p>
    <w:p w14:paraId="38CA603A" w14:textId="77777777" w:rsidR="00EF4D50" w:rsidRPr="00A57506" w:rsidRDefault="004C4BA9" w:rsidP="00EF4D50">
      <w:pPr>
        <w:rPr>
          <w:color w:val="000000" w:themeColor="text1"/>
          <w:lang w:val="en-US"/>
        </w:rPr>
      </w:pPr>
      <w:r w:rsidRPr="001529C7">
        <w:rPr>
          <w:color w:val="000000" w:themeColor="text1"/>
          <w:lang w:val="en"/>
        </w:rPr>
        <w:lastRenderedPageBreak/>
        <w:t xml:space="preserve">In these segments, the market conditions differ, in the first case contractual relations are formed between market entities from both sides, most often it is public procurement </w:t>
      </w:r>
      <w:r w:rsidRPr="001529C7">
        <w:rPr>
          <w:i/>
          <w:color w:val="000000" w:themeColor="text1"/>
          <w:sz w:val="24"/>
          <w:lang w:val="en"/>
        </w:rPr>
        <w:t>(tender)</w:t>
      </w:r>
      <w:r w:rsidRPr="001529C7">
        <w:rPr>
          <w:color w:val="000000" w:themeColor="text1"/>
          <w:lang w:val="en"/>
        </w:rPr>
        <w:t xml:space="preserve">, scope of work is larger and technologically complex, and therefore a separate </w:t>
      </w:r>
      <w:r w:rsidRPr="00651CB3">
        <w:rPr>
          <w:i/>
          <w:iCs/>
          <w:color w:val="000000" w:themeColor="text1"/>
          <w:sz w:val="24"/>
          <w:lang w:val="en"/>
        </w:rPr>
        <w:t>license</w:t>
      </w:r>
      <w:r w:rsidRPr="001529C7">
        <w:rPr>
          <w:color w:val="000000" w:themeColor="text1"/>
          <w:lang w:val="en"/>
        </w:rPr>
        <w:t xml:space="preserve"> is required for construction and installation companies </w:t>
      </w:r>
      <w:r w:rsidRPr="00651CB3">
        <w:rPr>
          <w:b/>
          <w:color w:val="000000" w:themeColor="text1"/>
          <w:lang w:val="en"/>
        </w:rPr>
        <w:t>(hereinafter referred to as CICs)</w:t>
      </w:r>
      <w:r w:rsidRPr="001529C7">
        <w:rPr>
          <w:color w:val="000000" w:themeColor="text1"/>
          <w:lang w:val="en"/>
        </w:rPr>
        <w:t xml:space="preserve">. </w:t>
      </w:r>
    </w:p>
    <w:p w14:paraId="46DA5C86" w14:textId="77777777" w:rsidR="00EF4D50" w:rsidRPr="00A57506" w:rsidRDefault="004C4BA9" w:rsidP="00EF4D50">
      <w:pPr>
        <w:rPr>
          <w:color w:val="000000" w:themeColor="text1"/>
          <w:lang w:val="en-US"/>
        </w:rPr>
      </w:pPr>
      <w:r w:rsidRPr="001529C7">
        <w:rPr>
          <w:color w:val="000000" w:themeColor="text1"/>
          <w:lang w:val="en"/>
        </w:rPr>
        <w:t xml:space="preserve">In the second case, the market is formed between the CICs and gas consumers </w:t>
      </w:r>
      <w:r w:rsidRPr="001529C7">
        <w:rPr>
          <w:i/>
          <w:color w:val="000000" w:themeColor="text1"/>
          <w:sz w:val="24"/>
          <w:lang w:val="en"/>
        </w:rPr>
        <w:t>(customers of CIW )</w:t>
      </w:r>
      <w:r w:rsidRPr="001529C7">
        <w:rPr>
          <w:color w:val="000000" w:themeColor="text1"/>
          <w:lang w:val="en"/>
        </w:rPr>
        <w:t xml:space="preserve">, indefinite circle of consumers act as potential customers, which depends on supply of distribution networks. </w:t>
      </w:r>
    </w:p>
    <w:p w14:paraId="421C5726" w14:textId="77777777" w:rsidR="00EF4D50" w:rsidRPr="00A57506" w:rsidRDefault="004C4BA9" w:rsidP="00EF4D50">
      <w:pPr>
        <w:rPr>
          <w:color w:val="000000" w:themeColor="text1"/>
          <w:lang w:val="en-US"/>
        </w:rPr>
      </w:pPr>
      <w:r w:rsidRPr="001529C7">
        <w:rPr>
          <w:color w:val="000000" w:themeColor="text1"/>
          <w:lang w:val="en"/>
        </w:rPr>
        <w:t xml:space="preserve">Consumers search for CICs or vice versa through publicly available communication channels </w:t>
      </w:r>
      <w:r w:rsidRPr="001529C7">
        <w:rPr>
          <w:i/>
          <w:color w:val="000000" w:themeColor="text1"/>
          <w:sz w:val="24"/>
          <w:lang w:val="en"/>
        </w:rPr>
        <w:t>(advertising, recommendations, etc.)</w:t>
      </w:r>
      <w:r w:rsidRPr="001529C7">
        <w:rPr>
          <w:color w:val="000000" w:themeColor="text1"/>
          <w:lang w:val="en"/>
        </w:rPr>
        <w:t>.</w:t>
      </w:r>
    </w:p>
    <w:p w14:paraId="544817CF" w14:textId="77777777" w:rsidR="00EF4D50" w:rsidRPr="00A57506" w:rsidRDefault="00EF4D50" w:rsidP="00EF4D50">
      <w:pPr>
        <w:rPr>
          <w:color w:val="000000" w:themeColor="text1"/>
          <w:lang w:val="en-US"/>
        </w:rPr>
      </w:pPr>
    </w:p>
    <w:p w14:paraId="6CC63338" w14:textId="77777777" w:rsidR="00EF4D50" w:rsidRPr="00A57506" w:rsidRDefault="004C4BA9" w:rsidP="00EF4D50">
      <w:pPr>
        <w:ind w:firstLine="0"/>
        <w:rPr>
          <w:bCs/>
          <w:color w:val="000000" w:themeColor="text1"/>
          <w:lang w:val="en-US"/>
        </w:rPr>
      </w:pPr>
      <w:r w:rsidRPr="001529C7">
        <w:rPr>
          <w:bCs/>
          <w:color w:val="000000" w:themeColor="text1"/>
          <w:lang w:val="en"/>
        </w:rPr>
        <w:t>Table 12. Number of market entities by region.</w:t>
      </w:r>
    </w:p>
    <w:tbl>
      <w:tblPr>
        <w:tblpPr w:leftFromText="180" w:rightFromText="180" w:vertAnchor="text" w:horzAnchor="margin" w:tblpXSpec="center" w:tblpY="178"/>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
        <w:gridCol w:w="5561"/>
        <w:gridCol w:w="1921"/>
        <w:gridCol w:w="1707"/>
      </w:tblGrid>
      <w:tr w:rsidR="00706070" w14:paraId="673D900D" w14:textId="77777777" w:rsidTr="00EF4D50">
        <w:trPr>
          <w:trHeight w:val="335"/>
        </w:trPr>
        <w:tc>
          <w:tcPr>
            <w:tcW w:w="557" w:type="dxa"/>
          </w:tcPr>
          <w:p w14:paraId="0AA7CF14" w14:textId="77777777" w:rsidR="00EF4D50" w:rsidRPr="00A57506" w:rsidRDefault="00EF4D50" w:rsidP="00EF4D50">
            <w:pPr>
              <w:rPr>
                <w:b/>
                <w:bCs/>
                <w:color w:val="000000" w:themeColor="text1"/>
                <w:sz w:val="24"/>
                <w:szCs w:val="24"/>
                <w:lang w:val="en-US"/>
              </w:rPr>
            </w:pPr>
          </w:p>
        </w:tc>
        <w:tc>
          <w:tcPr>
            <w:tcW w:w="5561" w:type="dxa"/>
            <w:shd w:val="clear" w:color="auto" w:fill="auto"/>
            <w:tcMar>
              <w:top w:w="72" w:type="dxa"/>
              <w:left w:w="144" w:type="dxa"/>
              <w:bottom w:w="72" w:type="dxa"/>
              <w:right w:w="144" w:type="dxa"/>
            </w:tcMar>
            <w:vAlign w:val="center"/>
            <w:hideMark/>
          </w:tcPr>
          <w:p w14:paraId="62BFDCC0" w14:textId="77777777" w:rsidR="00EF4D50" w:rsidRPr="00651CB3" w:rsidRDefault="004C4BA9" w:rsidP="00EF4D50">
            <w:pPr>
              <w:ind w:firstLine="0"/>
              <w:rPr>
                <w:color w:val="000000" w:themeColor="text1"/>
                <w:sz w:val="24"/>
                <w:szCs w:val="24"/>
              </w:rPr>
            </w:pPr>
            <w:r w:rsidRPr="00651CB3">
              <w:rPr>
                <w:b/>
                <w:bCs/>
                <w:color w:val="000000" w:themeColor="text1"/>
                <w:sz w:val="24"/>
                <w:szCs w:val="24"/>
                <w:lang w:val="en"/>
              </w:rPr>
              <w:t>Region</w:t>
            </w:r>
          </w:p>
        </w:tc>
        <w:tc>
          <w:tcPr>
            <w:tcW w:w="1921" w:type="dxa"/>
            <w:shd w:val="clear" w:color="auto" w:fill="auto"/>
            <w:tcMar>
              <w:top w:w="72" w:type="dxa"/>
              <w:left w:w="144" w:type="dxa"/>
              <w:bottom w:w="72" w:type="dxa"/>
              <w:right w:w="144" w:type="dxa"/>
            </w:tcMar>
            <w:vAlign w:val="center"/>
            <w:hideMark/>
          </w:tcPr>
          <w:p w14:paraId="75848B36" w14:textId="77777777" w:rsidR="00EF4D50" w:rsidRPr="00651CB3" w:rsidRDefault="004C4BA9" w:rsidP="00EF4D50">
            <w:pPr>
              <w:ind w:firstLine="0"/>
              <w:jc w:val="center"/>
              <w:rPr>
                <w:color w:val="000000" w:themeColor="text1"/>
                <w:sz w:val="24"/>
                <w:szCs w:val="24"/>
              </w:rPr>
            </w:pPr>
            <w:r w:rsidRPr="00651CB3">
              <w:rPr>
                <w:b/>
                <w:bCs/>
                <w:color w:val="000000" w:themeColor="text1"/>
                <w:sz w:val="24"/>
                <w:szCs w:val="24"/>
                <w:lang w:val="en"/>
              </w:rPr>
              <w:t>2021</w:t>
            </w:r>
          </w:p>
        </w:tc>
        <w:tc>
          <w:tcPr>
            <w:tcW w:w="1707" w:type="dxa"/>
            <w:vAlign w:val="center"/>
          </w:tcPr>
          <w:p w14:paraId="78DD922C" w14:textId="77777777" w:rsidR="00EF4D50" w:rsidRPr="00651CB3" w:rsidRDefault="004C4BA9" w:rsidP="00EF4D50">
            <w:pPr>
              <w:ind w:firstLine="0"/>
              <w:jc w:val="center"/>
              <w:rPr>
                <w:b/>
                <w:bCs/>
                <w:color w:val="000000" w:themeColor="text1"/>
                <w:sz w:val="24"/>
                <w:szCs w:val="24"/>
              </w:rPr>
            </w:pPr>
            <w:r w:rsidRPr="00651CB3">
              <w:rPr>
                <w:b/>
                <w:bCs/>
                <w:color w:val="000000" w:themeColor="text1"/>
                <w:sz w:val="24"/>
                <w:szCs w:val="24"/>
                <w:lang w:val="en"/>
              </w:rPr>
              <w:t>2022</w:t>
            </w:r>
          </w:p>
        </w:tc>
      </w:tr>
      <w:tr w:rsidR="00706070" w14:paraId="371BF374" w14:textId="77777777" w:rsidTr="00EF4D50">
        <w:trPr>
          <w:trHeight w:val="256"/>
        </w:trPr>
        <w:tc>
          <w:tcPr>
            <w:tcW w:w="557" w:type="dxa"/>
          </w:tcPr>
          <w:p w14:paraId="3FCC3C7B"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w:t>
            </w:r>
          </w:p>
        </w:tc>
        <w:tc>
          <w:tcPr>
            <w:tcW w:w="5561" w:type="dxa"/>
            <w:shd w:val="clear" w:color="auto" w:fill="auto"/>
            <w:tcMar>
              <w:top w:w="72" w:type="dxa"/>
              <w:left w:w="144" w:type="dxa"/>
              <w:bottom w:w="72" w:type="dxa"/>
              <w:right w:w="144" w:type="dxa"/>
            </w:tcMar>
            <w:vAlign w:val="center"/>
            <w:hideMark/>
          </w:tcPr>
          <w:p w14:paraId="19391AE5"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Astana city</w:t>
            </w:r>
          </w:p>
        </w:tc>
        <w:tc>
          <w:tcPr>
            <w:tcW w:w="1921" w:type="dxa"/>
            <w:shd w:val="clear" w:color="auto" w:fill="auto"/>
            <w:tcMar>
              <w:top w:w="72" w:type="dxa"/>
              <w:left w:w="144" w:type="dxa"/>
              <w:bottom w:w="72" w:type="dxa"/>
              <w:right w:w="144" w:type="dxa"/>
            </w:tcMar>
            <w:vAlign w:val="center"/>
            <w:hideMark/>
          </w:tcPr>
          <w:p w14:paraId="3EC97F5C"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70</w:t>
            </w:r>
          </w:p>
        </w:tc>
        <w:tc>
          <w:tcPr>
            <w:tcW w:w="1707" w:type="dxa"/>
            <w:vAlign w:val="center"/>
          </w:tcPr>
          <w:p w14:paraId="5327C0CA"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140</w:t>
            </w:r>
          </w:p>
        </w:tc>
      </w:tr>
      <w:tr w:rsidR="00706070" w14:paraId="67B00983" w14:textId="77777777" w:rsidTr="00EF4D50">
        <w:trPr>
          <w:trHeight w:val="219"/>
        </w:trPr>
        <w:tc>
          <w:tcPr>
            <w:tcW w:w="557" w:type="dxa"/>
          </w:tcPr>
          <w:p w14:paraId="46577C76"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2</w:t>
            </w:r>
          </w:p>
        </w:tc>
        <w:tc>
          <w:tcPr>
            <w:tcW w:w="5561" w:type="dxa"/>
            <w:shd w:val="clear" w:color="auto" w:fill="auto"/>
            <w:tcMar>
              <w:top w:w="72" w:type="dxa"/>
              <w:left w:w="144" w:type="dxa"/>
              <w:bottom w:w="72" w:type="dxa"/>
              <w:right w:w="144" w:type="dxa"/>
            </w:tcMar>
            <w:vAlign w:val="center"/>
            <w:hideMark/>
          </w:tcPr>
          <w:p w14:paraId="254E941C"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Almaty city</w:t>
            </w:r>
          </w:p>
        </w:tc>
        <w:tc>
          <w:tcPr>
            <w:tcW w:w="1921" w:type="dxa"/>
            <w:shd w:val="clear" w:color="auto" w:fill="auto"/>
            <w:tcMar>
              <w:top w:w="72" w:type="dxa"/>
              <w:left w:w="144" w:type="dxa"/>
              <w:bottom w:w="72" w:type="dxa"/>
              <w:right w:w="144" w:type="dxa"/>
            </w:tcMar>
            <w:vAlign w:val="center"/>
            <w:hideMark/>
          </w:tcPr>
          <w:p w14:paraId="5294B676"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19</w:t>
            </w:r>
          </w:p>
        </w:tc>
        <w:tc>
          <w:tcPr>
            <w:tcW w:w="1707" w:type="dxa"/>
            <w:vAlign w:val="center"/>
          </w:tcPr>
          <w:p w14:paraId="2E28A0DD"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8</w:t>
            </w:r>
          </w:p>
        </w:tc>
      </w:tr>
      <w:tr w:rsidR="00706070" w14:paraId="0CF4D3E1" w14:textId="77777777" w:rsidTr="00EF4D50">
        <w:trPr>
          <w:trHeight w:val="232"/>
        </w:trPr>
        <w:tc>
          <w:tcPr>
            <w:tcW w:w="557" w:type="dxa"/>
          </w:tcPr>
          <w:p w14:paraId="6769CE83"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3</w:t>
            </w:r>
          </w:p>
        </w:tc>
        <w:tc>
          <w:tcPr>
            <w:tcW w:w="5561" w:type="dxa"/>
            <w:shd w:val="clear" w:color="auto" w:fill="auto"/>
            <w:tcMar>
              <w:top w:w="72" w:type="dxa"/>
              <w:left w:w="144" w:type="dxa"/>
              <w:bottom w:w="72" w:type="dxa"/>
              <w:right w:w="144" w:type="dxa"/>
            </w:tcMar>
            <w:vAlign w:val="center"/>
            <w:hideMark/>
          </w:tcPr>
          <w:p w14:paraId="61247551"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Shymkent</w:t>
            </w:r>
          </w:p>
        </w:tc>
        <w:tc>
          <w:tcPr>
            <w:tcW w:w="1921" w:type="dxa"/>
            <w:shd w:val="clear" w:color="auto" w:fill="auto"/>
            <w:tcMar>
              <w:top w:w="72" w:type="dxa"/>
              <w:left w:w="144" w:type="dxa"/>
              <w:bottom w:w="72" w:type="dxa"/>
              <w:right w:w="144" w:type="dxa"/>
            </w:tcMar>
            <w:vAlign w:val="center"/>
            <w:hideMark/>
          </w:tcPr>
          <w:p w14:paraId="4EB59CAF"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37</w:t>
            </w:r>
          </w:p>
        </w:tc>
        <w:tc>
          <w:tcPr>
            <w:tcW w:w="1707" w:type="dxa"/>
            <w:vAlign w:val="center"/>
          </w:tcPr>
          <w:p w14:paraId="2848D3DF"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3</w:t>
            </w:r>
          </w:p>
        </w:tc>
      </w:tr>
      <w:tr w:rsidR="00706070" w14:paraId="61A6C3D6" w14:textId="77777777" w:rsidTr="00EF4D50">
        <w:trPr>
          <w:trHeight w:val="232"/>
        </w:trPr>
        <w:tc>
          <w:tcPr>
            <w:tcW w:w="557" w:type="dxa"/>
          </w:tcPr>
          <w:p w14:paraId="27710541"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4</w:t>
            </w:r>
          </w:p>
        </w:tc>
        <w:tc>
          <w:tcPr>
            <w:tcW w:w="5561" w:type="dxa"/>
            <w:shd w:val="clear" w:color="auto" w:fill="auto"/>
            <w:tcMar>
              <w:top w:w="72" w:type="dxa"/>
              <w:left w:w="144" w:type="dxa"/>
              <w:bottom w:w="72" w:type="dxa"/>
              <w:right w:w="144" w:type="dxa"/>
            </w:tcMar>
            <w:vAlign w:val="center"/>
          </w:tcPr>
          <w:p w14:paraId="35E35007" w14:textId="77777777" w:rsidR="00EF4D50" w:rsidRPr="00651CB3" w:rsidRDefault="004C4BA9" w:rsidP="00EF4D50">
            <w:pPr>
              <w:ind w:firstLine="0"/>
              <w:rPr>
                <w:color w:val="000000" w:themeColor="text1"/>
                <w:sz w:val="24"/>
                <w:szCs w:val="24"/>
                <w:lang w:val="kk-KZ"/>
              </w:rPr>
            </w:pPr>
            <w:r w:rsidRPr="00651CB3">
              <w:rPr>
                <w:color w:val="000000" w:themeColor="text1"/>
                <w:sz w:val="24"/>
                <w:szCs w:val="24"/>
                <w:lang w:val="en"/>
              </w:rPr>
              <w:t>Akmola region</w:t>
            </w:r>
          </w:p>
        </w:tc>
        <w:tc>
          <w:tcPr>
            <w:tcW w:w="1921" w:type="dxa"/>
            <w:shd w:val="clear" w:color="auto" w:fill="auto"/>
            <w:tcMar>
              <w:top w:w="72" w:type="dxa"/>
              <w:left w:w="144" w:type="dxa"/>
              <w:bottom w:w="72" w:type="dxa"/>
              <w:right w:w="144" w:type="dxa"/>
            </w:tcMar>
            <w:vAlign w:val="center"/>
          </w:tcPr>
          <w:p w14:paraId="6C81E5F8"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7</w:t>
            </w:r>
          </w:p>
        </w:tc>
        <w:tc>
          <w:tcPr>
            <w:tcW w:w="1707" w:type="dxa"/>
            <w:vAlign w:val="center"/>
          </w:tcPr>
          <w:p w14:paraId="4E605B98"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7</w:t>
            </w:r>
          </w:p>
        </w:tc>
      </w:tr>
      <w:tr w:rsidR="00706070" w14:paraId="509EF631" w14:textId="77777777" w:rsidTr="00EF4D50">
        <w:trPr>
          <w:trHeight w:val="237"/>
        </w:trPr>
        <w:tc>
          <w:tcPr>
            <w:tcW w:w="557" w:type="dxa"/>
          </w:tcPr>
          <w:p w14:paraId="55B3DEFA"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5</w:t>
            </w:r>
          </w:p>
        </w:tc>
        <w:tc>
          <w:tcPr>
            <w:tcW w:w="5561" w:type="dxa"/>
            <w:shd w:val="clear" w:color="auto" w:fill="auto"/>
            <w:tcMar>
              <w:top w:w="72" w:type="dxa"/>
              <w:left w:w="144" w:type="dxa"/>
              <w:bottom w:w="72" w:type="dxa"/>
              <w:right w:w="144" w:type="dxa"/>
            </w:tcMar>
            <w:vAlign w:val="center"/>
            <w:hideMark/>
          </w:tcPr>
          <w:p w14:paraId="707E0EC9"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Karaganda region</w:t>
            </w:r>
          </w:p>
        </w:tc>
        <w:tc>
          <w:tcPr>
            <w:tcW w:w="1921" w:type="dxa"/>
            <w:shd w:val="clear" w:color="auto" w:fill="auto"/>
            <w:tcMar>
              <w:top w:w="72" w:type="dxa"/>
              <w:left w:w="144" w:type="dxa"/>
              <w:bottom w:w="72" w:type="dxa"/>
              <w:right w:w="144" w:type="dxa"/>
            </w:tcMar>
            <w:vAlign w:val="center"/>
            <w:hideMark/>
          </w:tcPr>
          <w:p w14:paraId="2F0A196D"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5</w:t>
            </w:r>
          </w:p>
        </w:tc>
        <w:tc>
          <w:tcPr>
            <w:tcW w:w="1707" w:type="dxa"/>
            <w:vAlign w:val="center"/>
          </w:tcPr>
          <w:p w14:paraId="317E2D5C"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7</w:t>
            </w:r>
          </w:p>
        </w:tc>
      </w:tr>
      <w:tr w:rsidR="00706070" w14:paraId="51FB879C" w14:textId="77777777" w:rsidTr="00EF4D50">
        <w:trPr>
          <w:trHeight w:val="233"/>
        </w:trPr>
        <w:tc>
          <w:tcPr>
            <w:tcW w:w="557" w:type="dxa"/>
          </w:tcPr>
          <w:p w14:paraId="7D57927C"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6</w:t>
            </w:r>
          </w:p>
        </w:tc>
        <w:tc>
          <w:tcPr>
            <w:tcW w:w="5561" w:type="dxa"/>
            <w:shd w:val="clear" w:color="auto" w:fill="auto"/>
            <w:tcMar>
              <w:top w:w="72" w:type="dxa"/>
              <w:left w:w="144" w:type="dxa"/>
              <w:bottom w:w="72" w:type="dxa"/>
              <w:right w:w="144" w:type="dxa"/>
            </w:tcMar>
            <w:vAlign w:val="center"/>
            <w:hideMark/>
          </w:tcPr>
          <w:p w14:paraId="239B9356"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Turkestan region</w:t>
            </w:r>
          </w:p>
        </w:tc>
        <w:tc>
          <w:tcPr>
            <w:tcW w:w="1921" w:type="dxa"/>
            <w:shd w:val="clear" w:color="auto" w:fill="auto"/>
            <w:tcMar>
              <w:top w:w="72" w:type="dxa"/>
              <w:left w:w="144" w:type="dxa"/>
              <w:bottom w:w="72" w:type="dxa"/>
              <w:right w:w="144" w:type="dxa"/>
            </w:tcMar>
            <w:vAlign w:val="center"/>
            <w:hideMark/>
          </w:tcPr>
          <w:p w14:paraId="2270207D"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99</w:t>
            </w:r>
          </w:p>
        </w:tc>
        <w:tc>
          <w:tcPr>
            <w:tcW w:w="1707" w:type="dxa"/>
            <w:vAlign w:val="center"/>
          </w:tcPr>
          <w:p w14:paraId="429B1182"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99</w:t>
            </w:r>
          </w:p>
        </w:tc>
      </w:tr>
      <w:tr w:rsidR="00706070" w14:paraId="1CD531D2" w14:textId="77777777" w:rsidTr="00EF4D50">
        <w:trPr>
          <w:trHeight w:val="222"/>
        </w:trPr>
        <w:tc>
          <w:tcPr>
            <w:tcW w:w="557" w:type="dxa"/>
          </w:tcPr>
          <w:p w14:paraId="398E4E47"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7</w:t>
            </w:r>
          </w:p>
        </w:tc>
        <w:tc>
          <w:tcPr>
            <w:tcW w:w="5561" w:type="dxa"/>
            <w:shd w:val="clear" w:color="auto" w:fill="auto"/>
            <w:tcMar>
              <w:top w:w="72" w:type="dxa"/>
              <w:left w:w="144" w:type="dxa"/>
              <w:bottom w:w="72" w:type="dxa"/>
              <w:right w:w="144" w:type="dxa"/>
            </w:tcMar>
            <w:vAlign w:val="center"/>
            <w:hideMark/>
          </w:tcPr>
          <w:p w14:paraId="235DD522"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Zhambyl region</w:t>
            </w:r>
          </w:p>
        </w:tc>
        <w:tc>
          <w:tcPr>
            <w:tcW w:w="1921" w:type="dxa"/>
            <w:shd w:val="clear" w:color="auto" w:fill="auto"/>
            <w:tcMar>
              <w:top w:w="72" w:type="dxa"/>
              <w:left w:w="144" w:type="dxa"/>
              <w:bottom w:w="72" w:type="dxa"/>
              <w:right w:w="144" w:type="dxa"/>
            </w:tcMar>
            <w:vAlign w:val="center"/>
            <w:hideMark/>
          </w:tcPr>
          <w:p w14:paraId="61C63CEF"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11</w:t>
            </w:r>
          </w:p>
        </w:tc>
        <w:tc>
          <w:tcPr>
            <w:tcW w:w="1707" w:type="dxa"/>
            <w:vAlign w:val="center"/>
          </w:tcPr>
          <w:p w14:paraId="0D1C96E3"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6</w:t>
            </w:r>
          </w:p>
        </w:tc>
      </w:tr>
      <w:tr w:rsidR="00706070" w14:paraId="6F318143" w14:textId="77777777" w:rsidTr="00EF4D50">
        <w:trPr>
          <w:trHeight w:val="22"/>
        </w:trPr>
        <w:tc>
          <w:tcPr>
            <w:tcW w:w="557" w:type="dxa"/>
          </w:tcPr>
          <w:p w14:paraId="39E51756"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8</w:t>
            </w:r>
          </w:p>
        </w:tc>
        <w:tc>
          <w:tcPr>
            <w:tcW w:w="5561" w:type="dxa"/>
            <w:shd w:val="clear" w:color="auto" w:fill="auto"/>
            <w:tcMar>
              <w:top w:w="72" w:type="dxa"/>
              <w:left w:w="144" w:type="dxa"/>
              <w:bottom w:w="72" w:type="dxa"/>
              <w:right w:w="144" w:type="dxa"/>
            </w:tcMar>
            <w:vAlign w:val="center"/>
            <w:hideMark/>
          </w:tcPr>
          <w:p w14:paraId="24BD141D"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Almaty region</w:t>
            </w:r>
          </w:p>
        </w:tc>
        <w:tc>
          <w:tcPr>
            <w:tcW w:w="1921" w:type="dxa"/>
            <w:shd w:val="clear" w:color="auto" w:fill="auto"/>
            <w:tcMar>
              <w:top w:w="72" w:type="dxa"/>
              <w:left w:w="144" w:type="dxa"/>
              <w:bottom w:w="72" w:type="dxa"/>
              <w:right w:w="144" w:type="dxa"/>
            </w:tcMar>
            <w:vAlign w:val="center"/>
            <w:hideMark/>
          </w:tcPr>
          <w:p w14:paraId="04B95629"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39</w:t>
            </w:r>
          </w:p>
        </w:tc>
        <w:tc>
          <w:tcPr>
            <w:tcW w:w="1707" w:type="dxa"/>
            <w:vAlign w:val="center"/>
          </w:tcPr>
          <w:p w14:paraId="552B0A28"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29</w:t>
            </w:r>
          </w:p>
        </w:tc>
      </w:tr>
      <w:tr w:rsidR="00706070" w14:paraId="7AF86E7D" w14:textId="77777777" w:rsidTr="00EF4D50">
        <w:trPr>
          <w:trHeight w:val="235"/>
        </w:trPr>
        <w:tc>
          <w:tcPr>
            <w:tcW w:w="557" w:type="dxa"/>
          </w:tcPr>
          <w:p w14:paraId="5938D449"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9</w:t>
            </w:r>
          </w:p>
        </w:tc>
        <w:tc>
          <w:tcPr>
            <w:tcW w:w="5561" w:type="dxa"/>
            <w:shd w:val="clear" w:color="auto" w:fill="auto"/>
            <w:tcMar>
              <w:top w:w="72" w:type="dxa"/>
              <w:left w:w="144" w:type="dxa"/>
              <w:bottom w:w="72" w:type="dxa"/>
              <w:right w:w="144" w:type="dxa"/>
            </w:tcMar>
            <w:vAlign w:val="center"/>
          </w:tcPr>
          <w:p w14:paraId="7434D28D"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Zhetisu Region</w:t>
            </w:r>
          </w:p>
        </w:tc>
        <w:tc>
          <w:tcPr>
            <w:tcW w:w="1921" w:type="dxa"/>
            <w:shd w:val="clear" w:color="auto" w:fill="auto"/>
            <w:tcMar>
              <w:top w:w="72" w:type="dxa"/>
              <w:left w:w="144" w:type="dxa"/>
              <w:bottom w:w="72" w:type="dxa"/>
              <w:right w:w="144" w:type="dxa"/>
            </w:tcMar>
            <w:vAlign w:val="center"/>
          </w:tcPr>
          <w:p w14:paraId="297E69DA" w14:textId="77777777" w:rsidR="00EF4D50" w:rsidRPr="00651CB3" w:rsidRDefault="00EF4D50" w:rsidP="00EF4D50">
            <w:pPr>
              <w:ind w:firstLine="0"/>
              <w:jc w:val="center"/>
              <w:rPr>
                <w:color w:val="000000" w:themeColor="text1"/>
                <w:sz w:val="24"/>
                <w:szCs w:val="24"/>
                <w:lang w:val="kk-KZ"/>
              </w:rPr>
            </w:pPr>
          </w:p>
        </w:tc>
        <w:tc>
          <w:tcPr>
            <w:tcW w:w="1707" w:type="dxa"/>
            <w:vAlign w:val="center"/>
          </w:tcPr>
          <w:p w14:paraId="71AFA922"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13</w:t>
            </w:r>
          </w:p>
        </w:tc>
      </w:tr>
      <w:tr w:rsidR="00706070" w14:paraId="4E63F036" w14:textId="77777777" w:rsidTr="00EF4D50">
        <w:trPr>
          <w:trHeight w:val="232"/>
        </w:trPr>
        <w:tc>
          <w:tcPr>
            <w:tcW w:w="557" w:type="dxa"/>
          </w:tcPr>
          <w:p w14:paraId="27B3BC67"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10</w:t>
            </w:r>
          </w:p>
        </w:tc>
        <w:tc>
          <w:tcPr>
            <w:tcW w:w="5561" w:type="dxa"/>
            <w:shd w:val="clear" w:color="auto" w:fill="auto"/>
            <w:tcMar>
              <w:top w:w="72" w:type="dxa"/>
              <w:left w:w="144" w:type="dxa"/>
              <w:bottom w:w="72" w:type="dxa"/>
              <w:right w:w="144" w:type="dxa"/>
            </w:tcMar>
            <w:vAlign w:val="center"/>
            <w:hideMark/>
          </w:tcPr>
          <w:p w14:paraId="354F9329"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Kostanay region</w:t>
            </w:r>
          </w:p>
        </w:tc>
        <w:tc>
          <w:tcPr>
            <w:tcW w:w="1921" w:type="dxa"/>
            <w:shd w:val="clear" w:color="auto" w:fill="auto"/>
            <w:tcMar>
              <w:top w:w="72" w:type="dxa"/>
              <w:left w:w="144" w:type="dxa"/>
              <w:bottom w:w="72" w:type="dxa"/>
              <w:right w:w="144" w:type="dxa"/>
            </w:tcMar>
            <w:vAlign w:val="center"/>
            <w:hideMark/>
          </w:tcPr>
          <w:p w14:paraId="48CD5A45"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11</w:t>
            </w:r>
          </w:p>
        </w:tc>
        <w:tc>
          <w:tcPr>
            <w:tcW w:w="1707" w:type="dxa"/>
            <w:vAlign w:val="center"/>
          </w:tcPr>
          <w:p w14:paraId="090CE2C2"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49</w:t>
            </w:r>
          </w:p>
        </w:tc>
      </w:tr>
      <w:tr w:rsidR="00706070" w14:paraId="2F5FE43F" w14:textId="77777777" w:rsidTr="00EF4D50">
        <w:trPr>
          <w:trHeight w:val="227"/>
        </w:trPr>
        <w:tc>
          <w:tcPr>
            <w:tcW w:w="557" w:type="dxa"/>
          </w:tcPr>
          <w:p w14:paraId="6B03293F"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11</w:t>
            </w:r>
          </w:p>
        </w:tc>
        <w:tc>
          <w:tcPr>
            <w:tcW w:w="5561" w:type="dxa"/>
            <w:shd w:val="clear" w:color="auto" w:fill="auto"/>
            <w:tcMar>
              <w:top w:w="72" w:type="dxa"/>
              <w:left w:w="144" w:type="dxa"/>
              <w:bottom w:w="72" w:type="dxa"/>
              <w:right w:w="144" w:type="dxa"/>
            </w:tcMar>
            <w:vAlign w:val="center"/>
            <w:hideMark/>
          </w:tcPr>
          <w:p w14:paraId="735249B9"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Kyzylorda region</w:t>
            </w:r>
          </w:p>
        </w:tc>
        <w:tc>
          <w:tcPr>
            <w:tcW w:w="1921" w:type="dxa"/>
            <w:shd w:val="clear" w:color="auto" w:fill="auto"/>
            <w:tcMar>
              <w:top w:w="72" w:type="dxa"/>
              <w:left w:w="144" w:type="dxa"/>
              <w:bottom w:w="72" w:type="dxa"/>
              <w:right w:w="144" w:type="dxa"/>
            </w:tcMar>
            <w:vAlign w:val="center"/>
            <w:hideMark/>
          </w:tcPr>
          <w:p w14:paraId="36E33784"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24</w:t>
            </w:r>
          </w:p>
        </w:tc>
        <w:tc>
          <w:tcPr>
            <w:tcW w:w="1707" w:type="dxa"/>
            <w:vAlign w:val="center"/>
          </w:tcPr>
          <w:p w14:paraId="45D59FCA"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24</w:t>
            </w:r>
          </w:p>
        </w:tc>
      </w:tr>
      <w:tr w:rsidR="00706070" w14:paraId="01C94E41" w14:textId="77777777" w:rsidTr="00EF4D50">
        <w:trPr>
          <w:trHeight w:val="227"/>
        </w:trPr>
        <w:tc>
          <w:tcPr>
            <w:tcW w:w="557" w:type="dxa"/>
          </w:tcPr>
          <w:p w14:paraId="0CC412E4"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12</w:t>
            </w:r>
          </w:p>
        </w:tc>
        <w:tc>
          <w:tcPr>
            <w:tcW w:w="5561" w:type="dxa"/>
            <w:shd w:val="clear" w:color="auto" w:fill="auto"/>
            <w:tcMar>
              <w:top w:w="72" w:type="dxa"/>
              <w:left w:w="144" w:type="dxa"/>
              <w:bottom w:w="72" w:type="dxa"/>
              <w:right w:w="144" w:type="dxa"/>
            </w:tcMar>
            <w:vAlign w:val="center"/>
          </w:tcPr>
          <w:p w14:paraId="59156BAD" w14:textId="77777777" w:rsidR="00EF4D50" w:rsidRPr="00651CB3" w:rsidRDefault="004C4BA9" w:rsidP="00EF4D50">
            <w:pPr>
              <w:ind w:firstLine="0"/>
              <w:rPr>
                <w:color w:val="000000" w:themeColor="text1"/>
                <w:sz w:val="24"/>
                <w:szCs w:val="24"/>
                <w:lang w:val="kk-KZ"/>
              </w:rPr>
            </w:pPr>
            <w:r w:rsidRPr="00651CB3">
              <w:rPr>
                <w:color w:val="000000" w:themeColor="text1"/>
                <w:sz w:val="24"/>
                <w:szCs w:val="24"/>
                <w:lang w:val="en"/>
              </w:rPr>
              <w:t>Mangystau region</w:t>
            </w:r>
          </w:p>
        </w:tc>
        <w:tc>
          <w:tcPr>
            <w:tcW w:w="1921" w:type="dxa"/>
            <w:shd w:val="clear" w:color="auto" w:fill="auto"/>
            <w:tcMar>
              <w:top w:w="72" w:type="dxa"/>
              <w:left w:w="144" w:type="dxa"/>
              <w:bottom w:w="72" w:type="dxa"/>
              <w:right w:w="144" w:type="dxa"/>
            </w:tcMar>
            <w:vAlign w:val="center"/>
          </w:tcPr>
          <w:p w14:paraId="25D0A431"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69</w:t>
            </w:r>
          </w:p>
        </w:tc>
        <w:tc>
          <w:tcPr>
            <w:tcW w:w="1707" w:type="dxa"/>
            <w:vAlign w:val="center"/>
          </w:tcPr>
          <w:p w14:paraId="5037A532"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108</w:t>
            </w:r>
          </w:p>
        </w:tc>
      </w:tr>
      <w:tr w:rsidR="00706070" w14:paraId="40696EB0" w14:textId="77777777" w:rsidTr="00EF4D50">
        <w:trPr>
          <w:trHeight w:val="227"/>
        </w:trPr>
        <w:tc>
          <w:tcPr>
            <w:tcW w:w="557" w:type="dxa"/>
          </w:tcPr>
          <w:p w14:paraId="22CBB3FC"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13</w:t>
            </w:r>
          </w:p>
        </w:tc>
        <w:tc>
          <w:tcPr>
            <w:tcW w:w="5561" w:type="dxa"/>
            <w:shd w:val="clear" w:color="auto" w:fill="auto"/>
            <w:tcMar>
              <w:top w:w="72" w:type="dxa"/>
              <w:left w:w="144" w:type="dxa"/>
              <w:bottom w:w="72" w:type="dxa"/>
              <w:right w:w="144" w:type="dxa"/>
            </w:tcMar>
            <w:vAlign w:val="center"/>
          </w:tcPr>
          <w:p w14:paraId="7BC49001" w14:textId="77777777" w:rsidR="00EF4D50" w:rsidRPr="00651CB3" w:rsidRDefault="004C4BA9" w:rsidP="00EF4D50">
            <w:pPr>
              <w:ind w:firstLine="0"/>
              <w:rPr>
                <w:color w:val="000000" w:themeColor="text1"/>
                <w:sz w:val="24"/>
                <w:szCs w:val="24"/>
                <w:lang w:val="kk-KZ"/>
              </w:rPr>
            </w:pPr>
            <w:r w:rsidRPr="00651CB3">
              <w:rPr>
                <w:color w:val="000000" w:themeColor="text1"/>
                <w:sz w:val="24"/>
                <w:szCs w:val="24"/>
                <w:lang w:val="en"/>
              </w:rPr>
              <w:t>Aktobe region</w:t>
            </w:r>
          </w:p>
        </w:tc>
        <w:tc>
          <w:tcPr>
            <w:tcW w:w="1921" w:type="dxa"/>
            <w:shd w:val="clear" w:color="auto" w:fill="auto"/>
            <w:tcMar>
              <w:top w:w="72" w:type="dxa"/>
              <w:left w:w="144" w:type="dxa"/>
              <w:bottom w:w="72" w:type="dxa"/>
              <w:right w:w="144" w:type="dxa"/>
            </w:tcMar>
            <w:vAlign w:val="center"/>
          </w:tcPr>
          <w:p w14:paraId="3ED575D1"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8</w:t>
            </w:r>
          </w:p>
        </w:tc>
        <w:tc>
          <w:tcPr>
            <w:tcW w:w="1707" w:type="dxa"/>
            <w:vAlign w:val="center"/>
          </w:tcPr>
          <w:p w14:paraId="1E15ABB8"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7</w:t>
            </w:r>
          </w:p>
        </w:tc>
      </w:tr>
      <w:tr w:rsidR="00706070" w14:paraId="6F01A539" w14:textId="77777777" w:rsidTr="00EF4D50">
        <w:trPr>
          <w:trHeight w:val="227"/>
        </w:trPr>
        <w:tc>
          <w:tcPr>
            <w:tcW w:w="557" w:type="dxa"/>
          </w:tcPr>
          <w:p w14:paraId="27C81C4C"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14</w:t>
            </w:r>
          </w:p>
        </w:tc>
        <w:tc>
          <w:tcPr>
            <w:tcW w:w="5561" w:type="dxa"/>
            <w:shd w:val="clear" w:color="auto" w:fill="auto"/>
            <w:tcMar>
              <w:top w:w="72" w:type="dxa"/>
              <w:left w:w="144" w:type="dxa"/>
              <w:bottom w:w="72" w:type="dxa"/>
              <w:right w:w="144" w:type="dxa"/>
            </w:tcMar>
            <w:vAlign w:val="center"/>
          </w:tcPr>
          <w:p w14:paraId="42F25897"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East Kazakhstan region</w:t>
            </w:r>
          </w:p>
        </w:tc>
        <w:tc>
          <w:tcPr>
            <w:tcW w:w="1921" w:type="dxa"/>
            <w:shd w:val="clear" w:color="auto" w:fill="auto"/>
            <w:tcMar>
              <w:top w:w="72" w:type="dxa"/>
              <w:left w:w="144" w:type="dxa"/>
              <w:bottom w:w="72" w:type="dxa"/>
              <w:right w:w="144" w:type="dxa"/>
            </w:tcMar>
            <w:vAlign w:val="center"/>
          </w:tcPr>
          <w:p w14:paraId="663D6F8C"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w:t>
            </w:r>
          </w:p>
        </w:tc>
        <w:tc>
          <w:tcPr>
            <w:tcW w:w="1707" w:type="dxa"/>
            <w:vAlign w:val="center"/>
          </w:tcPr>
          <w:p w14:paraId="5DED2DC4" w14:textId="77777777" w:rsidR="00EF4D50" w:rsidRPr="00651CB3" w:rsidRDefault="004C4BA9" w:rsidP="00EF4D50">
            <w:pPr>
              <w:ind w:firstLine="0"/>
              <w:jc w:val="center"/>
              <w:rPr>
                <w:color w:val="000000" w:themeColor="text1"/>
                <w:sz w:val="24"/>
                <w:szCs w:val="24"/>
                <w:lang w:val="en-US"/>
              </w:rPr>
            </w:pPr>
            <w:r w:rsidRPr="00651CB3">
              <w:rPr>
                <w:color w:val="000000" w:themeColor="text1"/>
                <w:sz w:val="24"/>
                <w:szCs w:val="24"/>
                <w:lang w:val="en"/>
              </w:rPr>
              <w:t>1</w:t>
            </w:r>
          </w:p>
        </w:tc>
      </w:tr>
      <w:tr w:rsidR="00706070" w14:paraId="4465C5A5" w14:textId="77777777" w:rsidTr="00EF4D50">
        <w:trPr>
          <w:trHeight w:val="227"/>
        </w:trPr>
        <w:tc>
          <w:tcPr>
            <w:tcW w:w="557" w:type="dxa"/>
          </w:tcPr>
          <w:p w14:paraId="2D2C6090"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15</w:t>
            </w:r>
          </w:p>
        </w:tc>
        <w:tc>
          <w:tcPr>
            <w:tcW w:w="5561" w:type="dxa"/>
            <w:shd w:val="clear" w:color="auto" w:fill="auto"/>
            <w:tcMar>
              <w:top w:w="72" w:type="dxa"/>
              <w:left w:w="144" w:type="dxa"/>
              <w:bottom w:w="72" w:type="dxa"/>
              <w:right w:w="144" w:type="dxa"/>
            </w:tcMar>
            <w:vAlign w:val="center"/>
          </w:tcPr>
          <w:p w14:paraId="1A813AAC" w14:textId="77777777" w:rsidR="00EF4D50" w:rsidRPr="00651CB3" w:rsidRDefault="004C4BA9" w:rsidP="00EF4D50">
            <w:pPr>
              <w:ind w:firstLine="0"/>
              <w:rPr>
                <w:color w:val="000000" w:themeColor="text1"/>
                <w:sz w:val="24"/>
                <w:szCs w:val="24"/>
              </w:rPr>
            </w:pPr>
            <w:r w:rsidRPr="00651CB3">
              <w:rPr>
                <w:color w:val="000000" w:themeColor="text1"/>
                <w:sz w:val="24"/>
                <w:szCs w:val="24"/>
                <w:lang w:val="en"/>
              </w:rPr>
              <w:t>West Kazakhstan region</w:t>
            </w:r>
          </w:p>
        </w:tc>
        <w:tc>
          <w:tcPr>
            <w:tcW w:w="1921" w:type="dxa"/>
            <w:shd w:val="clear" w:color="auto" w:fill="auto"/>
            <w:tcMar>
              <w:top w:w="72" w:type="dxa"/>
              <w:left w:w="144" w:type="dxa"/>
              <w:bottom w:w="72" w:type="dxa"/>
              <w:right w:w="144" w:type="dxa"/>
            </w:tcMar>
            <w:vAlign w:val="center"/>
          </w:tcPr>
          <w:p w14:paraId="6AB4A176"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19</w:t>
            </w:r>
          </w:p>
        </w:tc>
        <w:tc>
          <w:tcPr>
            <w:tcW w:w="1707" w:type="dxa"/>
            <w:vAlign w:val="center"/>
          </w:tcPr>
          <w:p w14:paraId="2EA328ED"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7</w:t>
            </w:r>
          </w:p>
        </w:tc>
      </w:tr>
      <w:tr w:rsidR="00706070" w14:paraId="59836F84" w14:textId="77777777" w:rsidTr="00EF4D50">
        <w:trPr>
          <w:trHeight w:val="22"/>
        </w:trPr>
        <w:tc>
          <w:tcPr>
            <w:tcW w:w="557" w:type="dxa"/>
          </w:tcPr>
          <w:p w14:paraId="0F5C119A"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16</w:t>
            </w:r>
          </w:p>
        </w:tc>
        <w:tc>
          <w:tcPr>
            <w:tcW w:w="5561" w:type="dxa"/>
            <w:shd w:val="clear" w:color="auto" w:fill="auto"/>
            <w:tcMar>
              <w:top w:w="72" w:type="dxa"/>
              <w:left w:w="144" w:type="dxa"/>
              <w:bottom w:w="72" w:type="dxa"/>
              <w:right w:w="144" w:type="dxa"/>
            </w:tcMar>
            <w:vAlign w:val="center"/>
          </w:tcPr>
          <w:p w14:paraId="5A1BFF6F" w14:textId="77777777" w:rsidR="00EF4D50" w:rsidRPr="00651CB3" w:rsidRDefault="004C4BA9" w:rsidP="00EF4D50">
            <w:pPr>
              <w:ind w:firstLine="0"/>
              <w:rPr>
                <w:color w:val="000000" w:themeColor="text1"/>
                <w:sz w:val="24"/>
                <w:szCs w:val="24"/>
                <w:lang w:val="kk-KZ"/>
              </w:rPr>
            </w:pPr>
            <w:r w:rsidRPr="00651CB3">
              <w:rPr>
                <w:color w:val="000000" w:themeColor="text1"/>
                <w:sz w:val="24"/>
                <w:szCs w:val="24"/>
                <w:lang w:val="en"/>
              </w:rPr>
              <w:t>Atyrau region</w:t>
            </w:r>
          </w:p>
        </w:tc>
        <w:tc>
          <w:tcPr>
            <w:tcW w:w="1921" w:type="dxa"/>
            <w:shd w:val="clear" w:color="auto" w:fill="auto"/>
            <w:tcMar>
              <w:top w:w="72" w:type="dxa"/>
              <w:left w:w="144" w:type="dxa"/>
              <w:bottom w:w="72" w:type="dxa"/>
              <w:right w:w="144" w:type="dxa"/>
            </w:tcMar>
            <w:vAlign w:val="center"/>
          </w:tcPr>
          <w:p w14:paraId="7F2331E4"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3</w:t>
            </w:r>
          </w:p>
        </w:tc>
        <w:tc>
          <w:tcPr>
            <w:tcW w:w="1707" w:type="dxa"/>
            <w:vAlign w:val="center"/>
          </w:tcPr>
          <w:p w14:paraId="043DFF9A" w14:textId="77777777" w:rsidR="00EF4D50" w:rsidRPr="00651CB3" w:rsidRDefault="004C4BA9" w:rsidP="00EF4D50">
            <w:pPr>
              <w:ind w:firstLine="0"/>
              <w:jc w:val="center"/>
              <w:rPr>
                <w:color w:val="000000" w:themeColor="text1"/>
                <w:sz w:val="24"/>
                <w:szCs w:val="24"/>
              </w:rPr>
            </w:pPr>
            <w:r w:rsidRPr="00651CB3">
              <w:rPr>
                <w:color w:val="000000" w:themeColor="text1"/>
                <w:sz w:val="24"/>
                <w:szCs w:val="24"/>
                <w:lang w:val="en"/>
              </w:rPr>
              <w:t>2</w:t>
            </w:r>
          </w:p>
        </w:tc>
      </w:tr>
      <w:tr w:rsidR="00706070" w14:paraId="3ABE90A1" w14:textId="77777777" w:rsidTr="00EF4D50">
        <w:trPr>
          <w:trHeight w:val="22"/>
        </w:trPr>
        <w:tc>
          <w:tcPr>
            <w:tcW w:w="557" w:type="dxa"/>
          </w:tcPr>
          <w:p w14:paraId="2259FA1D" w14:textId="77777777" w:rsidR="00EF4D50" w:rsidRPr="00651CB3" w:rsidRDefault="00EF4D50" w:rsidP="00EF4D50">
            <w:pPr>
              <w:ind w:firstLine="0"/>
              <w:jc w:val="center"/>
              <w:rPr>
                <w:color w:val="000000" w:themeColor="text1"/>
                <w:sz w:val="24"/>
                <w:szCs w:val="24"/>
              </w:rPr>
            </w:pPr>
          </w:p>
        </w:tc>
        <w:tc>
          <w:tcPr>
            <w:tcW w:w="5561" w:type="dxa"/>
            <w:shd w:val="clear" w:color="auto" w:fill="auto"/>
            <w:tcMar>
              <w:top w:w="72" w:type="dxa"/>
              <w:left w:w="144" w:type="dxa"/>
              <w:bottom w:w="72" w:type="dxa"/>
              <w:right w:w="144" w:type="dxa"/>
            </w:tcMar>
            <w:vAlign w:val="center"/>
          </w:tcPr>
          <w:p w14:paraId="70DCF83C"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Total</w:t>
            </w:r>
          </w:p>
        </w:tc>
        <w:tc>
          <w:tcPr>
            <w:tcW w:w="1921" w:type="dxa"/>
            <w:shd w:val="clear" w:color="auto" w:fill="auto"/>
            <w:tcMar>
              <w:top w:w="72" w:type="dxa"/>
              <w:left w:w="144" w:type="dxa"/>
              <w:bottom w:w="72" w:type="dxa"/>
              <w:right w:w="144" w:type="dxa"/>
            </w:tcMar>
            <w:vAlign w:val="center"/>
          </w:tcPr>
          <w:p w14:paraId="682BFD7F" w14:textId="77777777" w:rsidR="00EF4D50" w:rsidRPr="00651CB3" w:rsidRDefault="004C4BA9" w:rsidP="00EF4D50">
            <w:pPr>
              <w:ind w:firstLine="0"/>
              <w:jc w:val="center"/>
              <w:rPr>
                <w:b/>
                <w:bCs/>
                <w:color w:val="000000" w:themeColor="text1"/>
                <w:sz w:val="24"/>
                <w:szCs w:val="24"/>
              </w:rPr>
            </w:pPr>
            <w:r w:rsidRPr="00651CB3">
              <w:rPr>
                <w:b/>
                <w:bCs/>
                <w:color w:val="000000" w:themeColor="text1"/>
                <w:sz w:val="24"/>
                <w:szCs w:val="24"/>
                <w:lang w:val="en"/>
              </w:rPr>
              <w:t>422</w:t>
            </w:r>
          </w:p>
        </w:tc>
        <w:tc>
          <w:tcPr>
            <w:tcW w:w="1707" w:type="dxa"/>
            <w:vAlign w:val="center"/>
          </w:tcPr>
          <w:p w14:paraId="7AA8D9F5" w14:textId="77777777" w:rsidR="00EF4D50" w:rsidRPr="00651CB3" w:rsidRDefault="004C4BA9" w:rsidP="00EF4D50">
            <w:pPr>
              <w:ind w:firstLine="0"/>
              <w:jc w:val="center"/>
              <w:rPr>
                <w:b/>
                <w:bCs/>
                <w:color w:val="000000" w:themeColor="text1"/>
                <w:sz w:val="24"/>
                <w:szCs w:val="24"/>
              </w:rPr>
            </w:pPr>
            <w:r w:rsidRPr="00651CB3">
              <w:rPr>
                <w:b/>
                <w:bCs/>
                <w:color w:val="000000" w:themeColor="text1"/>
                <w:sz w:val="24"/>
                <w:szCs w:val="24"/>
                <w:lang w:val="en"/>
              </w:rPr>
              <w:t>510</w:t>
            </w:r>
          </w:p>
        </w:tc>
      </w:tr>
    </w:tbl>
    <w:p w14:paraId="3BBF3772" w14:textId="77777777" w:rsidR="00EF4D50" w:rsidRPr="001529C7" w:rsidRDefault="00EF4D50" w:rsidP="00EF4D50">
      <w:pPr>
        <w:rPr>
          <w:color w:val="000000" w:themeColor="text1"/>
        </w:rPr>
      </w:pPr>
    </w:p>
    <w:p w14:paraId="31BEEAC7" w14:textId="77777777" w:rsidR="00EF4D50" w:rsidRPr="00A57506" w:rsidRDefault="004C4BA9" w:rsidP="00EF4D50">
      <w:pPr>
        <w:rPr>
          <w:color w:val="000000" w:themeColor="text1"/>
          <w:lang w:val="en-US"/>
        </w:rPr>
      </w:pPr>
      <w:r w:rsidRPr="001529C7">
        <w:rPr>
          <w:color w:val="000000" w:themeColor="text1"/>
          <w:lang w:val="en"/>
        </w:rPr>
        <w:t>Due to absence of gasification system infrastructure in North Kazakhstan and Pavlodar regions, Departments of these regions did not analyze CIW market.</w:t>
      </w:r>
    </w:p>
    <w:p w14:paraId="0441B062" w14:textId="77777777" w:rsidR="00EF4D50" w:rsidRPr="00A57506" w:rsidRDefault="00EF4D50" w:rsidP="00EF4D50">
      <w:pPr>
        <w:rPr>
          <w:b/>
          <w:bCs/>
          <w:color w:val="000000" w:themeColor="text1"/>
          <w:lang w:val="en-US"/>
        </w:rPr>
      </w:pPr>
    </w:p>
    <w:p w14:paraId="67185C24" w14:textId="77777777" w:rsidR="00EF4D50" w:rsidRPr="00A57506" w:rsidRDefault="004C4BA9" w:rsidP="002A0980">
      <w:pPr>
        <w:ind w:firstLine="0"/>
        <w:rPr>
          <w:bCs/>
          <w:color w:val="000000" w:themeColor="text1"/>
          <w:lang w:val="en-US"/>
        </w:rPr>
      </w:pPr>
      <w:r w:rsidRPr="001529C7">
        <w:rPr>
          <w:bCs/>
          <w:color w:val="000000" w:themeColor="text1"/>
          <w:lang w:val="en"/>
        </w:rPr>
        <w:t>Table 13. CIW market shares for 2022 and market concentration (degree of monopolization).</w:t>
      </w:r>
    </w:p>
    <w:tbl>
      <w:tblPr>
        <w:tblStyle w:val="TableGrid"/>
        <w:tblW w:w="9605" w:type="dxa"/>
        <w:jc w:val="center"/>
        <w:tblLook w:val="04A0" w:firstRow="1" w:lastRow="0" w:firstColumn="1" w:lastColumn="0" w:noHBand="0" w:noVBand="1"/>
      </w:tblPr>
      <w:tblGrid>
        <w:gridCol w:w="3685"/>
        <w:gridCol w:w="3828"/>
        <w:gridCol w:w="2092"/>
      </w:tblGrid>
      <w:tr w:rsidR="00706070" w14:paraId="0322F9AE" w14:textId="77777777" w:rsidTr="00EF4D50">
        <w:trPr>
          <w:trHeight w:val="77"/>
          <w:jc w:val="center"/>
        </w:trPr>
        <w:tc>
          <w:tcPr>
            <w:tcW w:w="3685" w:type="dxa"/>
          </w:tcPr>
          <w:p w14:paraId="2C93C84A"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lastRenderedPageBreak/>
              <w:t>Region</w:t>
            </w:r>
          </w:p>
        </w:tc>
        <w:tc>
          <w:tcPr>
            <w:tcW w:w="3828" w:type="dxa"/>
          </w:tcPr>
          <w:p w14:paraId="3C779859"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CR 3</w:t>
            </w:r>
          </w:p>
        </w:tc>
        <w:tc>
          <w:tcPr>
            <w:tcW w:w="2092" w:type="dxa"/>
          </w:tcPr>
          <w:p w14:paraId="531C6386" w14:textId="77777777" w:rsidR="00EF4D50" w:rsidRPr="00651CB3" w:rsidRDefault="004C4BA9" w:rsidP="00EF4D50">
            <w:pPr>
              <w:rPr>
                <w:b/>
                <w:bCs/>
                <w:color w:val="000000" w:themeColor="text1"/>
                <w:sz w:val="24"/>
                <w:szCs w:val="24"/>
                <w:lang w:val="en-US"/>
              </w:rPr>
            </w:pPr>
            <w:r w:rsidRPr="00651CB3">
              <w:rPr>
                <w:b/>
                <w:bCs/>
                <w:color w:val="000000" w:themeColor="text1"/>
                <w:sz w:val="24"/>
                <w:szCs w:val="24"/>
                <w:lang w:val="en"/>
              </w:rPr>
              <w:t>HHI</w:t>
            </w:r>
          </w:p>
        </w:tc>
      </w:tr>
      <w:tr w:rsidR="00706070" w14:paraId="1FC1D9B6" w14:textId="77777777" w:rsidTr="00EF4D50">
        <w:trPr>
          <w:trHeight w:val="321"/>
          <w:jc w:val="center"/>
        </w:trPr>
        <w:tc>
          <w:tcPr>
            <w:tcW w:w="3685" w:type="dxa"/>
            <w:vMerge w:val="restart"/>
            <w:vAlign w:val="center"/>
          </w:tcPr>
          <w:p w14:paraId="6FD12E32"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Astana city</w:t>
            </w:r>
          </w:p>
        </w:tc>
        <w:tc>
          <w:tcPr>
            <w:tcW w:w="3828" w:type="dxa"/>
          </w:tcPr>
          <w:p w14:paraId="46E637E4"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8,01+5,43+5,40=</w:t>
            </w:r>
            <w:r w:rsidRPr="00651CB3">
              <w:rPr>
                <w:b/>
                <w:bCs/>
                <w:iCs/>
                <w:color w:val="000000" w:themeColor="text1"/>
                <w:sz w:val="24"/>
                <w:szCs w:val="24"/>
                <w:lang w:val="en"/>
              </w:rPr>
              <w:t>18,84</w:t>
            </w:r>
          </w:p>
        </w:tc>
        <w:tc>
          <w:tcPr>
            <w:tcW w:w="2092" w:type="dxa"/>
          </w:tcPr>
          <w:p w14:paraId="08FAFCD3"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327.50</w:t>
            </w:r>
          </w:p>
        </w:tc>
      </w:tr>
      <w:tr w:rsidR="00706070" w14:paraId="491CDE6E" w14:textId="77777777" w:rsidTr="00EF4D50">
        <w:trPr>
          <w:trHeight w:val="425"/>
          <w:jc w:val="center"/>
        </w:trPr>
        <w:tc>
          <w:tcPr>
            <w:tcW w:w="3685" w:type="dxa"/>
            <w:vMerge/>
          </w:tcPr>
          <w:p w14:paraId="6AC9D14A" w14:textId="77777777" w:rsidR="00EF4D50" w:rsidRPr="00651CB3" w:rsidRDefault="00EF4D50" w:rsidP="00EF4D50">
            <w:pPr>
              <w:ind w:firstLine="0"/>
              <w:rPr>
                <w:color w:val="000000" w:themeColor="text1"/>
                <w:sz w:val="24"/>
                <w:szCs w:val="24"/>
              </w:rPr>
            </w:pPr>
          </w:p>
        </w:tc>
        <w:tc>
          <w:tcPr>
            <w:tcW w:w="5920" w:type="dxa"/>
            <w:gridSpan w:val="2"/>
            <w:vAlign w:val="center"/>
          </w:tcPr>
          <w:p w14:paraId="5B6EEA3C"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Low - concentrated</w:t>
            </w:r>
          </w:p>
        </w:tc>
      </w:tr>
      <w:tr w:rsidR="00706070" w14:paraId="628B4942" w14:textId="77777777" w:rsidTr="00EF4D50">
        <w:trPr>
          <w:trHeight w:val="70"/>
          <w:jc w:val="center"/>
        </w:trPr>
        <w:tc>
          <w:tcPr>
            <w:tcW w:w="3685" w:type="dxa"/>
            <w:vMerge w:val="restart"/>
            <w:vAlign w:val="center"/>
          </w:tcPr>
          <w:p w14:paraId="738E0B9B"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Almaty city</w:t>
            </w:r>
          </w:p>
        </w:tc>
        <w:tc>
          <w:tcPr>
            <w:tcW w:w="3828" w:type="dxa"/>
          </w:tcPr>
          <w:p w14:paraId="2B603DDC"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34,08+19,51+14,76=</w:t>
            </w:r>
            <w:r w:rsidRPr="00651CB3">
              <w:rPr>
                <w:b/>
                <w:bCs/>
                <w:iCs/>
                <w:color w:val="000000" w:themeColor="text1"/>
                <w:sz w:val="24"/>
                <w:szCs w:val="24"/>
                <w:lang w:val="en"/>
              </w:rPr>
              <w:t>68,35</w:t>
            </w:r>
          </w:p>
        </w:tc>
        <w:tc>
          <w:tcPr>
            <w:tcW w:w="2092" w:type="dxa"/>
          </w:tcPr>
          <w:p w14:paraId="2631E0D6"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2064.1</w:t>
            </w:r>
          </w:p>
        </w:tc>
      </w:tr>
      <w:tr w:rsidR="00706070" w14:paraId="77836739" w14:textId="77777777" w:rsidTr="00EF4D50">
        <w:trPr>
          <w:trHeight w:val="77"/>
          <w:jc w:val="center"/>
        </w:trPr>
        <w:tc>
          <w:tcPr>
            <w:tcW w:w="3685" w:type="dxa"/>
            <w:vMerge/>
          </w:tcPr>
          <w:p w14:paraId="148648D0" w14:textId="77777777" w:rsidR="00EF4D50" w:rsidRPr="00651CB3" w:rsidRDefault="00EF4D50" w:rsidP="00EF4D50">
            <w:pPr>
              <w:ind w:firstLine="0"/>
              <w:rPr>
                <w:color w:val="000000" w:themeColor="text1"/>
                <w:sz w:val="24"/>
                <w:szCs w:val="24"/>
              </w:rPr>
            </w:pPr>
          </w:p>
        </w:tc>
        <w:tc>
          <w:tcPr>
            <w:tcW w:w="5920" w:type="dxa"/>
            <w:gridSpan w:val="2"/>
            <w:vAlign w:val="center"/>
          </w:tcPr>
          <w:p w14:paraId="7EA41340" w14:textId="77777777" w:rsidR="00EF4D50" w:rsidRPr="00651CB3" w:rsidRDefault="004C4BA9" w:rsidP="00EF4D50">
            <w:pPr>
              <w:ind w:firstLine="0"/>
              <w:rPr>
                <w:iCs/>
                <w:color w:val="000000" w:themeColor="text1"/>
                <w:sz w:val="24"/>
                <w:szCs w:val="24"/>
              </w:rPr>
            </w:pPr>
            <w:r w:rsidRPr="00F764BB">
              <w:rPr>
                <w:iCs/>
                <w:color w:val="000000" w:themeColor="text1"/>
                <w:sz w:val="24"/>
                <w:szCs w:val="24"/>
                <w:lang w:val="en"/>
              </w:rPr>
              <w:t>Moderately concentrated</w:t>
            </w:r>
          </w:p>
        </w:tc>
      </w:tr>
      <w:tr w:rsidR="00706070" w14:paraId="6DDD251A" w14:textId="77777777" w:rsidTr="00EF4D50">
        <w:trPr>
          <w:trHeight w:val="77"/>
          <w:jc w:val="center"/>
        </w:trPr>
        <w:tc>
          <w:tcPr>
            <w:tcW w:w="3685" w:type="dxa"/>
            <w:vMerge w:val="restart"/>
            <w:vAlign w:val="center"/>
          </w:tcPr>
          <w:p w14:paraId="071BE1FB"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Aktobe region</w:t>
            </w:r>
          </w:p>
        </w:tc>
        <w:tc>
          <w:tcPr>
            <w:tcW w:w="3828" w:type="dxa"/>
            <w:vAlign w:val="center"/>
          </w:tcPr>
          <w:p w14:paraId="53B91FCB"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43,23 + 18,71 + 30,77</w:t>
            </w:r>
            <w:r w:rsidRPr="00651CB3">
              <w:rPr>
                <w:b/>
                <w:bCs/>
                <w:iCs/>
                <w:color w:val="000000" w:themeColor="text1"/>
                <w:sz w:val="24"/>
                <w:szCs w:val="24"/>
                <w:lang w:val="en"/>
              </w:rPr>
              <w:t xml:space="preserve"> = 92,71</w:t>
            </w:r>
          </w:p>
        </w:tc>
        <w:tc>
          <w:tcPr>
            <w:tcW w:w="2092" w:type="dxa"/>
            <w:vAlign w:val="center"/>
          </w:tcPr>
          <w:p w14:paraId="00057EC6" w14:textId="77777777" w:rsidR="00EF4D50" w:rsidRPr="00651CB3" w:rsidRDefault="004C4BA9" w:rsidP="00EF4D50">
            <w:pPr>
              <w:rPr>
                <w:iCs/>
                <w:color w:val="000000" w:themeColor="text1"/>
                <w:sz w:val="24"/>
                <w:szCs w:val="24"/>
              </w:rPr>
            </w:pPr>
            <w:r w:rsidRPr="00651CB3">
              <w:rPr>
                <w:b/>
                <w:bCs/>
                <w:iCs/>
                <w:color w:val="000000" w:themeColor="text1"/>
                <w:sz w:val="24"/>
                <w:szCs w:val="24"/>
                <w:lang w:val="en"/>
              </w:rPr>
              <w:t>6 574</w:t>
            </w:r>
          </w:p>
        </w:tc>
      </w:tr>
      <w:tr w:rsidR="00706070" w14:paraId="6A559DC3" w14:textId="77777777" w:rsidTr="00EF4D50">
        <w:trPr>
          <w:trHeight w:val="421"/>
          <w:jc w:val="center"/>
        </w:trPr>
        <w:tc>
          <w:tcPr>
            <w:tcW w:w="3685" w:type="dxa"/>
            <w:vMerge/>
          </w:tcPr>
          <w:p w14:paraId="57E558F8" w14:textId="77777777" w:rsidR="00EF4D50" w:rsidRPr="00651CB3" w:rsidRDefault="00EF4D50" w:rsidP="00EF4D50">
            <w:pPr>
              <w:ind w:firstLine="0"/>
              <w:rPr>
                <w:color w:val="000000" w:themeColor="text1"/>
                <w:sz w:val="24"/>
                <w:szCs w:val="24"/>
              </w:rPr>
            </w:pPr>
          </w:p>
        </w:tc>
        <w:tc>
          <w:tcPr>
            <w:tcW w:w="5920" w:type="dxa"/>
            <w:gridSpan w:val="2"/>
            <w:vAlign w:val="center"/>
          </w:tcPr>
          <w:p w14:paraId="149319E8" w14:textId="3EEA0CAC" w:rsidR="00EF4D50" w:rsidRPr="00651CB3" w:rsidRDefault="00AF59F7"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65AD3FD7" w14:textId="77777777" w:rsidTr="00EF4D50">
        <w:trPr>
          <w:trHeight w:val="77"/>
          <w:jc w:val="center"/>
        </w:trPr>
        <w:tc>
          <w:tcPr>
            <w:tcW w:w="3685" w:type="dxa"/>
            <w:vMerge w:val="restart"/>
            <w:vAlign w:val="center"/>
          </w:tcPr>
          <w:p w14:paraId="719242CA"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Atyrau region</w:t>
            </w:r>
          </w:p>
        </w:tc>
        <w:tc>
          <w:tcPr>
            <w:tcW w:w="3828" w:type="dxa"/>
            <w:vAlign w:val="center"/>
          </w:tcPr>
          <w:p w14:paraId="13193061" w14:textId="77777777" w:rsidR="00EF4D50" w:rsidRPr="00651CB3" w:rsidRDefault="004C4BA9" w:rsidP="00EF4D50">
            <w:pPr>
              <w:ind w:firstLine="0"/>
              <w:rPr>
                <w:b/>
                <w:bCs/>
                <w:iCs/>
                <w:color w:val="000000" w:themeColor="text1"/>
                <w:sz w:val="24"/>
                <w:szCs w:val="24"/>
              </w:rPr>
            </w:pPr>
            <w:r w:rsidRPr="00651CB3">
              <w:rPr>
                <w:b/>
                <w:bCs/>
                <w:iCs/>
                <w:color w:val="000000" w:themeColor="text1"/>
                <w:sz w:val="24"/>
                <w:szCs w:val="24"/>
                <w:lang w:val="en"/>
              </w:rPr>
              <w:t>100</w:t>
            </w:r>
          </w:p>
        </w:tc>
        <w:tc>
          <w:tcPr>
            <w:tcW w:w="2092" w:type="dxa"/>
            <w:vAlign w:val="center"/>
          </w:tcPr>
          <w:p w14:paraId="4861A96B"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10000</w:t>
            </w:r>
          </w:p>
        </w:tc>
      </w:tr>
      <w:tr w:rsidR="00706070" w14:paraId="7B4AECDC" w14:textId="77777777" w:rsidTr="00EF4D50">
        <w:trPr>
          <w:trHeight w:val="77"/>
          <w:jc w:val="center"/>
        </w:trPr>
        <w:tc>
          <w:tcPr>
            <w:tcW w:w="3685" w:type="dxa"/>
            <w:vMerge/>
            <w:vAlign w:val="center"/>
          </w:tcPr>
          <w:p w14:paraId="4277105E" w14:textId="77777777" w:rsidR="00EF4D50" w:rsidRPr="00651CB3" w:rsidRDefault="00EF4D50" w:rsidP="00EF4D50">
            <w:pPr>
              <w:ind w:firstLine="0"/>
              <w:rPr>
                <w:color w:val="000000" w:themeColor="text1"/>
                <w:sz w:val="24"/>
                <w:szCs w:val="24"/>
              </w:rPr>
            </w:pPr>
          </w:p>
        </w:tc>
        <w:tc>
          <w:tcPr>
            <w:tcW w:w="5920" w:type="dxa"/>
            <w:gridSpan w:val="2"/>
            <w:vAlign w:val="center"/>
          </w:tcPr>
          <w:p w14:paraId="6CBBCA40" w14:textId="12C86E69"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536D0681" w14:textId="77777777" w:rsidTr="00EF4D50">
        <w:trPr>
          <w:trHeight w:val="77"/>
          <w:jc w:val="center"/>
        </w:trPr>
        <w:tc>
          <w:tcPr>
            <w:tcW w:w="3685" w:type="dxa"/>
            <w:vMerge w:val="restart"/>
            <w:vAlign w:val="center"/>
          </w:tcPr>
          <w:p w14:paraId="046DBE9E"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East Kazakhstan region</w:t>
            </w:r>
          </w:p>
        </w:tc>
        <w:tc>
          <w:tcPr>
            <w:tcW w:w="3828" w:type="dxa"/>
            <w:vAlign w:val="center"/>
          </w:tcPr>
          <w:p w14:paraId="01366F45" w14:textId="77777777" w:rsidR="00EF4D50" w:rsidRPr="00651CB3" w:rsidRDefault="004C4BA9" w:rsidP="00EF4D50">
            <w:pPr>
              <w:ind w:firstLine="0"/>
              <w:rPr>
                <w:b/>
                <w:bCs/>
                <w:iCs/>
                <w:color w:val="000000" w:themeColor="text1"/>
                <w:sz w:val="24"/>
                <w:szCs w:val="24"/>
              </w:rPr>
            </w:pPr>
            <w:r w:rsidRPr="00651CB3">
              <w:rPr>
                <w:b/>
                <w:bCs/>
                <w:iCs/>
                <w:color w:val="000000" w:themeColor="text1"/>
                <w:sz w:val="24"/>
                <w:szCs w:val="24"/>
                <w:lang w:val="en"/>
              </w:rPr>
              <w:t>100</w:t>
            </w:r>
          </w:p>
        </w:tc>
        <w:tc>
          <w:tcPr>
            <w:tcW w:w="2092" w:type="dxa"/>
            <w:vAlign w:val="center"/>
          </w:tcPr>
          <w:p w14:paraId="20576291"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10000</w:t>
            </w:r>
          </w:p>
        </w:tc>
      </w:tr>
      <w:tr w:rsidR="00706070" w14:paraId="087A0630" w14:textId="77777777" w:rsidTr="00EF4D50">
        <w:trPr>
          <w:trHeight w:val="77"/>
          <w:jc w:val="center"/>
        </w:trPr>
        <w:tc>
          <w:tcPr>
            <w:tcW w:w="3685" w:type="dxa"/>
            <w:vMerge/>
            <w:vAlign w:val="center"/>
          </w:tcPr>
          <w:p w14:paraId="189F6030" w14:textId="77777777" w:rsidR="00EF4D50" w:rsidRPr="00651CB3" w:rsidRDefault="00EF4D50" w:rsidP="00EF4D50">
            <w:pPr>
              <w:ind w:firstLine="0"/>
              <w:rPr>
                <w:color w:val="000000" w:themeColor="text1"/>
                <w:sz w:val="24"/>
                <w:szCs w:val="24"/>
              </w:rPr>
            </w:pPr>
          </w:p>
        </w:tc>
        <w:tc>
          <w:tcPr>
            <w:tcW w:w="5920" w:type="dxa"/>
            <w:gridSpan w:val="2"/>
            <w:vAlign w:val="center"/>
          </w:tcPr>
          <w:p w14:paraId="3539E103" w14:textId="75F208AA"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5F4B1B8D" w14:textId="77777777" w:rsidTr="00EF4D50">
        <w:trPr>
          <w:trHeight w:val="77"/>
          <w:jc w:val="center"/>
        </w:trPr>
        <w:tc>
          <w:tcPr>
            <w:tcW w:w="3685" w:type="dxa"/>
            <w:vMerge w:val="restart"/>
            <w:vAlign w:val="center"/>
          </w:tcPr>
          <w:p w14:paraId="4C4C0799"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Zhambyl region</w:t>
            </w:r>
          </w:p>
        </w:tc>
        <w:tc>
          <w:tcPr>
            <w:tcW w:w="3828" w:type="dxa"/>
            <w:vAlign w:val="center"/>
          </w:tcPr>
          <w:p w14:paraId="1BCC6036"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66,08+18,16+13,18=</w:t>
            </w:r>
            <w:r w:rsidRPr="00651CB3">
              <w:rPr>
                <w:b/>
                <w:bCs/>
                <w:iCs/>
                <w:color w:val="000000" w:themeColor="text1"/>
                <w:sz w:val="24"/>
                <w:szCs w:val="24"/>
                <w:lang w:val="en"/>
              </w:rPr>
              <w:t>97,42</w:t>
            </w:r>
          </w:p>
        </w:tc>
        <w:tc>
          <w:tcPr>
            <w:tcW w:w="2092" w:type="dxa"/>
            <w:vAlign w:val="center"/>
          </w:tcPr>
          <w:p w14:paraId="0A93B31D"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4873.12</w:t>
            </w:r>
          </w:p>
        </w:tc>
      </w:tr>
      <w:tr w:rsidR="00706070" w14:paraId="20F3A9C7" w14:textId="77777777" w:rsidTr="00EF4D50">
        <w:trPr>
          <w:trHeight w:val="77"/>
          <w:jc w:val="center"/>
        </w:trPr>
        <w:tc>
          <w:tcPr>
            <w:tcW w:w="3685" w:type="dxa"/>
            <w:vMerge/>
            <w:vAlign w:val="center"/>
          </w:tcPr>
          <w:p w14:paraId="5F6CDD04" w14:textId="77777777" w:rsidR="00EF4D50" w:rsidRPr="00651CB3" w:rsidRDefault="00EF4D50" w:rsidP="00EF4D50">
            <w:pPr>
              <w:ind w:firstLine="0"/>
              <w:rPr>
                <w:color w:val="000000" w:themeColor="text1"/>
                <w:sz w:val="24"/>
                <w:szCs w:val="24"/>
              </w:rPr>
            </w:pPr>
          </w:p>
        </w:tc>
        <w:tc>
          <w:tcPr>
            <w:tcW w:w="5920" w:type="dxa"/>
            <w:gridSpan w:val="2"/>
            <w:vAlign w:val="center"/>
          </w:tcPr>
          <w:p w14:paraId="6E67D8C3" w14:textId="71D8431D"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460A4B4B" w14:textId="77777777" w:rsidTr="00EF4D50">
        <w:trPr>
          <w:trHeight w:val="77"/>
          <w:jc w:val="center"/>
        </w:trPr>
        <w:tc>
          <w:tcPr>
            <w:tcW w:w="3685" w:type="dxa"/>
            <w:vMerge w:val="restart"/>
            <w:vAlign w:val="center"/>
          </w:tcPr>
          <w:p w14:paraId="3EC4F15D"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Karaganda region</w:t>
            </w:r>
          </w:p>
        </w:tc>
        <w:tc>
          <w:tcPr>
            <w:tcW w:w="3828" w:type="dxa"/>
            <w:vAlign w:val="center"/>
          </w:tcPr>
          <w:p w14:paraId="246C4DDC"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38,8+27,1+15,7=</w:t>
            </w:r>
            <w:r w:rsidRPr="00651CB3">
              <w:rPr>
                <w:b/>
                <w:bCs/>
                <w:iCs/>
                <w:color w:val="000000" w:themeColor="text1"/>
                <w:sz w:val="24"/>
                <w:szCs w:val="24"/>
                <w:lang w:val="en"/>
              </w:rPr>
              <w:t>81,6</w:t>
            </w:r>
          </w:p>
        </w:tc>
        <w:tc>
          <w:tcPr>
            <w:tcW w:w="2092" w:type="dxa"/>
            <w:vAlign w:val="center"/>
          </w:tcPr>
          <w:p w14:paraId="69F3B8ED"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2 659,43</w:t>
            </w:r>
          </w:p>
        </w:tc>
      </w:tr>
      <w:tr w:rsidR="00706070" w14:paraId="0F491314" w14:textId="77777777" w:rsidTr="00EF4D50">
        <w:trPr>
          <w:trHeight w:val="77"/>
          <w:jc w:val="center"/>
        </w:trPr>
        <w:tc>
          <w:tcPr>
            <w:tcW w:w="3685" w:type="dxa"/>
            <w:vMerge/>
            <w:vAlign w:val="center"/>
          </w:tcPr>
          <w:p w14:paraId="13F74501" w14:textId="77777777" w:rsidR="00EF4D50" w:rsidRPr="00651CB3" w:rsidRDefault="00EF4D50" w:rsidP="00EF4D50">
            <w:pPr>
              <w:ind w:firstLine="0"/>
              <w:rPr>
                <w:color w:val="000000" w:themeColor="text1"/>
                <w:sz w:val="24"/>
                <w:szCs w:val="24"/>
              </w:rPr>
            </w:pPr>
          </w:p>
        </w:tc>
        <w:tc>
          <w:tcPr>
            <w:tcW w:w="5920" w:type="dxa"/>
            <w:gridSpan w:val="2"/>
            <w:vAlign w:val="center"/>
          </w:tcPr>
          <w:p w14:paraId="101EF927" w14:textId="0A59F38D"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37DF38A5" w14:textId="77777777" w:rsidTr="00EF4D50">
        <w:trPr>
          <w:trHeight w:val="77"/>
          <w:jc w:val="center"/>
        </w:trPr>
        <w:tc>
          <w:tcPr>
            <w:tcW w:w="3685" w:type="dxa"/>
            <w:vMerge w:val="restart"/>
            <w:vAlign w:val="center"/>
          </w:tcPr>
          <w:p w14:paraId="016DABCE"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Kyzylorda region</w:t>
            </w:r>
          </w:p>
        </w:tc>
        <w:tc>
          <w:tcPr>
            <w:tcW w:w="3828" w:type="dxa"/>
            <w:vAlign w:val="center"/>
          </w:tcPr>
          <w:p w14:paraId="6764A087" w14:textId="77777777" w:rsidR="00EF4D50" w:rsidRPr="00651CB3" w:rsidRDefault="004C4BA9" w:rsidP="00EF4D50">
            <w:pPr>
              <w:ind w:firstLine="0"/>
              <w:rPr>
                <w:b/>
                <w:bCs/>
                <w:iCs/>
                <w:color w:val="000000" w:themeColor="text1"/>
                <w:sz w:val="24"/>
                <w:szCs w:val="24"/>
              </w:rPr>
            </w:pPr>
            <w:r w:rsidRPr="00651CB3">
              <w:rPr>
                <w:iCs/>
                <w:color w:val="000000" w:themeColor="text1"/>
                <w:sz w:val="24"/>
                <w:szCs w:val="24"/>
                <w:lang w:val="en"/>
              </w:rPr>
              <w:t>17,3+16,9+13,6=</w:t>
            </w:r>
            <w:r w:rsidRPr="00651CB3">
              <w:rPr>
                <w:b/>
                <w:bCs/>
                <w:iCs/>
                <w:color w:val="000000" w:themeColor="text1"/>
                <w:sz w:val="24"/>
                <w:szCs w:val="24"/>
                <w:lang w:val="en"/>
              </w:rPr>
              <w:t>47,8</w:t>
            </w:r>
          </w:p>
        </w:tc>
        <w:tc>
          <w:tcPr>
            <w:tcW w:w="2092" w:type="dxa"/>
            <w:vAlign w:val="center"/>
          </w:tcPr>
          <w:p w14:paraId="1A6F38B5"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972.6625</w:t>
            </w:r>
          </w:p>
        </w:tc>
      </w:tr>
      <w:tr w:rsidR="00706070" w14:paraId="7B4C400B" w14:textId="77777777" w:rsidTr="00EF4D50">
        <w:trPr>
          <w:trHeight w:val="77"/>
          <w:jc w:val="center"/>
        </w:trPr>
        <w:tc>
          <w:tcPr>
            <w:tcW w:w="3685" w:type="dxa"/>
            <w:vMerge/>
            <w:vAlign w:val="center"/>
          </w:tcPr>
          <w:p w14:paraId="098CD0F6" w14:textId="77777777" w:rsidR="00EF4D50" w:rsidRPr="00651CB3" w:rsidRDefault="00EF4D50" w:rsidP="00EF4D50">
            <w:pPr>
              <w:ind w:firstLine="0"/>
              <w:rPr>
                <w:color w:val="000000" w:themeColor="text1"/>
                <w:sz w:val="24"/>
                <w:szCs w:val="24"/>
              </w:rPr>
            </w:pPr>
          </w:p>
        </w:tc>
        <w:tc>
          <w:tcPr>
            <w:tcW w:w="5920" w:type="dxa"/>
            <w:gridSpan w:val="2"/>
            <w:vAlign w:val="center"/>
          </w:tcPr>
          <w:p w14:paraId="7A3917A0" w14:textId="77777777" w:rsidR="00EF4D50" w:rsidRPr="00651CB3" w:rsidRDefault="004C4BA9" w:rsidP="00EF4D50">
            <w:pPr>
              <w:ind w:firstLine="0"/>
              <w:rPr>
                <w:b/>
                <w:bCs/>
                <w:iCs/>
                <w:color w:val="000000" w:themeColor="text1"/>
                <w:sz w:val="24"/>
                <w:szCs w:val="24"/>
              </w:rPr>
            </w:pPr>
            <w:r w:rsidRPr="00651CB3">
              <w:rPr>
                <w:iCs/>
                <w:color w:val="000000" w:themeColor="text1"/>
                <w:sz w:val="24"/>
                <w:szCs w:val="24"/>
                <w:lang w:val="en"/>
              </w:rPr>
              <w:t>Moderately concentrated</w:t>
            </w:r>
          </w:p>
        </w:tc>
      </w:tr>
      <w:tr w:rsidR="00706070" w14:paraId="4B9E91B9" w14:textId="77777777" w:rsidTr="00EF4D50">
        <w:trPr>
          <w:trHeight w:val="77"/>
          <w:jc w:val="center"/>
        </w:trPr>
        <w:tc>
          <w:tcPr>
            <w:tcW w:w="3685" w:type="dxa"/>
            <w:vMerge w:val="restart"/>
            <w:vAlign w:val="center"/>
          </w:tcPr>
          <w:p w14:paraId="3741EDFE"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Mangystau region</w:t>
            </w:r>
          </w:p>
        </w:tc>
        <w:tc>
          <w:tcPr>
            <w:tcW w:w="3828" w:type="dxa"/>
            <w:vAlign w:val="center"/>
          </w:tcPr>
          <w:p w14:paraId="7753F6D2"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5,2+6,1+4,8=</w:t>
            </w:r>
            <w:r w:rsidRPr="00651CB3">
              <w:rPr>
                <w:b/>
                <w:bCs/>
                <w:iCs/>
                <w:color w:val="000000" w:themeColor="text1"/>
                <w:sz w:val="24"/>
                <w:szCs w:val="24"/>
                <w:lang w:val="en"/>
              </w:rPr>
              <w:t>16,1</w:t>
            </w:r>
          </w:p>
        </w:tc>
        <w:tc>
          <w:tcPr>
            <w:tcW w:w="2092" w:type="dxa"/>
            <w:vAlign w:val="center"/>
          </w:tcPr>
          <w:p w14:paraId="6B30D66A"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256.97</w:t>
            </w:r>
          </w:p>
        </w:tc>
      </w:tr>
      <w:tr w:rsidR="00706070" w14:paraId="167E507F" w14:textId="77777777" w:rsidTr="00EF4D50">
        <w:trPr>
          <w:trHeight w:val="77"/>
          <w:jc w:val="center"/>
        </w:trPr>
        <w:tc>
          <w:tcPr>
            <w:tcW w:w="3685" w:type="dxa"/>
            <w:vMerge/>
            <w:vAlign w:val="center"/>
          </w:tcPr>
          <w:p w14:paraId="1D4951BB" w14:textId="77777777" w:rsidR="00EF4D50" w:rsidRPr="00651CB3" w:rsidRDefault="00EF4D50" w:rsidP="00EF4D50">
            <w:pPr>
              <w:ind w:firstLine="0"/>
              <w:rPr>
                <w:color w:val="000000" w:themeColor="text1"/>
                <w:sz w:val="24"/>
                <w:szCs w:val="24"/>
              </w:rPr>
            </w:pPr>
          </w:p>
        </w:tc>
        <w:tc>
          <w:tcPr>
            <w:tcW w:w="5920" w:type="dxa"/>
            <w:gridSpan w:val="2"/>
            <w:vAlign w:val="center"/>
          </w:tcPr>
          <w:p w14:paraId="20D13F83" w14:textId="77777777" w:rsidR="00EF4D50" w:rsidRPr="00651CB3" w:rsidRDefault="004C4BA9" w:rsidP="00EF4D50">
            <w:pPr>
              <w:ind w:firstLine="0"/>
              <w:rPr>
                <w:b/>
                <w:bCs/>
                <w:iCs/>
                <w:color w:val="000000" w:themeColor="text1"/>
                <w:sz w:val="24"/>
                <w:szCs w:val="24"/>
              </w:rPr>
            </w:pPr>
            <w:r w:rsidRPr="00651CB3">
              <w:rPr>
                <w:iCs/>
                <w:color w:val="000000" w:themeColor="text1"/>
                <w:sz w:val="24"/>
                <w:szCs w:val="24"/>
                <w:lang w:val="en"/>
              </w:rPr>
              <w:t>Low - concentrated</w:t>
            </w:r>
          </w:p>
        </w:tc>
      </w:tr>
      <w:tr w:rsidR="00706070" w14:paraId="59612DDE" w14:textId="77777777" w:rsidTr="00EF4D50">
        <w:trPr>
          <w:trHeight w:val="77"/>
          <w:jc w:val="center"/>
        </w:trPr>
        <w:tc>
          <w:tcPr>
            <w:tcW w:w="3685" w:type="dxa"/>
            <w:vMerge w:val="restart"/>
            <w:vAlign w:val="center"/>
          </w:tcPr>
          <w:p w14:paraId="06E2CBB1"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Turkestan region</w:t>
            </w:r>
          </w:p>
        </w:tc>
        <w:tc>
          <w:tcPr>
            <w:tcW w:w="3828" w:type="dxa"/>
            <w:vAlign w:val="center"/>
          </w:tcPr>
          <w:p w14:paraId="45ACF794" w14:textId="77777777" w:rsidR="00EF4D50" w:rsidRPr="00651CB3" w:rsidRDefault="004C4BA9" w:rsidP="00EF4D50">
            <w:pPr>
              <w:ind w:firstLine="0"/>
              <w:rPr>
                <w:iCs/>
                <w:color w:val="000000" w:themeColor="text1"/>
                <w:sz w:val="24"/>
                <w:szCs w:val="24"/>
              </w:rPr>
            </w:pPr>
            <w:r w:rsidRPr="00651CB3">
              <w:rPr>
                <w:bCs/>
                <w:iCs/>
                <w:color w:val="000000" w:themeColor="text1"/>
                <w:sz w:val="24"/>
                <w:szCs w:val="24"/>
                <w:lang w:val="en"/>
              </w:rPr>
              <w:t>7,47+6,85+6,41=</w:t>
            </w:r>
            <w:r w:rsidRPr="00651CB3">
              <w:rPr>
                <w:b/>
                <w:iCs/>
                <w:color w:val="000000" w:themeColor="text1"/>
                <w:sz w:val="24"/>
                <w:szCs w:val="24"/>
                <w:lang w:val="en"/>
              </w:rPr>
              <w:t>20,73</w:t>
            </w:r>
          </w:p>
        </w:tc>
        <w:tc>
          <w:tcPr>
            <w:tcW w:w="2092" w:type="dxa"/>
            <w:vAlign w:val="center"/>
          </w:tcPr>
          <w:p w14:paraId="17A2BE09"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350.02</w:t>
            </w:r>
          </w:p>
        </w:tc>
      </w:tr>
      <w:tr w:rsidR="00706070" w14:paraId="7D0E3ABB" w14:textId="77777777" w:rsidTr="00EF4D50">
        <w:trPr>
          <w:trHeight w:val="77"/>
          <w:jc w:val="center"/>
        </w:trPr>
        <w:tc>
          <w:tcPr>
            <w:tcW w:w="3685" w:type="dxa"/>
            <w:vMerge/>
            <w:vAlign w:val="center"/>
          </w:tcPr>
          <w:p w14:paraId="00298C3F" w14:textId="77777777" w:rsidR="00EF4D50" w:rsidRPr="00651CB3" w:rsidRDefault="00EF4D50" w:rsidP="00EF4D50">
            <w:pPr>
              <w:ind w:firstLine="0"/>
              <w:rPr>
                <w:color w:val="000000" w:themeColor="text1"/>
                <w:sz w:val="24"/>
                <w:szCs w:val="24"/>
              </w:rPr>
            </w:pPr>
          </w:p>
        </w:tc>
        <w:tc>
          <w:tcPr>
            <w:tcW w:w="5920" w:type="dxa"/>
            <w:gridSpan w:val="2"/>
            <w:vAlign w:val="center"/>
          </w:tcPr>
          <w:p w14:paraId="54F60442" w14:textId="77777777" w:rsidR="00EF4D50" w:rsidRPr="00651CB3" w:rsidRDefault="004C4BA9" w:rsidP="00EF4D50">
            <w:pPr>
              <w:ind w:firstLine="0"/>
              <w:rPr>
                <w:b/>
                <w:bCs/>
                <w:iCs/>
                <w:color w:val="000000" w:themeColor="text1"/>
                <w:sz w:val="24"/>
                <w:szCs w:val="24"/>
                <w:lang w:val="kk-KZ"/>
              </w:rPr>
            </w:pPr>
            <w:r w:rsidRPr="00651CB3">
              <w:rPr>
                <w:iCs/>
                <w:color w:val="000000" w:themeColor="text1"/>
                <w:sz w:val="24"/>
                <w:szCs w:val="24"/>
                <w:lang w:val="en"/>
              </w:rPr>
              <w:t>Low - concentrated</w:t>
            </w:r>
          </w:p>
        </w:tc>
      </w:tr>
      <w:tr w:rsidR="00706070" w14:paraId="25DCBF10" w14:textId="77777777" w:rsidTr="00EF4D50">
        <w:trPr>
          <w:trHeight w:val="77"/>
          <w:jc w:val="center"/>
        </w:trPr>
        <w:tc>
          <w:tcPr>
            <w:tcW w:w="3685" w:type="dxa"/>
            <w:vMerge w:val="restart"/>
            <w:vAlign w:val="center"/>
          </w:tcPr>
          <w:p w14:paraId="25F00F99"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Shymkent</w:t>
            </w:r>
          </w:p>
        </w:tc>
        <w:tc>
          <w:tcPr>
            <w:tcW w:w="3828" w:type="dxa"/>
            <w:vAlign w:val="center"/>
          </w:tcPr>
          <w:p w14:paraId="05931735" w14:textId="77777777" w:rsidR="00EF4D50" w:rsidRPr="00651CB3" w:rsidRDefault="004C4BA9" w:rsidP="00EF4D50">
            <w:pPr>
              <w:ind w:firstLine="0"/>
              <w:rPr>
                <w:bCs/>
                <w:color w:val="000000" w:themeColor="text1"/>
                <w:sz w:val="24"/>
                <w:szCs w:val="24"/>
              </w:rPr>
            </w:pPr>
            <w:r w:rsidRPr="00651CB3">
              <w:rPr>
                <w:iCs/>
                <w:color w:val="000000" w:themeColor="text1"/>
                <w:sz w:val="24"/>
                <w:szCs w:val="24"/>
                <w:lang w:val="en"/>
              </w:rPr>
              <w:t>52,13+46,54+1,33=</w:t>
            </w:r>
            <w:r w:rsidRPr="00651CB3">
              <w:rPr>
                <w:b/>
                <w:bCs/>
                <w:color w:val="000000" w:themeColor="text1"/>
                <w:sz w:val="24"/>
                <w:szCs w:val="24"/>
                <w:lang w:val="en"/>
              </w:rPr>
              <w:t>100</w:t>
            </w:r>
          </w:p>
        </w:tc>
        <w:tc>
          <w:tcPr>
            <w:tcW w:w="2092" w:type="dxa"/>
            <w:vAlign w:val="center"/>
          </w:tcPr>
          <w:p w14:paraId="76EE0FB0"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4 885,26</w:t>
            </w:r>
          </w:p>
        </w:tc>
      </w:tr>
      <w:tr w:rsidR="00706070" w14:paraId="497FEEDA" w14:textId="77777777" w:rsidTr="00EF4D50">
        <w:trPr>
          <w:trHeight w:val="77"/>
          <w:jc w:val="center"/>
        </w:trPr>
        <w:tc>
          <w:tcPr>
            <w:tcW w:w="3685" w:type="dxa"/>
            <w:vMerge/>
            <w:vAlign w:val="center"/>
          </w:tcPr>
          <w:p w14:paraId="209A807D" w14:textId="77777777" w:rsidR="00EF4D50" w:rsidRPr="00651CB3" w:rsidRDefault="00EF4D50" w:rsidP="00EF4D50">
            <w:pPr>
              <w:ind w:firstLine="0"/>
              <w:rPr>
                <w:color w:val="000000" w:themeColor="text1"/>
                <w:sz w:val="24"/>
                <w:szCs w:val="24"/>
              </w:rPr>
            </w:pPr>
          </w:p>
        </w:tc>
        <w:tc>
          <w:tcPr>
            <w:tcW w:w="5920" w:type="dxa"/>
            <w:gridSpan w:val="2"/>
            <w:vAlign w:val="center"/>
          </w:tcPr>
          <w:p w14:paraId="623FED50" w14:textId="4FFF2A12"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56E15445" w14:textId="77777777" w:rsidTr="00EF4D50">
        <w:trPr>
          <w:trHeight w:val="77"/>
          <w:jc w:val="center"/>
        </w:trPr>
        <w:tc>
          <w:tcPr>
            <w:tcW w:w="3685" w:type="dxa"/>
            <w:vMerge w:val="restart"/>
            <w:vAlign w:val="center"/>
          </w:tcPr>
          <w:p w14:paraId="4BFB0466"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Kostanay region</w:t>
            </w:r>
          </w:p>
        </w:tc>
        <w:tc>
          <w:tcPr>
            <w:tcW w:w="3828" w:type="dxa"/>
            <w:vAlign w:val="center"/>
          </w:tcPr>
          <w:p w14:paraId="77E4A9C6"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64,8+17,4+16,0=</w:t>
            </w:r>
            <w:r w:rsidRPr="00651CB3">
              <w:rPr>
                <w:b/>
                <w:bCs/>
                <w:iCs/>
                <w:color w:val="000000" w:themeColor="text1"/>
                <w:sz w:val="24"/>
                <w:szCs w:val="24"/>
                <w:lang w:val="en"/>
              </w:rPr>
              <w:t>98,2</w:t>
            </w:r>
          </w:p>
        </w:tc>
        <w:tc>
          <w:tcPr>
            <w:tcW w:w="2092" w:type="dxa"/>
            <w:vAlign w:val="center"/>
          </w:tcPr>
          <w:p w14:paraId="1A520047"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4 760,73</w:t>
            </w:r>
            <w:r w:rsidRPr="00651CB3">
              <w:rPr>
                <w:b/>
                <w:bCs/>
                <w:iCs/>
                <w:color w:val="000000" w:themeColor="text1"/>
                <w:sz w:val="24"/>
                <w:szCs w:val="24"/>
                <w:lang w:val="en"/>
              </w:rPr>
              <w:t>‬</w:t>
            </w:r>
          </w:p>
        </w:tc>
      </w:tr>
      <w:tr w:rsidR="00706070" w14:paraId="3AB44FD6" w14:textId="77777777" w:rsidTr="00EF4D50">
        <w:trPr>
          <w:trHeight w:val="77"/>
          <w:jc w:val="center"/>
        </w:trPr>
        <w:tc>
          <w:tcPr>
            <w:tcW w:w="3685" w:type="dxa"/>
            <w:vMerge/>
            <w:vAlign w:val="center"/>
          </w:tcPr>
          <w:p w14:paraId="1D6AC8EA" w14:textId="77777777" w:rsidR="00EF4D50" w:rsidRPr="00651CB3" w:rsidRDefault="00EF4D50" w:rsidP="00EF4D50">
            <w:pPr>
              <w:ind w:firstLine="0"/>
              <w:rPr>
                <w:color w:val="000000" w:themeColor="text1"/>
                <w:sz w:val="24"/>
                <w:szCs w:val="24"/>
              </w:rPr>
            </w:pPr>
          </w:p>
        </w:tc>
        <w:tc>
          <w:tcPr>
            <w:tcW w:w="5920" w:type="dxa"/>
            <w:gridSpan w:val="2"/>
            <w:vAlign w:val="center"/>
          </w:tcPr>
          <w:p w14:paraId="24AA776D" w14:textId="492D6B04"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79679C24" w14:textId="77777777" w:rsidTr="00EF4D50">
        <w:trPr>
          <w:trHeight w:val="77"/>
          <w:jc w:val="center"/>
        </w:trPr>
        <w:tc>
          <w:tcPr>
            <w:tcW w:w="3685" w:type="dxa"/>
            <w:vMerge w:val="restart"/>
            <w:vAlign w:val="center"/>
          </w:tcPr>
          <w:p w14:paraId="3267AA45"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West Kazakhstan region</w:t>
            </w:r>
          </w:p>
        </w:tc>
        <w:tc>
          <w:tcPr>
            <w:tcW w:w="3828" w:type="dxa"/>
            <w:vAlign w:val="center"/>
          </w:tcPr>
          <w:p w14:paraId="4DFBF7A0"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37,95+18,55+12,15=</w:t>
            </w:r>
            <w:r w:rsidRPr="00651CB3">
              <w:rPr>
                <w:b/>
                <w:bCs/>
                <w:iCs/>
                <w:color w:val="000000" w:themeColor="text1"/>
                <w:sz w:val="24"/>
                <w:szCs w:val="24"/>
                <w:lang w:val="en"/>
              </w:rPr>
              <w:t>68,65</w:t>
            </w:r>
          </w:p>
        </w:tc>
        <w:tc>
          <w:tcPr>
            <w:tcW w:w="2092" w:type="dxa"/>
            <w:vAlign w:val="center"/>
          </w:tcPr>
          <w:p w14:paraId="565797CE"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2 229,83</w:t>
            </w:r>
          </w:p>
        </w:tc>
      </w:tr>
      <w:tr w:rsidR="00706070" w14:paraId="68DB8CC3" w14:textId="77777777" w:rsidTr="00EF4D50">
        <w:trPr>
          <w:trHeight w:val="77"/>
          <w:jc w:val="center"/>
        </w:trPr>
        <w:tc>
          <w:tcPr>
            <w:tcW w:w="3685" w:type="dxa"/>
            <w:vMerge/>
            <w:vAlign w:val="center"/>
          </w:tcPr>
          <w:p w14:paraId="16DDF6E9" w14:textId="77777777" w:rsidR="00EF4D50" w:rsidRPr="00651CB3" w:rsidRDefault="00EF4D50" w:rsidP="00EF4D50">
            <w:pPr>
              <w:ind w:firstLine="0"/>
              <w:rPr>
                <w:color w:val="000000" w:themeColor="text1"/>
                <w:sz w:val="24"/>
                <w:szCs w:val="24"/>
              </w:rPr>
            </w:pPr>
          </w:p>
        </w:tc>
        <w:tc>
          <w:tcPr>
            <w:tcW w:w="5920" w:type="dxa"/>
            <w:gridSpan w:val="2"/>
            <w:vAlign w:val="center"/>
          </w:tcPr>
          <w:p w14:paraId="5C55F66D" w14:textId="77777777" w:rsidR="00EF4D50" w:rsidRPr="00651CB3" w:rsidRDefault="004C4BA9" w:rsidP="00EF4D50">
            <w:pPr>
              <w:ind w:firstLine="0"/>
              <w:rPr>
                <w:b/>
                <w:bCs/>
                <w:iCs/>
                <w:color w:val="000000" w:themeColor="text1"/>
                <w:sz w:val="24"/>
                <w:szCs w:val="24"/>
              </w:rPr>
            </w:pPr>
            <w:r w:rsidRPr="00651CB3">
              <w:rPr>
                <w:iCs/>
                <w:color w:val="000000" w:themeColor="text1"/>
                <w:sz w:val="24"/>
                <w:szCs w:val="24"/>
                <w:lang w:val="en"/>
              </w:rPr>
              <w:t>Moderately concentrated</w:t>
            </w:r>
          </w:p>
        </w:tc>
      </w:tr>
      <w:tr w:rsidR="00706070" w14:paraId="3303CB89" w14:textId="77777777" w:rsidTr="00EF4D50">
        <w:trPr>
          <w:trHeight w:val="77"/>
          <w:jc w:val="center"/>
        </w:trPr>
        <w:tc>
          <w:tcPr>
            <w:tcW w:w="3685" w:type="dxa"/>
            <w:vMerge w:val="restart"/>
            <w:vAlign w:val="center"/>
          </w:tcPr>
          <w:p w14:paraId="49B3F486" w14:textId="77777777" w:rsidR="00EF4D50" w:rsidRPr="00A57506" w:rsidRDefault="004C4BA9" w:rsidP="00EF4D50">
            <w:pPr>
              <w:ind w:firstLine="0"/>
              <w:rPr>
                <w:b/>
                <w:bCs/>
                <w:color w:val="000000" w:themeColor="text1"/>
                <w:sz w:val="24"/>
                <w:szCs w:val="24"/>
                <w:lang w:val="en-US"/>
              </w:rPr>
            </w:pPr>
            <w:r w:rsidRPr="00651CB3">
              <w:rPr>
                <w:b/>
                <w:bCs/>
                <w:color w:val="000000" w:themeColor="text1"/>
                <w:sz w:val="24"/>
                <w:szCs w:val="24"/>
                <w:lang w:val="en"/>
              </w:rPr>
              <w:t>Akmola region</w:t>
            </w:r>
          </w:p>
          <w:p w14:paraId="17B890CC" w14:textId="77777777" w:rsidR="00EF4D50" w:rsidRPr="00A57506" w:rsidRDefault="004C4BA9" w:rsidP="00EF4D50">
            <w:pPr>
              <w:ind w:firstLine="0"/>
              <w:rPr>
                <w:b/>
                <w:bCs/>
                <w:color w:val="000000" w:themeColor="text1"/>
                <w:sz w:val="24"/>
                <w:szCs w:val="24"/>
                <w:lang w:val="en-US"/>
              </w:rPr>
            </w:pPr>
            <w:r w:rsidRPr="00651CB3">
              <w:rPr>
                <w:b/>
                <w:bCs/>
                <w:color w:val="000000" w:themeColor="text1"/>
                <w:sz w:val="24"/>
                <w:szCs w:val="24"/>
                <w:lang w:val="en"/>
              </w:rPr>
              <w:t>(in the context of Arshalynsky district)</w:t>
            </w:r>
          </w:p>
        </w:tc>
        <w:tc>
          <w:tcPr>
            <w:tcW w:w="3828" w:type="dxa"/>
            <w:vAlign w:val="center"/>
          </w:tcPr>
          <w:p w14:paraId="1E97ACF7"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45,49+17,66+14,79=</w:t>
            </w:r>
            <w:r w:rsidRPr="00651CB3">
              <w:rPr>
                <w:b/>
                <w:bCs/>
                <w:iCs/>
                <w:color w:val="000000" w:themeColor="text1"/>
                <w:sz w:val="24"/>
                <w:szCs w:val="24"/>
                <w:lang w:val="en"/>
              </w:rPr>
              <w:t>77,94</w:t>
            </w:r>
          </w:p>
        </w:tc>
        <w:tc>
          <w:tcPr>
            <w:tcW w:w="2092" w:type="dxa"/>
            <w:vAlign w:val="center"/>
          </w:tcPr>
          <w:p w14:paraId="3BD344D1"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2 837,49</w:t>
            </w:r>
          </w:p>
        </w:tc>
      </w:tr>
      <w:tr w:rsidR="00706070" w14:paraId="002123B0" w14:textId="77777777" w:rsidTr="00EF4D50">
        <w:trPr>
          <w:trHeight w:val="77"/>
          <w:jc w:val="center"/>
        </w:trPr>
        <w:tc>
          <w:tcPr>
            <w:tcW w:w="3685" w:type="dxa"/>
            <w:vMerge/>
            <w:vAlign w:val="center"/>
          </w:tcPr>
          <w:p w14:paraId="33A416CB" w14:textId="77777777" w:rsidR="00EF4D50" w:rsidRPr="00651CB3" w:rsidRDefault="00EF4D50" w:rsidP="00EF4D50">
            <w:pPr>
              <w:ind w:firstLine="0"/>
              <w:rPr>
                <w:color w:val="000000" w:themeColor="text1"/>
                <w:sz w:val="24"/>
                <w:szCs w:val="24"/>
              </w:rPr>
            </w:pPr>
          </w:p>
        </w:tc>
        <w:tc>
          <w:tcPr>
            <w:tcW w:w="5920" w:type="dxa"/>
            <w:gridSpan w:val="2"/>
            <w:vAlign w:val="center"/>
          </w:tcPr>
          <w:p w14:paraId="390B4349" w14:textId="42A8D6E8"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58EDD277" w14:textId="77777777" w:rsidTr="00EF4D50">
        <w:trPr>
          <w:trHeight w:val="77"/>
          <w:jc w:val="center"/>
        </w:trPr>
        <w:tc>
          <w:tcPr>
            <w:tcW w:w="3685" w:type="dxa"/>
            <w:vMerge w:val="restart"/>
            <w:vAlign w:val="center"/>
          </w:tcPr>
          <w:p w14:paraId="1262B416"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Ulytau region</w:t>
            </w:r>
          </w:p>
        </w:tc>
        <w:tc>
          <w:tcPr>
            <w:tcW w:w="3828" w:type="dxa"/>
            <w:vAlign w:val="center"/>
          </w:tcPr>
          <w:p w14:paraId="6FA37CB8"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41,84+39,52+18,63=</w:t>
            </w:r>
            <w:r w:rsidRPr="00651CB3">
              <w:rPr>
                <w:b/>
                <w:bCs/>
                <w:iCs/>
                <w:color w:val="000000" w:themeColor="text1"/>
                <w:sz w:val="24"/>
                <w:szCs w:val="24"/>
                <w:lang w:val="en"/>
              </w:rPr>
              <w:t>99,99</w:t>
            </w:r>
          </w:p>
        </w:tc>
        <w:tc>
          <w:tcPr>
            <w:tcW w:w="2092" w:type="dxa"/>
            <w:vAlign w:val="center"/>
          </w:tcPr>
          <w:p w14:paraId="6DF4870C"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3 659</w:t>
            </w:r>
          </w:p>
        </w:tc>
      </w:tr>
      <w:tr w:rsidR="00706070" w14:paraId="5CEC0D84" w14:textId="77777777" w:rsidTr="00EF4D50">
        <w:trPr>
          <w:trHeight w:val="77"/>
          <w:jc w:val="center"/>
        </w:trPr>
        <w:tc>
          <w:tcPr>
            <w:tcW w:w="3685" w:type="dxa"/>
            <w:vMerge/>
            <w:vAlign w:val="center"/>
          </w:tcPr>
          <w:p w14:paraId="36B009DB" w14:textId="77777777" w:rsidR="00EF4D50" w:rsidRPr="00651CB3" w:rsidRDefault="00EF4D50" w:rsidP="00EF4D50">
            <w:pPr>
              <w:ind w:firstLine="0"/>
              <w:rPr>
                <w:color w:val="000000" w:themeColor="text1"/>
                <w:sz w:val="24"/>
                <w:szCs w:val="24"/>
              </w:rPr>
            </w:pPr>
          </w:p>
        </w:tc>
        <w:tc>
          <w:tcPr>
            <w:tcW w:w="5920" w:type="dxa"/>
            <w:gridSpan w:val="2"/>
            <w:vAlign w:val="center"/>
          </w:tcPr>
          <w:p w14:paraId="1A76DC3F" w14:textId="31DEB444" w:rsidR="00EF4D50" w:rsidRPr="00651CB3" w:rsidRDefault="003263B8" w:rsidP="00EF4D50">
            <w:pPr>
              <w:ind w:firstLine="0"/>
              <w:rPr>
                <w:b/>
                <w:bCs/>
                <w:iCs/>
                <w:color w:val="000000" w:themeColor="text1"/>
                <w:sz w:val="24"/>
                <w:szCs w:val="24"/>
              </w:rPr>
            </w:pPr>
            <w:r w:rsidRPr="00651CB3">
              <w:rPr>
                <w:iCs/>
                <w:color w:val="000000" w:themeColor="text1"/>
                <w:sz w:val="24"/>
                <w:szCs w:val="24"/>
                <w:lang w:val="en"/>
              </w:rPr>
              <w:t>Highly concentrated</w:t>
            </w:r>
          </w:p>
        </w:tc>
      </w:tr>
      <w:tr w:rsidR="00706070" w14:paraId="3B31570C" w14:textId="77777777" w:rsidTr="00EF4D50">
        <w:trPr>
          <w:trHeight w:val="77"/>
          <w:jc w:val="center"/>
        </w:trPr>
        <w:tc>
          <w:tcPr>
            <w:tcW w:w="9605" w:type="dxa"/>
            <w:gridSpan w:val="3"/>
            <w:vAlign w:val="center"/>
          </w:tcPr>
          <w:p w14:paraId="66CF565F" w14:textId="77777777" w:rsidR="00EF4D50" w:rsidRPr="00651CB3" w:rsidRDefault="004C4BA9" w:rsidP="00EF4D50">
            <w:pPr>
              <w:ind w:firstLine="0"/>
              <w:rPr>
                <w:b/>
                <w:bCs/>
                <w:iCs/>
                <w:color w:val="000000" w:themeColor="text1"/>
                <w:sz w:val="24"/>
                <w:szCs w:val="24"/>
              </w:rPr>
            </w:pPr>
            <w:r w:rsidRPr="00651CB3">
              <w:rPr>
                <w:b/>
                <w:bCs/>
                <w:color w:val="000000" w:themeColor="text1"/>
                <w:sz w:val="24"/>
                <w:szCs w:val="24"/>
                <w:lang w:val="en"/>
              </w:rPr>
              <w:t>Almaty region</w:t>
            </w:r>
          </w:p>
        </w:tc>
      </w:tr>
      <w:tr w:rsidR="00706070" w14:paraId="636B8B67" w14:textId="77777777" w:rsidTr="00EF4D50">
        <w:trPr>
          <w:trHeight w:val="77"/>
          <w:jc w:val="center"/>
        </w:trPr>
        <w:tc>
          <w:tcPr>
            <w:tcW w:w="3685" w:type="dxa"/>
            <w:vMerge w:val="restart"/>
            <w:vAlign w:val="center"/>
          </w:tcPr>
          <w:p w14:paraId="6EE54DB5"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Talgar district</w:t>
            </w:r>
          </w:p>
        </w:tc>
        <w:tc>
          <w:tcPr>
            <w:tcW w:w="3828" w:type="dxa"/>
            <w:vAlign w:val="center"/>
          </w:tcPr>
          <w:p w14:paraId="6DE31D99"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57,05+18,09+16,94=</w:t>
            </w:r>
            <w:r w:rsidRPr="00651CB3">
              <w:rPr>
                <w:b/>
                <w:bCs/>
                <w:iCs/>
                <w:color w:val="000000" w:themeColor="text1"/>
                <w:sz w:val="24"/>
                <w:szCs w:val="24"/>
                <w:lang w:val="en"/>
              </w:rPr>
              <w:t>92,08</w:t>
            </w:r>
          </w:p>
        </w:tc>
        <w:tc>
          <w:tcPr>
            <w:tcW w:w="2092" w:type="dxa"/>
            <w:vAlign w:val="center"/>
          </w:tcPr>
          <w:p w14:paraId="3CF378BC"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3931</w:t>
            </w:r>
          </w:p>
        </w:tc>
      </w:tr>
      <w:tr w:rsidR="00706070" w14:paraId="1D255798" w14:textId="77777777" w:rsidTr="00EF4D50">
        <w:trPr>
          <w:trHeight w:val="77"/>
          <w:jc w:val="center"/>
        </w:trPr>
        <w:tc>
          <w:tcPr>
            <w:tcW w:w="3685" w:type="dxa"/>
            <w:vMerge/>
            <w:vAlign w:val="center"/>
          </w:tcPr>
          <w:p w14:paraId="2FCFD6B8" w14:textId="77777777" w:rsidR="00EF4D50" w:rsidRPr="00651CB3" w:rsidRDefault="00EF4D50" w:rsidP="00EF4D50">
            <w:pPr>
              <w:ind w:firstLine="0"/>
              <w:rPr>
                <w:color w:val="000000" w:themeColor="text1"/>
                <w:sz w:val="24"/>
                <w:szCs w:val="24"/>
              </w:rPr>
            </w:pPr>
          </w:p>
        </w:tc>
        <w:tc>
          <w:tcPr>
            <w:tcW w:w="5920" w:type="dxa"/>
            <w:gridSpan w:val="2"/>
            <w:vAlign w:val="center"/>
          </w:tcPr>
          <w:p w14:paraId="536D24B0" w14:textId="392F4509"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16C21481" w14:textId="77777777" w:rsidTr="00EF4D50">
        <w:trPr>
          <w:trHeight w:val="77"/>
          <w:jc w:val="center"/>
        </w:trPr>
        <w:tc>
          <w:tcPr>
            <w:tcW w:w="3685" w:type="dxa"/>
            <w:vMerge w:val="restart"/>
          </w:tcPr>
          <w:p w14:paraId="3C9E2C06"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Ily district</w:t>
            </w:r>
          </w:p>
        </w:tc>
        <w:tc>
          <w:tcPr>
            <w:tcW w:w="3828" w:type="dxa"/>
          </w:tcPr>
          <w:p w14:paraId="1B0BB8CD"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62,37+12,42+6,46=</w:t>
            </w:r>
            <w:r w:rsidRPr="00651CB3">
              <w:rPr>
                <w:b/>
                <w:bCs/>
                <w:iCs/>
                <w:color w:val="000000" w:themeColor="text1"/>
                <w:sz w:val="24"/>
                <w:szCs w:val="24"/>
                <w:lang w:val="en"/>
              </w:rPr>
              <w:t>81,25</w:t>
            </w:r>
          </w:p>
        </w:tc>
        <w:tc>
          <w:tcPr>
            <w:tcW w:w="2092" w:type="dxa"/>
          </w:tcPr>
          <w:p w14:paraId="2BBD430D"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4183</w:t>
            </w:r>
          </w:p>
        </w:tc>
      </w:tr>
      <w:tr w:rsidR="00706070" w14:paraId="6C8574A7" w14:textId="77777777" w:rsidTr="00EF4D50">
        <w:trPr>
          <w:trHeight w:val="77"/>
          <w:jc w:val="center"/>
        </w:trPr>
        <w:tc>
          <w:tcPr>
            <w:tcW w:w="3685" w:type="dxa"/>
            <w:vMerge/>
          </w:tcPr>
          <w:p w14:paraId="2E9956FB" w14:textId="77777777" w:rsidR="00EF4D50" w:rsidRPr="00651CB3" w:rsidRDefault="00EF4D50" w:rsidP="00EF4D50">
            <w:pPr>
              <w:ind w:firstLine="0"/>
              <w:rPr>
                <w:color w:val="000000" w:themeColor="text1"/>
                <w:sz w:val="24"/>
                <w:szCs w:val="24"/>
              </w:rPr>
            </w:pPr>
          </w:p>
        </w:tc>
        <w:tc>
          <w:tcPr>
            <w:tcW w:w="5920" w:type="dxa"/>
            <w:gridSpan w:val="2"/>
          </w:tcPr>
          <w:p w14:paraId="4BAAA4EA" w14:textId="5177FC3D"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66149674" w14:textId="77777777" w:rsidTr="00EF4D50">
        <w:trPr>
          <w:trHeight w:val="77"/>
          <w:jc w:val="center"/>
        </w:trPr>
        <w:tc>
          <w:tcPr>
            <w:tcW w:w="3685" w:type="dxa"/>
            <w:vMerge w:val="restart"/>
          </w:tcPr>
          <w:p w14:paraId="56D92E17"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Zhambyl district</w:t>
            </w:r>
          </w:p>
        </w:tc>
        <w:tc>
          <w:tcPr>
            <w:tcW w:w="3828" w:type="dxa"/>
          </w:tcPr>
          <w:p w14:paraId="64CA1945"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39,35+15,65+15,07=</w:t>
            </w:r>
            <w:r w:rsidRPr="00651CB3">
              <w:rPr>
                <w:b/>
                <w:bCs/>
                <w:iCs/>
                <w:color w:val="000000" w:themeColor="text1"/>
                <w:sz w:val="24"/>
                <w:szCs w:val="24"/>
                <w:lang w:val="en"/>
              </w:rPr>
              <w:t>70,07</w:t>
            </w:r>
          </w:p>
        </w:tc>
        <w:tc>
          <w:tcPr>
            <w:tcW w:w="2092" w:type="dxa"/>
          </w:tcPr>
          <w:p w14:paraId="38386201"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2342</w:t>
            </w:r>
          </w:p>
        </w:tc>
      </w:tr>
      <w:tr w:rsidR="00706070" w14:paraId="5101347A" w14:textId="77777777" w:rsidTr="00EF4D50">
        <w:trPr>
          <w:trHeight w:val="77"/>
          <w:jc w:val="center"/>
        </w:trPr>
        <w:tc>
          <w:tcPr>
            <w:tcW w:w="3685" w:type="dxa"/>
            <w:vMerge/>
          </w:tcPr>
          <w:p w14:paraId="3EDCD507" w14:textId="77777777" w:rsidR="00EF4D50" w:rsidRPr="00651CB3" w:rsidRDefault="00EF4D50" w:rsidP="00EF4D50">
            <w:pPr>
              <w:ind w:firstLine="0"/>
              <w:rPr>
                <w:color w:val="000000" w:themeColor="text1"/>
                <w:sz w:val="24"/>
                <w:szCs w:val="24"/>
              </w:rPr>
            </w:pPr>
          </w:p>
        </w:tc>
        <w:tc>
          <w:tcPr>
            <w:tcW w:w="5920" w:type="dxa"/>
            <w:gridSpan w:val="2"/>
          </w:tcPr>
          <w:p w14:paraId="38E5552B" w14:textId="49ADC941"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5A271984" w14:textId="77777777" w:rsidTr="00EF4D50">
        <w:trPr>
          <w:trHeight w:val="77"/>
          <w:jc w:val="center"/>
        </w:trPr>
        <w:tc>
          <w:tcPr>
            <w:tcW w:w="3685" w:type="dxa"/>
            <w:vMerge w:val="restart"/>
          </w:tcPr>
          <w:p w14:paraId="36470EB4" w14:textId="77777777" w:rsidR="00EF4D50" w:rsidRPr="00651CB3" w:rsidRDefault="004C4BA9" w:rsidP="00EF4D50">
            <w:pPr>
              <w:ind w:firstLine="0"/>
              <w:rPr>
                <w:b/>
                <w:bCs/>
                <w:color w:val="000000" w:themeColor="text1"/>
                <w:sz w:val="24"/>
                <w:szCs w:val="24"/>
              </w:rPr>
            </w:pPr>
            <w:r w:rsidRPr="00651CB3">
              <w:rPr>
                <w:b/>
                <w:color w:val="000000" w:themeColor="text1"/>
                <w:sz w:val="24"/>
                <w:szCs w:val="24"/>
                <w:lang w:val="en"/>
              </w:rPr>
              <w:t>Karasai district</w:t>
            </w:r>
          </w:p>
        </w:tc>
        <w:tc>
          <w:tcPr>
            <w:tcW w:w="3828" w:type="dxa"/>
          </w:tcPr>
          <w:p w14:paraId="5F0BD5D2"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81,84+8,18+6,05=</w:t>
            </w:r>
            <w:r w:rsidRPr="00651CB3">
              <w:rPr>
                <w:b/>
                <w:bCs/>
                <w:iCs/>
                <w:color w:val="000000" w:themeColor="text1"/>
                <w:sz w:val="24"/>
                <w:szCs w:val="24"/>
                <w:lang w:val="en"/>
              </w:rPr>
              <w:t>96,07</w:t>
            </w:r>
          </w:p>
        </w:tc>
        <w:tc>
          <w:tcPr>
            <w:tcW w:w="2092" w:type="dxa"/>
          </w:tcPr>
          <w:p w14:paraId="6416CF99"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6809</w:t>
            </w:r>
          </w:p>
        </w:tc>
      </w:tr>
      <w:tr w:rsidR="00706070" w14:paraId="5C4E83DB" w14:textId="77777777" w:rsidTr="00EF4D50">
        <w:trPr>
          <w:trHeight w:val="77"/>
          <w:jc w:val="center"/>
        </w:trPr>
        <w:tc>
          <w:tcPr>
            <w:tcW w:w="3685" w:type="dxa"/>
            <w:vMerge/>
          </w:tcPr>
          <w:p w14:paraId="290ABD3D" w14:textId="77777777" w:rsidR="00EF4D50" w:rsidRPr="00651CB3" w:rsidRDefault="00EF4D50" w:rsidP="00EF4D50">
            <w:pPr>
              <w:ind w:firstLine="0"/>
              <w:rPr>
                <w:color w:val="000000" w:themeColor="text1"/>
                <w:sz w:val="24"/>
                <w:szCs w:val="24"/>
              </w:rPr>
            </w:pPr>
          </w:p>
        </w:tc>
        <w:tc>
          <w:tcPr>
            <w:tcW w:w="5920" w:type="dxa"/>
            <w:gridSpan w:val="2"/>
          </w:tcPr>
          <w:p w14:paraId="1C0A904C" w14:textId="692AC71C"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76D35F5A" w14:textId="77777777" w:rsidTr="00EF4D50">
        <w:trPr>
          <w:trHeight w:val="77"/>
          <w:jc w:val="center"/>
        </w:trPr>
        <w:tc>
          <w:tcPr>
            <w:tcW w:w="3685" w:type="dxa"/>
            <w:vMerge w:val="restart"/>
          </w:tcPr>
          <w:p w14:paraId="4B255701" w14:textId="77777777" w:rsidR="00EF4D50" w:rsidRPr="00651CB3" w:rsidRDefault="004C4BA9" w:rsidP="00EF4D50">
            <w:pPr>
              <w:ind w:firstLine="0"/>
              <w:rPr>
                <w:b/>
                <w:color w:val="000000" w:themeColor="text1"/>
                <w:sz w:val="24"/>
                <w:szCs w:val="24"/>
              </w:rPr>
            </w:pPr>
            <w:r w:rsidRPr="00651CB3">
              <w:rPr>
                <w:b/>
                <w:color w:val="000000" w:themeColor="text1"/>
                <w:sz w:val="24"/>
                <w:szCs w:val="24"/>
                <w:lang w:val="en"/>
              </w:rPr>
              <w:t>Uygur district</w:t>
            </w:r>
          </w:p>
        </w:tc>
        <w:tc>
          <w:tcPr>
            <w:tcW w:w="3828" w:type="dxa"/>
          </w:tcPr>
          <w:p w14:paraId="72879129" w14:textId="77777777" w:rsidR="00EF4D50" w:rsidRPr="00651CB3" w:rsidRDefault="004C4BA9" w:rsidP="00EF4D50">
            <w:pPr>
              <w:ind w:firstLine="0"/>
              <w:rPr>
                <w:iCs/>
                <w:color w:val="000000" w:themeColor="text1"/>
                <w:sz w:val="24"/>
                <w:szCs w:val="24"/>
              </w:rPr>
            </w:pPr>
            <w:r w:rsidRPr="00651CB3">
              <w:rPr>
                <w:b/>
                <w:bCs/>
                <w:color w:val="000000" w:themeColor="text1"/>
                <w:sz w:val="24"/>
                <w:szCs w:val="24"/>
                <w:lang w:val="en"/>
              </w:rPr>
              <w:t>100.00</w:t>
            </w:r>
          </w:p>
        </w:tc>
        <w:tc>
          <w:tcPr>
            <w:tcW w:w="2092" w:type="dxa"/>
          </w:tcPr>
          <w:p w14:paraId="55D8BCE4" w14:textId="77777777" w:rsidR="00EF4D50" w:rsidRPr="00651CB3" w:rsidRDefault="004C4BA9" w:rsidP="00EF4D50">
            <w:pPr>
              <w:rPr>
                <w:b/>
                <w:bCs/>
                <w:iCs/>
                <w:color w:val="000000" w:themeColor="text1"/>
                <w:sz w:val="24"/>
                <w:szCs w:val="24"/>
              </w:rPr>
            </w:pPr>
            <w:r w:rsidRPr="00651CB3">
              <w:rPr>
                <w:b/>
                <w:bCs/>
                <w:color w:val="000000" w:themeColor="text1"/>
                <w:sz w:val="24"/>
                <w:szCs w:val="24"/>
                <w:lang w:val="en"/>
              </w:rPr>
              <w:t>10000.00</w:t>
            </w:r>
          </w:p>
        </w:tc>
      </w:tr>
      <w:tr w:rsidR="00706070" w14:paraId="46B78E6C" w14:textId="77777777" w:rsidTr="00EF4D50">
        <w:trPr>
          <w:trHeight w:val="77"/>
          <w:jc w:val="center"/>
        </w:trPr>
        <w:tc>
          <w:tcPr>
            <w:tcW w:w="3685" w:type="dxa"/>
            <w:vMerge/>
          </w:tcPr>
          <w:p w14:paraId="25FDE872" w14:textId="77777777" w:rsidR="00EF4D50" w:rsidRPr="00651CB3" w:rsidRDefault="00EF4D50" w:rsidP="00EF4D50">
            <w:pPr>
              <w:ind w:firstLine="0"/>
              <w:rPr>
                <w:color w:val="000000" w:themeColor="text1"/>
                <w:sz w:val="24"/>
                <w:szCs w:val="24"/>
              </w:rPr>
            </w:pPr>
          </w:p>
        </w:tc>
        <w:tc>
          <w:tcPr>
            <w:tcW w:w="5920" w:type="dxa"/>
            <w:gridSpan w:val="2"/>
          </w:tcPr>
          <w:p w14:paraId="18CB34DC" w14:textId="1A2E6CC1" w:rsidR="00EF4D50" w:rsidRPr="00651CB3" w:rsidRDefault="003263B8" w:rsidP="00EF4D50">
            <w:pPr>
              <w:ind w:firstLine="0"/>
              <w:rPr>
                <w:color w:val="000000" w:themeColor="text1"/>
                <w:sz w:val="24"/>
                <w:szCs w:val="24"/>
              </w:rPr>
            </w:pPr>
            <w:r w:rsidRPr="00651CB3">
              <w:rPr>
                <w:iCs/>
                <w:color w:val="000000" w:themeColor="text1"/>
                <w:sz w:val="24"/>
                <w:szCs w:val="24"/>
                <w:lang w:val="en"/>
              </w:rPr>
              <w:t>Highly concentrated</w:t>
            </w:r>
          </w:p>
        </w:tc>
      </w:tr>
      <w:tr w:rsidR="00706070" w14:paraId="10777B2D" w14:textId="77777777" w:rsidTr="00EF4D50">
        <w:trPr>
          <w:trHeight w:val="77"/>
          <w:jc w:val="center"/>
        </w:trPr>
        <w:tc>
          <w:tcPr>
            <w:tcW w:w="3685" w:type="dxa"/>
            <w:vMerge w:val="restart"/>
          </w:tcPr>
          <w:p w14:paraId="0ADFAF69" w14:textId="2EB5E6DB" w:rsidR="00EF4D50" w:rsidRPr="00651CB3" w:rsidRDefault="004C4BA9" w:rsidP="00EF4D50">
            <w:pPr>
              <w:ind w:firstLine="0"/>
              <w:rPr>
                <w:b/>
                <w:color w:val="000000" w:themeColor="text1"/>
                <w:sz w:val="24"/>
                <w:szCs w:val="24"/>
              </w:rPr>
            </w:pPr>
            <w:r w:rsidRPr="00651CB3">
              <w:rPr>
                <w:b/>
                <w:color w:val="000000" w:themeColor="text1"/>
                <w:sz w:val="24"/>
                <w:szCs w:val="24"/>
                <w:lang w:val="en"/>
              </w:rPr>
              <w:t>Konaev</w:t>
            </w:r>
          </w:p>
        </w:tc>
        <w:tc>
          <w:tcPr>
            <w:tcW w:w="3828" w:type="dxa"/>
          </w:tcPr>
          <w:p w14:paraId="42591162"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100.00</w:t>
            </w:r>
          </w:p>
        </w:tc>
        <w:tc>
          <w:tcPr>
            <w:tcW w:w="2092" w:type="dxa"/>
          </w:tcPr>
          <w:p w14:paraId="6DFCA5F4" w14:textId="77777777" w:rsidR="00EF4D50" w:rsidRPr="00651CB3" w:rsidRDefault="004C4BA9" w:rsidP="00EF4D50">
            <w:pPr>
              <w:rPr>
                <w:b/>
                <w:bCs/>
                <w:color w:val="000000" w:themeColor="text1"/>
                <w:sz w:val="24"/>
                <w:szCs w:val="24"/>
              </w:rPr>
            </w:pPr>
            <w:r w:rsidRPr="00651CB3">
              <w:rPr>
                <w:b/>
                <w:bCs/>
                <w:color w:val="000000" w:themeColor="text1"/>
                <w:sz w:val="24"/>
                <w:szCs w:val="24"/>
                <w:lang w:val="en"/>
              </w:rPr>
              <w:t>10000</w:t>
            </w:r>
          </w:p>
        </w:tc>
      </w:tr>
      <w:tr w:rsidR="00706070" w14:paraId="6200768D" w14:textId="77777777" w:rsidTr="00EF4D50">
        <w:trPr>
          <w:trHeight w:val="77"/>
          <w:jc w:val="center"/>
        </w:trPr>
        <w:tc>
          <w:tcPr>
            <w:tcW w:w="3685" w:type="dxa"/>
            <w:vMerge/>
          </w:tcPr>
          <w:p w14:paraId="52BD38CD" w14:textId="77777777" w:rsidR="00EF4D50" w:rsidRPr="00651CB3" w:rsidRDefault="00EF4D50" w:rsidP="00EF4D50">
            <w:pPr>
              <w:ind w:firstLine="0"/>
              <w:rPr>
                <w:color w:val="000000" w:themeColor="text1"/>
                <w:sz w:val="24"/>
                <w:szCs w:val="24"/>
              </w:rPr>
            </w:pPr>
          </w:p>
        </w:tc>
        <w:tc>
          <w:tcPr>
            <w:tcW w:w="5920" w:type="dxa"/>
            <w:gridSpan w:val="2"/>
          </w:tcPr>
          <w:p w14:paraId="4038E6F1" w14:textId="102D5478" w:rsidR="00EF4D50" w:rsidRPr="00651CB3" w:rsidRDefault="003263B8" w:rsidP="00EF4D50">
            <w:pPr>
              <w:ind w:firstLine="0"/>
              <w:rPr>
                <w:color w:val="000000" w:themeColor="text1"/>
                <w:sz w:val="24"/>
                <w:szCs w:val="24"/>
              </w:rPr>
            </w:pPr>
            <w:r w:rsidRPr="00651CB3">
              <w:rPr>
                <w:iCs/>
                <w:color w:val="000000" w:themeColor="text1"/>
                <w:sz w:val="24"/>
                <w:szCs w:val="24"/>
                <w:lang w:val="en"/>
              </w:rPr>
              <w:t>Highly concentrated</w:t>
            </w:r>
          </w:p>
        </w:tc>
      </w:tr>
      <w:tr w:rsidR="00706070" w14:paraId="59DE3609" w14:textId="77777777" w:rsidTr="00EF4D50">
        <w:trPr>
          <w:trHeight w:val="64"/>
          <w:jc w:val="center"/>
        </w:trPr>
        <w:tc>
          <w:tcPr>
            <w:tcW w:w="9605" w:type="dxa"/>
            <w:gridSpan w:val="3"/>
          </w:tcPr>
          <w:p w14:paraId="46D0F89B" w14:textId="77777777" w:rsidR="00EF4D50" w:rsidRPr="00651CB3" w:rsidRDefault="004C4BA9" w:rsidP="00EF4D50">
            <w:pPr>
              <w:ind w:firstLine="0"/>
              <w:rPr>
                <w:b/>
                <w:bCs/>
                <w:color w:val="000000" w:themeColor="text1"/>
                <w:sz w:val="24"/>
                <w:szCs w:val="24"/>
              </w:rPr>
            </w:pPr>
            <w:r w:rsidRPr="00651CB3">
              <w:rPr>
                <w:b/>
                <w:bCs/>
                <w:color w:val="000000" w:themeColor="text1"/>
                <w:sz w:val="24"/>
                <w:szCs w:val="24"/>
                <w:lang w:val="en"/>
              </w:rPr>
              <w:t>Zhetisu Region</w:t>
            </w:r>
          </w:p>
        </w:tc>
      </w:tr>
      <w:tr w:rsidR="00706070" w14:paraId="7528B06D" w14:textId="77777777" w:rsidTr="00EF4D50">
        <w:trPr>
          <w:trHeight w:val="77"/>
          <w:jc w:val="center"/>
        </w:trPr>
        <w:tc>
          <w:tcPr>
            <w:tcW w:w="3685" w:type="dxa"/>
            <w:vMerge w:val="restart"/>
          </w:tcPr>
          <w:p w14:paraId="3CCBEE68" w14:textId="6F9F9ADD" w:rsidR="00EF4D50" w:rsidRPr="00651CB3" w:rsidRDefault="004C4BA9" w:rsidP="00EF4D50">
            <w:pPr>
              <w:ind w:firstLine="0"/>
              <w:rPr>
                <w:b/>
                <w:color w:val="000000" w:themeColor="text1"/>
                <w:sz w:val="24"/>
                <w:szCs w:val="24"/>
              </w:rPr>
            </w:pPr>
            <w:r w:rsidRPr="00651CB3">
              <w:rPr>
                <w:b/>
                <w:color w:val="000000" w:themeColor="text1"/>
                <w:sz w:val="24"/>
                <w:szCs w:val="24"/>
                <w:lang w:val="en"/>
              </w:rPr>
              <w:t>Taldykorgan</w:t>
            </w:r>
          </w:p>
        </w:tc>
        <w:tc>
          <w:tcPr>
            <w:tcW w:w="3828" w:type="dxa"/>
          </w:tcPr>
          <w:p w14:paraId="7685DE46" w14:textId="77777777" w:rsidR="00EF4D50" w:rsidRPr="00651CB3" w:rsidRDefault="004C4BA9" w:rsidP="00EF4D50">
            <w:pPr>
              <w:ind w:firstLine="0"/>
              <w:rPr>
                <w:iCs/>
                <w:color w:val="000000" w:themeColor="text1"/>
                <w:sz w:val="24"/>
                <w:szCs w:val="24"/>
              </w:rPr>
            </w:pPr>
            <w:r w:rsidRPr="00651CB3">
              <w:rPr>
                <w:iCs/>
                <w:color w:val="000000" w:themeColor="text1"/>
                <w:sz w:val="24"/>
                <w:szCs w:val="24"/>
                <w:lang w:val="en"/>
              </w:rPr>
              <w:t>39,3+35,3+20,8=</w:t>
            </w:r>
            <w:r w:rsidRPr="00651CB3">
              <w:rPr>
                <w:b/>
                <w:bCs/>
                <w:iCs/>
                <w:color w:val="000000" w:themeColor="text1"/>
                <w:sz w:val="24"/>
                <w:szCs w:val="24"/>
                <w:lang w:val="en"/>
              </w:rPr>
              <w:t>95,4</w:t>
            </w:r>
          </w:p>
        </w:tc>
        <w:tc>
          <w:tcPr>
            <w:tcW w:w="2092" w:type="dxa"/>
          </w:tcPr>
          <w:p w14:paraId="08AD231C"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3244</w:t>
            </w:r>
          </w:p>
        </w:tc>
      </w:tr>
      <w:tr w:rsidR="00706070" w14:paraId="25E4701E" w14:textId="77777777" w:rsidTr="00EF4D50">
        <w:trPr>
          <w:trHeight w:val="77"/>
          <w:jc w:val="center"/>
        </w:trPr>
        <w:tc>
          <w:tcPr>
            <w:tcW w:w="3685" w:type="dxa"/>
            <w:vMerge/>
          </w:tcPr>
          <w:p w14:paraId="35053BD6" w14:textId="77777777" w:rsidR="00EF4D50" w:rsidRPr="00651CB3" w:rsidRDefault="00EF4D50" w:rsidP="00EF4D50">
            <w:pPr>
              <w:ind w:firstLine="0"/>
              <w:rPr>
                <w:color w:val="000000" w:themeColor="text1"/>
                <w:sz w:val="24"/>
                <w:szCs w:val="24"/>
              </w:rPr>
            </w:pPr>
          </w:p>
        </w:tc>
        <w:tc>
          <w:tcPr>
            <w:tcW w:w="5920" w:type="dxa"/>
            <w:gridSpan w:val="2"/>
          </w:tcPr>
          <w:p w14:paraId="24D54C7F" w14:textId="5A963908"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60931A9C" w14:textId="77777777" w:rsidTr="00EF4D50">
        <w:trPr>
          <w:trHeight w:val="77"/>
          <w:jc w:val="center"/>
        </w:trPr>
        <w:tc>
          <w:tcPr>
            <w:tcW w:w="3685" w:type="dxa"/>
            <w:vMerge w:val="restart"/>
          </w:tcPr>
          <w:p w14:paraId="47ADE96B" w14:textId="77777777" w:rsidR="00EF4D50" w:rsidRPr="00651CB3" w:rsidRDefault="004C4BA9" w:rsidP="00EF4D50">
            <w:pPr>
              <w:ind w:firstLine="0"/>
              <w:rPr>
                <w:b/>
                <w:color w:val="000000" w:themeColor="text1"/>
                <w:sz w:val="24"/>
                <w:szCs w:val="24"/>
              </w:rPr>
            </w:pPr>
            <w:r w:rsidRPr="00651CB3">
              <w:rPr>
                <w:b/>
                <w:color w:val="000000" w:themeColor="text1"/>
                <w:sz w:val="24"/>
                <w:szCs w:val="24"/>
                <w:lang w:val="en"/>
              </w:rPr>
              <w:t>Koksu district</w:t>
            </w:r>
          </w:p>
        </w:tc>
        <w:tc>
          <w:tcPr>
            <w:tcW w:w="3828" w:type="dxa"/>
          </w:tcPr>
          <w:p w14:paraId="75E08263" w14:textId="77777777" w:rsidR="00EF4D50" w:rsidRPr="00651CB3" w:rsidRDefault="004C4BA9" w:rsidP="00EF4D50">
            <w:pPr>
              <w:ind w:firstLine="0"/>
              <w:rPr>
                <w:b/>
                <w:bCs/>
                <w:iCs/>
                <w:color w:val="000000" w:themeColor="text1"/>
                <w:sz w:val="24"/>
                <w:szCs w:val="24"/>
              </w:rPr>
            </w:pPr>
            <w:r w:rsidRPr="00651CB3">
              <w:rPr>
                <w:b/>
                <w:bCs/>
                <w:color w:val="000000" w:themeColor="text1"/>
                <w:sz w:val="24"/>
                <w:szCs w:val="24"/>
                <w:lang w:val="en"/>
              </w:rPr>
              <w:t>100.00</w:t>
            </w:r>
          </w:p>
        </w:tc>
        <w:tc>
          <w:tcPr>
            <w:tcW w:w="2092" w:type="dxa"/>
          </w:tcPr>
          <w:p w14:paraId="40F70BF9" w14:textId="77777777" w:rsidR="00EF4D50" w:rsidRPr="00651CB3" w:rsidRDefault="004C4BA9" w:rsidP="00EF4D50">
            <w:pPr>
              <w:rPr>
                <w:b/>
                <w:bCs/>
                <w:iCs/>
                <w:color w:val="000000" w:themeColor="text1"/>
                <w:sz w:val="24"/>
                <w:szCs w:val="24"/>
              </w:rPr>
            </w:pPr>
            <w:r w:rsidRPr="00651CB3">
              <w:rPr>
                <w:b/>
                <w:bCs/>
                <w:color w:val="000000" w:themeColor="text1"/>
                <w:sz w:val="24"/>
                <w:szCs w:val="24"/>
                <w:lang w:val="en"/>
              </w:rPr>
              <w:t>10000.00</w:t>
            </w:r>
          </w:p>
        </w:tc>
      </w:tr>
      <w:tr w:rsidR="00706070" w14:paraId="44870258" w14:textId="77777777" w:rsidTr="00EF4D50">
        <w:trPr>
          <w:trHeight w:val="77"/>
          <w:jc w:val="center"/>
        </w:trPr>
        <w:tc>
          <w:tcPr>
            <w:tcW w:w="3685" w:type="dxa"/>
            <w:vMerge/>
          </w:tcPr>
          <w:p w14:paraId="0670B3A2" w14:textId="77777777" w:rsidR="00EF4D50" w:rsidRPr="00651CB3" w:rsidRDefault="00EF4D50" w:rsidP="00EF4D50">
            <w:pPr>
              <w:ind w:firstLine="0"/>
              <w:rPr>
                <w:color w:val="000000" w:themeColor="text1"/>
                <w:sz w:val="24"/>
                <w:szCs w:val="24"/>
              </w:rPr>
            </w:pPr>
          </w:p>
        </w:tc>
        <w:tc>
          <w:tcPr>
            <w:tcW w:w="5920" w:type="dxa"/>
            <w:gridSpan w:val="2"/>
          </w:tcPr>
          <w:p w14:paraId="2CA802FA" w14:textId="14CB85C9" w:rsidR="00EF4D50" w:rsidRPr="00651CB3" w:rsidRDefault="003263B8" w:rsidP="00EF4D50">
            <w:pPr>
              <w:ind w:firstLine="0"/>
              <w:rPr>
                <w:color w:val="000000" w:themeColor="text1"/>
                <w:sz w:val="24"/>
                <w:szCs w:val="24"/>
              </w:rPr>
            </w:pPr>
            <w:r w:rsidRPr="00651CB3">
              <w:rPr>
                <w:iCs/>
                <w:color w:val="000000" w:themeColor="text1"/>
                <w:sz w:val="24"/>
                <w:szCs w:val="24"/>
                <w:lang w:val="en"/>
              </w:rPr>
              <w:t>Highly concentrated</w:t>
            </w:r>
          </w:p>
        </w:tc>
      </w:tr>
      <w:tr w:rsidR="00706070" w14:paraId="09C09FB7" w14:textId="77777777" w:rsidTr="00EF4D50">
        <w:trPr>
          <w:trHeight w:val="77"/>
          <w:jc w:val="center"/>
        </w:trPr>
        <w:tc>
          <w:tcPr>
            <w:tcW w:w="3685" w:type="dxa"/>
            <w:vMerge w:val="restart"/>
          </w:tcPr>
          <w:p w14:paraId="0A71B56D" w14:textId="77777777" w:rsidR="00EF4D50" w:rsidRPr="00651CB3" w:rsidRDefault="004C4BA9" w:rsidP="00EF4D50">
            <w:pPr>
              <w:ind w:firstLine="0"/>
              <w:rPr>
                <w:b/>
                <w:color w:val="000000" w:themeColor="text1"/>
                <w:sz w:val="24"/>
                <w:szCs w:val="24"/>
              </w:rPr>
            </w:pPr>
            <w:r w:rsidRPr="00651CB3">
              <w:rPr>
                <w:b/>
                <w:color w:val="000000" w:themeColor="text1"/>
                <w:sz w:val="24"/>
                <w:szCs w:val="24"/>
                <w:lang w:val="en"/>
              </w:rPr>
              <w:t>Eskeldinsky district</w:t>
            </w:r>
          </w:p>
        </w:tc>
        <w:tc>
          <w:tcPr>
            <w:tcW w:w="3828" w:type="dxa"/>
          </w:tcPr>
          <w:p w14:paraId="4749C6B4" w14:textId="77777777" w:rsidR="00EF4D50" w:rsidRPr="00651CB3" w:rsidRDefault="004C4BA9" w:rsidP="00EF4D50">
            <w:pPr>
              <w:ind w:firstLine="0"/>
              <w:rPr>
                <w:iCs/>
                <w:color w:val="000000" w:themeColor="text1"/>
                <w:sz w:val="24"/>
                <w:szCs w:val="24"/>
              </w:rPr>
            </w:pPr>
            <w:r w:rsidRPr="00651CB3">
              <w:rPr>
                <w:color w:val="000000" w:themeColor="text1"/>
                <w:sz w:val="24"/>
                <w:szCs w:val="24"/>
                <w:lang w:val="en"/>
              </w:rPr>
              <w:t>67+33=</w:t>
            </w:r>
            <w:r w:rsidRPr="00651CB3">
              <w:rPr>
                <w:b/>
                <w:bCs/>
                <w:iCs/>
                <w:color w:val="000000" w:themeColor="text1"/>
                <w:sz w:val="24"/>
                <w:szCs w:val="24"/>
                <w:lang w:val="en"/>
              </w:rPr>
              <w:t>100</w:t>
            </w:r>
          </w:p>
        </w:tc>
        <w:tc>
          <w:tcPr>
            <w:tcW w:w="2092" w:type="dxa"/>
          </w:tcPr>
          <w:p w14:paraId="7458B264" w14:textId="77777777" w:rsidR="00EF4D50" w:rsidRPr="00651CB3" w:rsidRDefault="004C4BA9" w:rsidP="00EF4D50">
            <w:pPr>
              <w:rPr>
                <w:b/>
                <w:bCs/>
                <w:iCs/>
                <w:color w:val="000000" w:themeColor="text1"/>
                <w:sz w:val="24"/>
                <w:szCs w:val="24"/>
              </w:rPr>
            </w:pPr>
            <w:r w:rsidRPr="00651CB3">
              <w:rPr>
                <w:b/>
                <w:bCs/>
                <w:iCs/>
                <w:color w:val="000000" w:themeColor="text1"/>
                <w:sz w:val="24"/>
                <w:szCs w:val="24"/>
                <w:lang w:val="en"/>
              </w:rPr>
              <w:t>5578</w:t>
            </w:r>
          </w:p>
        </w:tc>
      </w:tr>
      <w:tr w:rsidR="00706070" w14:paraId="7F0239CD" w14:textId="77777777" w:rsidTr="00EF4D50">
        <w:trPr>
          <w:trHeight w:val="77"/>
          <w:jc w:val="center"/>
        </w:trPr>
        <w:tc>
          <w:tcPr>
            <w:tcW w:w="3685" w:type="dxa"/>
            <w:vMerge/>
          </w:tcPr>
          <w:p w14:paraId="3DBBECD9" w14:textId="77777777" w:rsidR="00EF4D50" w:rsidRPr="00651CB3" w:rsidRDefault="00EF4D50" w:rsidP="00EF4D50">
            <w:pPr>
              <w:ind w:firstLine="0"/>
              <w:rPr>
                <w:color w:val="000000" w:themeColor="text1"/>
                <w:sz w:val="24"/>
                <w:szCs w:val="24"/>
              </w:rPr>
            </w:pPr>
          </w:p>
        </w:tc>
        <w:tc>
          <w:tcPr>
            <w:tcW w:w="5920" w:type="dxa"/>
            <w:gridSpan w:val="2"/>
          </w:tcPr>
          <w:p w14:paraId="6D7A119A" w14:textId="257D494F"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r w:rsidR="00706070" w14:paraId="692210A7" w14:textId="77777777" w:rsidTr="00EF4D50">
        <w:trPr>
          <w:trHeight w:val="77"/>
          <w:jc w:val="center"/>
        </w:trPr>
        <w:tc>
          <w:tcPr>
            <w:tcW w:w="3685" w:type="dxa"/>
            <w:vMerge w:val="restart"/>
          </w:tcPr>
          <w:p w14:paraId="13706D3A" w14:textId="77777777" w:rsidR="00EF4D50" w:rsidRPr="00651CB3" w:rsidRDefault="004C4BA9" w:rsidP="00EF4D50">
            <w:pPr>
              <w:ind w:firstLine="0"/>
              <w:rPr>
                <w:b/>
                <w:color w:val="000000" w:themeColor="text1"/>
                <w:sz w:val="24"/>
                <w:szCs w:val="24"/>
              </w:rPr>
            </w:pPr>
            <w:r w:rsidRPr="00651CB3">
              <w:rPr>
                <w:b/>
                <w:color w:val="000000" w:themeColor="text1"/>
                <w:sz w:val="24"/>
                <w:szCs w:val="24"/>
                <w:lang w:val="en"/>
              </w:rPr>
              <w:t>Panfilovsky district</w:t>
            </w:r>
          </w:p>
        </w:tc>
        <w:tc>
          <w:tcPr>
            <w:tcW w:w="3828" w:type="dxa"/>
          </w:tcPr>
          <w:p w14:paraId="5B1B185E" w14:textId="77777777" w:rsidR="00EF4D50" w:rsidRPr="00651CB3" w:rsidRDefault="004C4BA9" w:rsidP="00EF4D50">
            <w:pPr>
              <w:ind w:firstLine="0"/>
              <w:rPr>
                <w:b/>
                <w:bCs/>
                <w:iCs/>
                <w:color w:val="000000" w:themeColor="text1"/>
                <w:sz w:val="24"/>
                <w:szCs w:val="24"/>
              </w:rPr>
            </w:pPr>
            <w:r w:rsidRPr="00651CB3">
              <w:rPr>
                <w:b/>
                <w:bCs/>
                <w:color w:val="000000" w:themeColor="text1"/>
                <w:sz w:val="24"/>
                <w:szCs w:val="24"/>
                <w:lang w:val="en"/>
              </w:rPr>
              <w:t>100.00</w:t>
            </w:r>
          </w:p>
        </w:tc>
        <w:tc>
          <w:tcPr>
            <w:tcW w:w="2092" w:type="dxa"/>
          </w:tcPr>
          <w:p w14:paraId="3982C73C" w14:textId="77777777" w:rsidR="00EF4D50" w:rsidRPr="00651CB3" w:rsidRDefault="004C4BA9" w:rsidP="00EF4D50">
            <w:pPr>
              <w:rPr>
                <w:b/>
                <w:bCs/>
                <w:iCs/>
                <w:color w:val="000000" w:themeColor="text1"/>
                <w:sz w:val="24"/>
                <w:szCs w:val="24"/>
              </w:rPr>
            </w:pPr>
            <w:r w:rsidRPr="00651CB3">
              <w:rPr>
                <w:b/>
                <w:bCs/>
                <w:color w:val="000000" w:themeColor="text1"/>
                <w:sz w:val="24"/>
                <w:szCs w:val="24"/>
                <w:lang w:val="en"/>
              </w:rPr>
              <w:t>10000.00</w:t>
            </w:r>
          </w:p>
        </w:tc>
      </w:tr>
      <w:tr w:rsidR="00706070" w14:paraId="27B5101F" w14:textId="77777777" w:rsidTr="00EF4D50">
        <w:trPr>
          <w:trHeight w:val="64"/>
          <w:jc w:val="center"/>
        </w:trPr>
        <w:tc>
          <w:tcPr>
            <w:tcW w:w="3685" w:type="dxa"/>
            <w:vMerge/>
          </w:tcPr>
          <w:p w14:paraId="5AE5B7EC" w14:textId="77777777" w:rsidR="00EF4D50" w:rsidRPr="00651CB3" w:rsidRDefault="00EF4D50" w:rsidP="00EF4D50">
            <w:pPr>
              <w:ind w:firstLine="0"/>
              <w:rPr>
                <w:color w:val="000000" w:themeColor="text1"/>
                <w:sz w:val="24"/>
                <w:szCs w:val="24"/>
              </w:rPr>
            </w:pPr>
          </w:p>
        </w:tc>
        <w:tc>
          <w:tcPr>
            <w:tcW w:w="5920" w:type="dxa"/>
            <w:gridSpan w:val="2"/>
          </w:tcPr>
          <w:p w14:paraId="39CDD019" w14:textId="011850D8" w:rsidR="00EF4D50" w:rsidRPr="00651CB3" w:rsidRDefault="003263B8" w:rsidP="00EF4D50">
            <w:pPr>
              <w:ind w:firstLine="0"/>
              <w:rPr>
                <w:iCs/>
                <w:color w:val="000000" w:themeColor="text1"/>
                <w:sz w:val="24"/>
                <w:szCs w:val="24"/>
              </w:rPr>
            </w:pPr>
            <w:r w:rsidRPr="00651CB3">
              <w:rPr>
                <w:iCs/>
                <w:color w:val="000000" w:themeColor="text1"/>
                <w:sz w:val="24"/>
                <w:szCs w:val="24"/>
                <w:lang w:val="en"/>
              </w:rPr>
              <w:t>Highly concentrated</w:t>
            </w:r>
          </w:p>
        </w:tc>
      </w:tr>
    </w:tbl>
    <w:p w14:paraId="68384236" w14:textId="77777777" w:rsidR="00ED638C" w:rsidRPr="001529C7" w:rsidRDefault="004C4BA9" w:rsidP="00EF4D50">
      <w:pPr>
        <w:spacing w:before="120"/>
        <w:ind w:firstLine="0"/>
        <w:rPr>
          <w:b/>
          <w:bCs/>
          <w:i/>
          <w:color w:val="000000" w:themeColor="text1"/>
        </w:rPr>
      </w:pPr>
      <w:r w:rsidRPr="001529C7">
        <w:rPr>
          <w:b/>
          <w:bCs/>
          <w:i/>
          <w:color w:val="000000" w:themeColor="text1"/>
          <w:lang w:val="en"/>
        </w:rPr>
        <w:tab/>
        <w:t>Barriers for competition development</w:t>
      </w:r>
    </w:p>
    <w:p w14:paraId="5151005C" w14:textId="77777777" w:rsidR="00EF4D50" w:rsidRPr="00A57506" w:rsidRDefault="004C4BA9" w:rsidP="00EF4D50">
      <w:pPr>
        <w:rPr>
          <w:color w:val="000000" w:themeColor="text1"/>
          <w:lang w:val="en-US"/>
        </w:rPr>
      </w:pPr>
      <w:r w:rsidRPr="001529C7">
        <w:rPr>
          <w:color w:val="000000" w:themeColor="text1"/>
          <w:lang w:val="en"/>
        </w:rPr>
        <w:t>It should be noted that country's gasification indicators depend on expedited and larger "last mile" CIW, since commissioning of distribution networks is still insufficient. The final gasification is completed when subscriber is connected to the distribution network.</w:t>
      </w:r>
    </w:p>
    <w:p w14:paraId="2B87B518" w14:textId="77777777" w:rsidR="00EF4D50" w:rsidRPr="00A57506" w:rsidRDefault="004C4BA9" w:rsidP="00EF4D50">
      <w:pPr>
        <w:rPr>
          <w:color w:val="000000" w:themeColor="text1"/>
          <w:lang w:val="en-US"/>
        </w:rPr>
      </w:pPr>
      <w:r w:rsidRPr="001529C7">
        <w:rPr>
          <w:color w:val="000000" w:themeColor="text1"/>
          <w:lang w:val="en"/>
        </w:rPr>
        <w:t xml:space="preserve"> From this point of view, National Gas Operator </w:t>
      </w:r>
      <w:r w:rsidRPr="00D17C56">
        <w:rPr>
          <w:i/>
          <w:color w:val="000000" w:themeColor="text1"/>
          <w:sz w:val="24"/>
          <w:lang w:val="en"/>
        </w:rPr>
        <w:t>(QazaqGas JSC, Kaztransgas Aimak JSC)</w:t>
      </w:r>
      <w:r w:rsidRPr="001529C7">
        <w:rPr>
          <w:color w:val="000000" w:themeColor="text1"/>
          <w:lang w:val="en"/>
        </w:rPr>
        <w:t xml:space="preserve"> is interested in development of this direction.</w:t>
      </w:r>
    </w:p>
    <w:p w14:paraId="103B343C" w14:textId="77777777" w:rsidR="00EF4D50" w:rsidRPr="00A57506" w:rsidRDefault="004C4BA9" w:rsidP="00EF4D50">
      <w:pPr>
        <w:rPr>
          <w:color w:val="000000" w:themeColor="text1"/>
          <w:lang w:val="en-US"/>
        </w:rPr>
      </w:pPr>
      <w:r w:rsidRPr="001529C7">
        <w:rPr>
          <w:color w:val="000000" w:themeColor="text1"/>
          <w:lang w:val="en"/>
        </w:rPr>
        <w:t>According to the Law "On Gas and Gas Supply", the function and responsibility of the National Operator is to participate in implementation of state policy in the field of gas, as well as in implementation of the general gasification scheme.</w:t>
      </w:r>
    </w:p>
    <w:p w14:paraId="4A4FA575" w14:textId="77777777" w:rsidR="00EF4D50" w:rsidRPr="00A57506" w:rsidRDefault="004C4BA9" w:rsidP="00EF4D50">
      <w:pPr>
        <w:rPr>
          <w:color w:val="000000" w:themeColor="text1"/>
          <w:lang w:val="en-US"/>
        </w:rPr>
      </w:pPr>
      <w:r w:rsidRPr="001529C7">
        <w:rPr>
          <w:color w:val="000000" w:themeColor="text1"/>
          <w:lang w:val="en"/>
        </w:rPr>
        <w:t xml:space="preserve">In turn, gasification is a set of measures aimed at using commercial and (or) liquefied petroleum gas as fuel for housing and municipal services, industrial, agricultural and other facilities </w:t>
      </w:r>
      <w:r w:rsidRPr="00D17C56">
        <w:rPr>
          <w:i/>
          <w:color w:val="000000" w:themeColor="text1"/>
          <w:sz w:val="24"/>
          <w:lang w:val="en"/>
        </w:rPr>
        <w:t>(Clause 10 of Article 1 of the Law "On Gas and Gas Supply")</w:t>
      </w:r>
      <w:r w:rsidRPr="001529C7">
        <w:rPr>
          <w:color w:val="000000" w:themeColor="text1"/>
          <w:lang w:val="en"/>
        </w:rPr>
        <w:t>.</w:t>
      </w:r>
    </w:p>
    <w:p w14:paraId="6C8B542A" w14:textId="77777777" w:rsidR="00EF4D50" w:rsidRPr="00A57506" w:rsidRDefault="004C4BA9" w:rsidP="00EF4D50">
      <w:pPr>
        <w:rPr>
          <w:color w:val="000000" w:themeColor="text1"/>
          <w:lang w:val="en-US"/>
        </w:rPr>
      </w:pPr>
      <w:r w:rsidRPr="001529C7">
        <w:rPr>
          <w:color w:val="000000" w:themeColor="text1"/>
          <w:lang w:val="en"/>
        </w:rPr>
        <w:t>In this connection, CIW of intra-house networks also refers to gasification, the implementation of which, not directly, but indirectly, is assigned by Law to the National Operator.</w:t>
      </w:r>
    </w:p>
    <w:p w14:paraId="3828C738" w14:textId="77777777" w:rsidR="00EF4D50" w:rsidRPr="00A57506" w:rsidRDefault="004C4BA9" w:rsidP="00EF4D50">
      <w:pPr>
        <w:rPr>
          <w:color w:val="000000" w:themeColor="text1"/>
          <w:lang w:val="en-US"/>
        </w:rPr>
      </w:pPr>
      <w:r w:rsidRPr="001529C7">
        <w:rPr>
          <w:color w:val="000000" w:themeColor="text1"/>
          <w:lang w:val="en"/>
        </w:rPr>
        <w:t>With that , in fact, the National Operator has a real opportunity to implement gasification function at construction of trunk and distribution networks.</w:t>
      </w:r>
    </w:p>
    <w:p w14:paraId="0F6F81D8" w14:textId="77777777" w:rsidR="00EF4D50" w:rsidRPr="00A57506" w:rsidRDefault="004C4BA9" w:rsidP="00EF4D50">
      <w:pPr>
        <w:rPr>
          <w:color w:val="000000" w:themeColor="text1"/>
          <w:lang w:val="en-US"/>
        </w:rPr>
      </w:pPr>
      <w:r w:rsidRPr="001529C7">
        <w:rPr>
          <w:color w:val="000000" w:themeColor="text1"/>
          <w:lang w:val="en"/>
        </w:rPr>
        <w:t xml:space="preserve">In turn, the "last mile" section is located in free market environment and in fact should be carried out by </w:t>
      </w:r>
      <w:r w:rsidRPr="00651CB3">
        <w:rPr>
          <w:b/>
          <w:color w:val="000000" w:themeColor="text1"/>
          <w:lang w:val="en"/>
        </w:rPr>
        <w:t>potential gas subscribers independently</w:t>
      </w:r>
      <w:r w:rsidRPr="001529C7">
        <w:rPr>
          <w:color w:val="000000" w:themeColor="text1"/>
          <w:lang w:val="en"/>
        </w:rPr>
        <w:t xml:space="preserve"> through search and attraction of CICs.</w:t>
      </w:r>
    </w:p>
    <w:p w14:paraId="43D4EE6C" w14:textId="77777777" w:rsidR="00EF4D50" w:rsidRPr="00A57506" w:rsidRDefault="004C4BA9" w:rsidP="00EF4D50">
      <w:pPr>
        <w:rPr>
          <w:color w:val="000000" w:themeColor="text1"/>
          <w:lang w:val="en-US"/>
        </w:rPr>
      </w:pPr>
      <w:r w:rsidRPr="001529C7">
        <w:rPr>
          <w:color w:val="000000" w:themeColor="text1"/>
          <w:lang w:val="en"/>
        </w:rPr>
        <w:t xml:space="preserve">With that, activity of the CICs is in a competitive environment. To date, more </w:t>
      </w:r>
      <w:r w:rsidRPr="00651CB3">
        <w:rPr>
          <w:b/>
          <w:color w:val="000000" w:themeColor="text1"/>
          <w:lang w:val="en"/>
        </w:rPr>
        <w:t>than 400 licenses</w:t>
      </w:r>
      <w:r w:rsidRPr="001529C7">
        <w:rPr>
          <w:color w:val="000000" w:themeColor="text1"/>
          <w:lang w:val="en"/>
        </w:rPr>
        <w:t xml:space="preserve"> have been issued for CIW on low-pressure gas pipelines. </w:t>
      </w:r>
    </w:p>
    <w:p w14:paraId="5ACB6C7D" w14:textId="77777777" w:rsidR="00EF4D50" w:rsidRPr="00A57506" w:rsidRDefault="004C4BA9" w:rsidP="00EF4D50">
      <w:pPr>
        <w:rPr>
          <w:color w:val="000000" w:themeColor="text1"/>
          <w:lang w:val="en-US"/>
        </w:rPr>
      </w:pPr>
      <w:r w:rsidRPr="001529C7">
        <w:rPr>
          <w:color w:val="000000" w:themeColor="text1"/>
          <w:lang w:val="en"/>
        </w:rPr>
        <w:t xml:space="preserve">However, the monopolistic presence of the National Operator in the entire gas industry </w:t>
      </w:r>
      <w:r w:rsidRPr="00651CB3">
        <w:rPr>
          <w:b/>
          <w:color w:val="000000" w:themeColor="text1"/>
          <w:lang w:val="en"/>
        </w:rPr>
        <w:t>carries risks of monopolization of low-pressure CIW market</w:t>
      </w:r>
      <w:r w:rsidRPr="001529C7">
        <w:rPr>
          <w:color w:val="000000" w:themeColor="text1"/>
          <w:lang w:val="en"/>
        </w:rPr>
        <w:t xml:space="preserve"> or other restrictive interventions in competitive environment on its part. Thus, the CIW  market itself functions in a private competitive environment, but there are risks affecting the state of competition. </w:t>
      </w:r>
    </w:p>
    <w:p w14:paraId="490DEDA6" w14:textId="3E56EF76" w:rsidR="00EF4D50" w:rsidRPr="00A57506" w:rsidRDefault="004C4BA9" w:rsidP="00EF4D50">
      <w:pPr>
        <w:rPr>
          <w:color w:val="000000" w:themeColor="text1"/>
          <w:lang w:val="en-US"/>
        </w:rPr>
      </w:pPr>
      <w:r w:rsidRPr="001529C7">
        <w:rPr>
          <w:color w:val="000000" w:themeColor="text1"/>
          <w:lang w:val="en"/>
        </w:rPr>
        <w:t xml:space="preserve">In particular, since 2014, the National Operator represented by "KTGA" JSC organized purchases of CIW on low-pressure pipelines in the market under consideration, the winner of which was always the same market entity - TVK Zenit LLP </w:t>
      </w:r>
      <w:r w:rsidRPr="00D17C56">
        <w:rPr>
          <w:i/>
          <w:color w:val="000000" w:themeColor="text1"/>
          <w:sz w:val="24"/>
          <w:lang w:val="en"/>
        </w:rPr>
        <w:t>(later renamed into Gaz Qurylys LLP)</w:t>
      </w:r>
      <w:r w:rsidRPr="001529C7">
        <w:rPr>
          <w:color w:val="000000" w:themeColor="text1"/>
          <w:lang w:val="en"/>
        </w:rPr>
        <w:t xml:space="preserve">: </w:t>
      </w:r>
    </w:p>
    <w:p w14:paraId="3662C4E9" w14:textId="77777777" w:rsidR="00EF4D50" w:rsidRPr="00A57506" w:rsidRDefault="004C4BA9" w:rsidP="00EF4D50">
      <w:pPr>
        <w:rPr>
          <w:color w:val="000000" w:themeColor="text1"/>
          <w:lang w:val="en-US"/>
        </w:rPr>
      </w:pPr>
      <w:r w:rsidRPr="001529C7">
        <w:rPr>
          <w:color w:val="000000" w:themeColor="text1"/>
          <w:lang w:val="en"/>
        </w:rPr>
        <w:t xml:space="preserve">This company had </w:t>
      </w:r>
      <w:r w:rsidRPr="00651CB3">
        <w:rPr>
          <w:b/>
          <w:color w:val="000000" w:themeColor="text1"/>
          <w:lang w:val="en"/>
        </w:rPr>
        <w:t>signs of hidden affiliation</w:t>
      </w:r>
      <w:r w:rsidRPr="001529C7">
        <w:rPr>
          <w:color w:val="000000" w:themeColor="text1"/>
          <w:lang w:val="en"/>
        </w:rPr>
        <w:t xml:space="preserve"> with top management of the National Operator </w:t>
      </w:r>
      <w:r w:rsidRPr="00D17C56">
        <w:rPr>
          <w:i/>
          <w:color w:val="000000" w:themeColor="text1"/>
          <w:sz w:val="24"/>
          <w:lang w:val="en"/>
        </w:rPr>
        <w:t>(then KazTransGas JSC)</w:t>
      </w:r>
      <w:r w:rsidRPr="001529C7">
        <w:rPr>
          <w:color w:val="000000" w:themeColor="text1"/>
          <w:lang w:val="en"/>
        </w:rPr>
        <w:t xml:space="preserve">, in particular - parent companies of both organizations have been located in the same office </w:t>
      </w:r>
      <w:r w:rsidRPr="00D17C56">
        <w:rPr>
          <w:i/>
          <w:color w:val="000000" w:themeColor="text1"/>
          <w:sz w:val="24"/>
          <w:lang w:val="en"/>
        </w:rPr>
        <w:t>(at the location of KazTransGas JSC)</w:t>
      </w:r>
      <w:r w:rsidRPr="001529C7">
        <w:rPr>
          <w:color w:val="000000" w:themeColor="text1"/>
          <w:lang w:val="en"/>
        </w:rPr>
        <w:t xml:space="preserve"> at the central level, as well as in the offices of branches of KTGA JSC.</w:t>
      </w:r>
    </w:p>
    <w:p w14:paraId="0628DCB0" w14:textId="77777777" w:rsidR="00EF4D50" w:rsidRPr="00A57506" w:rsidRDefault="004C4BA9" w:rsidP="00EF4D50">
      <w:pPr>
        <w:rPr>
          <w:color w:val="000000" w:themeColor="text1"/>
          <w:lang w:val="en-US"/>
        </w:rPr>
      </w:pPr>
      <w:r w:rsidRPr="001529C7">
        <w:rPr>
          <w:color w:val="000000" w:themeColor="text1"/>
          <w:lang w:val="en"/>
        </w:rPr>
        <w:lastRenderedPageBreak/>
        <w:t xml:space="preserve">This led to the fact that in the process of organizing consumers' requests for connection to KTGA JSC, they were sent exclusively to this organization, and permits for connection were also agreed faster for this company than for other construction and installation companies. </w:t>
      </w:r>
    </w:p>
    <w:p w14:paraId="68A70EB2" w14:textId="77777777" w:rsidR="00EF4D50" w:rsidRPr="00A57506" w:rsidRDefault="004C4BA9" w:rsidP="00EF4D50">
      <w:pPr>
        <w:rPr>
          <w:color w:val="000000" w:themeColor="text1"/>
          <w:lang w:val="en-US"/>
        </w:rPr>
      </w:pPr>
      <w:r w:rsidRPr="001529C7">
        <w:rPr>
          <w:color w:val="000000" w:themeColor="text1"/>
          <w:lang w:val="en"/>
        </w:rPr>
        <w:t xml:space="preserve">Thus, the National Operator itself did not directly provide CIW, but acquired them through </w:t>
      </w:r>
      <w:r w:rsidRPr="00651CB3">
        <w:rPr>
          <w:b/>
          <w:color w:val="000000" w:themeColor="text1"/>
          <w:lang w:val="en"/>
        </w:rPr>
        <w:t>privileged purchases</w:t>
      </w:r>
      <w:r w:rsidRPr="001529C7">
        <w:rPr>
          <w:color w:val="000000" w:themeColor="text1"/>
          <w:lang w:val="en"/>
        </w:rPr>
        <w:t xml:space="preserve"> from private businesses. It followed from such a strategy that the National Operator chose service providers for consumers themselves, and National Operator himself also legally concluded contracts with consumers for CIW, funds were also transferred to the National Operator for further transfer to the contractor. In turn, the work was carried out by the specified covertly affiliated company. </w:t>
      </w:r>
    </w:p>
    <w:p w14:paraId="6BEBBCCB" w14:textId="77777777" w:rsidR="00EF4D50" w:rsidRPr="00A57506" w:rsidRDefault="004C4BA9" w:rsidP="00EF4D50">
      <w:pPr>
        <w:rPr>
          <w:color w:val="000000" w:themeColor="text1"/>
          <w:lang w:val="en-US"/>
        </w:rPr>
      </w:pPr>
      <w:r w:rsidRPr="001529C7">
        <w:rPr>
          <w:color w:val="000000" w:themeColor="text1"/>
          <w:lang w:val="en"/>
        </w:rPr>
        <w:t xml:space="preserve">This led to creation of </w:t>
      </w:r>
      <w:r w:rsidRPr="00651CB3">
        <w:rPr>
          <w:b/>
          <w:color w:val="000000" w:themeColor="text1"/>
          <w:lang w:val="en"/>
        </w:rPr>
        <w:t>unjustified competitive advantages</w:t>
      </w:r>
      <w:r w:rsidRPr="001529C7">
        <w:rPr>
          <w:color w:val="000000" w:themeColor="text1"/>
          <w:lang w:val="en"/>
        </w:rPr>
        <w:t xml:space="preserve"> at the market for natural monopoly entity, restriction of consumers' rights to independently choose a supplier of works, and limited competition between CICs. According to these facts, the antimonopoly authority considered a case of abuse of monopoly position in relation to one of the production branches of "KTGA" JSC, with the imposition of a </w:t>
      </w:r>
      <w:r w:rsidRPr="00651CB3">
        <w:rPr>
          <w:b/>
          <w:color w:val="000000" w:themeColor="text1"/>
          <w:lang w:val="en"/>
        </w:rPr>
        <w:t>fine</w:t>
      </w:r>
      <w:r w:rsidRPr="001529C7">
        <w:rPr>
          <w:color w:val="000000" w:themeColor="text1"/>
          <w:lang w:val="en"/>
        </w:rPr>
        <w:t xml:space="preserve"> </w:t>
      </w:r>
      <w:r w:rsidRPr="00D17C56">
        <w:rPr>
          <w:i/>
          <w:color w:val="000000" w:themeColor="text1"/>
          <w:sz w:val="24"/>
          <w:lang w:val="en"/>
        </w:rPr>
        <w:t>(6 million KZT)</w:t>
      </w:r>
      <w:r w:rsidRPr="001529C7">
        <w:rPr>
          <w:color w:val="000000" w:themeColor="text1"/>
          <w:lang w:val="en"/>
        </w:rPr>
        <w:t>. The risks of restricting competition in this market remain.</w:t>
      </w:r>
    </w:p>
    <w:p w14:paraId="4DB6BACC" w14:textId="77777777" w:rsidR="00CC4328" w:rsidRPr="00A57506" w:rsidRDefault="004C4BA9" w:rsidP="00CC4328">
      <w:pPr>
        <w:rPr>
          <w:b/>
          <w:i/>
          <w:iCs/>
          <w:color w:val="000000" w:themeColor="text1"/>
          <w:lang w:val="en-US"/>
        </w:rPr>
      </w:pPr>
      <w:r w:rsidRPr="001529C7">
        <w:rPr>
          <w:b/>
          <w:i/>
          <w:iCs/>
          <w:color w:val="000000" w:themeColor="text1"/>
          <w:lang w:val="en"/>
        </w:rPr>
        <w:t xml:space="preserve">On pricing in construction and installation works market (hereinafter - CIW ). </w:t>
      </w:r>
    </w:p>
    <w:p w14:paraId="7628F21B" w14:textId="77777777" w:rsidR="00CC4328" w:rsidRPr="00A57506" w:rsidRDefault="004C4BA9" w:rsidP="00CC4328">
      <w:pPr>
        <w:rPr>
          <w:bCs/>
          <w:color w:val="000000" w:themeColor="text1"/>
          <w:lang w:val="en-US"/>
        </w:rPr>
      </w:pPr>
      <w:r w:rsidRPr="001529C7">
        <w:rPr>
          <w:bCs/>
          <w:color w:val="000000" w:themeColor="text1"/>
          <w:lang w:val="en"/>
        </w:rPr>
        <w:t>Currently, the costs of connecting to gas pipeline include the cost of:</w:t>
      </w:r>
    </w:p>
    <w:p w14:paraId="1BDCF963" w14:textId="77777777" w:rsidR="00CC4328" w:rsidRPr="00A57506" w:rsidRDefault="004C4BA9" w:rsidP="00CC4328">
      <w:pPr>
        <w:rPr>
          <w:bCs/>
          <w:color w:val="000000" w:themeColor="text1"/>
          <w:lang w:val="en-US"/>
        </w:rPr>
      </w:pPr>
      <w:r w:rsidRPr="001529C7">
        <w:rPr>
          <w:bCs/>
          <w:color w:val="000000" w:themeColor="text1"/>
          <w:lang w:val="en"/>
        </w:rPr>
        <w:t xml:space="preserve">- equipment </w:t>
      </w:r>
      <w:r w:rsidRPr="00D17C56">
        <w:rPr>
          <w:i/>
          <w:color w:val="000000" w:themeColor="text1"/>
          <w:sz w:val="24"/>
          <w:lang w:val="en"/>
        </w:rPr>
        <w:t>(gas boiler and its components)</w:t>
      </w:r>
      <w:r w:rsidRPr="001529C7">
        <w:rPr>
          <w:bCs/>
          <w:color w:val="000000" w:themeColor="text1"/>
          <w:lang w:val="en"/>
        </w:rPr>
        <w:t xml:space="preserve"> - 300-900 thousand KZT; </w:t>
      </w:r>
    </w:p>
    <w:p w14:paraId="0757FCF2" w14:textId="77777777" w:rsidR="00CC4328" w:rsidRPr="00A57506" w:rsidRDefault="004C4BA9" w:rsidP="00CC4328">
      <w:pPr>
        <w:rPr>
          <w:bCs/>
          <w:color w:val="000000" w:themeColor="text1"/>
          <w:lang w:val="en-US"/>
        </w:rPr>
      </w:pPr>
      <w:r w:rsidRPr="001529C7">
        <w:rPr>
          <w:bCs/>
          <w:color w:val="000000" w:themeColor="text1"/>
          <w:lang w:val="en"/>
        </w:rPr>
        <w:t xml:space="preserve">- materials </w:t>
      </w:r>
      <w:r w:rsidRPr="00D17C56">
        <w:rPr>
          <w:i/>
          <w:color w:val="000000" w:themeColor="text1"/>
          <w:sz w:val="24"/>
          <w:lang w:val="en"/>
        </w:rPr>
        <w:t>(pipe, supports, etc.)</w:t>
      </w:r>
      <w:r w:rsidRPr="001529C7">
        <w:rPr>
          <w:bCs/>
          <w:color w:val="000000" w:themeColor="text1"/>
          <w:lang w:val="en"/>
        </w:rPr>
        <w:t xml:space="preserve"> - 50-200 thousand KZT;</w:t>
      </w:r>
    </w:p>
    <w:p w14:paraId="558F894F" w14:textId="5613E9C2" w:rsidR="00CC4328" w:rsidRPr="00A57506" w:rsidRDefault="004C4BA9" w:rsidP="00CC4328">
      <w:pPr>
        <w:rPr>
          <w:bCs/>
          <w:color w:val="000000" w:themeColor="text1"/>
          <w:lang w:val="en-US"/>
        </w:rPr>
      </w:pPr>
      <w:r w:rsidRPr="001529C7">
        <w:rPr>
          <w:bCs/>
          <w:color w:val="000000" w:themeColor="text1"/>
          <w:lang w:val="en"/>
        </w:rPr>
        <w:t xml:space="preserve">- construction and installation works - 95-112 thousand KZT </w:t>
      </w:r>
      <w:r w:rsidRPr="00D17C56">
        <w:rPr>
          <w:i/>
          <w:color w:val="000000" w:themeColor="text1"/>
          <w:sz w:val="24"/>
          <w:lang w:val="en"/>
        </w:rPr>
        <w:t>(for 25 r.</w:t>
      </w:r>
      <w:r w:rsidR="00AF59F7">
        <w:rPr>
          <w:i/>
          <w:color w:val="000000" w:themeColor="text1"/>
          <w:sz w:val="24"/>
          <w:lang w:val="en"/>
        </w:rPr>
        <w:t xml:space="preserve"> </w:t>
      </w:r>
      <w:r w:rsidRPr="00D17C56">
        <w:rPr>
          <w:i/>
          <w:color w:val="000000" w:themeColor="text1"/>
          <w:sz w:val="24"/>
          <w:lang w:val="en"/>
        </w:rPr>
        <w:t>m.)</w:t>
      </w:r>
      <w:r w:rsidRPr="001529C7">
        <w:rPr>
          <w:bCs/>
          <w:color w:val="000000" w:themeColor="text1"/>
          <w:lang w:val="en"/>
        </w:rPr>
        <w:t xml:space="preserve"> depending on distance or 3800-4500 KZT for 1 r.</w:t>
      </w:r>
      <w:r w:rsidR="00AF59F7">
        <w:rPr>
          <w:bCs/>
          <w:color w:val="000000" w:themeColor="text1"/>
          <w:lang w:val="en"/>
        </w:rPr>
        <w:t xml:space="preserve"> </w:t>
      </w:r>
      <w:r w:rsidRPr="001529C7">
        <w:rPr>
          <w:bCs/>
          <w:color w:val="000000" w:themeColor="text1"/>
          <w:lang w:val="en"/>
        </w:rPr>
        <w:t>m.;</w:t>
      </w:r>
    </w:p>
    <w:p w14:paraId="7E937AC8" w14:textId="77777777" w:rsidR="00CC4328" w:rsidRPr="00A57506" w:rsidRDefault="004C4BA9" w:rsidP="00CC4328">
      <w:pPr>
        <w:rPr>
          <w:bCs/>
          <w:color w:val="000000" w:themeColor="text1"/>
          <w:lang w:val="en-US"/>
        </w:rPr>
      </w:pPr>
      <w:r w:rsidRPr="001529C7">
        <w:rPr>
          <w:bCs/>
          <w:color w:val="000000" w:themeColor="text1"/>
          <w:lang w:val="en"/>
        </w:rPr>
        <w:t xml:space="preserve">- project documentation - 15-30 thousand KZT; </w:t>
      </w:r>
    </w:p>
    <w:p w14:paraId="7ADA37C0" w14:textId="77777777" w:rsidR="00CC4328" w:rsidRPr="00A57506" w:rsidRDefault="004C4BA9" w:rsidP="00CC4328">
      <w:pPr>
        <w:rPr>
          <w:bCs/>
          <w:color w:val="000000" w:themeColor="text1"/>
          <w:lang w:val="en-US"/>
        </w:rPr>
      </w:pPr>
      <w:r w:rsidRPr="001529C7">
        <w:rPr>
          <w:bCs/>
          <w:color w:val="000000" w:themeColor="text1"/>
          <w:lang w:val="en"/>
        </w:rPr>
        <w:t xml:space="preserve">- gas connection services </w:t>
      </w:r>
      <w:r w:rsidRPr="00D17C56">
        <w:rPr>
          <w:i/>
          <w:color w:val="000000" w:themeColor="text1"/>
          <w:sz w:val="24"/>
          <w:lang w:val="en"/>
        </w:rPr>
        <w:t>(start-up, tie-in)</w:t>
      </w:r>
      <w:r w:rsidRPr="001529C7">
        <w:rPr>
          <w:bCs/>
          <w:color w:val="000000" w:themeColor="text1"/>
          <w:lang w:val="en"/>
        </w:rPr>
        <w:t xml:space="preserve"> – 23 thousand KZT </w:t>
      </w:r>
      <w:r w:rsidRPr="00651CB3">
        <w:rPr>
          <w:bCs/>
          <w:i/>
          <w:color w:val="000000" w:themeColor="text1"/>
          <w:sz w:val="24"/>
          <w:lang w:val="en"/>
        </w:rPr>
        <w:t>(KazTransGas Aimak JSC)</w:t>
      </w:r>
      <w:r w:rsidRPr="001529C7">
        <w:rPr>
          <w:bCs/>
          <w:color w:val="000000" w:themeColor="text1"/>
          <w:lang w:val="en"/>
        </w:rPr>
        <w:t>;</w:t>
      </w:r>
    </w:p>
    <w:p w14:paraId="2099AC93" w14:textId="77777777" w:rsidR="00CC4328" w:rsidRPr="00A57506" w:rsidRDefault="004C4BA9" w:rsidP="00CC4328">
      <w:pPr>
        <w:rPr>
          <w:bCs/>
          <w:color w:val="000000" w:themeColor="text1"/>
          <w:lang w:val="en-US"/>
        </w:rPr>
      </w:pPr>
      <w:r w:rsidRPr="001529C7">
        <w:rPr>
          <w:bCs/>
          <w:color w:val="000000" w:themeColor="text1"/>
          <w:lang w:val="en"/>
        </w:rPr>
        <w:t xml:space="preserve">- construction of distribution networks within settlements </w:t>
      </w:r>
      <w:r w:rsidRPr="00D17C56">
        <w:rPr>
          <w:i/>
          <w:color w:val="000000" w:themeColor="text1"/>
          <w:sz w:val="24"/>
          <w:lang w:val="en"/>
        </w:rPr>
        <w:t>(in some regions)</w:t>
      </w:r>
      <w:r w:rsidRPr="001529C7">
        <w:rPr>
          <w:bCs/>
          <w:color w:val="000000" w:themeColor="text1"/>
          <w:lang w:val="en"/>
        </w:rPr>
        <w:t xml:space="preserve"> – 190-300 thousand KZT. </w:t>
      </w:r>
    </w:p>
    <w:p w14:paraId="427E4590" w14:textId="77777777" w:rsidR="00CC4328" w:rsidRPr="00A57506" w:rsidRDefault="004C4BA9" w:rsidP="00CC4328">
      <w:pPr>
        <w:rPr>
          <w:bCs/>
          <w:color w:val="000000" w:themeColor="text1"/>
          <w:lang w:val="en-US"/>
        </w:rPr>
      </w:pPr>
      <w:r w:rsidRPr="001529C7">
        <w:rPr>
          <w:bCs/>
          <w:color w:val="000000" w:themeColor="text1"/>
          <w:lang w:val="en"/>
        </w:rPr>
        <w:t xml:space="preserve">Thus, the main costs of connecting to gas, amounting to </w:t>
      </w:r>
      <w:r w:rsidRPr="00651CB3">
        <w:rPr>
          <w:b/>
          <w:bCs/>
          <w:color w:val="000000" w:themeColor="text1"/>
          <w:lang w:val="en"/>
        </w:rPr>
        <w:t>60%</w:t>
      </w:r>
      <w:r w:rsidRPr="001529C7">
        <w:rPr>
          <w:bCs/>
          <w:color w:val="000000" w:themeColor="text1"/>
          <w:lang w:val="en"/>
        </w:rPr>
        <w:t xml:space="preserve"> are formed by cost of equipment and materials, while </w:t>
      </w:r>
      <w:r w:rsidRPr="001529C7">
        <w:rPr>
          <w:b/>
          <w:color w:val="000000" w:themeColor="text1"/>
          <w:lang w:val="en"/>
        </w:rPr>
        <w:t>construction and installation work with pipes accounts</w:t>
      </w:r>
      <w:r w:rsidRPr="001529C7">
        <w:rPr>
          <w:bCs/>
          <w:color w:val="000000" w:themeColor="text1"/>
          <w:lang w:val="en"/>
        </w:rPr>
        <w:t xml:space="preserve"> for </w:t>
      </w:r>
      <w:r w:rsidRPr="001529C7">
        <w:rPr>
          <w:b/>
          <w:color w:val="000000" w:themeColor="text1"/>
          <w:lang w:val="en"/>
        </w:rPr>
        <w:t>30% of total costs</w:t>
      </w:r>
      <w:r w:rsidRPr="00D17C56">
        <w:rPr>
          <w:i/>
          <w:color w:val="000000" w:themeColor="text1"/>
          <w:sz w:val="24"/>
          <w:lang w:val="en"/>
        </w:rPr>
        <w:t xml:space="preserve"> (200 – 450 thousand KZT)</w:t>
      </w:r>
      <w:r w:rsidRPr="001529C7">
        <w:rPr>
          <w:bCs/>
          <w:color w:val="000000" w:themeColor="text1"/>
          <w:lang w:val="en"/>
        </w:rPr>
        <w:t>.</w:t>
      </w:r>
    </w:p>
    <w:p w14:paraId="013F8E11" w14:textId="77777777" w:rsidR="00CC4328" w:rsidRPr="00A57506" w:rsidRDefault="004C4BA9" w:rsidP="00CC4328">
      <w:pPr>
        <w:rPr>
          <w:bCs/>
          <w:color w:val="000000" w:themeColor="text1"/>
          <w:lang w:val="en-US"/>
        </w:rPr>
      </w:pPr>
      <w:r w:rsidRPr="001529C7">
        <w:rPr>
          <w:bCs/>
          <w:color w:val="000000" w:themeColor="text1"/>
          <w:lang w:val="en"/>
        </w:rPr>
        <w:t xml:space="preserve">In turn, total price of connection to gas, together with all the equipment, is on average </w:t>
      </w:r>
      <w:r w:rsidRPr="001529C7">
        <w:rPr>
          <w:b/>
          <w:color w:val="000000" w:themeColor="text1"/>
          <w:lang w:val="en"/>
        </w:rPr>
        <w:t>from 700 thousand to 1.1 million KZT in the country.</w:t>
      </w:r>
    </w:p>
    <w:p w14:paraId="7E39D31A" w14:textId="54FB98A8" w:rsidR="00CC4328" w:rsidRPr="00A57506" w:rsidRDefault="004C4BA9" w:rsidP="00CC4328">
      <w:pPr>
        <w:rPr>
          <w:bCs/>
          <w:color w:val="000000" w:themeColor="text1"/>
          <w:lang w:val="en-US"/>
        </w:rPr>
      </w:pPr>
      <w:r w:rsidRPr="001529C7">
        <w:rPr>
          <w:bCs/>
          <w:color w:val="000000" w:themeColor="text1"/>
          <w:lang w:val="en"/>
        </w:rPr>
        <w:t>The indicated range of total cost depends on capacity of the equipment for corresponding area of housing, climatic conditions, and distance from connection points</w:t>
      </w:r>
      <w:r w:rsidRPr="001529C7">
        <w:rPr>
          <w:bCs/>
          <w:i/>
          <w:iCs/>
          <w:color w:val="000000" w:themeColor="text1"/>
          <w:lang w:val="en"/>
        </w:rPr>
        <w:t xml:space="preserve">. </w:t>
      </w:r>
      <w:r w:rsidRPr="001529C7">
        <w:rPr>
          <w:bCs/>
          <w:color w:val="000000" w:themeColor="text1"/>
          <w:lang w:val="en"/>
        </w:rPr>
        <w:t xml:space="preserve">For example, the cost of "turnkey" connection of a residential building with an area of </w:t>
      </w:r>
      <w:r w:rsidRPr="001529C7">
        <w:rPr>
          <w:b/>
          <w:color w:val="000000" w:themeColor="text1"/>
          <w:lang w:val="en"/>
        </w:rPr>
        <w:t>120 sq.</w:t>
      </w:r>
      <w:r w:rsidR="00AF59F7">
        <w:rPr>
          <w:b/>
          <w:color w:val="000000" w:themeColor="text1"/>
          <w:lang w:val="en"/>
        </w:rPr>
        <w:t xml:space="preserve"> </w:t>
      </w:r>
      <w:r w:rsidRPr="001529C7">
        <w:rPr>
          <w:b/>
          <w:color w:val="000000" w:themeColor="text1"/>
          <w:lang w:val="en"/>
        </w:rPr>
        <w:t>m</w:t>
      </w:r>
      <w:r w:rsidR="00651CB3">
        <w:rPr>
          <w:bCs/>
          <w:i/>
          <w:color w:val="000000" w:themeColor="text1"/>
          <w:sz w:val="24"/>
          <w:lang w:val="en"/>
        </w:rPr>
        <w:t xml:space="preserve"> (most common area of an individual residential building)</w:t>
      </w:r>
      <w:r w:rsidRPr="001529C7">
        <w:rPr>
          <w:bCs/>
          <w:color w:val="000000" w:themeColor="text1"/>
          <w:lang w:val="en"/>
        </w:rPr>
        <w:t xml:space="preserve"> is about </w:t>
      </w:r>
      <w:r w:rsidRPr="001529C7">
        <w:rPr>
          <w:b/>
          <w:color w:val="000000" w:themeColor="text1"/>
          <w:lang w:val="en"/>
        </w:rPr>
        <w:t>700 thousand KZT</w:t>
      </w:r>
      <w:r w:rsidRPr="001529C7">
        <w:rPr>
          <w:bCs/>
          <w:color w:val="000000" w:themeColor="text1"/>
          <w:lang w:val="en"/>
        </w:rPr>
        <w:t xml:space="preserve">. Accordingly, of these, costs for boiler and components amount to 500 thousand KZT </w:t>
      </w:r>
      <w:r w:rsidRPr="00651CB3">
        <w:rPr>
          <w:bCs/>
          <w:i/>
          <w:color w:val="000000" w:themeColor="text1"/>
          <w:sz w:val="24"/>
          <w:lang w:val="en"/>
        </w:rPr>
        <w:t>(65%)</w:t>
      </w:r>
      <w:r w:rsidRPr="001529C7">
        <w:rPr>
          <w:bCs/>
          <w:color w:val="000000" w:themeColor="text1"/>
          <w:lang w:val="en"/>
        </w:rPr>
        <w:t xml:space="preserve">, CIW  – 183 thousand KZT </w:t>
      </w:r>
      <w:r w:rsidRPr="00651CB3">
        <w:rPr>
          <w:bCs/>
          <w:i/>
          <w:color w:val="000000" w:themeColor="text1"/>
          <w:sz w:val="24"/>
          <w:lang w:val="en"/>
        </w:rPr>
        <w:t>(25%)</w:t>
      </w:r>
      <w:r w:rsidRPr="001529C7">
        <w:rPr>
          <w:bCs/>
          <w:color w:val="000000" w:themeColor="text1"/>
          <w:lang w:val="en"/>
        </w:rPr>
        <w:t xml:space="preserve">.  </w:t>
      </w:r>
    </w:p>
    <w:p w14:paraId="0B647DBE" w14:textId="531C556C" w:rsidR="00CC4328" w:rsidRPr="00A57506" w:rsidRDefault="004C4BA9" w:rsidP="00CC4328">
      <w:pPr>
        <w:rPr>
          <w:bCs/>
          <w:color w:val="000000" w:themeColor="text1"/>
          <w:lang w:val="en-US"/>
        </w:rPr>
      </w:pPr>
      <w:r>
        <w:rPr>
          <w:bCs/>
          <w:color w:val="000000" w:themeColor="text1"/>
          <w:lang w:val="en"/>
        </w:rPr>
        <w:t xml:space="preserve">In turn, connection of a residential building with an area of </w:t>
      </w:r>
      <w:r w:rsidRPr="001529C7">
        <w:rPr>
          <w:b/>
          <w:color w:val="000000" w:themeColor="text1"/>
          <w:lang w:val="en"/>
        </w:rPr>
        <w:t>450 sq.</w:t>
      </w:r>
      <w:r w:rsidR="00AF59F7">
        <w:rPr>
          <w:b/>
          <w:color w:val="000000" w:themeColor="text1"/>
          <w:lang w:val="en"/>
        </w:rPr>
        <w:t xml:space="preserve"> </w:t>
      </w:r>
      <w:r w:rsidRPr="001529C7">
        <w:rPr>
          <w:b/>
          <w:color w:val="000000" w:themeColor="text1"/>
          <w:lang w:val="en"/>
        </w:rPr>
        <w:t>m</w:t>
      </w:r>
      <w:r>
        <w:rPr>
          <w:bCs/>
          <w:color w:val="000000" w:themeColor="text1"/>
          <w:lang w:val="en"/>
        </w:rPr>
        <w:t xml:space="preserve"> costs about </w:t>
      </w:r>
      <w:r w:rsidRPr="001529C7">
        <w:rPr>
          <w:b/>
          <w:color w:val="000000" w:themeColor="text1"/>
          <w:lang w:val="en"/>
        </w:rPr>
        <w:t>1,100 thousand KZT</w:t>
      </w:r>
      <w:r>
        <w:rPr>
          <w:bCs/>
          <w:color w:val="000000" w:themeColor="text1"/>
          <w:lang w:val="en"/>
        </w:rPr>
        <w:t xml:space="preserve">. Of these, costs for boiler and components amounts to 700 thousand KZT </w:t>
      </w:r>
      <w:r w:rsidRPr="00577872">
        <w:rPr>
          <w:bCs/>
          <w:i/>
          <w:color w:val="000000" w:themeColor="text1"/>
          <w:sz w:val="24"/>
          <w:lang w:val="en"/>
        </w:rPr>
        <w:t>(60%)</w:t>
      </w:r>
      <w:r>
        <w:rPr>
          <w:bCs/>
          <w:color w:val="000000" w:themeColor="text1"/>
          <w:lang w:val="en"/>
        </w:rPr>
        <w:t xml:space="preserve">, CIW  – 324 thousand KZT </w:t>
      </w:r>
      <w:r w:rsidRPr="00577872">
        <w:rPr>
          <w:bCs/>
          <w:i/>
          <w:color w:val="000000" w:themeColor="text1"/>
          <w:sz w:val="24"/>
          <w:lang w:val="en"/>
        </w:rPr>
        <w:t>(30%)</w:t>
      </w:r>
      <w:r>
        <w:rPr>
          <w:bCs/>
          <w:color w:val="000000" w:themeColor="text1"/>
          <w:lang w:val="en"/>
        </w:rPr>
        <w:t xml:space="preserve">.  </w:t>
      </w:r>
    </w:p>
    <w:p w14:paraId="29389341" w14:textId="77777777" w:rsidR="00CC4328" w:rsidRPr="00A57506" w:rsidRDefault="004C4BA9" w:rsidP="00CC4328">
      <w:pPr>
        <w:rPr>
          <w:bCs/>
          <w:color w:val="000000" w:themeColor="text1"/>
          <w:lang w:val="en-US"/>
        </w:rPr>
      </w:pPr>
      <w:r w:rsidRPr="001529C7">
        <w:rPr>
          <w:bCs/>
          <w:color w:val="000000" w:themeColor="text1"/>
          <w:lang w:val="en"/>
        </w:rPr>
        <w:lastRenderedPageBreak/>
        <w:t xml:space="preserve">Accordingly, in case of connecting residential buildings with a larger area, due to more powerful equipment and number of components, the price increases proportionally. </w:t>
      </w:r>
    </w:p>
    <w:p w14:paraId="7A75E50C" w14:textId="77777777" w:rsidR="00CC4328" w:rsidRPr="00A57506" w:rsidRDefault="004C4BA9" w:rsidP="00CC4328">
      <w:pPr>
        <w:rPr>
          <w:bCs/>
          <w:color w:val="000000" w:themeColor="text1"/>
          <w:lang w:val="en-US"/>
        </w:rPr>
      </w:pPr>
      <w:r w:rsidRPr="001529C7">
        <w:rPr>
          <w:bCs/>
          <w:color w:val="000000" w:themeColor="text1"/>
          <w:lang w:val="en"/>
        </w:rPr>
        <w:t xml:space="preserve">With that , in some regions </w:t>
      </w:r>
      <w:r w:rsidRPr="00D17C56">
        <w:rPr>
          <w:bCs/>
          <w:i/>
          <w:color w:val="000000" w:themeColor="text1"/>
          <w:sz w:val="24"/>
          <w:lang w:val="en"/>
        </w:rPr>
        <w:t>(especially in Almaty and Zhetisu oblasts)</w:t>
      </w:r>
      <w:r w:rsidRPr="001529C7">
        <w:rPr>
          <w:bCs/>
          <w:color w:val="000000" w:themeColor="text1"/>
          <w:lang w:val="en"/>
        </w:rPr>
        <w:t xml:space="preserve">, these market prices increase during the construction of medium–pressure distribution networks within the locality by </w:t>
      </w:r>
      <w:r w:rsidRPr="001529C7">
        <w:rPr>
          <w:b/>
          <w:color w:val="000000" w:themeColor="text1"/>
          <w:lang w:val="en"/>
        </w:rPr>
        <w:t>private contractors</w:t>
      </w:r>
      <w:r w:rsidRPr="001529C7">
        <w:rPr>
          <w:bCs/>
          <w:color w:val="000000" w:themeColor="text1"/>
          <w:lang w:val="en"/>
        </w:rPr>
        <w:t xml:space="preserve">, and not at the expense of state budget or KazTransGas Aimak JSC </w:t>
      </w:r>
      <w:r w:rsidRPr="00D17C56">
        <w:rPr>
          <w:bCs/>
          <w:i/>
          <w:color w:val="000000" w:themeColor="text1"/>
          <w:sz w:val="24"/>
          <w:lang w:val="en"/>
        </w:rPr>
        <w:t>(hereinafter - KTGA)</w:t>
      </w:r>
      <w:r w:rsidRPr="001529C7">
        <w:rPr>
          <w:bCs/>
          <w:color w:val="000000" w:themeColor="text1"/>
          <w:lang w:val="en"/>
        </w:rPr>
        <w:t xml:space="preserve">, cost of connecting to gas increases </w:t>
      </w:r>
      <w:r w:rsidRPr="001529C7">
        <w:rPr>
          <w:b/>
          <w:color w:val="000000" w:themeColor="text1"/>
          <w:lang w:val="en"/>
        </w:rPr>
        <w:t>by 30-40%.</w:t>
      </w:r>
    </w:p>
    <w:p w14:paraId="17E105A8" w14:textId="77777777" w:rsidR="00CC4328" w:rsidRPr="00A57506" w:rsidRDefault="004C4BA9" w:rsidP="00CC4328">
      <w:pPr>
        <w:rPr>
          <w:b/>
          <w:i/>
          <w:iCs/>
          <w:color w:val="000000" w:themeColor="text1"/>
          <w:lang w:val="en-US"/>
        </w:rPr>
      </w:pPr>
      <w:r w:rsidRPr="001529C7">
        <w:rPr>
          <w:b/>
          <w:i/>
          <w:iCs/>
          <w:color w:val="000000" w:themeColor="text1"/>
          <w:lang w:val="en"/>
        </w:rPr>
        <w:t>Reasons for the high cost of CIW</w:t>
      </w:r>
    </w:p>
    <w:p w14:paraId="2EA2C118" w14:textId="77777777" w:rsidR="00CC4328" w:rsidRPr="00A57506" w:rsidRDefault="004C4BA9" w:rsidP="00CC4328">
      <w:pPr>
        <w:rPr>
          <w:bCs/>
          <w:color w:val="000000" w:themeColor="text1"/>
          <w:lang w:val="en-US"/>
        </w:rPr>
      </w:pPr>
      <w:r w:rsidRPr="001529C7">
        <w:rPr>
          <w:bCs/>
          <w:color w:val="000000" w:themeColor="text1"/>
          <w:lang w:val="en"/>
        </w:rPr>
        <w:t xml:space="preserve">Since construction of the 1st branch of the Saryarka trunk pipeline </w:t>
      </w:r>
      <w:r w:rsidRPr="00D17C56">
        <w:rPr>
          <w:bCs/>
          <w:i/>
          <w:color w:val="000000" w:themeColor="text1"/>
          <w:sz w:val="24"/>
          <w:lang w:val="en"/>
        </w:rPr>
        <w:t>(Kyzylorda-Astana)</w:t>
      </w:r>
      <w:r w:rsidRPr="001529C7">
        <w:rPr>
          <w:bCs/>
          <w:color w:val="000000" w:themeColor="text1"/>
          <w:lang w:val="en"/>
        </w:rPr>
        <w:t xml:space="preserve"> in 2019, the process of country's gasification country has begun.</w:t>
      </w:r>
    </w:p>
    <w:p w14:paraId="34D67F00" w14:textId="77777777" w:rsidR="00CC4328" w:rsidRPr="00A57506" w:rsidRDefault="004C4BA9" w:rsidP="00CC4328">
      <w:pPr>
        <w:rPr>
          <w:bCs/>
          <w:color w:val="000000" w:themeColor="text1"/>
          <w:lang w:val="en-US"/>
        </w:rPr>
      </w:pPr>
      <w:r w:rsidRPr="001529C7">
        <w:rPr>
          <w:bCs/>
          <w:color w:val="000000" w:themeColor="text1"/>
          <w:lang w:val="en"/>
        </w:rPr>
        <w:t>In 2019-2023, 6,386 settlements were gasified, 11,658,748 consumers were connected. This has created a high demand for CIW .</w:t>
      </w:r>
    </w:p>
    <w:p w14:paraId="23D2EF34" w14:textId="77777777" w:rsidR="00CC4328" w:rsidRPr="00A57506" w:rsidRDefault="004C4BA9" w:rsidP="00CC4328">
      <w:pPr>
        <w:rPr>
          <w:bCs/>
          <w:color w:val="000000" w:themeColor="text1"/>
          <w:lang w:val="en-US"/>
        </w:rPr>
      </w:pPr>
      <w:r w:rsidRPr="001529C7">
        <w:rPr>
          <w:bCs/>
          <w:color w:val="000000" w:themeColor="text1"/>
          <w:lang w:val="en"/>
        </w:rPr>
        <w:t xml:space="preserve">With that, more than 500 suppliers are operating at CIW market now, then until mid-2021, 70% of the market share was occupied by </w:t>
      </w:r>
      <w:r w:rsidRPr="001529C7">
        <w:rPr>
          <w:b/>
          <w:color w:val="000000" w:themeColor="text1"/>
          <w:lang w:val="en"/>
        </w:rPr>
        <w:t>GasQurylys LLP</w:t>
      </w:r>
      <w:r w:rsidRPr="001529C7">
        <w:rPr>
          <w:bCs/>
          <w:color w:val="000000" w:themeColor="text1"/>
          <w:lang w:val="en"/>
        </w:rPr>
        <w:t xml:space="preserve">, previously affiliated with the management of KazTransGas JSC. </w:t>
      </w:r>
    </w:p>
    <w:p w14:paraId="6E2F6D50" w14:textId="77777777" w:rsidR="00CC4328" w:rsidRPr="00A57506" w:rsidRDefault="004C4BA9" w:rsidP="00CC4328">
      <w:pPr>
        <w:rPr>
          <w:bCs/>
          <w:color w:val="000000" w:themeColor="text1"/>
          <w:lang w:val="en-US"/>
        </w:rPr>
      </w:pPr>
      <w:r w:rsidRPr="001529C7">
        <w:rPr>
          <w:bCs/>
          <w:color w:val="000000" w:themeColor="text1"/>
          <w:lang w:val="en"/>
        </w:rPr>
        <w:t xml:space="preserve">Thus, by the beginning of gasification, the CIW market </w:t>
      </w:r>
      <w:r w:rsidRPr="001529C7">
        <w:rPr>
          <w:b/>
          <w:color w:val="000000" w:themeColor="text1"/>
          <w:lang w:val="en"/>
        </w:rPr>
        <w:t>was undeveloped</w:t>
      </w:r>
      <w:r w:rsidRPr="001529C7">
        <w:rPr>
          <w:bCs/>
          <w:color w:val="000000" w:themeColor="text1"/>
          <w:lang w:val="en"/>
        </w:rPr>
        <w:t xml:space="preserve"> with steady practice of restricting access to the market .</w:t>
      </w:r>
    </w:p>
    <w:p w14:paraId="2C818495" w14:textId="77777777" w:rsidR="00CC4328" w:rsidRPr="00A57506" w:rsidRDefault="004C4BA9" w:rsidP="00CC4328">
      <w:pPr>
        <w:rPr>
          <w:bCs/>
          <w:i/>
          <w:iCs/>
          <w:color w:val="000000" w:themeColor="text1"/>
          <w:lang w:val="en-US"/>
        </w:rPr>
      </w:pPr>
      <w:r w:rsidRPr="001529C7">
        <w:rPr>
          <w:bCs/>
          <w:color w:val="000000" w:themeColor="text1"/>
          <w:lang w:val="en"/>
        </w:rPr>
        <w:t xml:space="preserve">Currently, creation of advantages for individual suppliers of CIW continues. Competitive selection of such suppliers has been organized, their representative offices are located in the operator's buildings, accelerated issuance of technical specifications and acceptance of works is selectively carried out </w:t>
      </w:r>
      <w:r w:rsidRPr="00D17C56">
        <w:rPr>
          <w:bCs/>
          <w:i/>
          <w:color w:val="000000" w:themeColor="text1"/>
          <w:sz w:val="24"/>
          <w:lang w:val="en"/>
        </w:rPr>
        <w:t>(based on complaints from market participants, there are facts of location of affiliated company - Aigerim LLP-  in the same building with KazTransGas Aimak JSC)</w:t>
      </w:r>
      <w:r w:rsidRPr="001529C7">
        <w:rPr>
          <w:bCs/>
          <w:i/>
          <w:iCs/>
          <w:color w:val="000000" w:themeColor="text1"/>
          <w:lang w:val="en"/>
        </w:rPr>
        <w:t>.</w:t>
      </w:r>
    </w:p>
    <w:p w14:paraId="7FC81EF8" w14:textId="77777777" w:rsidR="00CC4328" w:rsidRPr="00A57506" w:rsidRDefault="004C4BA9" w:rsidP="00CC4328">
      <w:pPr>
        <w:rPr>
          <w:bCs/>
          <w:color w:val="000000" w:themeColor="text1"/>
          <w:lang w:val="en-US"/>
        </w:rPr>
      </w:pPr>
      <w:r w:rsidRPr="001529C7">
        <w:rPr>
          <w:bCs/>
          <w:color w:val="000000" w:themeColor="text1"/>
          <w:lang w:val="en"/>
        </w:rPr>
        <w:t xml:space="preserve">The practice of building distribution networks within settlements at the expense </w:t>
      </w:r>
      <w:r w:rsidRPr="001529C7">
        <w:rPr>
          <w:b/>
          <w:color w:val="000000" w:themeColor="text1"/>
          <w:lang w:val="en"/>
        </w:rPr>
        <w:t>of private suppliers</w:t>
      </w:r>
      <w:r w:rsidRPr="001529C7">
        <w:rPr>
          <w:bCs/>
          <w:color w:val="000000" w:themeColor="text1"/>
          <w:lang w:val="en"/>
        </w:rPr>
        <w:t xml:space="preserve">, which then restrict access to other suppliers to the construction of intra-house networks, has led to increased monopolization of the market. </w:t>
      </w:r>
    </w:p>
    <w:p w14:paraId="3B58FDF0" w14:textId="77777777" w:rsidR="00CC4328" w:rsidRPr="00A57506" w:rsidRDefault="004C4BA9" w:rsidP="00CC4328">
      <w:pPr>
        <w:rPr>
          <w:b/>
          <w:color w:val="000000" w:themeColor="text1"/>
          <w:lang w:val="en-US"/>
        </w:rPr>
      </w:pPr>
      <w:r w:rsidRPr="00577872">
        <w:rPr>
          <w:color w:val="000000" w:themeColor="text1"/>
          <w:lang w:val="en"/>
        </w:rPr>
        <w:t>Accordingly</w:t>
      </w:r>
      <w:r w:rsidRPr="001529C7">
        <w:rPr>
          <w:b/>
          <w:color w:val="000000" w:themeColor="text1"/>
          <w:lang w:val="en"/>
        </w:rPr>
        <w:t xml:space="preserve">, high demand for CIW, dominant position of individual suppliers </w:t>
      </w:r>
      <w:r w:rsidRPr="00577872">
        <w:rPr>
          <w:color w:val="000000" w:themeColor="text1"/>
          <w:lang w:val="en"/>
        </w:rPr>
        <w:t>contributed</w:t>
      </w:r>
      <w:r w:rsidRPr="001529C7">
        <w:rPr>
          <w:b/>
          <w:color w:val="000000" w:themeColor="text1"/>
          <w:lang w:val="en"/>
        </w:rPr>
        <w:t xml:space="preserve"> to overestimation of the cost of services </w:t>
      </w:r>
      <w:r w:rsidRPr="00577872">
        <w:rPr>
          <w:color w:val="000000" w:themeColor="text1"/>
          <w:lang w:val="en"/>
        </w:rPr>
        <w:t>and</w:t>
      </w:r>
      <w:r w:rsidRPr="001529C7">
        <w:rPr>
          <w:b/>
          <w:color w:val="000000" w:themeColor="text1"/>
          <w:lang w:val="en"/>
        </w:rPr>
        <w:t xml:space="preserve"> non-transparent pricing in the market.</w:t>
      </w:r>
    </w:p>
    <w:p w14:paraId="6012C51D" w14:textId="77777777" w:rsidR="00CC4328" w:rsidRPr="00A57506" w:rsidRDefault="004C4BA9" w:rsidP="00CC4328">
      <w:pPr>
        <w:rPr>
          <w:bCs/>
          <w:color w:val="000000" w:themeColor="text1"/>
          <w:lang w:val="en-US"/>
        </w:rPr>
      </w:pPr>
      <w:r w:rsidRPr="001529C7">
        <w:rPr>
          <w:bCs/>
          <w:color w:val="000000" w:themeColor="text1"/>
          <w:lang w:val="en"/>
        </w:rPr>
        <w:t xml:space="preserve">Gasification of the regions includes construction of distribution and intra-house networks. With that, as already noted, </w:t>
      </w:r>
      <w:r w:rsidRPr="00577872">
        <w:rPr>
          <w:b/>
          <w:bCs/>
          <w:color w:val="000000" w:themeColor="text1"/>
          <w:lang w:val="en"/>
        </w:rPr>
        <w:t>practice of building distribution networks by private suppliers</w:t>
      </w:r>
      <w:r w:rsidRPr="001529C7">
        <w:rPr>
          <w:bCs/>
          <w:color w:val="000000" w:themeColor="text1"/>
          <w:lang w:val="en"/>
        </w:rPr>
        <w:t xml:space="preserve"> has been developed - for the period of 2018-2022 in Zhetysu region - 648 km, WKR - 502.4 km, Atyrau region – 180 km, Aktobe region – 10.392km, Almaty – 90.286km and in Almaty region in 2022 - 2970 km. </w:t>
      </w:r>
    </w:p>
    <w:p w14:paraId="4B20DD13" w14:textId="77777777" w:rsidR="00CC4328" w:rsidRPr="00A22DA1" w:rsidRDefault="004C4BA9" w:rsidP="00CC4328">
      <w:pPr>
        <w:rPr>
          <w:bCs/>
          <w:color w:val="000000" w:themeColor="text1"/>
          <w:lang w:val="en-US"/>
        </w:rPr>
      </w:pPr>
      <w:r w:rsidRPr="001529C7">
        <w:rPr>
          <w:bCs/>
          <w:color w:val="000000" w:themeColor="text1"/>
          <w:lang w:val="en"/>
        </w:rPr>
        <w:t xml:space="preserve">In general, for the period from 2018 to 2022, 13,779 km of distribution networks were built, of which 1,157,765 km </w:t>
      </w:r>
      <w:r w:rsidRPr="00D17C56">
        <w:rPr>
          <w:bCs/>
          <w:i/>
          <w:color w:val="000000" w:themeColor="text1"/>
          <w:sz w:val="24"/>
          <w:lang w:val="en"/>
        </w:rPr>
        <w:t>(8.4%)</w:t>
      </w:r>
      <w:r w:rsidRPr="001529C7">
        <w:rPr>
          <w:bCs/>
          <w:color w:val="000000" w:themeColor="text1"/>
          <w:lang w:val="en"/>
        </w:rPr>
        <w:t xml:space="preserve"> were built at the expense of KTGA funds, 8,220,436 km </w:t>
      </w:r>
      <w:r w:rsidRPr="00D17C56">
        <w:rPr>
          <w:bCs/>
          <w:i/>
          <w:color w:val="000000" w:themeColor="text1"/>
          <w:sz w:val="24"/>
          <w:lang w:val="en"/>
        </w:rPr>
        <w:t>(59.6%)</w:t>
      </w:r>
      <w:r w:rsidRPr="001529C7">
        <w:rPr>
          <w:bCs/>
          <w:color w:val="000000" w:themeColor="text1"/>
          <w:lang w:val="en"/>
        </w:rPr>
        <w:t xml:space="preserve"> at the expense of akimats, 4,401 km. </w:t>
      </w:r>
      <w:r w:rsidRPr="00D17C56">
        <w:rPr>
          <w:bCs/>
          <w:i/>
          <w:color w:val="000000" w:themeColor="text1"/>
          <w:sz w:val="24"/>
          <w:lang w:val="en"/>
        </w:rPr>
        <w:t>(32%)</w:t>
      </w:r>
      <w:r w:rsidRPr="001529C7">
        <w:rPr>
          <w:bCs/>
          <w:color w:val="000000" w:themeColor="text1"/>
          <w:lang w:val="en"/>
        </w:rPr>
        <w:t xml:space="preserve"> at the expense of private suppliers.  </w:t>
      </w:r>
    </w:p>
    <w:p w14:paraId="46CDFF30" w14:textId="77777777" w:rsidR="00CC4328" w:rsidRPr="00A57506" w:rsidRDefault="004C4BA9" w:rsidP="00CC4328">
      <w:pPr>
        <w:rPr>
          <w:bCs/>
          <w:color w:val="000000" w:themeColor="text1"/>
          <w:lang w:val="en-US"/>
        </w:rPr>
      </w:pPr>
      <w:r w:rsidRPr="001529C7">
        <w:rPr>
          <w:bCs/>
          <w:color w:val="000000" w:themeColor="text1"/>
          <w:lang w:val="en"/>
        </w:rPr>
        <w:t xml:space="preserve">Meanwhile, main purpose of creating a single buyer in 2012, represented by KazTransGas JSC was gasification of the country, which envisaged construction of both trunk and distribution networks. In turn, gas transportation through distribution networks is the main activity of KTGA, which occupies 95% of the market. </w:t>
      </w:r>
    </w:p>
    <w:p w14:paraId="67C3B3BF" w14:textId="77777777" w:rsidR="00CC4328" w:rsidRPr="00A57506" w:rsidRDefault="004C4BA9" w:rsidP="00CC4328">
      <w:pPr>
        <w:rPr>
          <w:bCs/>
          <w:color w:val="000000" w:themeColor="text1"/>
          <w:lang w:val="en-US"/>
        </w:rPr>
      </w:pPr>
      <w:r w:rsidRPr="001529C7">
        <w:rPr>
          <w:bCs/>
          <w:color w:val="000000" w:themeColor="text1"/>
          <w:lang w:val="en"/>
        </w:rPr>
        <w:lastRenderedPageBreak/>
        <w:t xml:space="preserve">In this regard, construction of distribution networks not at the expense of the budget or KTGA, but by private suppliers </w:t>
      </w:r>
      <w:r w:rsidRPr="001529C7">
        <w:rPr>
          <w:b/>
          <w:color w:val="000000" w:themeColor="text1"/>
          <w:lang w:val="en"/>
        </w:rPr>
        <w:t>led not only to increase in the final cost of CIW</w:t>
      </w:r>
      <w:r w:rsidRPr="001529C7">
        <w:rPr>
          <w:bCs/>
          <w:color w:val="000000" w:themeColor="text1"/>
          <w:lang w:val="en"/>
        </w:rPr>
        <w:t xml:space="preserve">, but also to creation of numerous subjects of natural monopolies and </w:t>
      </w:r>
      <w:r w:rsidRPr="00577872">
        <w:rPr>
          <w:b/>
          <w:bCs/>
          <w:color w:val="000000" w:themeColor="text1"/>
          <w:lang w:val="en"/>
        </w:rPr>
        <w:t xml:space="preserve">fragmentation of regions' unified gas supply system </w:t>
      </w:r>
      <w:r w:rsidRPr="001529C7">
        <w:rPr>
          <w:bCs/>
          <w:color w:val="000000" w:themeColor="text1"/>
          <w:lang w:val="en"/>
        </w:rPr>
        <w:t xml:space="preserve">. </w:t>
      </w:r>
    </w:p>
    <w:p w14:paraId="59D38206" w14:textId="77777777" w:rsidR="00CC4328" w:rsidRPr="00A57506" w:rsidRDefault="004C4BA9" w:rsidP="00CC4328">
      <w:pPr>
        <w:rPr>
          <w:bCs/>
          <w:color w:val="000000" w:themeColor="text1"/>
          <w:lang w:val="en-US"/>
        </w:rPr>
      </w:pPr>
      <w:r w:rsidRPr="001529C7">
        <w:rPr>
          <w:bCs/>
          <w:color w:val="000000" w:themeColor="text1"/>
          <w:lang w:val="en"/>
        </w:rPr>
        <w:t xml:space="preserve">Also, based on complaints from market participants on activities of KTGA, collection of a fee in the amount of 23,000 KZT from consumers for provision of start-up </w:t>
      </w:r>
      <w:r w:rsidRPr="00D17C56">
        <w:rPr>
          <w:bCs/>
          <w:i/>
          <w:color w:val="000000" w:themeColor="text1"/>
          <w:sz w:val="24"/>
          <w:lang w:val="en"/>
        </w:rPr>
        <w:t>(connection)</w:t>
      </w:r>
      <w:r w:rsidRPr="001529C7">
        <w:rPr>
          <w:bCs/>
          <w:color w:val="000000" w:themeColor="text1"/>
          <w:lang w:val="en"/>
        </w:rPr>
        <w:t xml:space="preserve"> services was revealed </w:t>
      </w:r>
      <w:r w:rsidRPr="00D17C56">
        <w:rPr>
          <w:bCs/>
          <w:i/>
          <w:color w:val="000000" w:themeColor="text1"/>
          <w:sz w:val="24"/>
          <w:lang w:val="en"/>
        </w:rPr>
        <w:t>(500 million KZT has been illegally collected from consumers since 2016)</w:t>
      </w:r>
      <w:r w:rsidRPr="001529C7">
        <w:rPr>
          <w:bCs/>
          <w:color w:val="000000" w:themeColor="text1"/>
          <w:lang w:val="en"/>
        </w:rPr>
        <w:t>.</w:t>
      </w:r>
    </w:p>
    <w:p w14:paraId="222FFFA4" w14:textId="77777777" w:rsidR="00CC4328" w:rsidRPr="00A57506" w:rsidRDefault="004C4BA9" w:rsidP="00CC4328">
      <w:pPr>
        <w:rPr>
          <w:bCs/>
          <w:color w:val="000000" w:themeColor="text1"/>
          <w:lang w:val="en-US"/>
        </w:rPr>
      </w:pPr>
      <w:r w:rsidRPr="001529C7">
        <w:rPr>
          <w:bCs/>
          <w:color w:val="000000" w:themeColor="text1"/>
          <w:lang w:val="en"/>
        </w:rPr>
        <w:t xml:space="preserve">With that, Resolution of the Supreme Court </w:t>
      </w:r>
      <w:r w:rsidRPr="00D17C56">
        <w:rPr>
          <w:bCs/>
          <w:i/>
          <w:color w:val="000000" w:themeColor="text1"/>
          <w:sz w:val="24"/>
          <w:lang w:val="en"/>
        </w:rPr>
        <w:t>(dated July 14, 2020 No. 6001-20-00-3gp-122)</w:t>
      </w:r>
      <w:r w:rsidRPr="001529C7">
        <w:rPr>
          <w:bCs/>
          <w:color w:val="000000" w:themeColor="text1"/>
          <w:lang w:val="en"/>
        </w:rPr>
        <w:t xml:space="preserve"> established that the services of tie-in </w:t>
      </w:r>
      <w:r w:rsidRPr="00D17C56">
        <w:rPr>
          <w:bCs/>
          <w:i/>
          <w:color w:val="000000" w:themeColor="text1"/>
          <w:sz w:val="24"/>
          <w:lang w:val="en"/>
        </w:rPr>
        <w:t>(connecting)</w:t>
      </w:r>
      <w:r w:rsidRPr="001529C7">
        <w:rPr>
          <w:bCs/>
          <w:color w:val="000000" w:themeColor="text1"/>
          <w:lang w:val="en"/>
        </w:rPr>
        <w:t xml:space="preserve"> to existing gas pipeline should be provided within the framework of regulated services </w:t>
      </w:r>
      <w:r w:rsidRPr="00D17C56">
        <w:rPr>
          <w:bCs/>
          <w:i/>
          <w:color w:val="000000" w:themeColor="text1"/>
          <w:sz w:val="24"/>
          <w:lang w:val="en"/>
        </w:rPr>
        <w:t>(decision was made in favor of the authorized body)</w:t>
      </w:r>
      <w:r w:rsidRPr="001529C7">
        <w:rPr>
          <w:bCs/>
          <w:color w:val="000000" w:themeColor="text1"/>
          <w:lang w:val="en"/>
        </w:rPr>
        <w:t xml:space="preserve">. Also, Resolution of the Supreme Court </w:t>
      </w:r>
      <w:r w:rsidRPr="00D17C56">
        <w:rPr>
          <w:bCs/>
          <w:i/>
          <w:color w:val="000000" w:themeColor="text1"/>
          <w:sz w:val="24"/>
          <w:lang w:val="en"/>
        </w:rPr>
        <w:t>(dated March 2, 2021 No. 6001-21-00-3gp-23)</w:t>
      </w:r>
      <w:r w:rsidRPr="001529C7">
        <w:rPr>
          <w:bCs/>
          <w:color w:val="000000" w:themeColor="text1"/>
          <w:lang w:val="en"/>
        </w:rPr>
        <w:t xml:space="preserve">, established that the services of tie-in </w:t>
      </w:r>
      <w:r w:rsidRPr="00D17C56">
        <w:rPr>
          <w:bCs/>
          <w:i/>
          <w:color w:val="000000" w:themeColor="text1"/>
          <w:sz w:val="24"/>
          <w:lang w:val="en"/>
        </w:rPr>
        <w:t>(connecting)</w:t>
      </w:r>
      <w:r w:rsidRPr="001529C7">
        <w:rPr>
          <w:bCs/>
          <w:color w:val="000000" w:themeColor="text1"/>
          <w:lang w:val="en"/>
        </w:rPr>
        <w:t xml:space="preserve"> to existing gas pipeline do not belong to a regulated service </w:t>
      </w:r>
      <w:r w:rsidRPr="00D17C56">
        <w:rPr>
          <w:bCs/>
          <w:i/>
          <w:color w:val="000000" w:themeColor="text1"/>
          <w:sz w:val="24"/>
          <w:lang w:val="en"/>
        </w:rPr>
        <w:t>(decision was made in favor of KTGA)</w:t>
      </w:r>
      <w:r w:rsidRPr="001529C7">
        <w:rPr>
          <w:bCs/>
          <w:color w:val="000000" w:themeColor="text1"/>
          <w:lang w:val="en"/>
        </w:rPr>
        <w:t xml:space="preserve">. </w:t>
      </w:r>
    </w:p>
    <w:p w14:paraId="266EF9CA" w14:textId="77777777" w:rsidR="00CC4328" w:rsidRPr="00A57506" w:rsidRDefault="004C4BA9" w:rsidP="00CC4328">
      <w:pPr>
        <w:rPr>
          <w:bCs/>
          <w:color w:val="000000" w:themeColor="text1"/>
          <w:lang w:val="en-US"/>
        </w:rPr>
      </w:pPr>
      <w:r w:rsidRPr="001529C7">
        <w:rPr>
          <w:bCs/>
          <w:color w:val="000000" w:themeColor="text1"/>
          <w:lang w:val="en"/>
        </w:rPr>
        <w:t xml:space="preserve">In this connection, there are two contradictory decisions of the Supreme Court regarding involvement of KTGA for charging fees on connection to gas supply networks. The abovementioned influence on increase of connection prices is due to existing conflicts on application of the current legislation on natural monopolies. With that , the Agency notes that these collisions establish </w:t>
      </w:r>
      <w:r w:rsidRPr="00577872">
        <w:rPr>
          <w:b/>
          <w:bCs/>
          <w:color w:val="000000" w:themeColor="text1"/>
          <w:lang w:val="en"/>
        </w:rPr>
        <w:t>unequal conditions</w:t>
      </w:r>
      <w:r w:rsidRPr="001529C7">
        <w:rPr>
          <w:bCs/>
          <w:color w:val="000000" w:themeColor="text1"/>
          <w:lang w:val="en"/>
        </w:rPr>
        <w:t xml:space="preserve"> for entities operating in commercial gas transportation market.</w:t>
      </w:r>
    </w:p>
    <w:p w14:paraId="0A71919A" w14:textId="7FEAC6BA" w:rsidR="00CC4328" w:rsidRPr="00A57506" w:rsidRDefault="004C4BA9" w:rsidP="00CC4328">
      <w:pPr>
        <w:rPr>
          <w:b/>
          <w:i/>
          <w:iCs/>
          <w:color w:val="000000" w:themeColor="text1"/>
          <w:lang w:val="en-US"/>
        </w:rPr>
      </w:pPr>
      <w:r>
        <w:rPr>
          <w:b/>
          <w:i/>
          <w:iCs/>
          <w:color w:val="000000" w:themeColor="text1"/>
          <w:lang w:val="en"/>
        </w:rPr>
        <w:t>Measures to reduce gas connection costs and ensure clear pricing</w:t>
      </w:r>
    </w:p>
    <w:p w14:paraId="41EB84E8" w14:textId="77777777" w:rsidR="00CC4328" w:rsidRPr="00A57506" w:rsidRDefault="004C4BA9" w:rsidP="00CC4328">
      <w:pPr>
        <w:rPr>
          <w:bCs/>
          <w:color w:val="000000" w:themeColor="text1"/>
          <w:lang w:val="en-US"/>
        </w:rPr>
      </w:pPr>
      <w:r w:rsidRPr="001529C7">
        <w:rPr>
          <w:bCs/>
          <w:color w:val="000000" w:themeColor="text1"/>
          <w:lang w:val="en"/>
        </w:rPr>
        <w:t xml:space="preserve">In most regions, gasification of population is almost complete: more than 90% in Atyrau, Aktobe, Zhambyl, Mangystau, West Kazakhstan regions and in cities of Almaty, Shymkent, over 50%-75% in Kyzylorda, Kostanay and Turkestan regions. </w:t>
      </w:r>
    </w:p>
    <w:p w14:paraId="03568875" w14:textId="77777777" w:rsidR="00CC4328" w:rsidRPr="00A57506" w:rsidRDefault="004C4BA9" w:rsidP="00CC4328">
      <w:pPr>
        <w:rPr>
          <w:bCs/>
          <w:color w:val="000000" w:themeColor="text1"/>
          <w:lang w:val="en-US"/>
        </w:rPr>
      </w:pPr>
      <w:r w:rsidRPr="001529C7">
        <w:rPr>
          <w:bCs/>
          <w:color w:val="000000" w:themeColor="text1"/>
          <w:lang w:val="en"/>
        </w:rPr>
        <w:t xml:space="preserve">In turn, regions along the main gas pipeline "Saryarka" </w:t>
      </w:r>
      <w:r w:rsidRPr="00D17C56">
        <w:rPr>
          <w:bCs/>
          <w:i/>
          <w:color w:val="000000" w:themeColor="text1"/>
          <w:sz w:val="24"/>
          <w:lang w:val="en"/>
        </w:rPr>
        <w:t>are at stage of active gasification with a level from 1.5 to 40%,  (Astana, East Kazakhstan region, Karaganda, Ulytau, partly Akmola region)</w:t>
      </w:r>
      <w:r w:rsidRPr="001529C7">
        <w:rPr>
          <w:bCs/>
          <w:color w:val="000000" w:themeColor="text1"/>
          <w:lang w:val="en"/>
        </w:rPr>
        <w:t xml:space="preserve"> as well as Almaty and Zhetysu regions. </w:t>
      </w:r>
    </w:p>
    <w:p w14:paraId="29BDB19E" w14:textId="77777777" w:rsidR="00CC4328" w:rsidRPr="00A57506" w:rsidRDefault="004C4BA9" w:rsidP="00CC4328">
      <w:pPr>
        <w:rPr>
          <w:bCs/>
          <w:color w:val="000000" w:themeColor="text1"/>
          <w:lang w:val="en-US"/>
        </w:rPr>
      </w:pPr>
      <w:r w:rsidRPr="001529C7">
        <w:rPr>
          <w:bCs/>
          <w:color w:val="000000" w:themeColor="text1"/>
          <w:lang w:val="en"/>
        </w:rPr>
        <w:t>In this regard, in these regions, the Agency's territorial departments, together with market entities, are working on application of measures to reduce prices for gasification services.</w:t>
      </w:r>
    </w:p>
    <w:p w14:paraId="6D53CE51" w14:textId="77777777" w:rsidR="00CC4328" w:rsidRPr="00A57506" w:rsidRDefault="004C4BA9" w:rsidP="00CC4328">
      <w:pPr>
        <w:rPr>
          <w:bCs/>
          <w:color w:val="000000" w:themeColor="text1"/>
          <w:lang w:val="en-US"/>
        </w:rPr>
      </w:pPr>
      <w:r w:rsidRPr="001529C7">
        <w:rPr>
          <w:bCs/>
          <w:color w:val="000000" w:themeColor="text1"/>
          <w:lang w:val="en"/>
        </w:rPr>
        <w:t>Action Plan for Territorial Departments to implement instructions and verify activities of relevant organizations in terms of compliance with requirements of legislation in the field of competition protection has been approved, in accordance with which monthly monitoring of gasification prices of the population is carried out.</w:t>
      </w:r>
    </w:p>
    <w:p w14:paraId="431EE40D" w14:textId="77777777" w:rsidR="00CC4328" w:rsidRPr="00A57506" w:rsidRDefault="004C4BA9" w:rsidP="00CC4328">
      <w:pPr>
        <w:rPr>
          <w:bCs/>
          <w:color w:val="000000" w:themeColor="text1"/>
          <w:lang w:val="en-US"/>
        </w:rPr>
      </w:pPr>
      <w:r w:rsidRPr="001529C7">
        <w:rPr>
          <w:bCs/>
          <w:color w:val="000000" w:themeColor="text1"/>
          <w:lang w:val="en"/>
        </w:rPr>
        <w:t xml:space="preserve">In Astana, </w:t>
      </w:r>
      <w:r w:rsidR="00577872" w:rsidRPr="00577872">
        <w:rPr>
          <w:b/>
          <w:bCs/>
          <w:color w:val="000000" w:themeColor="text1"/>
          <w:lang w:val="en"/>
        </w:rPr>
        <w:t>12 antimonopoly compliance</w:t>
      </w:r>
      <w:r w:rsidRPr="001529C7">
        <w:rPr>
          <w:bCs/>
          <w:color w:val="000000" w:themeColor="text1"/>
          <w:lang w:val="en"/>
        </w:rPr>
        <w:t xml:space="preserve"> agreements have been agreed with fixed price for CIW until the end of 2023. Agreement was reached with companies to provide CIW in the range from 97 to 103 thousand KZT </w:t>
      </w:r>
      <w:r w:rsidRPr="00D17C56">
        <w:rPr>
          <w:bCs/>
          <w:i/>
          <w:color w:val="000000" w:themeColor="text1"/>
          <w:sz w:val="24"/>
          <w:lang w:val="en"/>
        </w:rPr>
        <w:t>(based on distances of 25-30 m)</w:t>
      </w:r>
      <w:r w:rsidRPr="001529C7">
        <w:rPr>
          <w:bCs/>
          <w:color w:val="000000" w:themeColor="text1"/>
          <w:lang w:val="en"/>
        </w:rPr>
        <w:t xml:space="preserve">, previously CIW services amounted to 120-140 thousand KZT. This amount includes design and estimate documentation, executive and technical documentation, construction and installation work, consumables. </w:t>
      </w:r>
    </w:p>
    <w:p w14:paraId="131F8C7C" w14:textId="77777777" w:rsidR="00CC4328" w:rsidRPr="00A57506" w:rsidRDefault="004C4BA9" w:rsidP="00CC4328">
      <w:pPr>
        <w:rPr>
          <w:bCs/>
          <w:color w:val="000000" w:themeColor="text1"/>
          <w:lang w:val="en-US"/>
        </w:rPr>
      </w:pPr>
      <w:r w:rsidRPr="001529C7">
        <w:rPr>
          <w:bCs/>
          <w:color w:val="000000" w:themeColor="text1"/>
          <w:lang w:val="en"/>
        </w:rPr>
        <w:t xml:space="preserve">In Karaganda region, act of antimonopoly compliance has been agreed to reduce cost of CIW by 5-10% with 5 companies. In Zhetysu region, </w:t>
      </w:r>
      <w:r w:rsidRPr="00577872">
        <w:rPr>
          <w:b/>
          <w:bCs/>
          <w:color w:val="000000" w:themeColor="text1"/>
          <w:lang w:val="en"/>
        </w:rPr>
        <w:t>8 compliance</w:t>
      </w:r>
      <w:r w:rsidRPr="001529C7">
        <w:rPr>
          <w:bCs/>
          <w:color w:val="000000" w:themeColor="text1"/>
          <w:lang w:val="en"/>
        </w:rPr>
        <w:t xml:space="preserve"> measures have been agreed to reduce prices for CIW services.</w:t>
      </w:r>
    </w:p>
    <w:p w14:paraId="3C5D28A5" w14:textId="77777777" w:rsidR="00CC4328" w:rsidRPr="00A57506" w:rsidRDefault="004C4BA9" w:rsidP="00CC4328">
      <w:pPr>
        <w:rPr>
          <w:bCs/>
          <w:color w:val="000000" w:themeColor="text1"/>
          <w:lang w:val="en-US"/>
        </w:rPr>
      </w:pPr>
      <w:r w:rsidRPr="001529C7">
        <w:rPr>
          <w:bCs/>
          <w:color w:val="000000" w:themeColor="text1"/>
          <w:lang w:val="en"/>
        </w:rPr>
        <w:lastRenderedPageBreak/>
        <w:t xml:space="preserve">In Kostanay region, </w:t>
      </w:r>
      <w:r w:rsidRPr="00577872">
        <w:rPr>
          <w:b/>
          <w:bCs/>
          <w:color w:val="000000" w:themeColor="text1"/>
          <w:lang w:val="en"/>
        </w:rPr>
        <w:t>2 compliance</w:t>
      </w:r>
      <w:r w:rsidRPr="001529C7">
        <w:rPr>
          <w:bCs/>
          <w:color w:val="000000" w:themeColor="text1"/>
          <w:lang w:val="en"/>
        </w:rPr>
        <w:t xml:space="preserve"> measures have been agreed with market entities to curb prices for CIW  services. In other regions, work is also being carried out with market participants to reduce cost of CIW services.</w:t>
      </w:r>
    </w:p>
    <w:p w14:paraId="5CED133D" w14:textId="77777777" w:rsidR="00CC4328" w:rsidRPr="00A57506" w:rsidRDefault="004C4BA9" w:rsidP="00CC4328">
      <w:pPr>
        <w:rPr>
          <w:bCs/>
          <w:color w:val="000000" w:themeColor="text1"/>
          <w:lang w:val="en-US"/>
        </w:rPr>
      </w:pPr>
      <w:r w:rsidRPr="001529C7">
        <w:rPr>
          <w:bCs/>
          <w:color w:val="000000" w:themeColor="text1"/>
          <w:lang w:val="en"/>
        </w:rPr>
        <w:t>In order to ensure transparency of pricing in the market, a number of organizational measures have been taken.</w:t>
      </w:r>
    </w:p>
    <w:p w14:paraId="0E07E813" w14:textId="6CD6D0B1" w:rsidR="00CC4328" w:rsidRPr="00A57506" w:rsidRDefault="004C4BA9" w:rsidP="00CC4328">
      <w:pPr>
        <w:rPr>
          <w:bCs/>
          <w:color w:val="000000" w:themeColor="text1"/>
          <w:lang w:val="en-US"/>
        </w:rPr>
      </w:pPr>
      <w:r w:rsidRPr="001529C7">
        <w:rPr>
          <w:bCs/>
          <w:color w:val="000000" w:themeColor="text1"/>
          <w:lang w:val="en"/>
        </w:rPr>
        <w:t>In order to stop imposing services of individual suppliers, KTGA was sent a</w:t>
      </w:r>
      <w:r w:rsidR="007F61A3">
        <w:rPr>
          <w:bCs/>
          <w:color w:val="000000" w:themeColor="text1"/>
          <w:lang w:val="en"/>
        </w:rPr>
        <w:t xml:space="preserve"> </w:t>
      </w:r>
      <w:r w:rsidRPr="00577872">
        <w:rPr>
          <w:b/>
          <w:bCs/>
          <w:color w:val="000000" w:themeColor="text1"/>
          <w:lang w:val="en"/>
        </w:rPr>
        <w:t>request to cancel competitive selection</w:t>
      </w:r>
      <w:r w:rsidRPr="001529C7">
        <w:rPr>
          <w:bCs/>
          <w:color w:val="000000" w:themeColor="text1"/>
          <w:lang w:val="en"/>
        </w:rPr>
        <w:t xml:space="preserve"> of suppliers and locating them in their own buildings.</w:t>
      </w:r>
    </w:p>
    <w:p w14:paraId="605EDD5E" w14:textId="77777777" w:rsidR="00CC4328" w:rsidRPr="00A57506" w:rsidRDefault="004C4BA9" w:rsidP="00CC4328">
      <w:pPr>
        <w:rPr>
          <w:bCs/>
          <w:color w:val="000000" w:themeColor="text1"/>
          <w:lang w:val="en-US"/>
        </w:rPr>
      </w:pPr>
      <w:r w:rsidRPr="001529C7">
        <w:rPr>
          <w:bCs/>
          <w:color w:val="000000" w:themeColor="text1"/>
          <w:lang w:val="en"/>
        </w:rPr>
        <w:t xml:space="preserve">To exclude the facts of creating privileged position, </w:t>
      </w:r>
      <w:r w:rsidRPr="00577872">
        <w:rPr>
          <w:b/>
          <w:bCs/>
          <w:color w:val="000000" w:themeColor="text1"/>
          <w:lang w:val="en"/>
        </w:rPr>
        <w:t>Memo to consumers</w:t>
      </w:r>
      <w:r w:rsidRPr="001529C7">
        <w:rPr>
          <w:bCs/>
          <w:color w:val="000000" w:themeColor="text1"/>
          <w:lang w:val="en"/>
        </w:rPr>
        <w:t xml:space="preserve"> has been developed, where types, recommended cost of goods and works, as well as the rights and obligations of the parties are described. KTGA posted this Memo and list of companies providing CIW on its website and in all regional offices, as well as in its social networks.</w:t>
      </w:r>
    </w:p>
    <w:p w14:paraId="325F4F64" w14:textId="77777777" w:rsidR="00CC4328" w:rsidRPr="00A57506" w:rsidRDefault="004C4BA9" w:rsidP="00CC4328">
      <w:pPr>
        <w:rPr>
          <w:bCs/>
          <w:color w:val="000000" w:themeColor="text1"/>
          <w:lang w:val="en-US"/>
        </w:rPr>
      </w:pPr>
      <w:r w:rsidRPr="001529C7">
        <w:rPr>
          <w:bCs/>
          <w:color w:val="000000" w:themeColor="text1"/>
          <w:lang w:val="en"/>
        </w:rPr>
        <w:t xml:space="preserve">In addition, in order to constantly monitor situation at the market and inform consumers about service, additional memos have been developed for all territorial divisions of the Agency to be placed in public places with telephone numbers for complaints. </w:t>
      </w:r>
    </w:p>
    <w:p w14:paraId="0D758CEB" w14:textId="77777777" w:rsidR="00CC4328" w:rsidRPr="00A57506" w:rsidRDefault="004C4BA9" w:rsidP="00CC4328">
      <w:pPr>
        <w:rPr>
          <w:b/>
          <w:i/>
          <w:iCs/>
          <w:color w:val="000000" w:themeColor="text1"/>
          <w:lang w:val="en-US"/>
        </w:rPr>
      </w:pPr>
      <w:r w:rsidRPr="001529C7">
        <w:rPr>
          <w:b/>
          <w:i/>
          <w:iCs/>
          <w:color w:val="000000" w:themeColor="text1"/>
          <w:lang w:val="en"/>
        </w:rPr>
        <w:t>Main events</w:t>
      </w:r>
    </w:p>
    <w:p w14:paraId="71ABC1D3" w14:textId="77777777" w:rsidR="00CC4328" w:rsidRPr="00A57506" w:rsidRDefault="004C4BA9" w:rsidP="00CC4328">
      <w:pPr>
        <w:rPr>
          <w:bCs/>
          <w:iCs/>
          <w:color w:val="000000" w:themeColor="text1"/>
          <w:lang w:val="en-US"/>
        </w:rPr>
      </w:pPr>
      <w:r w:rsidRPr="001529C7">
        <w:rPr>
          <w:bCs/>
          <w:iCs/>
          <w:color w:val="000000" w:themeColor="text1"/>
          <w:lang w:val="en"/>
        </w:rPr>
        <w:t>Since the beginning of last year, procurement of CIW by KTGA JSC and involvement of Gaz Qurylys LLP through this practice has not been carried out.</w:t>
      </w:r>
    </w:p>
    <w:p w14:paraId="6537AD2B" w14:textId="77777777" w:rsidR="00CC4328" w:rsidRPr="00A57506" w:rsidRDefault="004C4BA9" w:rsidP="00CC4328">
      <w:pPr>
        <w:rPr>
          <w:bCs/>
          <w:iCs/>
          <w:color w:val="000000" w:themeColor="text1"/>
          <w:lang w:val="en-US"/>
        </w:rPr>
      </w:pPr>
      <w:r w:rsidRPr="001529C7">
        <w:rPr>
          <w:bCs/>
          <w:iCs/>
          <w:color w:val="000000" w:themeColor="text1"/>
          <w:lang w:val="en"/>
        </w:rPr>
        <w:t xml:space="preserve">Thus, in the current year, CIW is carried out throughout the territory Kazakhstan without procurement of KTGA by market entities independently, while Gaz Qurylys LLP also continues to work. </w:t>
      </w:r>
    </w:p>
    <w:p w14:paraId="23FB2BA8" w14:textId="77777777" w:rsidR="00CC4328" w:rsidRPr="00A57506" w:rsidRDefault="004C4BA9" w:rsidP="00CC4328">
      <w:pPr>
        <w:rPr>
          <w:bCs/>
          <w:iCs/>
          <w:color w:val="000000" w:themeColor="text1"/>
          <w:lang w:val="en-US"/>
        </w:rPr>
      </w:pPr>
      <w:r w:rsidRPr="001529C7">
        <w:rPr>
          <w:bCs/>
          <w:iCs/>
          <w:color w:val="000000" w:themeColor="text1"/>
          <w:lang w:val="en"/>
        </w:rPr>
        <w:t xml:space="preserve">With that , due to oncoming heating season and the need for gasification in newly connected regions </w:t>
      </w:r>
      <w:r w:rsidRPr="00D17C56">
        <w:rPr>
          <w:bCs/>
          <w:i/>
          <w:iCs/>
          <w:color w:val="000000" w:themeColor="text1"/>
          <w:sz w:val="24"/>
          <w:lang w:val="en"/>
        </w:rPr>
        <w:t xml:space="preserve"> (Astana and Karaganda region)</w:t>
      </w:r>
      <w:r w:rsidRPr="001529C7">
        <w:rPr>
          <w:bCs/>
          <w:iCs/>
          <w:color w:val="000000" w:themeColor="text1"/>
          <w:lang w:val="en"/>
        </w:rPr>
        <w:t xml:space="preserve"> KTGA sent a letter to the Agency with a proposal to temporarily allow procurement of CIW in these regions with a guarantee of reduced price </w:t>
      </w:r>
      <w:r w:rsidRPr="00D17C56">
        <w:rPr>
          <w:bCs/>
          <w:i/>
          <w:color w:val="000000" w:themeColor="text1"/>
          <w:sz w:val="24"/>
          <w:lang w:val="en"/>
        </w:rPr>
        <w:t>(at a working meeting with KTGA, price of 125-130 thousand KZT was promised)</w:t>
      </w:r>
      <w:r w:rsidRPr="001529C7">
        <w:rPr>
          <w:bCs/>
          <w:iCs/>
          <w:color w:val="000000" w:themeColor="text1"/>
          <w:lang w:val="en"/>
        </w:rPr>
        <w:t xml:space="preserve"> for the standard 25 running meters of works.</w:t>
      </w:r>
    </w:p>
    <w:p w14:paraId="75C6881F" w14:textId="77777777" w:rsidR="00CC4328" w:rsidRPr="00A57506" w:rsidRDefault="004C4BA9" w:rsidP="00CC4328">
      <w:pPr>
        <w:rPr>
          <w:bCs/>
          <w:iCs/>
          <w:color w:val="000000" w:themeColor="text1"/>
          <w:lang w:val="en-US"/>
        </w:rPr>
      </w:pPr>
      <w:r w:rsidRPr="001529C7">
        <w:rPr>
          <w:bCs/>
          <w:iCs/>
          <w:color w:val="000000" w:themeColor="text1"/>
          <w:lang w:val="en"/>
        </w:rPr>
        <w:t>KTGA undertook to ensure this cost of the CIW by setting the limit of the specified purchase price.</w:t>
      </w:r>
    </w:p>
    <w:p w14:paraId="5C610106" w14:textId="77777777" w:rsidR="00CC4328" w:rsidRPr="00A57506" w:rsidRDefault="004C4BA9" w:rsidP="00CC4328">
      <w:pPr>
        <w:rPr>
          <w:bCs/>
          <w:iCs/>
          <w:color w:val="000000" w:themeColor="text1"/>
          <w:lang w:val="en-US"/>
        </w:rPr>
      </w:pPr>
      <w:r w:rsidRPr="001529C7">
        <w:rPr>
          <w:bCs/>
          <w:iCs/>
          <w:color w:val="000000" w:themeColor="text1"/>
          <w:lang w:val="en"/>
        </w:rPr>
        <w:t>On June 24, 2022, "KTGA" JSC, following the results of preliminary study, applied to the Agency for approval of procurement of CIW in Astana and Karaganda region, taking into account Article 192 of the Code on certain antimonopoly conditions.</w:t>
      </w:r>
    </w:p>
    <w:p w14:paraId="10713573" w14:textId="77777777" w:rsidR="00CC4328" w:rsidRPr="00A57506" w:rsidRDefault="004C4BA9" w:rsidP="00D17C56">
      <w:pPr>
        <w:tabs>
          <w:tab w:val="left" w:pos="993"/>
        </w:tabs>
        <w:rPr>
          <w:bCs/>
          <w:iCs/>
          <w:color w:val="000000" w:themeColor="text1"/>
          <w:lang w:val="en-US"/>
        </w:rPr>
      </w:pPr>
      <w:r w:rsidRPr="001529C7">
        <w:rPr>
          <w:bCs/>
          <w:iCs/>
          <w:color w:val="000000" w:themeColor="text1"/>
          <w:lang w:val="en"/>
        </w:rPr>
        <w:t xml:space="preserve">The Agency agreed with the following </w:t>
      </w:r>
      <w:r w:rsidRPr="00577872">
        <w:rPr>
          <w:b/>
          <w:bCs/>
          <w:iCs/>
          <w:color w:val="000000" w:themeColor="text1"/>
          <w:lang w:val="en"/>
        </w:rPr>
        <w:t>conditions</w:t>
      </w:r>
      <w:r w:rsidRPr="001529C7">
        <w:rPr>
          <w:bCs/>
          <w:iCs/>
          <w:color w:val="000000" w:themeColor="text1"/>
          <w:lang w:val="en"/>
        </w:rPr>
        <w:t>:</w:t>
      </w:r>
    </w:p>
    <w:p w14:paraId="621C3054" w14:textId="77777777" w:rsidR="00CC4328" w:rsidRPr="00A57506" w:rsidRDefault="004C4BA9" w:rsidP="00901D92">
      <w:pPr>
        <w:numPr>
          <w:ilvl w:val="0"/>
          <w:numId w:val="5"/>
        </w:numPr>
        <w:tabs>
          <w:tab w:val="num" w:pos="567"/>
          <w:tab w:val="left" w:pos="993"/>
        </w:tabs>
        <w:ind w:left="0" w:firstLine="567"/>
        <w:rPr>
          <w:color w:val="000000" w:themeColor="text1"/>
          <w:lang w:val="en-US"/>
        </w:rPr>
      </w:pPr>
      <w:r w:rsidRPr="001529C7">
        <w:rPr>
          <w:color w:val="000000" w:themeColor="text1"/>
          <w:lang w:val="en"/>
        </w:rPr>
        <w:t>"KTGA" JSC must</w:t>
      </w:r>
      <w:r w:rsidRPr="00577872">
        <w:rPr>
          <w:b/>
          <w:color w:val="000000" w:themeColor="text1"/>
          <w:lang w:val="en"/>
        </w:rPr>
        <w:t xml:space="preserve"> divide lots</w:t>
      </w:r>
      <w:r w:rsidRPr="001529C7">
        <w:rPr>
          <w:color w:val="000000" w:themeColor="text1"/>
          <w:lang w:val="en"/>
        </w:rPr>
        <w:t xml:space="preserve"> by territory, conduct tenders administratively and territorially in accordance with legislation requirements, in order not to restrict competition</w:t>
      </w:r>
      <w:r w:rsidRPr="00D17C56">
        <w:rPr>
          <w:i/>
          <w:iCs/>
          <w:color w:val="000000" w:themeColor="text1"/>
          <w:sz w:val="24"/>
          <w:lang w:val="en"/>
        </w:rPr>
        <w:t xml:space="preserve"> (customer, procurement organizer are obliged to divide heterogeneous goods, works and services into lots by uniformity, homogeneous goods - by types of homogeneous goods and delivery points, homogeneous works, services – by place of their execution, provision – paragraph 3 of Article 6 of the Law "On Procurement of Certain Subjects of the quasi–public sector" (hereinafter - the Law)</w:t>
      </w:r>
      <w:r w:rsidRPr="001529C7">
        <w:rPr>
          <w:color w:val="000000" w:themeColor="text1"/>
          <w:lang w:val="en"/>
        </w:rPr>
        <w:t>;</w:t>
      </w:r>
    </w:p>
    <w:p w14:paraId="6E76DF27" w14:textId="77777777" w:rsidR="00CC4328" w:rsidRPr="00A57506" w:rsidRDefault="004C4BA9" w:rsidP="00901D92">
      <w:pPr>
        <w:numPr>
          <w:ilvl w:val="0"/>
          <w:numId w:val="5"/>
        </w:numPr>
        <w:tabs>
          <w:tab w:val="num" w:pos="567"/>
          <w:tab w:val="left" w:pos="993"/>
        </w:tabs>
        <w:ind w:left="0" w:firstLine="567"/>
        <w:rPr>
          <w:color w:val="000000" w:themeColor="text1"/>
          <w:lang w:val="en-US"/>
        </w:rPr>
      </w:pPr>
      <w:r w:rsidRPr="001529C7">
        <w:rPr>
          <w:color w:val="000000" w:themeColor="text1"/>
          <w:lang w:val="en"/>
        </w:rPr>
        <w:t xml:space="preserve">"KTGA" JSC must purchase CIW </w:t>
      </w:r>
      <w:r w:rsidRPr="00577872">
        <w:rPr>
          <w:b/>
          <w:color w:val="000000" w:themeColor="text1"/>
          <w:lang w:val="en"/>
        </w:rPr>
        <w:t>through tender</w:t>
      </w:r>
      <w:r w:rsidRPr="001529C7">
        <w:rPr>
          <w:color w:val="000000" w:themeColor="text1"/>
          <w:lang w:val="en"/>
        </w:rPr>
        <w:t xml:space="preserve"> </w:t>
      </w:r>
      <w:r w:rsidRPr="00D17C56">
        <w:rPr>
          <w:i/>
          <w:iCs/>
          <w:color w:val="000000" w:themeColor="text1"/>
          <w:sz w:val="24"/>
          <w:lang w:val="en"/>
        </w:rPr>
        <w:t>(sub-paragraph 1) Clause 1, Article 11 of the Law)</w:t>
      </w:r>
      <w:r w:rsidRPr="001529C7">
        <w:rPr>
          <w:color w:val="000000" w:themeColor="text1"/>
          <w:lang w:val="en"/>
        </w:rPr>
        <w:t xml:space="preserve"> or in any other way that allows potential CIW contractors to freely </w:t>
      </w:r>
      <w:r w:rsidRPr="001529C7">
        <w:rPr>
          <w:color w:val="000000" w:themeColor="text1"/>
          <w:lang w:val="en"/>
        </w:rPr>
        <w:lastRenderedPageBreak/>
        <w:t>participate in procurement of "KTGA" JSC, except for the following methods: request for price proposals, from one source, within the framework of intra-holding cooperation;</w:t>
      </w:r>
    </w:p>
    <w:p w14:paraId="615BD6CC" w14:textId="5D980E0D" w:rsidR="00CC4328" w:rsidRPr="00A57506" w:rsidRDefault="004C4BA9" w:rsidP="00901D92">
      <w:pPr>
        <w:numPr>
          <w:ilvl w:val="0"/>
          <w:numId w:val="5"/>
        </w:numPr>
        <w:tabs>
          <w:tab w:val="num" w:pos="567"/>
          <w:tab w:val="left" w:pos="993"/>
        </w:tabs>
        <w:ind w:left="0" w:firstLine="567"/>
        <w:rPr>
          <w:color w:val="000000" w:themeColor="text1"/>
          <w:lang w:val="en-US"/>
        </w:rPr>
      </w:pPr>
      <w:r w:rsidRPr="001529C7">
        <w:rPr>
          <w:color w:val="000000" w:themeColor="text1"/>
          <w:lang w:val="en"/>
        </w:rPr>
        <w:t>The Company</w:t>
      </w:r>
      <w:r w:rsidRPr="00577872">
        <w:rPr>
          <w:b/>
          <w:color w:val="000000" w:themeColor="text1"/>
          <w:lang w:val="en"/>
        </w:rPr>
        <w:t xml:space="preserve"> should not have any affiliation or other bonds with potential suppliers</w:t>
      </w:r>
      <w:r w:rsidRPr="00D17C56">
        <w:rPr>
          <w:i/>
          <w:color w:val="000000" w:themeColor="text1"/>
          <w:sz w:val="24"/>
          <w:lang w:val="en"/>
        </w:rPr>
        <w:t xml:space="preserve"> (for example, a common location or other transactions) </w:t>
      </w:r>
      <w:r w:rsidRPr="001529C7">
        <w:rPr>
          <w:color w:val="000000" w:themeColor="text1"/>
          <w:lang w:val="en"/>
        </w:rPr>
        <w:t xml:space="preserve">that may affect selection of CIW contractor </w:t>
      </w:r>
      <w:bookmarkStart w:id="40" w:name="_Hlk105614190"/>
      <w:r w:rsidRPr="00D17C56">
        <w:rPr>
          <w:i/>
          <w:color w:val="000000" w:themeColor="text1"/>
          <w:sz w:val="24"/>
          <w:lang w:val="en"/>
        </w:rPr>
        <w:t xml:space="preserve"> (</w:t>
      </w:r>
      <w:bookmarkStart w:id="41" w:name="_Hlk105613606"/>
      <w:r w:rsidR="00AF59F7" w:rsidRPr="00D17C56">
        <w:rPr>
          <w:i/>
          <w:color w:val="000000" w:themeColor="text1"/>
          <w:sz w:val="24"/>
          <w:lang w:val="en"/>
        </w:rPr>
        <w:t>subparagraphs</w:t>
      </w:r>
      <w:r w:rsidRPr="00D17C56">
        <w:rPr>
          <w:i/>
          <w:color w:val="000000" w:themeColor="text1"/>
          <w:sz w:val="24"/>
          <w:lang w:val="en"/>
        </w:rPr>
        <w:t xml:space="preserve"> 3) and 5), clause 1, Article 4 of the Law </w:t>
      </w:r>
      <w:bookmarkEnd w:id="41"/>
      <w:r w:rsidRPr="00D17C56">
        <w:rPr>
          <w:i/>
          <w:color w:val="000000" w:themeColor="text1"/>
          <w:sz w:val="24"/>
          <w:lang w:val="en"/>
        </w:rPr>
        <w:t>- principle of fair competition among potential suppliers, prevention of collusion between procurement participants and principle of preventing corruption manifestations)</w:t>
      </w:r>
      <w:bookmarkEnd w:id="40"/>
      <w:r w:rsidRPr="001529C7">
        <w:rPr>
          <w:color w:val="000000" w:themeColor="text1"/>
          <w:lang w:val="en"/>
        </w:rPr>
        <w:t>;</w:t>
      </w:r>
    </w:p>
    <w:p w14:paraId="1B4C453A" w14:textId="77777777" w:rsidR="00CC4328" w:rsidRPr="00A57506" w:rsidRDefault="004C4BA9" w:rsidP="00901D92">
      <w:pPr>
        <w:numPr>
          <w:ilvl w:val="0"/>
          <w:numId w:val="5"/>
        </w:numPr>
        <w:tabs>
          <w:tab w:val="num" w:pos="567"/>
          <w:tab w:val="left" w:pos="993"/>
        </w:tabs>
        <w:ind w:left="0" w:firstLine="567"/>
        <w:rPr>
          <w:color w:val="000000" w:themeColor="text1"/>
          <w:lang w:val="en-US"/>
        </w:rPr>
      </w:pPr>
      <w:r>
        <w:rPr>
          <w:color w:val="000000" w:themeColor="text1"/>
          <w:lang w:val="en"/>
        </w:rPr>
        <w:t xml:space="preserve">there must be at </w:t>
      </w:r>
      <w:r w:rsidRPr="00577872">
        <w:rPr>
          <w:b/>
          <w:color w:val="000000" w:themeColor="text1"/>
          <w:lang w:val="en"/>
        </w:rPr>
        <w:t>least three potential CIW suppliers</w:t>
      </w:r>
      <w:r>
        <w:rPr>
          <w:color w:val="000000" w:themeColor="text1"/>
          <w:lang w:val="en"/>
        </w:rPr>
        <w:t xml:space="preserve"> for the tender, not affiliated and not interconnected by transactions </w:t>
      </w:r>
      <w:r w:rsidRPr="00D17C56">
        <w:rPr>
          <w:i/>
          <w:iCs/>
          <w:color w:val="000000" w:themeColor="text1"/>
          <w:sz w:val="24"/>
          <w:lang w:val="en"/>
        </w:rPr>
        <w:t>(subparagraph 3) of paragraph 1, Article 4 of the Law – principle of fair competition among potential suppliers)</w:t>
      </w:r>
      <w:r>
        <w:rPr>
          <w:color w:val="000000" w:themeColor="text1"/>
          <w:lang w:val="en"/>
        </w:rPr>
        <w:t>;</w:t>
      </w:r>
    </w:p>
    <w:p w14:paraId="580871E0" w14:textId="77777777" w:rsidR="00CC4328" w:rsidRPr="00A57506" w:rsidRDefault="004C4BA9" w:rsidP="00901D92">
      <w:pPr>
        <w:numPr>
          <w:ilvl w:val="0"/>
          <w:numId w:val="5"/>
        </w:numPr>
        <w:tabs>
          <w:tab w:val="num" w:pos="567"/>
          <w:tab w:val="left" w:pos="993"/>
        </w:tabs>
        <w:ind w:left="0" w:firstLine="567"/>
        <w:rPr>
          <w:color w:val="000000" w:themeColor="text1"/>
          <w:lang w:val="en-US"/>
        </w:rPr>
      </w:pPr>
      <w:r>
        <w:rPr>
          <w:color w:val="000000" w:themeColor="text1"/>
          <w:lang w:val="en"/>
        </w:rPr>
        <w:t xml:space="preserve">placement of information on alternative CIW contractors at </w:t>
      </w:r>
      <w:r w:rsidRPr="00577872">
        <w:rPr>
          <w:b/>
          <w:color w:val="000000" w:themeColor="text1"/>
          <w:lang w:val="en"/>
        </w:rPr>
        <w:t>location</w:t>
      </w:r>
      <w:r>
        <w:rPr>
          <w:color w:val="000000" w:themeColor="text1"/>
          <w:lang w:val="en"/>
        </w:rPr>
        <w:t xml:space="preserve"> of "KTGA" JSC and its branches;</w:t>
      </w:r>
    </w:p>
    <w:p w14:paraId="570573DE" w14:textId="77777777" w:rsidR="00CC4328" w:rsidRPr="00A57506" w:rsidRDefault="004C4BA9" w:rsidP="00901D92">
      <w:pPr>
        <w:numPr>
          <w:ilvl w:val="0"/>
          <w:numId w:val="5"/>
        </w:numPr>
        <w:tabs>
          <w:tab w:val="num" w:pos="567"/>
          <w:tab w:val="left" w:pos="993"/>
        </w:tabs>
        <w:ind w:left="0" w:firstLine="567"/>
        <w:rPr>
          <w:color w:val="000000" w:themeColor="text1"/>
          <w:lang w:val="en-US"/>
        </w:rPr>
      </w:pPr>
      <w:r w:rsidRPr="00577872">
        <w:rPr>
          <w:b/>
          <w:color w:val="000000" w:themeColor="text1"/>
          <w:lang w:val="en"/>
        </w:rPr>
        <w:t>unified terms</w:t>
      </w:r>
      <w:r w:rsidRPr="001529C7">
        <w:rPr>
          <w:color w:val="000000" w:themeColor="text1"/>
          <w:lang w:val="en"/>
        </w:rPr>
        <w:t xml:space="preserve"> of considering applications from market entities at connection to distribution networks by "KTGA" JSC.</w:t>
      </w:r>
    </w:p>
    <w:p w14:paraId="073AEF28"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 xml:space="preserve">With that , the Agency reported that </w:t>
      </w:r>
      <w:r w:rsidRPr="001529C7">
        <w:rPr>
          <w:b/>
          <w:bCs/>
          <w:color w:val="000000" w:themeColor="text1"/>
          <w:lang w:val="en"/>
        </w:rPr>
        <w:t>analysis of the feasibility of state participation in the markets will be carried out within one year</w:t>
      </w:r>
      <w:r w:rsidRPr="001529C7">
        <w:rPr>
          <w:bCs/>
          <w:color w:val="000000" w:themeColor="text1"/>
          <w:lang w:val="en"/>
        </w:rPr>
        <w:t xml:space="preserve">, </w:t>
      </w:r>
      <w:r w:rsidRPr="001529C7">
        <w:rPr>
          <w:b/>
          <w:bCs/>
          <w:color w:val="000000" w:themeColor="text1"/>
          <w:lang w:val="en"/>
        </w:rPr>
        <w:t>following which a decision</w:t>
      </w:r>
      <w:r w:rsidRPr="001529C7">
        <w:rPr>
          <w:bCs/>
          <w:color w:val="000000" w:themeColor="text1"/>
          <w:lang w:val="en"/>
        </w:rPr>
        <w:t xml:space="preserve"> will be made.</w:t>
      </w:r>
    </w:p>
    <w:p w14:paraId="7AF58D65"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According to the results of the past purchases, the winners were determined:</w:t>
      </w:r>
    </w:p>
    <w:p w14:paraId="393E60EA" w14:textId="77777777" w:rsidR="00CC4328" w:rsidRPr="00D17C56" w:rsidRDefault="004C4BA9" w:rsidP="00901D92">
      <w:pPr>
        <w:pStyle w:val="ListParagraph"/>
        <w:numPr>
          <w:ilvl w:val="0"/>
          <w:numId w:val="11"/>
        </w:numPr>
        <w:tabs>
          <w:tab w:val="left" w:pos="993"/>
        </w:tabs>
        <w:ind w:left="0" w:firstLine="567"/>
        <w:rPr>
          <w:bCs/>
          <w:color w:val="000000" w:themeColor="text1"/>
        </w:rPr>
      </w:pPr>
      <w:r w:rsidRPr="00D17C56">
        <w:rPr>
          <w:bCs/>
          <w:color w:val="000000" w:themeColor="text1"/>
          <w:lang w:val="en"/>
        </w:rPr>
        <w:t>Astana – Aigerim LLP;</w:t>
      </w:r>
    </w:p>
    <w:p w14:paraId="2918C95A" w14:textId="77777777" w:rsidR="00CC4328" w:rsidRPr="00D17C56" w:rsidRDefault="004C4BA9" w:rsidP="00901D92">
      <w:pPr>
        <w:pStyle w:val="ListParagraph"/>
        <w:numPr>
          <w:ilvl w:val="0"/>
          <w:numId w:val="11"/>
        </w:numPr>
        <w:tabs>
          <w:tab w:val="left" w:pos="993"/>
        </w:tabs>
        <w:ind w:left="0" w:firstLine="567"/>
        <w:rPr>
          <w:bCs/>
          <w:color w:val="000000" w:themeColor="text1"/>
        </w:rPr>
      </w:pPr>
      <w:r w:rsidRPr="00D17C56">
        <w:rPr>
          <w:bCs/>
          <w:color w:val="000000" w:themeColor="text1"/>
          <w:lang w:val="en"/>
        </w:rPr>
        <w:t xml:space="preserve">Karaganda region – Rembrandt LLP. </w:t>
      </w:r>
    </w:p>
    <w:p w14:paraId="36F13B17"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 xml:space="preserve">According to KTGA, these companies are currently carrying out CIW activities in these regions. </w:t>
      </w:r>
    </w:p>
    <w:p w14:paraId="5F74C070" w14:textId="77777777" w:rsidR="00CC4328" w:rsidRPr="00A57506" w:rsidRDefault="004C4BA9" w:rsidP="00D17C56">
      <w:pPr>
        <w:tabs>
          <w:tab w:val="left" w:pos="993"/>
        </w:tabs>
        <w:rPr>
          <w:bCs/>
          <w:i/>
          <w:color w:val="000000" w:themeColor="text1"/>
          <w:lang w:val="en-US"/>
        </w:rPr>
      </w:pPr>
      <w:r w:rsidRPr="001529C7">
        <w:rPr>
          <w:b/>
          <w:bCs/>
          <w:i/>
          <w:color w:val="000000" w:themeColor="text1"/>
          <w:lang w:val="en"/>
        </w:rPr>
        <w:t xml:space="preserve">Proposals and recommendations for competition development </w:t>
      </w:r>
    </w:p>
    <w:p w14:paraId="1D0775C9"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1)</w:t>
      </w:r>
      <w:r w:rsidRPr="001529C7">
        <w:rPr>
          <w:bCs/>
          <w:color w:val="000000" w:themeColor="text1"/>
          <w:lang w:val="en"/>
        </w:rPr>
        <w:tab/>
        <w:t>work on the issue of allocating funds for construction of distribution networks within settlements at the expense of export revenues of "NC Qazaq Gas" JSC, state budget or tariff for regulated services;</w:t>
      </w:r>
    </w:p>
    <w:p w14:paraId="423E657A"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2)</w:t>
      </w:r>
      <w:r w:rsidRPr="001529C7">
        <w:rPr>
          <w:bCs/>
          <w:color w:val="000000" w:themeColor="text1"/>
          <w:lang w:val="en"/>
        </w:rPr>
        <w:tab/>
        <w:t xml:space="preserve">on tie-in </w:t>
      </w:r>
      <w:r w:rsidRPr="00D17C56">
        <w:rPr>
          <w:bCs/>
          <w:i/>
          <w:color w:val="000000" w:themeColor="text1"/>
          <w:sz w:val="24"/>
          <w:lang w:val="en"/>
        </w:rPr>
        <w:t>(connection)</w:t>
      </w:r>
      <w:r w:rsidRPr="001529C7">
        <w:rPr>
          <w:bCs/>
          <w:color w:val="000000" w:themeColor="text1"/>
          <w:lang w:val="en"/>
        </w:rPr>
        <w:t xml:space="preserve"> services, the Ministries of National Economy and Energy, together with market entities, should produce unified final position on CIW with the introduction of appropriate amendments to regulatory legal acts governing the rules for formation of tariffs for natural monopolies in gas transportation services; </w:t>
      </w:r>
    </w:p>
    <w:p w14:paraId="6EC7E1C5"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3)</w:t>
      </w:r>
      <w:r w:rsidRPr="001529C7">
        <w:rPr>
          <w:bCs/>
          <w:color w:val="000000" w:themeColor="text1"/>
          <w:lang w:val="en"/>
        </w:rPr>
        <w:tab/>
        <w:t xml:space="preserve">local executive bodies should consider and apply positive experience of Astana Akimat on the issue of providing social support to vulnerable segments of population for connection to gas networks, if necessary, with amendments to regulatory legal acts; </w:t>
      </w:r>
    </w:p>
    <w:p w14:paraId="052D245A"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4)</w:t>
      </w:r>
      <w:r w:rsidRPr="001529C7">
        <w:rPr>
          <w:bCs/>
          <w:color w:val="000000" w:themeColor="text1"/>
          <w:lang w:val="en"/>
        </w:rPr>
        <w:tab/>
        <w:t xml:space="preserve">Ministry of Ecology and Natural Resources should take measures to switch consumers from coal heating system to gas when applying restrictions on use of coal in gasified regions of the country, including conducting large-scale awareness campaign work on applied restrictions and need for gasification; </w:t>
      </w:r>
    </w:p>
    <w:p w14:paraId="2FD845D2" w14:textId="77777777" w:rsidR="00CC4328" w:rsidRPr="00A57506" w:rsidRDefault="004C4BA9" w:rsidP="00D17C56">
      <w:pPr>
        <w:tabs>
          <w:tab w:val="left" w:pos="993"/>
        </w:tabs>
        <w:rPr>
          <w:bCs/>
          <w:color w:val="000000" w:themeColor="text1"/>
          <w:lang w:val="en-US"/>
        </w:rPr>
      </w:pPr>
      <w:r w:rsidRPr="001529C7">
        <w:rPr>
          <w:bCs/>
          <w:color w:val="000000" w:themeColor="text1"/>
          <w:lang w:val="en"/>
        </w:rPr>
        <w:t>5)</w:t>
      </w:r>
      <w:r w:rsidRPr="001529C7">
        <w:rPr>
          <w:bCs/>
          <w:color w:val="000000" w:themeColor="text1"/>
          <w:lang w:val="en"/>
        </w:rPr>
        <w:tab/>
        <w:t xml:space="preserve">Ministry of Industry and Infrastructure Development should consider possibility of producing its own gas equipment </w:t>
      </w:r>
      <w:r w:rsidRPr="00D17C56">
        <w:rPr>
          <w:bCs/>
          <w:i/>
          <w:color w:val="000000" w:themeColor="text1"/>
          <w:sz w:val="24"/>
          <w:lang w:val="en"/>
        </w:rPr>
        <w:t>(gas pipes, meters, components)</w:t>
      </w:r>
      <w:r w:rsidRPr="001529C7">
        <w:rPr>
          <w:bCs/>
          <w:color w:val="000000" w:themeColor="text1"/>
          <w:lang w:val="en"/>
        </w:rPr>
        <w:t xml:space="preserve"> at existing infrastructure facilities, or work on attracting investments to build plant for production of equipment, with inclusion of this project into Unified Industrialization Map and </w:t>
      </w:r>
      <w:r w:rsidRPr="001529C7">
        <w:rPr>
          <w:bCs/>
          <w:color w:val="000000" w:themeColor="text1"/>
          <w:lang w:val="en"/>
        </w:rPr>
        <w:lastRenderedPageBreak/>
        <w:t>"Economy of Simple Things" program or through mechanisms of "Industrial Development Fund" JSC.</w:t>
      </w:r>
    </w:p>
    <w:p w14:paraId="16FB5AD0" w14:textId="77777777" w:rsidR="00F85F2F" w:rsidRPr="00A57506" w:rsidRDefault="004C4BA9" w:rsidP="00D17C56">
      <w:pPr>
        <w:tabs>
          <w:tab w:val="left" w:pos="993"/>
        </w:tabs>
        <w:rPr>
          <w:color w:val="000000" w:themeColor="text1"/>
          <w:lang w:val="en-US"/>
        </w:rPr>
      </w:pPr>
      <w:r w:rsidRPr="001529C7">
        <w:rPr>
          <w:color w:val="000000" w:themeColor="text1"/>
          <w:lang w:val="en"/>
        </w:rPr>
        <w:t xml:space="preserve">These proposals have been sent to the President's Administration </w:t>
      </w:r>
      <w:r w:rsidRPr="00D17C56">
        <w:rPr>
          <w:i/>
          <w:color w:val="000000" w:themeColor="text1"/>
          <w:sz w:val="24"/>
          <w:lang w:val="en"/>
        </w:rPr>
        <w:t>(under consideration)</w:t>
      </w:r>
      <w:r w:rsidRPr="001529C7">
        <w:rPr>
          <w:color w:val="000000" w:themeColor="text1"/>
          <w:lang w:val="en"/>
        </w:rPr>
        <w:t xml:space="preserve">. Fulfillment of proposals for digitalization of construction and installation works until 2024 will accelerate gasification </w:t>
      </w:r>
      <w:r w:rsidRPr="002A0980">
        <w:rPr>
          <w:b/>
          <w:color w:val="000000" w:themeColor="text1"/>
          <w:lang w:val="en"/>
        </w:rPr>
        <w:t>by 20%</w:t>
      </w:r>
      <w:r w:rsidRPr="001529C7">
        <w:rPr>
          <w:color w:val="000000" w:themeColor="text1"/>
          <w:lang w:val="en"/>
        </w:rPr>
        <w:t>.</w:t>
      </w:r>
    </w:p>
    <w:p w14:paraId="43D7A904" w14:textId="77777777" w:rsidR="00F85F2F" w:rsidRPr="001529C7" w:rsidRDefault="004C4BA9" w:rsidP="00F85F2F">
      <w:pPr>
        <w:pStyle w:val="Heading2"/>
        <w:numPr>
          <w:ilvl w:val="1"/>
          <w:numId w:val="4"/>
        </w:numPr>
        <w:tabs>
          <w:tab w:val="left" w:pos="1134"/>
        </w:tabs>
        <w:spacing w:before="240" w:after="240"/>
        <w:ind w:firstLine="567"/>
        <w:rPr>
          <w:rFonts w:cs="Times New Roman"/>
          <w:szCs w:val="28"/>
        </w:rPr>
      </w:pPr>
      <w:bookmarkStart w:id="42" w:name="_Toc135815281"/>
      <w:bookmarkStart w:id="43" w:name="_Toc142467910"/>
      <w:bookmarkEnd w:id="42"/>
      <w:r w:rsidRPr="001529C7">
        <w:rPr>
          <w:rFonts w:cs="Times New Roman"/>
          <w:szCs w:val="28"/>
          <w:lang w:val="en"/>
        </w:rPr>
        <w:t>Communication services market</w:t>
      </w:r>
      <w:bookmarkEnd w:id="43"/>
    </w:p>
    <w:p w14:paraId="437BD4EC" w14:textId="77777777" w:rsidR="00F85F2F" w:rsidRPr="00A57506" w:rsidRDefault="004C4BA9" w:rsidP="00F85F2F">
      <w:pPr>
        <w:rPr>
          <w:bCs/>
          <w:color w:val="000000" w:themeColor="text1"/>
          <w:lang w:val="en-US"/>
        </w:rPr>
      </w:pPr>
      <w:r w:rsidRPr="001529C7">
        <w:rPr>
          <w:bCs/>
          <w:color w:val="000000" w:themeColor="text1"/>
          <w:lang w:val="en"/>
        </w:rPr>
        <w:t xml:space="preserve">According to BNS, in 2022 the volume of telecommunications market in Kazakhstan amounted to 1.106 trillion KZT, that is 8% more than </w:t>
      </w:r>
      <w:hyperlink r:id="rId30" w:tgtFrame="_blank" w:history="1">
        <w:r w:rsidRPr="001529C7">
          <w:rPr>
            <w:rStyle w:val="Hyperlink"/>
            <w:rFonts w:eastAsiaTheme="majorEastAsia"/>
            <w:color w:val="000000" w:themeColor="text1"/>
            <w:u w:val="none"/>
            <w:lang w:val="en"/>
          </w:rPr>
          <w:t>volume of communication services in January-December 2021</w:t>
        </w:r>
      </w:hyperlink>
      <w:r w:rsidRPr="001529C7">
        <w:rPr>
          <w:bCs/>
          <w:i/>
          <w:iCs/>
          <w:color w:val="000000" w:themeColor="text1"/>
          <w:sz w:val="24"/>
          <w:szCs w:val="24"/>
          <w:lang w:val="en"/>
        </w:rPr>
        <w:t>(as of January-December 2021, the growth was 14.4%)</w:t>
      </w:r>
      <w:r w:rsidRPr="001529C7">
        <w:rPr>
          <w:bCs/>
          <w:color w:val="000000" w:themeColor="text1"/>
          <w:lang w:val="en"/>
        </w:rPr>
        <w:t xml:space="preserve">. Volume of local telephone services in January-December 2022, according to BNS, amounted to 29.1 billion KZT, that is 16.6% less than the volume of 2021, Internet services – 474.1 billion KZT </w:t>
      </w:r>
      <w:r w:rsidRPr="001529C7">
        <w:rPr>
          <w:bCs/>
          <w:i/>
          <w:iCs/>
          <w:color w:val="000000" w:themeColor="text1"/>
          <w:sz w:val="24"/>
          <w:szCs w:val="24"/>
          <w:lang w:val="en"/>
        </w:rPr>
        <w:t>(15.4% more)</w:t>
      </w:r>
      <w:r w:rsidRPr="001529C7">
        <w:rPr>
          <w:bCs/>
          <w:color w:val="000000" w:themeColor="text1"/>
          <w:lang w:val="en"/>
        </w:rPr>
        <w:t xml:space="preserve"> and cellular services – 250.6 billion KZT </w:t>
      </w:r>
      <w:r w:rsidRPr="001529C7">
        <w:rPr>
          <w:bCs/>
          <w:i/>
          <w:iCs/>
          <w:color w:val="000000" w:themeColor="text1"/>
          <w:sz w:val="24"/>
          <w:szCs w:val="24"/>
          <w:lang w:val="en"/>
        </w:rPr>
        <w:t>(2.2% less)</w:t>
      </w:r>
      <w:r w:rsidRPr="001529C7">
        <w:rPr>
          <w:bCs/>
          <w:color w:val="000000" w:themeColor="text1"/>
          <w:lang w:val="en"/>
        </w:rPr>
        <w:t>.</w:t>
      </w:r>
    </w:p>
    <w:p w14:paraId="00A42CBE" w14:textId="77777777" w:rsidR="00F85F2F" w:rsidRPr="00A57506" w:rsidRDefault="004C4BA9" w:rsidP="00F85F2F">
      <w:pPr>
        <w:rPr>
          <w:bCs/>
          <w:color w:val="000000" w:themeColor="text1"/>
          <w:lang w:val="en-US"/>
        </w:rPr>
      </w:pPr>
      <w:r w:rsidRPr="001529C7">
        <w:rPr>
          <w:color w:val="000000" w:themeColor="text1"/>
          <w:lang w:val="en"/>
        </w:rPr>
        <w:t xml:space="preserve">Significant share in the total volume of communication services is occupied by Internet, cellular and other telecommunication services. </w:t>
      </w:r>
    </w:p>
    <w:p w14:paraId="355521AF" w14:textId="29370210" w:rsidR="00F85F2F" w:rsidRPr="00A57506" w:rsidRDefault="004C4BA9" w:rsidP="00F85F2F">
      <w:pPr>
        <w:rPr>
          <w:color w:val="000000" w:themeColor="text1"/>
          <w:lang w:val="en-US"/>
        </w:rPr>
      </w:pPr>
      <w:r w:rsidRPr="001529C7">
        <w:rPr>
          <w:color w:val="000000" w:themeColor="text1"/>
          <w:lang w:val="en"/>
        </w:rPr>
        <w:t xml:space="preserve">Today, cellular communication market in Kazakhstan is </w:t>
      </w:r>
      <w:r w:rsidRPr="001C7CC1">
        <w:rPr>
          <w:b/>
          <w:color w:val="000000" w:themeColor="text1"/>
          <w:lang w:val="en"/>
        </w:rPr>
        <w:t>duopolistic</w:t>
      </w:r>
      <w:r w:rsidRPr="001529C7">
        <w:rPr>
          <w:color w:val="000000" w:themeColor="text1"/>
          <w:lang w:val="en"/>
        </w:rPr>
        <w:t xml:space="preserve">, with only </w:t>
      </w:r>
      <w:r w:rsidRPr="001529C7">
        <w:rPr>
          <w:b/>
          <w:bCs/>
          <w:color w:val="000000" w:themeColor="text1"/>
          <w:lang w:val="en"/>
        </w:rPr>
        <w:t>2 market entities</w:t>
      </w:r>
      <w:r w:rsidRPr="001529C7">
        <w:rPr>
          <w:color w:val="000000" w:themeColor="text1"/>
          <w:lang w:val="en"/>
        </w:rPr>
        <w:t xml:space="preserve"> – Kazakhtelecom JSC group </w:t>
      </w:r>
      <w:r w:rsidRPr="001529C7">
        <w:rPr>
          <w:i/>
          <w:color w:val="000000" w:themeColor="text1"/>
          <w:sz w:val="24"/>
          <w:lang w:val="en"/>
        </w:rPr>
        <w:t>(Kcell JSC, Mobile Telecom Service LLP: Tele2 / Altel)</w:t>
      </w:r>
      <w:r w:rsidRPr="001529C7">
        <w:rPr>
          <w:color w:val="000000" w:themeColor="text1"/>
          <w:lang w:val="en"/>
        </w:rPr>
        <w:t xml:space="preserve"> with share of over 60%, as well as private operator represented by Kar–Tel LLP </w:t>
      </w:r>
      <w:r w:rsidR="001C7CC1" w:rsidRPr="004719BD">
        <w:rPr>
          <w:i/>
          <w:color w:val="000000" w:themeColor="text1"/>
          <w:sz w:val="24"/>
          <w:szCs w:val="24"/>
          <w:lang w:val="en"/>
        </w:rPr>
        <w:t>(Beeline).</w:t>
      </w:r>
      <w:r w:rsidRPr="001529C7">
        <w:rPr>
          <w:color w:val="000000" w:themeColor="text1"/>
          <w:lang w:val="en"/>
        </w:rPr>
        <w:t xml:space="preserve">  </w:t>
      </w:r>
    </w:p>
    <w:p w14:paraId="1DF9F3F2" w14:textId="77777777" w:rsidR="004719BD" w:rsidRPr="00A57506" w:rsidRDefault="004C4BA9" w:rsidP="004719BD">
      <w:pPr>
        <w:rPr>
          <w:color w:val="000000" w:themeColor="text1"/>
          <w:lang w:val="en-US"/>
        </w:rPr>
      </w:pPr>
      <w:r w:rsidRPr="001529C7">
        <w:rPr>
          <w:color w:val="000000" w:themeColor="text1"/>
          <w:lang w:val="en"/>
        </w:rPr>
        <w:t>The structure of shares in cellular communication market is as follows:</w:t>
      </w:r>
    </w:p>
    <w:p w14:paraId="191040D4" w14:textId="77777777" w:rsidR="004719BD" w:rsidRPr="001529C7" w:rsidRDefault="004C4BA9" w:rsidP="004719BD">
      <w:pPr>
        <w:rPr>
          <w:color w:val="000000" w:themeColor="text1"/>
        </w:rPr>
      </w:pPr>
      <w:r w:rsidRPr="001529C7">
        <w:rPr>
          <w:noProof/>
          <w:color w:val="000000" w:themeColor="text1"/>
        </w:rPr>
        <w:drawing>
          <wp:inline distT="0" distB="0" distL="0" distR="0" wp14:anchorId="592CBA50" wp14:editId="12BE4A59">
            <wp:extent cx="5114925" cy="1526876"/>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93BFCD" w14:textId="77777777" w:rsidR="004719BD" w:rsidRPr="00A57506" w:rsidRDefault="004C4BA9" w:rsidP="004719BD">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11</w:t>
      </w:r>
      <w:r w:rsidRPr="001529C7">
        <w:rPr>
          <w:b w:val="0"/>
          <w:color w:val="000000" w:themeColor="text1"/>
          <w:sz w:val="28"/>
          <w:szCs w:val="28"/>
        </w:rPr>
        <w:fldChar w:fldCharType="end"/>
      </w:r>
      <w:r w:rsidRPr="001529C7">
        <w:rPr>
          <w:b w:val="0"/>
          <w:color w:val="000000" w:themeColor="text1"/>
          <w:sz w:val="28"/>
          <w:szCs w:val="28"/>
          <w:lang w:val="en"/>
        </w:rPr>
        <w:t>- Share in cellular communication market, %.</w:t>
      </w:r>
    </w:p>
    <w:p w14:paraId="0231CED7" w14:textId="77777777" w:rsidR="00F85F2F" w:rsidRPr="00A57506" w:rsidRDefault="004C4BA9" w:rsidP="00F85F2F">
      <w:pPr>
        <w:rPr>
          <w:rFonts w:eastAsia="Calibri"/>
          <w:bCs/>
          <w:color w:val="000000" w:themeColor="text1"/>
          <w:lang w:val="en-US"/>
        </w:rPr>
      </w:pPr>
      <w:r w:rsidRPr="001529C7">
        <w:rPr>
          <w:color w:val="000000" w:themeColor="text1"/>
          <w:lang w:val="en"/>
        </w:rPr>
        <w:t xml:space="preserve">The market is characterized by </w:t>
      </w:r>
      <w:r w:rsidRPr="001C7CC1">
        <w:rPr>
          <w:b/>
          <w:color w:val="000000" w:themeColor="text1"/>
          <w:lang w:val="en"/>
        </w:rPr>
        <w:t>high concentration</w:t>
      </w:r>
      <w:r w:rsidRPr="001529C7">
        <w:rPr>
          <w:color w:val="000000" w:themeColor="text1"/>
          <w:lang w:val="en"/>
        </w:rPr>
        <w:t xml:space="preserve"> with predominant share of </w:t>
      </w:r>
      <w:r w:rsidRPr="001C7CC1">
        <w:rPr>
          <w:b/>
          <w:color w:val="000000" w:themeColor="text1"/>
          <w:lang w:val="en"/>
        </w:rPr>
        <w:t>state participation</w:t>
      </w:r>
      <w:r w:rsidRPr="001529C7">
        <w:rPr>
          <w:color w:val="000000" w:themeColor="text1"/>
          <w:lang w:val="en"/>
        </w:rPr>
        <w:t xml:space="preserve"> and absence of free radio frequencies. </w:t>
      </w:r>
      <w:r w:rsidRPr="001529C7">
        <w:rPr>
          <w:rFonts w:eastAsia="Calibri"/>
          <w:b/>
          <w:color w:val="000000" w:themeColor="text1"/>
          <w:lang w:val="en"/>
        </w:rPr>
        <w:t>High share of state participation</w:t>
      </w:r>
      <w:r w:rsidRPr="001529C7">
        <w:rPr>
          <w:color w:val="000000" w:themeColor="text1"/>
          <w:lang w:val="en"/>
        </w:rPr>
        <w:t xml:space="preserve"> remains in the market, that negatively affects state of the market.</w:t>
      </w:r>
    </w:p>
    <w:p w14:paraId="4BD8C225" w14:textId="77777777" w:rsidR="00F85F2F" w:rsidRPr="00A57506" w:rsidRDefault="004C4BA9" w:rsidP="00F85F2F">
      <w:pPr>
        <w:rPr>
          <w:rFonts w:eastAsia="Calibri"/>
          <w:bCs/>
          <w:color w:val="000000" w:themeColor="text1"/>
          <w:lang w:val="en-US"/>
        </w:rPr>
      </w:pPr>
      <w:r w:rsidRPr="001529C7">
        <w:rPr>
          <w:rFonts w:eastAsia="Calibri"/>
          <w:bCs/>
          <w:color w:val="000000" w:themeColor="text1"/>
          <w:lang w:val="en"/>
        </w:rPr>
        <w:t xml:space="preserve">Thus, due monopolization by the state and high concentration of the market, there is decrease in competition for the client between operators, </w:t>
      </w:r>
      <w:r w:rsidRPr="001C7CC1">
        <w:rPr>
          <w:rFonts w:eastAsia="Calibri"/>
          <w:b/>
          <w:bCs/>
          <w:color w:val="000000" w:themeColor="text1"/>
          <w:lang w:val="en"/>
        </w:rPr>
        <w:t>complaints</w:t>
      </w:r>
      <w:r w:rsidRPr="001529C7">
        <w:rPr>
          <w:rFonts w:eastAsia="Calibri"/>
          <w:bCs/>
          <w:color w:val="000000" w:themeColor="text1"/>
          <w:lang w:val="en"/>
        </w:rPr>
        <w:t xml:space="preserve"> about unilateral price increases, imposition of unnecessary services for consumers, as well as poor quality of communication and Internet services have increased. </w:t>
      </w:r>
    </w:p>
    <w:p w14:paraId="559CD1D5" w14:textId="77777777" w:rsidR="001C7CC1" w:rsidRPr="00A57506" w:rsidRDefault="004C4BA9" w:rsidP="001C7CC1">
      <w:pPr>
        <w:rPr>
          <w:b/>
          <w:bCs/>
          <w:i/>
          <w:color w:val="000000" w:themeColor="text1"/>
          <w:lang w:val="en-US"/>
        </w:rPr>
      </w:pPr>
      <w:r w:rsidRPr="001529C7">
        <w:rPr>
          <w:b/>
          <w:bCs/>
          <w:i/>
          <w:color w:val="000000" w:themeColor="text1"/>
          <w:lang w:val="en"/>
        </w:rPr>
        <w:t>Barriers for competition development</w:t>
      </w:r>
    </w:p>
    <w:p w14:paraId="7C2ABD01" w14:textId="77777777" w:rsidR="001C7CC1" w:rsidRPr="00A57506" w:rsidRDefault="004C4BA9" w:rsidP="001C7CC1">
      <w:pPr>
        <w:rPr>
          <w:rFonts w:eastAsia="Calibri"/>
          <w:lang w:val="en-US" w:eastAsia="en-US"/>
        </w:rPr>
      </w:pPr>
      <w:r>
        <w:rPr>
          <w:rFonts w:eastAsia="Calibri"/>
          <w:lang w:val="en" w:eastAsia="en-US"/>
        </w:rPr>
        <w:t>According to the results of Agency 's analysis, the following barriers to development of competition were identified:</w:t>
      </w:r>
    </w:p>
    <w:p w14:paraId="0EA1CD65" w14:textId="77777777" w:rsidR="002F1C8B" w:rsidRPr="00A57506" w:rsidRDefault="004C4BA9" w:rsidP="00F85F2F">
      <w:pPr>
        <w:rPr>
          <w:bCs/>
          <w:i/>
          <w:iCs/>
          <w:color w:val="000000" w:themeColor="text1"/>
          <w:lang w:val="en-US"/>
        </w:rPr>
      </w:pPr>
      <w:r>
        <w:rPr>
          <w:b/>
          <w:bCs/>
          <w:i/>
          <w:iCs/>
          <w:color w:val="000000" w:themeColor="text1"/>
          <w:lang w:val="en"/>
        </w:rPr>
        <w:t xml:space="preserve">Distribution of radio frequency spectrum </w:t>
      </w:r>
    </w:p>
    <w:p w14:paraId="7051633F" w14:textId="4E57CDC9" w:rsidR="00F85F2F" w:rsidRPr="00A57506" w:rsidRDefault="004C4BA9" w:rsidP="00F85F2F">
      <w:pPr>
        <w:rPr>
          <w:bCs/>
          <w:iCs/>
          <w:color w:val="000000" w:themeColor="text1"/>
          <w:lang w:val="en-US"/>
        </w:rPr>
      </w:pPr>
      <w:r w:rsidRPr="002F1C8B">
        <w:rPr>
          <w:bCs/>
          <w:iCs/>
          <w:color w:val="000000" w:themeColor="text1"/>
          <w:lang w:val="en"/>
        </w:rPr>
        <w:lastRenderedPageBreak/>
        <w:t xml:space="preserve">Radio frequency spectrum </w:t>
      </w:r>
      <w:r w:rsidRPr="001529C7">
        <w:rPr>
          <w:bCs/>
          <w:i/>
          <w:color w:val="000000" w:themeColor="text1"/>
          <w:sz w:val="24"/>
          <w:szCs w:val="24"/>
          <w:lang w:val="en"/>
        </w:rPr>
        <w:t>(hereinafter referred to as RFS)</w:t>
      </w:r>
      <w:r w:rsidRPr="002F1C8B">
        <w:rPr>
          <w:bCs/>
          <w:iCs/>
          <w:color w:val="000000" w:themeColor="text1"/>
          <w:lang w:val="en"/>
        </w:rPr>
        <w:t xml:space="preserve"> is a </w:t>
      </w:r>
      <w:r w:rsidRPr="001529C7">
        <w:rPr>
          <w:b/>
          <w:iCs/>
          <w:color w:val="000000" w:themeColor="text1"/>
          <w:lang w:val="en"/>
        </w:rPr>
        <w:t>limited resource</w:t>
      </w:r>
      <w:r w:rsidRPr="002F1C8B">
        <w:rPr>
          <w:bCs/>
          <w:iCs/>
          <w:color w:val="000000" w:themeColor="text1"/>
          <w:lang w:val="en"/>
        </w:rPr>
        <w:t xml:space="preserve">. Until 2022, the RFS was distributed among telecom operators mainly according to recommendations of the interdepartmental commission on radio frequencies. According to the Agency, this mechanism for distribution of limited resource was </w:t>
      </w:r>
      <w:r w:rsidRPr="001C7CC1">
        <w:rPr>
          <w:b/>
          <w:color w:val="000000" w:themeColor="text1"/>
          <w:lang w:val="en"/>
        </w:rPr>
        <w:t xml:space="preserve">non-transparent </w:t>
      </w:r>
      <w:r w:rsidRPr="002F1C8B">
        <w:rPr>
          <w:bCs/>
          <w:iCs/>
          <w:color w:val="000000" w:themeColor="text1"/>
          <w:lang w:val="en"/>
        </w:rPr>
        <w:t xml:space="preserve"> </w:t>
      </w:r>
      <w:r w:rsidR="003263B8" w:rsidRPr="002F1C8B">
        <w:rPr>
          <w:bCs/>
          <w:iCs/>
          <w:color w:val="000000" w:themeColor="text1"/>
          <w:lang w:val="en"/>
        </w:rPr>
        <w:t>and, in this regard,</w:t>
      </w:r>
      <w:r w:rsidRPr="002F1C8B">
        <w:rPr>
          <w:bCs/>
          <w:iCs/>
          <w:color w:val="000000" w:themeColor="text1"/>
          <w:lang w:val="en"/>
        </w:rPr>
        <w:t xml:space="preserve"> the need to introduce an </w:t>
      </w:r>
      <w:r w:rsidRPr="001529C7">
        <w:rPr>
          <w:b/>
          <w:bCs/>
          <w:color w:val="000000" w:themeColor="text1"/>
          <w:lang w:val="en"/>
        </w:rPr>
        <w:t>auction</w:t>
      </w:r>
      <w:r w:rsidRPr="002F1C8B">
        <w:rPr>
          <w:bCs/>
          <w:iCs/>
          <w:color w:val="000000" w:themeColor="text1"/>
          <w:lang w:val="en"/>
        </w:rPr>
        <w:t xml:space="preserve"> mechanism that eliminates barrier to access limited resource has appeared.</w:t>
      </w:r>
    </w:p>
    <w:p w14:paraId="7D5953A1" w14:textId="77777777" w:rsidR="00F85F2F" w:rsidRPr="00A57506" w:rsidRDefault="004C4BA9" w:rsidP="00F85F2F">
      <w:pPr>
        <w:rPr>
          <w:bCs/>
          <w:iCs/>
          <w:color w:val="000000" w:themeColor="text1"/>
          <w:lang w:val="en-US"/>
        </w:rPr>
      </w:pPr>
      <w:r w:rsidRPr="001529C7">
        <w:rPr>
          <w:bCs/>
          <w:iCs/>
          <w:color w:val="000000" w:themeColor="text1"/>
          <w:lang w:val="en"/>
        </w:rPr>
        <w:t>The Agency initiated a project to develop competition at cellular communication market, including through auctions, back in 2020 as part of implementing the Roadmap for the Development of Competition in key commodity markets. So, during implementation of the abovementioned Roadmap, non-competitive procedure for distribution of radio frequencies for organization of new types and technologies of communication was</w:t>
      </w:r>
      <w:r w:rsidRPr="001C7CC1">
        <w:rPr>
          <w:b/>
          <w:bCs/>
          <w:iCs/>
          <w:color w:val="000000" w:themeColor="text1"/>
          <w:lang w:val="en"/>
        </w:rPr>
        <w:t xml:space="preserve"> canceled</w:t>
      </w:r>
      <w:r w:rsidR="001C7CC1">
        <w:rPr>
          <w:bCs/>
          <w:i/>
          <w:color w:val="000000" w:themeColor="text1"/>
          <w:sz w:val="24"/>
          <w:szCs w:val="24"/>
          <w:lang w:val="en"/>
        </w:rPr>
        <w:t xml:space="preserve"> (paragraph 18 of Rules for Assigning Frequency Bands, Radio Frequencies (Radio frequency Channels), operation of radio-electronic equipment and high-frequency devices, as well as calculation of electromagnetic compatibility of civil radio-electronic equipment approved by the order of Acting Minister for investment and Development No. 34 dated January 21, 2015)</w:t>
      </w:r>
      <w:r w:rsidRPr="001529C7">
        <w:rPr>
          <w:bCs/>
          <w:iCs/>
          <w:color w:val="000000" w:themeColor="text1"/>
          <w:sz w:val="24"/>
          <w:szCs w:val="24"/>
          <w:lang w:val="en"/>
        </w:rPr>
        <w:t>.</w:t>
      </w:r>
      <w:r w:rsidR="001C7CC1">
        <w:rPr>
          <w:bCs/>
          <w:i/>
          <w:color w:val="000000" w:themeColor="text1"/>
          <w:sz w:val="24"/>
          <w:szCs w:val="24"/>
          <w:lang w:val="en"/>
        </w:rPr>
        <w:t xml:space="preserve"> </w:t>
      </w:r>
    </w:p>
    <w:p w14:paraId="66EA4F7B" w14:textId="77777777" w:rsidR="00F85F2F" w:rsidRPr="00A57506" w:rsidRDefault="004C4BA9" w:rsidP="00F85F2F">
      <w:pPr>
        <w:rPr>
          <w:bCs/>
          <w:iCs/>
          <w:color w:val="000000" w:themeColor="text1"/>
          <w:lang w:val="en-US"/>
        </w:rPr>
      </w:pPr>
      <w:r w:rsidRPr="001529C7">
        <w:rPr>
          <w:bCs/>
          <w:iCs/>
          <w:color w:val="000000" w:themeColor="text1"/>
          <w:lang w:val="en"/>
        </w:rPr>
        <w:t xml:space="preserve">Also, the Agency previously </w:t>
      </w:r>
      <w:r w:rsidRPr="001529C7">
        <w:rPr>
          <w:b/>
          <w:iCs/>
          <w:color w:val="000000" w:themeColor="text1"/>
          <w:lang w:val="en"/>
        </w:rPr>
        <w:t>made a proposal to the Government</w:t>
      </w:r>
      <w:r w:rsidRPr="001529C7">
        <w:rPr>
          <w:bCs/>
          <w:iCs/>
          <w:color w:val="000000" w:themeColor="text1"/>
          <w:lang w:val="en"/>
        </w:rPr>
        <w:t xml:space="preserve"> regarding the distribution of RFSs, including for introduction of new fifth-generation communication technology </w:t>
      </w:r>
      <w:r w:rsidRPr="001529C7">
        <w:rPr>
          <w:bCs/>
          <w:i/>
          <w:iCs/>
          <w:color w:val="000000" w:themeColor="text1"/>
          <w:sz w:val="24"/>
          <w:lang w:val="en"/>
        </w:rPr>
        <w:t>(5G)</w:t>
      </w:r>
      <w:r w:rsidRPr="001529C7">
        <w:rPr>
          <w:bCs/>
          <w:iCs/>
          <w:color w:val="000000" w:themeColor="text1"/>
          <w:lang w:val="en"/>
        </w:rPr>
        <w:t xml:space="preserve">, by </w:t>
      </w:r>
      <w:r w:rsidRPr="00F764BB">
        <w:rPr>
          <w:b/>
          <w:iCs/>
          <w:color w:val="000000" w:themeColor="text1"/>
          <w:lang w:val="en"/>
        </w:rPr>
        <w:t>auction method</w:t>
      </w:r>
      <w:r w:rsidRPr="001529C7">
        <w:rPr>
          <w:bCs/>
          <w:iCs/>
          <w:color w:val="000000" w:themeColor="text1"/>
          <w:lang w:val="en"/>
        </w:rPr>
        <w:t>, as the most optimal model aimed at ensuring transparency and objectivity, competitive and equal conditions for each market participant.</w:t>
      </w:r>
    </w:p>
    <w:p w14:paraId="45F81599" w14:textId="77777777" w:rsidR="00F85F2F" w:rsidRPr="00A57506" w:rsidRDefault="004C4BA9" w:rsidP="00F85F2F">
      <w:pPr>
        <w:rPr>
          <w:bCs/>
          <w:iCs/>
          <w:color w:val="000000" w:themeColor="text1"/>
          <w:lang w:val="en-US"/>
        </w:rPr>
      </w:pPr>
      <w:r w:rsidRPr="001529C7">
        <w:rPr>
          <w:bCs/>
          <w:iCs/>
          <w:color w:val="000000" w:themeColor="text1"/>
          <w:lang w:val="en"/>
        </w:rPr>
        <w:t>An auction is understood to be a form of bidding in which participants declare their proposals publicly using web portal registry in electronic format, following which the organizer undertakes to grant the right for using RFS to the winner.</w:t>
      </w:r>
    </w:p>
    <w:p w14:paraId="59616858" w14:textId="27153FC9" w:rsidR="00F85F2F" w:rsidRPr="00A57506" w:rsidRDefault="004C4BA9" w:rsidP="00F85F2F">
      <w:pPr>
        <w:tabs>
          <w:tab w:val="clear" w:pos="567"/>
        </w:tabs>
        <w:rPr>
          <w:bCs/>
          <w:iCs/>
          <w:color w:val="000000" w:themeColor="text1"/>
          <w:lang w:val="en-US"/>
        </w:rPr>
      </w:pPr>
      <w:r w:rsidRPr="001529C7">
        <w:rPr>
          <w:bCs/>
          <w:iCs/>
          <w:color w:val="000000" w:themeColor="text1"/>
          <w:lang w:val="en"/>
        </w:rPr>
        <w:t xml:space="preserve">In addition, after the Agency provided information on how to distribute radio frequency bands through auctions, the Head of State instructed the Ministry of Digital Development, Innovation and Aerospace Industry </w:t>
      </w:r>
      <w:r w:rsidRPr="001529C7">
        <w:rPr>
          <w:bCs/>
          <w:i/>
          <w:iCs/>
          <w:color w:val="000000" w:themeColor="text1"/>
          <w:sz w:val="24"/>
          <w:szCs w:val="24"/>
          <w:lang w:val="en"/>
        </w:rPr>
        <w:t>(hereinafter – MDDIAI)</w:t>
      </w:r>
      <w:r w:rsidRPr="001529C7">
        <w:rPr>
          <w:bCs/>
          <w:iCs/>
          <w:color w:val="000000" w:themeColor="text1"/>
          <w:lang w:val="en"/>
        </w:rPr>
        <w:t xml:space="preserve"> to int</w:t>
      </w:r>
      <w:r w:rsidR="00AF59F7">
        <w:rPr>
          <w:bCs/>
          <w:iCs/>
          <w:color w:val="000000" w:themeColor="text1"/>
          <w:lang w:val="en"/>
        </w:rPr>
        <w:t>roduce</w:t>
      </w:r>
      <w:r w:rsidRPr="001529C7">
        <w:rPr>
          <w:bCs/>
          <w:iCs/>
          <w:color w:val="000000" w:themeColor="text1"/>
          <w:lang w:val="en"/>
        </w:rPr>
        <w:t xml:space="preserve">, together with the Agency, a </w:t>
      </w:r>
      <w:r w:rsidRPr="001529C7">
        <w:rPr>
          <w:b/>
          <w:bCs/>
          <w:iCs/>
          <w:color w:val="000000" w:themeColor="text1"/>
          <w:lang w:val="en"/>
        </w:rPr>
        <w:t>transparent mechanism for distribution of RFSs</w:t>
      </w:r>
      <w:r w:rsidRPr="001529C7">
        <w:rPr>
          <w:bCs/>
          <w:iCs/>
          <w:color w:val="000000" w:themeColor="text1"/>
          <w:lang w:val="en"/>
        </w:rPr>
        <w:t xml:space="preserve"> by the end of 2022.</w:t>
      </w:r>
    </w:p>
    <w:p w14:paraId="08ECE90A" w14:textId="77777777" w:rsidR="00F85F2F" w:rsidRPr="00A57506" w:rsidRDefault="004C4BA9" w:rsidP="00F85F2F">
      <w:pPr>
        <w:tabs>
          <w:tab w:val="clear" w:pos="567"/>
        </w:tabs>
        <w:rPr>
          <w:bCs/>
          <w:iCs/>
          <w:noProof/>
          <w:color w:val="000000" w:themeColor="text1"/>
          <w:lang w:val="en-US"/>
        </w:rPr>
      </w:pPr>
      <w:r w:rsidRPr="001529C7">
        <w:rPr>
          <w:bCs/>
          <w:iCs/>
          <w:color w:val="000000" w:themeColor="text1"/>
          <w:lang w:val="en"/>
        </w:rPr>
        <w:t xml:space="preserve">As part of implementing this instruction, the MDDIAI has developed format of auction for 5G radio frequencies. Agency sent comments on possible </w:t>
      </w:r>
      <w:r w:rsidRPr="001529C7">
        <w:rPr>
          <w:b/>
          <w:iCs/>
          <w:noProof/>
          <w:color w:val="000000" w:themeColor="text1"/>
          <w:lang w:val="en"/>
        </w:rPr>
        <w:t>risks</w:t>
      </w:r>
      <w:r w:rsidRPr="001529C7">
        <w:rPr>
          <w:bCs/>
          <w:iCs/>
          <w:color w:val="000000" w:themeColor="text1"/>
          <w:lang w:val="en"/>
        </w:rPr>
        <w:t xml:space="preserve"> of </w:t>
      </w:r>
      <w:r w:rsidRPr="001529C7">
        <w:rPr>
          <w:b/>
          <w:iCs/>
          <w:noProof/>
          <w:color w:val="000000" w:themeColor="text1"/>
          <w:lang w:val="en"/>
        </w:rPr>
        <w:t>maintaining</w:t>
      </w:r>
      <w:r w:rsidRPr="001529C7">
        <w:rPr>
          <w:bCs/>
          <w:iCs/>
          <w:color w:val="000000" w:themeColor="text1"/>
          <w:lang w:val="en"/>
        </w:rPr>
        <w:t xml:space="preserve"> and </w:t>
      </w:r>
      <w:r w:rsidRPr="001529C7">
        <w:rPr>
          <w:b/>
          <w:iCs/>
          <w:noProof/>
          <w:color w:val="000000" w:themeColor="text1"/>
          <w:lang w:val="en"/>
        </w:rPr>
        <w:t>strengthening duopoly</w:t>
      </w:r>
      <w:r w:rsidRPr="001529C7">
        <w:rPr>
          <w:bCs/>
          <w:iCs/>
          <w:color w:val="000000" w:themeColor="text1"/>
          <w:lang w:val="en"/>
        </w:rPr>
        <w:t xml:space="preserve"> at the market due to sale of only </w:t>
      </w:r>
      <w:r w:rsidR="00043272" w:rsidRPr="00080C25">
        <w:rPr>
          <w:b/>
          <w:bCs/>
          <w:iCs/>
          <w:noProof/>
          <w:color w:val="000000" w:themeColor="text1"/>
          <w:lang w:val="en"/>
        </w:rPr>
        <w:t>2 enlarged lots</w:t>
      </w:r>
      <w:r w:rsidRPr="001529C7">
        <w:rPr>
          <w:bCs/>
          <w:iCs/>
          <w:color w:val="000000" w:themeColor="text1"/>
          <w:lang w:val="en"/>
        </w:rPr>
        <w:t xml:space="preserve"> at auction and provision of frequencies in the "gold" range 694-790 MHz to auction winners as a </w:t>
      </w:r>
      <w:r w:rsidRPr="00080C25">
        <w:rPr>
          <w:b/>
          <w:bCs/>
          <w:iCs/>
          <w:noProof/>
          <w:color w:val="000000" w:themeColor="text1"/>
          <w:lang w:val="en"/>
        </w:rPr>
        <w:t>bonus</w:t>
      </w:r>
      <w:r w:rsidRPr="001529C7">
        <w:rPr>
          <w:bCs/>
          <w:iCs/>
          <w:color w:val="000000" w:themeColor="text1"/>
          <w:lang w:val="en"/>
        </w:rPr>
        <w:t xml:space="preserve">, as well as </w:t>
      </w:r>
      <w:r w:rsidRPr="001529C7">
        <w:rPr>
          <w:b/>
          <w:iCs/>
          <w:noProof/>
          <w:color w:val="000000" w:themeColor="text1"/>
          <w:lang w:val="en"/>
        </w:rPr>
        <w:t>increase of tariffs for communication services by auction winners</w:t>
      </w:r>
      <w:r w:rsidRPr="001529C7">
        <w:rPr>
          <w:bCs/>
          <w:iCs/>
          <w:color w:val="000000" w:themeColor="text1"/>
          <w:lang w:val="en"/>
        </w:rPr>
        <w:t xml:space="preserve">, etc. </w:t>
      </w:r>
    </w:p>
    <w:p w14:paraId="03B4DBC9" w14:textId="77777777" w:rsidR="00F85F2F" w:rsidRPr="00A57506" w:rsidRDefault="004C4BA9" w:rsidP="00F85F2F">
      <w:pPr>
        <w:tabs>
          <w:tab w:val="clear" w:pos="567"/>
        </w:tabs>
        <w:rPr>
          <w:bCs/>
          <w:iCs/>
          <w:noProof/>
          <w:color w:val="000000" w:themeColor="text1"/>
          <w:lang w:val="en-US"/>
        </w:rPr>
      </w:pPr>
      <w:r w:rsidRPr="001529C7">
        <w:rPr>
          <w:bCs/>
          <w:iCs/>
          <w:noProof/>
          <w:color w:val="000000" w:themeColor="text1"/>
          <w:lang w:val="en"/>
        </w:rPr>
        <w:t xml:space="preserve">Taking into account international practice, proposals were sent to MDDIAI to level these risks, which </w:t>
      </w:r>
      <w:r w:rsidRPr="001529C7">
        <w:rPr>
          <w:b/>
          <w:iCs/>
          <w:noProof/>
          <w:color w:val="000000" w:themeColor="text1"/>
          <w:lang w:val="en"/>
        </w:rPr>
        <w:t>were not taken into account</w:t>
      </w:r>
      <w:r w:rsidRPr="001529C7">
        <w:rPr>
          <w:bCs/>
          <w:iCs/>
          <w:noProof/>
          <w:color w:val="000000" w:themeColor="text1"/>
          <w:lang w:val="en"/>
        </w:rPr>
        <w:t xml:space="preserve">. </w:t>
      </w:r>
    </w:p>
    <w:p w14:paraId="4C605582" w14:textId="77777777" w:rsidR="00F85F2F" w:rsidRPr="00A57506" w:rsidRDefault="004C4BA9" w:rsidP="00F85F2F">
      <w:pPr>
        <w:rPr>
          <w:color w:val="000000" w:themeColor="text1"/>
          <w:lang w:val="en-US"/>
        </w:rPr>
      </w:pPr>
      <w:r w:rsidRPr="001529C7">
        <w:rPr>
          <w:bCs/>
          <w:color w:val="000000" w:themeColor="text1"/>
          <w:lang w:val="en"/>
        </w:rPr>
        <w:t xml:space="preserve">On December 22-23 , 2022 auctions were organized by the MDDIAI at information system website "gosreestr.kz " to assign fifth-generation cellular </w:t>
      </w:r>
      <w:r w:rsidRPr="001529C7">
        <w:rPr>
          <w:bCs/>
          <w:i/>
          <w:iCs/>
          <w:color w:val="000000" w:themeColor="text1"/>
          <w:sz w:val="24"/>
          <w:szCs w:val="24"/>
          <w:lang w:val="en" w:bidi="ru-RU"/>
        </w:rPr>
        <w:t>frequency bands (for lot No. 1 in 3600-3700 MHz (100 MHz) radio frequency bands and lot No. 2 in 3700-3800 MHz (100 MHz) radio frequency bands).</w:t>
      </w:r>
    </w:p>
    <w:p w14:paraId="26BD2B81" w14:textId="77777777" w:rsidR="00F85F2F" w:rsidRPr="00A57506" w:rsidRDefault="004C4BA9" w:rsidP="00F85F2F">
      <w:pPr>
        <w:rPr>
          <w:color w:val="000000" w:themeColor="text1"/>
          <w:lang w:val="en-US"/>
        </w:rPr>
      </w:pPr>
      <w:r w:rsidRPr="001529C7">
        <w:rPr>
          <w:color w:val="000000" w:themeColor="text1"/>
          <w:lang w:val="en"/>
        </w:rPr>
        <w:t xml:space="preserve">According to results of the </w:t>
      </w:r>
      <w:r w:rsidRPr="001529C7">
        <w:rPr>
          <w:b/>
          <w:bCs/>
          <w:color w:val="000000" w:themeColor="text1"/>
          <w:lang w:val="en"/>
        </w:rPr>
        <w:t>auction</w:t>
      </w:r>
      <w:r w:rsidRPr="001529C7">
        <w:rPr>
          <w:color w:val="000000" w:themeColor="text1"/>
          <w:lang w:val="en"/>
        </w:rPr>
        <w:t xml:space="preserve">, amount of budget receipts for lot No. 1 amounted to 62.7 billion KZT and 93.4 billion KZT for lot No. 2, and </w:t>
      </w:r>
      <w:r w:rsidRPr="00080C25">
        <w:rPr>
          <w:b/>
          <w:color w:val="000000" w:themeColor="text1"/>
          <w:lang w:val="en"/>
        </w:rPr>
        <w:t>winner</w:t>
      </w:r>
      <w:r w:rsidRPr="001529C7">
        <w:rPr>
          <w:color w:val="000000" w:themeColor="text1"/>
          <w:lang w:val="en"/>
        </w:rPr>
        <w:t xml:space="preserve"> was the Consortium represented by Kcell JSC and Mobile Telecom Service LLP.</w:t>
      </w:r>
    </w:p>
    <w:p w14:paraId="423AAE15" w14:textId="77777777" w:rsidR="00F85F2F" w:rsidRPr="00A57506" w:rsidRDefault="004C4BA9" w:rsidP="00F85F2F">
      <w:pPr>
        <w:tabs>
          <w:tab w:val="clear" w:pos="567"/>
        </w:tabs>
        <w:rPr>
          <w:bCs/>
          <w:i/>
          <w:iCs/>
          <w:noProof/>
          <w:color w:val="000000" w:themeColor="text1"/>
          <w:sz w:val="24"/>
          <w:szCs w:val="24"/>
          <w:lang w:val="en-US"/>
        </w:rPr>
      </w:pPr>
      <w:r w:rsidRPr="001529C7">
        <w:rPr>
          <w:b/>
          <w:bCs/>
          <w:i/>
          <w:iCs/>
          <w:sz w:val="24"/>
          <w:szCs w:val="24"/>
          <w:lang w:val="en"/>
        </w:rPr>
        <w:lastRenderedPageBreak/>
        <w:t>For reference:</w:t>
      </w:r>
      <w:r w:rsidRPr="001529C7">
        <w:rPr>
          <w:i/>
          <w:iCs/>
          <w:sz w:val="24"/>
          <w:szCs w:val="24"/>
          <w:lang w:val="en"/>
        </w:rPr>
        <w:t xml:space="preserve"> Under the terms of the auction, the winners of the auction within 5 years assume obligations </w:t>
      </w:r>
      <w:r w:rsidRPr="00080C25">
        <w:rPr>
          <w:b/>
          <w:i/>
          <w:iCs/>
          <w:sz w:val="24"/>
          <w:szCs w:val="24"/>
          <w:lang w:val="en"/>
        </w:rPr>
        <w:t>to launch more than 3.5 thousand base stations</w:t>
      </w:r>
      <w:r w:rsidRPr="001529C7">
        <w:rPr>
          <w:i/>
          <w:iCs/>
          <w:sz w:val="24"/>
          <w:szCs w:val="24"/>
          <w:lang w:val="en"/>
        </w:rPr>
        <w:t xml:space="preserve"> in Kazakhstan, which may negatively affect the tariff policy of operators in terms of tariff increases.</w:t>
      </w:r>
    </w:p>
    <w:p w14:paraId="60353AA3" w14:textId="77777777" w:rsidR="00F85F2F" w:rsidRPr="00A57506" w:rsidRDefault="004C4BA9" w:rsidP="00010E65">
      <w:pPr>
        <w:rPr>
          <w:bCs/>
          <w:color w:val="000000" w:themeColor="text1"/>
          <w:lang w:val="en-US" w:bidi="ru-RU"/>
        </w:rPr>
      </w:pPr>
      <w:r w:rsidRPr="001529C7">
        <w:rPr>
          <w:bCs/>
          <w:color w:val="000000" w:themeColor="text1"/>
          <w:lang w:val="en" w:bidi="ru-RU"/>
        </w:rPr>
        <w:t xml:space="preserve">Ratio of ownership shares of Kazakhtelecom JSC Group and KaR-Tel LLP is </w:t>
      </w:r>
      <w:r w:rsidRPr="001529C7">
        <w:rPr>
          <w:b/>
          <w:bCs/>
          <w:color w:val="000000" w:themeColor="text1"/>
          <w:lang w:val="en"/>
        </w:rPr>
        <w:t>82%</w:t>
      </w:r>
      <w:r w:rsidRPr="001529C7">
        <w:rPr>
          <w:bCs/>
          <w:color w:val="000000" w:themeColor="text1"/>
          <w:lang w:val="en" w:bidi="ru-RU"/>
        </w:rPr>
        <w:t xml:space="preserve"> and </w:t>
      </w:r>
      <w:r w:rsidRPr="001529C7">
        <w:rPr>
          <w:b/>
          <w:bCs/>
          <w:iCs/>
          <w:color w:val="000000" w:themeColor="text1"/>
          <w:lang w:val="en"/>
        </w:rPr>
        <w:t>18%</w:t>
      </w:r>
      <w:r w:rsidRPr="001529C7">
        <w:rPr>
          <w:bCs/>
          <w:color w:val="000000" w:themeColor="text1"/>
          <w:lang w:val="en" w:bidi="ru-RU"/>
        </w:rPr>
        <w:t xml:space="preserve">, respectively. Frequency indicators increased significantly for the Group based on results of auction for RFS for 5G network. Thus, the </w:t>
      </w:r>
      <w:r w:rsidR="00010E65" w:rsidRPr="001529C7">
        <w:rPr>
          <w:b/>
          <w:bCs/>
          <w:color w:val="000000" w:themeColor="text1"/>
          <w:lang w:val="en"/>
        </w:rPr>
        <w:t>risks</w:t>
      </w:r>
      <w:r w:rsidRPr="001529C7">
        <w:rPr>
          <w:bCs/>
          <w:color w:val="000000" w:themeColor="text1"/>
          <w:lang w:val="en" w:bidi="ru-RU"/>
        </w:rPr>
        <w:t xml:space="preserve"> previously identified by the Agency in the form of preserved duopoly and increasing tariffs at cellular market were </w:t>
      </w:r>
      <w:r w:rsidRPr="001529C7">
        <w:rPr>
          <w:b/>
          <w:color w:val="000000" w:themeColor="text1"/>
          <w:lang w:val="en"/>
        </w:rPr>
        <w:t>confirmed</w:t>
      </w:r>
      <w:r w:rsidRPr="001529C7">
        <w:rPr>
          <w:bCs/>
          <w:color w:val="000000" w:themeColor="text1"/>
          <w:lang w:val="en" w:bidi="ru-RU"/>
        </w:rPr>
        <w:t>.</w:t>
      </w:r>
    </w:p>
    <w:p w14:paraId="75176557" w14:textId="77777777" w:rsidR="00F85F2F" w:rsidRPr="001529C7" w:rsidRDefault="004C4BA9" w:rsidP="00F85F2F">
      <w:pPr>
        <w:rPr>
          <w:bCs/>
          <w:color w:val="000000" w:themeColor="text1"/>
          <w:lang w:val="kk-KZ"/>
        </w:rPr>
      </w:pPr>
      <w:r w:rsidRPr="001529C7">
        <w:rPr>
          <w:bCs/>
          <w:color w:val="000000" w:themeColor="text1"/>
          <w:lang w:val="en"/>
        </w:rPr>
        <w:t>So,</w:t>
      </w:r>
      <w:r w:rsidRPr="001529C7">
        <w:rPr>
          <w:b/>
          <w:color w:val="000000" w:themeColor="text1"/>
          <w:lang w:val="en"/>
        </w:rPr>
        <w:t xml:space="preserve"> according to auction results, the market structure has not changed</w:t>
      </w:r>
      <w:r w:rsidRPr="001529C7">
        <w:rPr>
          <w:bCs/>
          <w:color w:val="000000" w:themeColor="text1"/>
          <w:lang w:val="en"/>
        </w:rPr>
        <w:t>:</w:t>
      </w:r>
    </w:p>
    <w:p w14:paraId="1D97AA8D" w14:textId="77777777" w:rsidR="00010E65" w:rsidRPr="00A57506" w:rsidRDefault="004C4BA9" w:rsidP="00901D92">
      <w:pPr>
        <w:pStyle w:val="ListParagraph"/>
        <w:numPr>
          <w:ilvl w:val="0"/>
          <w:numId w:val="7"/>
        </w:numPr>
        <w:tabs>
          <w:tab w:val="left" w:pos="851"/>
        </w:tabs>
        <w:ind w:left="0" w:firstLine="567"/>
        <w:rPr>
          <w:bCs/>
          <w:color w:val="000000" w:themeColor="text1"/>
          <w:lang w:val="en-US"/>
        </w:rPr>
      </w:pPr>
      <w:r w:rsidRPr="001529C7">
        <w:rPr>
          <w:bCs/>
          <w:color w:val="000000" w:themeColor="text1"/>
          <w:lang w:val="en"/>
        </w:rPr>
        <w:t>high concentration of the market is still in place;</w:t>
      </w:r>
    </w:p>
    <w:p w14:paraId="5E76A515" w14:textId="77777777" w:rsidR="00010E65" w:rsidRPr="00A57506" w:rsidRDefault="004C4BA9" w:rsidP="00901D92">
      <w:pPr>
        <w:pStyle w:val="ListParagraph"/>
        <w:numPr>
          <w:ilvl w:val="0"/>
          <w:numId w:val="7"/>
        </w:numPr>
        <w:tabs>
          <w:tab w:val="left" w:pos="851"/>
        </w:tabs>
        <w:ind w:left="0" w:firstLine="567"/>
        <w:rPr>
          <w:bCs/>
          <w:color w:val="000000" w:themeColor="text1"/>
          <w:lang w:val="en-US"/>
        </w:rPr>
      </w:pPr>
      <w:r w:rsidRPr="001529C7">
        <w:rPr>
          <w:bCs/>
          <w:color w:val="000000" w:themeColor="text1"/>
          <w:lang w:val="en"/>
        </w:rPr>
        <w:t>provision of 5G network services is monopolized by state, represented by Kazakhtelecom JSC group;</w:t>
      </w:r>
    </w:p>
    <w:p w14:paraId="08A809DF" w14:textId="77777777" w:rsidR="00F85F2F" w:rsidRPr="00A57506" w:rsidRDefault="004C4BA9" w:rsidP="00901D92">
      <w:pPr>
        <w:pStyle w:val="ListParagraph"/>
        <w:numPr>
          <w:ilvl w:val="0"/>
          <w:numId w:val="7"/>
        </w:numPr>
        <w:tabs>
          <w:tab w:val="left" w:pos="851"/>
        </w:tabs>
        <w:ind w:left="0" w:firstLine="567"/>
        <w:rPr>
          <w:bCs/>
          <w:color w:val="000000" w:themeColor="text1"/>
          <w:lang w:val="en-US"/>
        </w:rPr>
      </w:pPr>
      <w:r w:rsidRPr="001529C7">
        <w:rPr>
          <w:bCs/>
          <w:color w:val="000000" w:themeColor="text1"/>
          <w:lang w:val="en"/>
        </w:rPr>
        <w:t xml:space="preserve">tariffs for cellular communication services have increased. </w:t>
      </w:r>
    </w:p>
    <w:p w14:paraId="318F716D" w14:textId="77777777" w:rsidR="00F85F2F" w:rsidRPr="00A57506" w:rsidRDefault="004C4BA9" w:rsidP="00F85F2F">
      <w:pPr>
        <w:rPr>
          <w:bCs/>
          <w:i/>
          <w:iCs/>
          <w:color w:val="000000" w:themeColor="text1"/>
          <w:lang w:val="en-US"/>
        </w:rPr>
      </w:pPr>
      <w:r w:rsidRPr="001529C7">
        <w:rPr>
          <w:bCs/>
          <w:i/>
          <w:iCs/>
          <w:color w:val="000000" w:themeColor="text1"/>
          <w:sz w:val="24"/>
          <w:szCs w:val="24"/>
          <w:lang w:val="en"/>
        </w:rPr>
        <w:t xml:space="preserve"> </w:t>
      </w:r>
      <w:r w:rsidRPr="001529C7">
        <w:rPr>
          <w:b/>
          <w:i/>
          <w:iCs/>
          <w:color w:val="000000" w:themeColor="text1"/>
          <w:sz w:val="24"/>
          <w:szCs w:val="24"/>
          <w:lang w:val="en"/>
        </w:rPr>
        <w:t>For reference:</w:t>
      </w:r>
      <w:r w:rsidRPr="001529C7">
        <w:rPr>
          <w:bCs/>
          <w:i/>
          <w:iCs/>
          <w:color w:val="000000" w:themeColor="text1"/>
          <w:sz w:val="24"/>
          <w:szCs w:val="24"/>
          <w:lang w:val="en"/>
        </w:rPr>
        <w:t xml:space="preserve"> Operator of MTS LLP (Tele2/Altel) reported that one of the </w:t>
      </w:r>
      <w:r w:rsidRPr="004719BD">
        <w:rPr>
          <w:b/>
          <w:bCs/>
          <w:i/>
          <w:iCs/>
          <w:color w:val="000000" w:themeColor="text1"/>
          <w:sz w:val="24"/>
          <w:szCs w:val="24"/>
          <w:lang w:val="en"/>
        </w:rPr>
        <w:t>reasons for tariff increase</w:t>
      </w:r>
      <w:r w:rsidRPr="001529C7">
        <w:rPr>
          <w:bCs/>
          <w:i/>
          <w:iCs/>
          <w:color w:val="000000" w:themeColor="text1"/>
          <w:sz w:val="24"/>
          <w:szCs w:val="24"/>
          <w:lang w:val="en"/>
        </w:rPr>
        <w:t xml:space="preserve"> is the commitments to launch base stations (5G). </w:t>
      </w:r>
    </w:p>
    <w:p w14:paraId="66FF2C06" w14:textId="77777777" w:rsidR="00F85F2F" w:rsidRPr="00A57506" w:rsidRDefault="004C4BA9" w:rsidP="00F85F2F">
      <w:pPr>
        <w:rPr>
          <w:lang w:val="en-US"/>
        </w:rPr>
      </w:pPr>
      <w:r w:rsidRPr="001529C7">
        <w:rPr>
          <w:bCs/>
          <w:color w:val="000000" w:themeColor="text1"/>
          <w:lang w:val="en"/>
        </w:rPr>
        <w:t xml:space="preserve">According to MDDIAI, in addition to Kazakhtelecom Group, Kar-Tel LLP and International Telecommunication Networks of Kazakhstan LLP </w:t>
      </w:r>
      <w:r w:rsidRPr="001529C7">
        <w:rPr>
          <w:lang w:val="en"/>
        </w:rPr>
        <w:t xml:space="preserve"> in a consortium with </w:t>
      </w:r>
      <w:r w:rsidRPr="001529C7">
        <w:rPr>
          <w:b/>
          <w:lang w:val="en"/>
        </w:rPr>
        <w:t>Freedom Holding Corp.</w:t>
      </w:r>
      <w:r w:rsidRPr="001529C7">
        <w:rPr>
          <w:lang w:val="en"/>
        </w:rPr>
        <w:t xml:space="preserve">, participated in the past auctions, that </w:t>
      </w:r>
      <w:r w:rsidRPr="001529C7">
        <w:rPr>
          <w:i/>
          <w:iCs/>
          <w:sz w:val="24"/>
          <w:szCs w:val="24"/>
          <w:lang w:val="en"/>
        </w:rPr>
        <w:t>(potential bidder )</w:t>
      </w:r>
      <w:r w:rsidRPr="001529C7">
        <w:rPr>
          <w:lang w:val="en"/>
        </w:rPr>
        <w:t xml:space="preserve">, in case of entering the market, could positively affect level of market concentration. However, according to current auction mechanism, private bidders were </w:t>
      </w:r>
      <w:r w:rsidRPr="001529C7">
        <w:rPr>
          <w:b/>
          <w:bCs/>
          <w:lang w:val="en"/>
        </w:rPr>
        <w:t>not competitive</w:t>
      </w:r>
      <w:r w:rsidRPr="001529C7">
        <w:rPr>
          <w:lang w:val="en"/>
        </w:rPr>
        <w:t xml:space="preserve"> with state-owned companies </w:t>
      </w:r>
      <w:r w:rsidRPr="00F764BB">
        <w:rPr>
          <w:i/>
          <w:iCs/>
          <w:sz w:val="24"/>
          <w:szCs w:val="24"/>
          <w:lang w:val="en"/>
        </w:rPr>
        <w:t>(financial and technical equipment)</w:t>
      </w:r>
      <w:r w:rsidRPr="001529C7">
        <w:rPr>
          <w:lang w:val="en"/>
        </w:rPr>
        <w:t>.</w:t>
      </w:r>
    </w:p>
    <w:p w14:paraId="6648E2AE" w14:textId="77777777" w:rsidR="006654A9" w:rsidRPr="00A57506" w:rsidRDefault="004C4BA9" w:rsidP="006654A9">
      <w:pPr>
        <w:rPr>
          <w:b/>
          <w:bCs/>
          <w:i/>
          <w:color w:val="000000" w:themeColor="text1"/>
          <w:lang w:val="en-US"/>
        </w:rPr>
      </w:pPr>
      <w:r w:rsidRPr="001529C7">
        <w:rPr>
          <w:b/>
          <w:bCs/>
          <w:i/>
          <w:color w:val="000000" w:themeColor="text1"/>
          <w:lang w:val="en"/>
        </w:rPr>
        <w:t xml:space="preserve">Proposals and recommendations for competition development </w:t>
      </w:r>
    </w:p>
    <w:p w14:paraId="152D1AC2" w14:textId="77777777" w:rsidR="006654A9" w:rsidRPr="00A57506" w:rsidRDefault="004C4BA9" w:rsidP="006654A9">
      <w:pPr>
        <w:tabs>
          <w:tab w:val="clear" w:pos="567"/>
          <w:tab w:val="left" w:pos="993"/>
        </w:tabs>
        <w:rPr>
          <w:lang w:val="en-US"/>
        </w:rPr>
      </w:pPr>
      <w:r>
        <w:rPr>
          <w:rFonts w:eastAsia="Calibri"/>
          <w:lang w:val="en" w:eastAsia="en-US"/>
        </w:rPr>
        <w:t>Taking into account identified barriers for development of competition, the Agency proposes:</w:t>
      </w:r>
    </w:p>
    <w:p w14:paraId="7E684D61" w14:textId="77777777" w:rsidR="00010E65" w:rsidRPr="00A57506" w:rsidRDefault="004C4BA9" w:rsidP="006654A9">
      <w:pPr>
        <w:tabs>
          <w:tab w:val="clear" w:pos="567"/>
          <w:tab w:val="left" w:pos="993"/>
        </w:tabs>
        <w:rPr>
          <w:bCs/>
          <w:iCs/>
          <w:color w:val="000000" w:themeColor="text1"/>
          <w:lang w:val="en-US"/>
        </w:rPr>
      </w:pPr>
      <w:r w:rsidRPr="001529C7">
        <w:rPr>
          <w:color w:val="000000" w:themeColor="text1"/>
          <w:lang w:val="en"/>
        </w:rPr>
        <w:t xml:space="preserve">1) following the results of auction on allocation of frequency bands for 5G, the Agency </w:t>
      </w:r>
      <w:r w:rsidR="00F85F2F" w:rsidRPr="001529C7">
        <w:rPr>
          <w:b/>
          <w:iCs/>
          <w:color w:val="000000" w:themeColor="text1"/>
          <w:lang w:val="en"/>
        </w:rPr>
        <w:t>made a number of recommendations</w:t>
      </w:r>
      <w:r w:rsidRPr="001529C7">
        <w:rPr>
          <w:color w:val="000000" w:themeColor="text1"/>
          <w:lang w:val="en"/>
        </w:rPr>
        <w:t xml:space="preserve"> to the Government regarding the holding of the next </w:t>
      </w:r>
      <w:r w:rsidR="00F85F2F" w:rsidRPr="006654A9">
        <w:rPr>
          <w:b/>
          <w:bCs/>
          <w:iCs/>
          <w:color w:val="000000" w:themeColor="text1"/>
          <w:lang w:val="en"/>
        </w:rPr>
        <w:t>auction in a new format</w:t>
      </w:r>
      <w:r w:rsidRPr="001529C7">
        <w:rPr>
          <w:color w:val="000000" w:themeColor="text1"/>
          <w:lang w:val="en"/>
        </w:rPr>
        <w:t xml:space="preserve">, including introduction of restrictions on participation in auctions for telecom operators </w:t>
      </w:r>
      <w:r w:rsidR="00F85F2F" w:rsidRPr="001529C7">
        <w:rPr>
          <w:bCs/>
          <w:i/>
          <w:color w:val="000000" w:themeColor="text1"/>
          <w:sz w:val="24"/>
          <w:szCs w:val="24"/>
          <w:lang w:val="en"/>
        </w:rPr>
        <w:t>(including those with state participation) who</w:t>
      </w:r>
      <w:r w:rsidRPr="001529C7">
        <w:rPr>
          <w:color w:val="000000" w:themeColor="text1"/>
          <w:lang w:val="en"/>
        </w:rPr>
        <w:t xml:space="preserve"> already own frequencies for 5G network. By order of the Deputy Prime Minister, the Agency's proposals were sent to the MDDIAI and other interested state bodies for consideration;</w:t>
      </w:r>
    </w:p>
    <w:p w14:paraId="026D7854" w14:textId="7447378C" w:rsidR="00F85F2F" w:rsidRPr="00A57506" w:rsidRDefault="004C4BA9" w:rsidP="006654A9">
      <w:pPr>
        <w:tabs>
          <w:tab w:val="clear" w:pos="567"/>
          <w:tab w:val="left" w:pos="993"/>
        </w:tabs>
        <w:rPr>
          <w:bCs/>
          <w:iCs/>
          <w:color w:val="000000" w:themeColor="text1"/>
          <w:lang w:val="en-US"/>
        </w:rPr>
      </w:pPr>
      <w:r w:rsidRPr="001529C7">
        <w:rPr>
          <w:bCs/>
          <w:iCs/>
          <w:color w:val="000000" w:themeColor="text1"/>
          <w:lang w:val="en"/>
        </w:rPr>
        <w:t xml:space="preserve">2) </w:t>
      </w:r>
      <w:r w:rsidR="0059338B" w:rsidRPr="006654A9">
        <w:rPr>
          <w:b/>
          <w:bCs/>
          <w:iCs/>
          <w:color w:val="000000" w:themeColor="text1"/>
          <w:lang w:val="en"/>
        </w:rPr>
        <w:t>demonopolization</w:t>
      </w:r>
      <w:r w:rsidRPr="001529C7">
        <w:rPr>
          <w:bCs/>
          <w:iCs/>
          <w:color w:val="000000" w:themeColor="text1"/>
          <w:lang w:val="en"/>
        </w:rPr>
        <w:t xml:space="preserve"> of Kazakhtelecom JSC group of companies through phased implementation of subsidiaries </w:t>
      </w:r>
      <w:r w:rsidRPr="001529C7">
        <w:rPr>
          <w:bCs/>
          <w:i/>
          <w:iCs/>
          <w:color w:val="000000" w:themeColor="text1"/>
          <w:sz w:val="24"/>
          <w:lang w:val="en" w:bidi="ru-RU"/>
        </w:rPr>
        <w:t>(mobile operators)</w:t>
      </w:r>
      <w:r w:rsidRPr="001529C7">
        <w:rPr>
          <w:bCs/>
          <w:iCs/>
          <w:color w:val="000000" w:themeColor="text1"/>
          <w:lang w:val="en"/>
        </w:rPr>
        <w:t xml:space="preserve">, as well as amendments to Rules for Provision of Cable Channels for Use. These proposals are reflected in Action Plan for implementation of the Concept. The issue of </w:t>
      </w:r>
      <w:r w:rsidRPr="001529C7">
        <w:rPr>
          <w:b/>
          <w:iCs/>
          <w:color w:val="000000" w:themeColor="text1"/>
          <w:lang w:val="en"/>
        </w:rPr>
        <w:t>demonopolization</w:t>
      </w:r>
      <w:r w:rsidRPr="001529C7">
        <w:rPr>
          <w:bCs/>
          <w:iCs/>
          <w:color w:val="000000" w:themeColor="text1"/>
          <w:lang w:val="en"/>
        </w:rPr>
        <w:t xml:space="preserve"> </w:t>
      </w:r>
      <w:r w:rsidRPr="001529C7">
        <w:rPr>
          <w:b/>
          <w:iCs/>
          <w:color w:val="000000" w:themeColor="text1"/>
          <w:lang w:val="en" w:bidi="ru-RU"/>
        </w:rPr>
        <w:t>of Kazakhtelecom JSC</w:t>
      </w:r>
      <w:r w:rsidRPr="001529C7">
        <w:rPr>
          <w:bCs/>
          <w:iCs/>
          <w:color w:val="000000" w:themeColor="text1"/>
          <w:lang w:val="en"/>
        </w:rPr>
        <w:t xml:space="preserve"> group was the subject of consideration by Commission on Demonopolization of Economy </w:t>
      </w:r>
      <w:r w:rsidRPr="001529C7">
        <w:rPr>
          <w:bCs/>
          <w:i/>
          <w:color w:val="000000" w:themeColor="text1"/>
          <w:sz w:val="24"/>
          <w:szCs w:val="24"/>
          <w:lang w:val="en"/>
        </w:rPr>
        <w:t>(April 5, 2022)</w:t>
      </w:r>
      <w:r w:rsidRPr="001529C7">
        <w:rPr>
          <w:bCs/>
          <w:iCs/>
          <w:color w:val="000000" w:themeColor="text1"/>
          <w:lang w:val="en"/>
        </w:rPr>
        <w:t xml:space="preserve">, where the Prosecutor General's Office and the Financial Monitoring Agency were instructed to study possible damage caused to state as a result of sale of 24% of Kcell JSC. In addition, MDDIAI was instructed, jointly with "NWF "Samruk-Kazyna" JSC </w:t>
      </w:r>
      <w:r w:rsidRPr="001529C7">
        <w:rPr>
          <w:bCs/>
          <w:i/>
          <w:color w:val="000000" w:themeColor="text1"/>
          <w:sz w:val="24"/>
          <w:szCs w:val="24"/>
          <w:lang w:val="en" w:bidi="ru-RU"/>
        </w:rPr>
        <w:t>(hereinafter referred to as the Fund)</w:t>
      </w:r>
      <w:r w:rsidRPr="001529C7">
        <w:rPr>
          <w:bCs/>
          <w:iCs/>
          <w:color w:val="000000" w:themeColor="text1"/>
          <w:lang w:val="en"/>
        </w:rPr>
        <w:t xml:space="preserve"> and "Kazakhtelecom" JSC to make proposals for transfer of one of mobile operators </w:t>
      </w:r>
      <w:r w:rsidRPr="001529C7">
        <w:rPr>
          <w:bCs/>
          <w:i/>
          <w:iCs/>
          <w:color w:val="000000" w:themeColor="text1"/>
          <w:sz w:val="24"/>
          <w:lang w:val="en" w:bidi="ru-RU"/>
        </w:rPr>
        <w:t>("Kcell" JSC, "MTS" LLP) into competitive environment</w:t>
      </w:r>
    </w:p>
    <w:p w14:paraId="3CADEC2F" w14:textId="77777777" w:rsidR="00F85F2F" w:rsidRPr="00A57506" w:rsidRDefault="004C4BA9" w:rsidP="00F85F2F">
      <w:pPr>
        <w:tabs>
          <w:tab w:val="clear" w:pos="567"/>
        </w:tabs>
        <w:rPr>
          <w:bCs/>
          <w:iCs/>
          <w:color w:val="000000" w:themeColor="text1"/>
          <w:lang w:val="en-US" w:bidi="ru-RU"/>
        </w:rPr>
      </w:pPr>
      <w:r w:rsidRPr="001529C7">
        <w:rPr>
          <w:bCs/>
          <w:iCs/>
          <w:color w:val="000000" w:themeColor="text1"/>
          <w:lang w:val="en"/>
        </w:rPr>
        <w:t xml:space="preserve">MDDIAI, together with the Fund held a meeting on May 4, 2022, which resulted in a decision to further develop measures for transfer of Kcell JSC into competitive </w:t>
      </w:r>
      <w:r w:rsidRPr="001529C7">
        <w:rPr>
          <w:bCs/>
          <w:iCs/>
          <w:color w:val="000000" w:themeColor="text1"/>
          <w:lang w:val="en"/>
        </w:rPr>
        <w:lastRenderedPageBreak/>
        <w:t>environment, after realization of measures, envisaged by paragraphs of Minutes, dated April 5, 2022, related to considering legality of sale transaction of 24% of shares of Kcell JSC and possible damage to the state.</w:t>
      </w:r>
    </w:p>
    <w:p w14:paraId="774A8D5B" w14:textId="77777777" w:rsidR="00F85F2F" w:rsidRPr="00A57506" w:rsidRDefault="004C4BA9" w:rsidP="00F85F2F">
      <w:pPr>
        <w:tabs>
          <w:tab w:val="clear" w:pos="567"/>
        </w:tabs>
        <w:rPr>
          <w:bCs/>
          <w:iCs/>
          <w:color w:val="000000" w:themeColor="text1"/>
          <w:lang w:val="en-US"/>
        </w:rPr>
      </w:pPr>
      <w:r w:rsidRPr="001529C7">
        <w:rPr>
          <w:bCs/>
          <w:iCs/>
          <w:color w:val="000000" w:themeColor="text1"/>
          <w:lang w:val="en" w:bidi="ru-RU"/>
        </w:rPr>
        <w:t xml:space="preserve">It should be noted that today the process of transferring Kcell JSC into competitive environment has become </w:t>
      </w:r>
      <w:r w:rsidRPr="001529C7">
        <w:rPr>
          <w:b/>
          <w:iCs/>
          <w:color w:val="000000" w:themeColor="text1"/>
          <w:lang w:val="en" w:bidi="ru-RU"/>
        </w:rPr>
        <w:t>inert and passive</w:t>
      </w:r>
      <w:r w:rsidRPr="001529C7">
        <w:rPr>
          <w:bCs/>
          <w:iCs/>
          <w:color w:val="000000" w:themeColor="text1"/>
          <w:lang w:val="en" w:bidi="ru-RU"/>
        </w:rPr>
        <w:t>, that negatively affects development of competition in the industry. In turn, MDDIAI notes that mobile operator's withdrawal is completely in the hands of the Fund.</w:t>
      </w:r>
    </w:p>
    <w:p w14:paraId="021DDB71" w14:textId="77777777" w:rsidR="002F1C8B" w:rsidRPr="00A57506" w:rsidRDefault="004C4BA9" w:rsidP="006654A9">
      <w:pPr>
        <w:tabs>
          <w:tab w:val="clear" w:pos="567"/>
        </w:tabs>
        <w:rPr>
          <w:b/>
          <w:color w:val="000000" w:themeColor="text1"/>
          <w:lang w:val="en-US"/>
        </w:rPr>
      </w:pPr>
      <w:r w:rsidRPr="002F1C8B">
        <w:rPr>
          <w:b/>
          <w:i/>
          <w:color w:val="000000" w:themeColor="text1"/>
          <w:lang w:val="en"/>
        </w:rPr>
        <w:t>Use of cable channels</w:t>
      </w:r>
    </w:p>
    <w:p w14:paraId="4E78296F" w14:textId="77777777" w:rsidR="00F85F2F" w:rsidRPr="00A57506" w:rsidRDefault="004C4BA9" w:rsidP="006654A9">
      <w:pPr>
        <w:tabs>
          <w:tab w:val="clear" w:pos="567"/>
        </w:tabs>
        <w:rPr>
          <w:b/>
          <w:color w:val="000000" w:themeColor="text1"/>
          <w:lang w:val="en-US"/>
        </w:rPr>
      </w:pPr>
      <w:r w:rsidRPr="001529C7">
        <w:rPr>
          <w:color w:val="000000" w:themeColor="text1"/>
          <w:lang w:val="en"/>
        </w:rPr>
        <w:t xml:space="preserve">In 2022, the Council for Development of Competition in Telecommunications under the Agency, which includes representatives of MDDIAI, Association and telecom operators, jointly developed separate amendments to Rules for Provision of Cable Channels for Use </w:t>
      </w:r>
      <w:r w:rsidRPr="001529C7">
        <w:rPr>
          <w:i/>
          <w:iCs/>
          <w:color w:val="000000" w:themeColor="text1"/>
          <w:sz w:val="24"/>
          <w:szCs w:val="24"/>
          <w:lang w:val="en"/>
        </w:rPr>
        <w:t>(approved by the Order of Acting Minister for Investment and Development of the Republic of Kazakhstan dated 28.01.2016 No. 120)</w:t>
      </w:r>
      <w:r w:rsidRPr="001529C7">
        <w:rPr>
          <w:color w:val="000000" w:themeColor="text1"/>
          <w:lang w:val="en"/>
        </w:rPr>
        <w:t xml:space="preserve">, to the Rules for Activities of Natural monopolies </w:t>
      </w:r>
      <w:r w:rsidRPr="001529C7">
        <w:rPr>
          <w:i/>
          <w:iCs/>
          <w:color w:val="000000" w:themeColor="text1"/>
          <w:sz w:val="24"/>
          <w:szCs w:val="24"/>
          <w:lang w:val="en"/>
        </w:rPr>
        <w:t>(approved by the Acting Minister of Digital Development, Innovation and Aerospace Industry of the Republic of Kazakhstan dated 29.07.2019 No. 180/NK)</w:t>
      </w:r>
      <w:r w:rsidRPr="001529C7">
        <w:rPr>
          <w:color w:val="000000" w:themeColor="text1"/>
          <w:lang w:val="en"/>
        </w:rPr>
        <w:t xml:space="preserve">. </w:t>
      </w:r>
    </w:p>
    <w:p w14:paraId="72DA67AE" w14:textId="77777777" w:rsidR="00F85F2F" w:rsidRPr="00A57506" w:rsidRDefault="004C4BA9" w:rsidP="00F85F2F">
      <w:pPr>
        <w:rPr>
          <w:color w:val="000000" w:themeColor="text1"/>
          <w:lang w:val="en-US"/>
        </w:rPr>
      </w:pPr>
      <w:r w:rsidRPr="001529C7">
        <w:rPr>
          <w:color w:val="000000" w:themeColor="text1"/>
          <w:lang w:val="en"/>
        </w:rPr>
        <w:t>According to the results of this work, as well as within the framework of the implementation of the Concept, appropriate changes and additions were made to these NLA</w:t>
      </w:r>
      <w:r w:rsidRPr="001529C7">
        <w:rPr>
          <w:i/>
          <w:iCs/>
          <w:color w:val="000000" w:themeColor="text1"/>
          <w:sz w:val="24"/>
          <w:szCs w:val="24"/>
          <w:lang w:val="en"/>
        </w:rPr>
        <w:t>(registered on 01/24/2023 by the Ministry of Justice)</w:t>
      </w:r>
      <w:r w:rsidRPr="001529C7">
        <w:rPr>
          <w:color w:val="000000" w:themeColor="text1"/>
          <w:lang w:val="en"/>
        </w:rPr>
        <w:t>.</w:t>
      </w:r>
    </w:p>
    <w:p w14:paraId="3FC885AE" w14:textId="77777777" w:rsidR="00F85F2F" w:rsidRPr="00A57506" w:rsidRDefault="004C4BA9" w:rsidP="00F85F2F">
      <w:pPr>
        <w:rPr>
          <w:color w:val="000000" w:themeColor="text1"/>
          <w:lang w:val="en-US"/>
        </w:rPr>
      </w:pPr>
      <w:r w:rsidRPr="001529C7">
        <w:rPr>
          <w:color w:val="000000" w:themeColor="text1"/>
          <w:lang w:val="en"/>
        </w:rPr>
        <w:t xml:space="preserve">Changes in legislation propose a </w:t>
      </w:r>
      <w:r w:rsidRPr="001529C7">
        <w:rPr>
          <w:b/>
          <w:bCs/>
          <w:color w:val="000000" w:themeColor="text1"/>
          <w:lang w:val="en"/>
        </w:rPr>
        <w:t>new procedure for dealing</w:t>
      </w:r>
      <w:r w:rsidRPr="001529C7">
        <w:rPr>
          <w:color w:val="000000" w:themeColor="text1"/>
          <w:lang w:val="en"/>
        </w:rPr>
        <w:t xml:space="preserve"> with complaints from applicants in case of a refusal to provide access to cable channels. In such cases, the applicant has the right to file a complaint with the MDDIAI. Based on the complaint, an </w:t>
      </w:r>
      <w:r w:rsidRPr="001529C7">
        <w:rPr>
          <w:b/>
          <w:bCs/>
          <w:color w:val="000000" w:themeColor="text1"/>
          <w:lang w:val="en"/>
        </w:rPr>
        <w:t>inspection is appointed with involvement of special commission</w:t>
      </w:r>
      <w:r w:rsidRPr="001529C7">
        <w:rPr>
          <w:color w:val="000000" w:themeColor="text1"/>
          <w:lang w:val="en"/>
        </w:rPr>
        <w:t>, which includes representatives of MDDIAI, National Chamber of Entrepreneurs and industry associations, to conduct a technical inspection. </w:t>
      </w:r>
    </w:p>
    <w:p w14:paraId="0ABD4DA3" w14:textId="77777777" w:rsidR="00F85F2F" w:rsidRPr="00A57506" w:rsidRDefault="004C4BA9" w:rsidP="00F85F2F">
      <w:pPr>
        <w:rPr>
          <w:color w:val="000000" w:themeColor="text1"/>
          <w:sz w:val="24"/>
          <w:szCs w:val="24"/>
          <w:lang w:val="en-US"/>
        </w:rPr>
      </w:pPr>
      <w:r w:rsidRPr="001529C7">
        <w:rPr>
          <w:color w:val="000000" w:themeColor="text1"/>
          <w:lang w:val="en"/>
        </w:rPr>
        <w:t xml:space="preserve">The amendments are aimed at regulating interaction of the lessor and the lessee when using cable channels, setting deadlines for concluding contracts, signing land provision certificate, as well as deadlines for acceptance of construction and installation works in cable channels. </w:t>
      </w:r>
    </w:p>
    <w:p w14:paraId="1B582F7F" w14:textId="77777777" w:rsidR="00F85F2F" w:rsidRPr="00A57506" w:rsidRDefault="004C4BA9" w:rsidP="00F85F2F">
      <w:pPr>
        <w:rPr>
          <w:color w:val="000000" w:themeColor="text1"/>
          <w:lang w:val="en-US"/>
        </w:rPr>
      </w:pPr>
      <w:r w:rsidRPr="001529C7">
        <w:rPr>
          <w:color w:val="000000" w:themeColor="text1"/>
          <w:lang w:val="en"/>
        </w:rPr>
        <w:t>Thus, establishment of specific deadlines will streamline the process of using cable channels, as well as reduce proportion of unjustified delays in issuance and approval of documents by the lessor.</w:t>
      </w:r>
    </w:p>
    <w:p w14:paraId="2122E757" w14:textId="77777777" w:rsidR="00F85F2F" w:rsidRPr="00A57506" w:rsidRDefault="004C4BA9" w:rsidP="00F85F2F">
      <w:pPr>
        <w:rPr>
          <w:color w:val="000000" w:themeColor="text1"/>
          <w:lang w:val="en-US"/>
        </w:rPr>
      </w:pPr>
      <w:r w:rsidRPr="001529C7">
        <w:rPr>
          <w:color w:val="000000" w:themeColor="text1"/>
          <w:lang w:val="en"/>
        </w:rPr>
        <w:t xml:space="preserve">With that , in order to ensure access to a regulated service, Rules for Activities by natural monopolies have been supplemented with a norm ensuring use of </w:t>
      </w:r>
      <w:r w:rsidRPr="001529C7">
        <w:rPr>
          <w:b/>
          <w:bCs/>
          <w:color w:val="000000" w:themeColor="text1"/>
          <w:lang w:val="en"/>
        </w:rPr>
        <w:t xml:space="preserve">no more than 75% of the total volume of cable channels </w:t>
      </w:r>
      <w:r w:rsidRPr="001529C7">
        <w:rPr>
          <w:color w:val="000000" w:themeColor="text1"/>
          <w:lang w:val="en"/>
        </w:rPr>
        <w:t xml:space="preserve"> </w:t>
      </w:r>
      <w:r w:rsidR="00DC56FB" w:rsidRPr="00DC56FB">
        <w:rPr>
          <w:i/>
          <w:color w:val="000000" w:themeColor="text1"/>
          <w:sz w:val="24"/>
          <w:lang w:val="en"/>
        </w:rPr>
        <w:t>(for their own needs)</w:t>
      </w:r>
      <w:r w:rsidRPr="001529C7">
        <w:rPr>
          <w:color w:val="000000" w:themeColor="text1"/>
          <w:lang w:val="en"/>
        </w:rPr>
        <w:t xml:space="preserve"> by natural monopoly entity, which is also a consumer of these services, within twelve months from the actual start of operation, remaining 25% </w:t>
      </w:r>
      <w:r w:rsidR="00DC56FB" w:rsidRPr="00DC56FB">
        <w:rPr>
          <w:i/>
          <w:color w:val="000000" w:themeColor="text1"/>
          <w:sz w:val="24"/>
          <w:lang w:val="en"/>
        </w:rPr>
        <w:t>(in reserve)</w:t>
      </w:r>
      <w:r w:rsidRPr="001529C7">
        <w:rPr>
          <w:color w:val="000000" w:themeColor="text1"/>
          <w:lang w:val="en"/>
        </w:rPr>
        <w:t xml:space="preserve"> for consumers. This provision will make it possible to exclude refusals to provide access to cable channels from the owner, which is at the same time consumer of these services, for reasons of full reservation of channels by owner himself.</w:t>
      </w:r>
    </w:p>
    <w:p w14:paraId="5311C407" w14:textId="77777777" w:rsidR="00F85F2F" w:rsidRPr="00A57506" w:rsidRDefault="004C4BA9" w:rsidP="00F85F2F">
      <w:pPr>
        <w:rPr>
          <w:color w:val="000000" w:themeColor="text1"/>
          <w:lang w:val="en-US"/>
        </w:rPr>
      </w:pPr>
      <w:r w:rsidRPr="001529C7">
        <w:rPr>
          <w:color w:val="000000" w:themeColor="text1"/>
          <w:lang w:val="en"/>
        </w:rPr>
        <w:t xml:space="preserve">In general, realization of the above measures is aimed at organizing unhindered access to cable channels for communication providers, which will enable end users to choose alternative Internet service providers, improve the quality of provided services, </w:t>
      </w:r>
      <w:r w:rsidRPr="001529C7">
        <w:rPr>
          <w:color w:val="000000" w:themeColor="text1"/>
          <w:lang w:val="en"/>
        </w:rPr>
        <w:lastRenderedPageBreak/>
        <w:t>and will also contribute to expanding range of services and digitalization of economic sectors.</w:t>
      </w:r>
    </w:p>
    <w:p w14:paraId="6B9A2F0F" w14:textId="77777777" w:rsidR="00F85F2F" w:rsidRPr="00A57506" w:rsidRDefault="004C4BA9" w:rsidP="00F85F2F">
      <w:pPr>
        <w:tabs>
          <w:tab w:val="clear" w:pos="567"/>
          <w:tab w:val="left" w:pos="709"/>
          <w:tab w:val="left" w:pos="1134"/>
          <w:tab w:val="left" w:pos="1276"/>
        </w:tabs>
        <w:rPr>
          <w:bCs/>
          <w:lang w:val="en-US" w:bidi="ru-RU"/>
        </w:rPr>
      </w:pPr>
      <w:r w:rsidRPr="001529C7">
        <w:rPr>
          <w:bCs/>
          <w:lang w:val="en" w:bidi="ru-RU"/>
        </w:rPr>
        <w:t xml:space="preserve">Services for lease </w:t>
      </w:r>
      <w:r w:rsidRPr="00DC56FB">
        <w:rPr>
          <w:bCs/>
          <w:i/>
          <w:sz w:val="24"/>
          <w:lang w:val="en" w:bidi="ru-RU"/>
        </w:rPr>
        <w:t>(rent )</w:t>
      </w:r>
      <w:r w:rsidRPr="001529C7">
        <w:rPr>
          <w:bCs/>
          <w:lang w:val="en" w:bidi="ru-RU"/>
        </w:rPr>
        <w:t xml:space="preserve"> of property or use of cable channels are regulated by the state and belong to the spheres of natural monopolies.</w:t>
      </w:r>
    </w:p>
    <w:p w14:paraId="150C4F95" w14:textId="77777777" w:rsidR="00F85F2F" w:rsidRPr="00A57506" w:rsidRDefault="004C4BA9" w:rsidP="00F85F2F">
      <w:pPr>
        <w:pStyle w:val="ListParagraph"/>
        <w:tabs>
          <w:tab w:val="clear" w:pos="567"/>
          <w:tab w:val="left" w:pos="993"/>
          <w:tab w:val="left" w:pos="1276"/>
        </w:tabs>
        <w:ind w:left="0"/>
        <w:rPr>
          <w:bCs/>
          <w:lang w:val="en-US" w:bidi="ru-RU"/>
        </w:rPr>
      </w:pPr>
      <w:r w:rsidRPr="001529C7">
        <w:rPr>
          <w:bCs/>
          <w:lang w:val="en" w:bidi="ru-RU"/>
        </w:rPr>
        <w:t xml:space="preserve">According to subparagraph 21) of paragraph 2 of Article 26 of the Law "On Natural Monopolies", natural monopoly entity is obliged to post quarterly at its Internet resource or, in case of its absence, submit to the MDDIAI for posting at its Internet resource information on </w:t>
      </w:r>
      <w:r w:rsidRPr="002F1C8B">
        <w:rPr>
          <w:b/>
          <w:bCs/>
          <w:lang w:val="en" w:bidi="ru-RU"/>
        </w:rPr>
        <w:t>reserve</w:t>
      </w:r>
      <w:r w:rsidRPr="001529C7">
        <w:rPr>
          <w:bCs/>
          <w:lang w:val="en" w:bidi="ru-RU"/>
        </w:rPr>
        <w:t xml:space="preserve">, </w:t>
      </w:r>
      <w:r w:rsidRPr="002F1C8B">
        <w:rPr>
          <w:b/>
          <w:bCs/>
          <w:lang w:val="en" w:bidi="ru-RU"/>
        </w:rPr>
        <w:t>availability of free</w:t>
      </w:r>
      <w:r w:rsidRPr="001529C7">
        <w:rPr>
          <w:bCs/>
          <w:lang w:val="en" w:bidi="ru-RU"/>
        </w:rPr>
        <w:t xml:space="preserve"> and </w:t>
      </w:r>
      <w:r w:rsidRPr="002F1C8B">
        <w:rPr>
          <w:b/>
          <w:bCs/>
          <w:lang w:val="en" w:bidi="ru-RU"/>
        </w:rPr>
        <w:t>available capacities</w:t>
      </w:r>
      <w:r w:rsidRPr="001529C7">
        <w:rPr>
          <w:bCs/>
          <w:lang w:val="en" w:bidi="ru-RU"/>
        </w:rPr>
        <w:t>, power, places, bandwidth of networks of natural monopoly entity.</w:t>
      </w:r>
    </w:p>
    <w:p w14:paraId="1455C7CC" w14:textId="77777777" w:rsidR="00F85F2F" w:rsidRPr="00A57506" w:rsidRDefault="004C4BA9" w:rsidP="00F85F2F">
      <w:pPr>
        <w:pStyle w:val="ListParagraph"/>
        <w:tabs>
          <w:tab w:val="clear" w:pos="567"/>
          <w:tab w:val="left" w:pos="993"/>
          <w:tab w:val="left" w:pos="1276"/>
        </w:tabs>
        <w:ind w:left="0"/>
        <w:rPr>
          <w:bCs/>
          <w:lang w:val="en-US" w:bidi="ru-RU"/>
        </w:rPr>
      </w:pPr>
      <w:r w:rsidRPr="001529C7">
        <w:rPr>
          <w:bCs/>
          <w:lang w:val="en" w:bidi="ru-RU"/>
        </w:rPr>
        <w:t xml:space="preserve">Proceeding from this norm, natural monopoly entities providing cable channels for use </w:t>
      </w:r>
      <w:r w:rsidRPr="002F1C8B">
        <w:rPr>
          <w:bCs/>
          <w:i/>
          <w:sz w:val="24"/>
          <w:lang w:val="en" w:bidi="ru-RU"/>
        </w:rPr>
        <w:t>(Kazakhtelecom JSC, Transtelecom JSC, Astana Innovations JSC)</w:t>
      </w:r>
      <w:r w:rsidRPr="001529C7">
        <w:rPr>
          <w:bCs/>
          <w:lang w:val="en" w:bidi="ru-RU"/>
        </w:rPr>
        <w:t xml:space="preserve"> are obliged to post this information in open access for non-discriminatory access of consumers to regulated service.</w:t>
      </w:r>
    </w:p>
    <w:p w14:paraId="39DE8738" w14:textId="77777777" w:rsidR="00F85F2F" w:rsidRPr="00A57506" w:rsidRDefault="004C4BA9" w:rsidP="00F85F2F">
      <w:pPr>
        <w:pStyle w:val="ListParagraph"/>
        <w:tabs>
          <w:tab w:val="clear" w:pos="567"/>
          <w:tab w:val="left" w:pos="993"/>
          <w:tab w:val="left" w:pos="1276"/>
        </w:tabs>
        <w:ind w:left="0"/>
        <w:rPr>
          <w:bCs/>
          <w:lang w:val="en-US" w:bidi="ru-RU"/>
        </w:rPr>
      </w:pPr>
      <w:r w:rsidRPr="001529C7">
        <w:rPr>
          <w:bCs/>
          <w:lang w:val="en" w:bidi="ru-RU"/>
        </w:rPr>
        <w:t>In fact, the owners of cable channels take their duties as mere formality, since there is no complete information provided for by law, at their Internet resources .</w:t>
      </w:r>
    </w:p>
    <w:p w14:paraId="28F64C55" w14:textId="77777777" w:rsidR="00F85F2F" w:rsidRPr="00A57506" w:rsidRDefault="004C4BA9" w:rsidP="002F1C8B">
      <w:pPr>
        <w:pStyle w:val="ListParagraph"/>
        <w:tabs>
          <w:tab w:val="clear" w:pos="567"/>
          <w:tab w:val="left" w:pos="993"/>
          <w:tab w:val="left" w:pos="1276"/>
        </w:tabs>
        <w:ind w:left="0"/>
        <w:rPr>
          <w:bCs/>
          <w:lang w:val="en-US" w:bidi="ru-RU"/>
        </w:rPr>
      </w:pPr>
      <w:r w:rsidRPr="001529C7">
        <w:rPr>
          <w:bCs/>
          <w:lang w:val="en" w:bidi="ru-RU"/>
        </w:rPr>
        <w:t xml:space="preserve">In this regard, the Agency has repeatedly sent letters to the Government Office and MDDIAI on considering issue of bringing owners of cable channels to administrative responsibility for non-compliance with legislation in the field of natural monopolies. With that, no specific measures were taken by the MDDIAI, which is responsible for management of natural monopolies </w:t>
      </w:r>
      <w:r w:rsidRPr="002F1C8B">
        <w:rPr>
          <w:bCs/>
          <w:i/>
          <w:sz w:val="24"/>
          <w:lang w:val="en" w:bidi="ru-RU"/>
        </w:rPr>
        <w:t>(cable channels )</w:t>
      </w:r>
      <w:r w:rsidRPr="001529C7">
        <w:rPr>
          <w:bCs/>
          <w:lang w:val="en" w:bidi="ru-RU"/>
        </w:rPr>
        <w:t>.</w:t>
      </w:r>
    </w:p>
    <w:p w14:paraId="0BDB1C51" w14:textId="77777777" w:rsidR="00F85F2F" w:rsidRPr="001529C7" w:rsidRDefault="004C4BA9" w:rsidP="00F85F2F">
      <w:pPr>
        <w:pStyle w:val="ListParagraph"/>
        <w:tabs>
          <w:tab w:val="clear" w:pos="567"/>
          <w:tab w:val="left" w:pos="993"/>
          <w:tab w:val="left" w:pos="1276"/>
        </w:tabs>
        <w:ind w:left="0"/>
        <w:rPr>
          <w:bCs/>
          <w:iCs/>
          <w:color w:val="000000" w:themeColor="text1"/>
          <w:lang w:val="kk-KZ"/>
        </w:rPr>
      </w:pPr>
      <w:r w:rsidRPr="001529C7">
        <w:rPr>
          <w:bCs/>
          <w:iCs/>
          <w:color w:val="000000" w:themeColor="text1"/>
          <w:lang w:val="en"/>
        </w:rPr>
        <w:t xml:space="preserve">Based on results of work in 2022, the Agency jointly with MDDIAI approved </w:t>
      </w:r>
      <w:r w:rsidRPr="001529C7">
        <w:rPr>
          <w:b/>
          <w:bCs/>
          <w:iCs/>
          <w:color w:val="000000" w:themeColor="text1"/>
          <w:lang w:val="en"/>
        </w:rPr>
        <w:t>Roadmap for development of competition in the telecommunications market</w:t>
      </w:r>
      <w:r w:rsidRPr="001529C7">
        <w:rPr>
          <w:bCs/>
          <w:iCs/>
          <w:color w:val="000000" w:themeColor="text1"/>
          <w:lang w:val="en"/>
        </w:rPr>
        <w:t>, which included such measures as:</w:t>
      </w:r>
    </w:p>
    <w:p w14:paraId="6FDA152E" w14:textId="77777777" w:rsidR="00F85F2F" w:rsidRPr="00A57506" w:rsidRDefault="004C4BA9" w:rsidP="00901D92">
      <w:pPr>
        <w:pStyle w:val="ListParagraph"/>
        <w:numPr>
          <w:ilvl w:val="0"/>
          <w:numId w:val="9"/>
        </w:numPr>
        <w:tabs>
          <w:tab w:val="left" w:pos="851"/>
          <w:tab w:val="left" w:pos="1560"/>
        </w:tabs>
        <w:ind w:left="0" w:firstLine="567"/>
        <w:rPr>
          <w:bCs/>
          <w:color w:val="000000" w:themeColor="text1"/>
          <w:lang w:val="en-US" w:bidi="ru-RU"/>
        </w:rPr>
      </w:pPr>
      <w:r w:rsidRPr="001529C7">
        <w:rPr>
          <w:bCs/>
          <w:lang w:val="en"/>
        </w:rPr>
        <w:t xml:space="preserve">analysis of current procedure for conducting auctions for distribution of radio frequencies </w:t>
      </w:r>
      <w:r w:rsidRPr="002F1C8B">
        <w:rPr>
          <w:bCs/>
          <w:i/>
          <w:sz w:val="24"/>
          <w:lang w:val="en"/>
        </w:rPr>
        <w:t>(taking into account international experience)</w:t>
      </w:r>
      <w:r w:rsidRPr="001529C7">
        <w:rPr>
          <w:bCs/>
          <w:lang w:val="en"/>
        </w:rPr>
        <w:t xml:space="preserve"> in order to create conditions for reducing market concentration;</w:t>
      </w:r>
    </w:p>
    <w:p w14:paraId="1C6B8A09" w14:textId="77777777" w:rsidR="00F85F2F" w:rsidRPr="00A57506" w:rsidRDefault="004C4BA9" w:rsidP="00901D92">
      <w:pPr>
        <w:pStyle w:val="ListParagraph"/>
        <w:numPr>
          <w:ilvl w:val="0"/>
          <w:numId w:val="9"/>
        </w:numPr>
        <w:tabs>
          <w:tab w:val="left" w:pos="851"/>
          <w:tab w:val="left" w:pos="1560"/>
        </w:tabs>
        <w:ind w:left="0" w:firstLine="567"/>
        <w:rPr>
          <w:bCs/>
          <w:color w:val="000000" w:themeColor="text1"/>
          <w:lang w:val="en-US" w:bidi="ru-RU"/>
        </w:rPr>
      </w:pPr>
      <w:r w:rsidRPr="001529C7">
        <w:rPr>
          <w:bCs/>
          <w:color w:val="000000" w:themeColor="text1"/>
          <w:lang w:val="en"/>
        </w:rPr>
        <w:t xml:space="preserve"> reduction of state participation in communications market; </w:t>
      </w:r>
    </w:p>
    <w:p w14:paraId="649B4CB7" w14:textId="77777777" w:rsidR="00F85F2F" w:rsidRPr="00A57506" w:rsidRDefault="004C4BA9" w:rsidP="00901D92">
      <w:pPr>
        <w:pStyle w:val="ListParagraph"/>
        <w:numPr>
          <w:ilvl w:val="0"/>
          <w:numId w:val="9"/>
        </w:numPr>
        <w:tabs>
          <w:tab w:val="left" w:pos="851"/>
          <w:tab w:val="left" w:pos="1560"/>
        </w:tabs>
        <w:ind w:left="0" w:firstLine="567"/>
        <w:rPr>
          <w:bCs/>
          <w:color w:val="000000" w:themeColor="text1"/>
          <w:lang w:val="en-US" w:bidi="ru-RU"/>
        </w:rPr>
      </w:pPr>
      <w:r w:rsidRPr="001529C7">
        <w:rPr>
          <w:bCs/>
          <w:color w:val="000000" w:themeColor="text1"/>
          <w:lang w:val="en"/>
        </w:rPr>
        <w:t xml:space="preserve"> analysis of connection procedure and interaction of telecommunications networks of telecom operators;</w:t>
      </w:r>
    </w:p>
    <w:p w14:paraId="34DAF354" w14:textId="77777777" w:rsidR="00F85F2F" w:rsidRPr="00A57506" w:rsidRDefault="004C4BA9" w:rsidP="00901D92">
      <w:pPr>
        <w:pStyle w:val="ListParagraph"/>
        <w:numPr>
          <w:ilvl w:val="0"/>
          <w:numId w:val="9"/>
        </w:numPr>
        <w:tabs>
          <w:tab w:val="left" w:pos="851"/>
          <w:tab w:val="left" w:pos="1560"/>
        </w:tabs>
        <w:ind w:left="0" w:firstLine="567"/>
        <w:rPr>
          <w:bCs/>
          <w:color w:val="000000" w:themeColor="text1"/>
          <w:lang w:val="en-US" w:bidi="ru-RU"/>
        </w:rPr>
      </w:pPr>
      <w:r w:rsidRPr="001529C7">
        <w:rPr>
          <w:bCs/>
          <w:lang w:val="en" w:bidi="ru-RU"/>
        </w:rPr>
        <w:t>determination of procedure for competitive transfer of cable channels, built at the expense of budgetary funds, etc.</w:t>
      </w:r>
    </w:p>
    <w:p w14:paraId="4EB5B81A" w14:textId="77777777" w:rsidR="00F85F2F" w:rsidRPr="00A57506" w:rsidRDefault="004C4BA9" w:rsidP="00F85F2F">
      <w:pPr>
        <w:pStyle w:val="ListParagraph"/>
        <w:tabs>
          <w:tab w:val="clear" w:pos="567"/>
          <w:tab w:val="left" w:pos="993"/>
          <w:tab w:val="left" w:pos="1276"/>
        </w:tabs>
        <w:ind w:left="0"/>
        <w:rPr>
          <w:bCs/>
          <w:lang w:val="en-US" w:bidi="ru-RU"/>
        </w:rPr>
      </w:pPr>
      <w:r w:rsidRPr="001529C7">
        <w:rPr>
          <w:bCs/>
          <w:lang w:val="en" w:bidi="ru-RU"/>
        </w:rPr>
        <w:t>These measures are aimed at improving current mechanism of auctions for the distribution of RFS, reducing market concentration, non-discriminatory access to newly built cable channels, which in general should have a positive impact on competitiveness of the industry. Realization of measures is planned until the end of 2023.</w:t>
      </w:r>
    </w:p>
    <w:p w14:paraId="2C64AE70" w14:textId="77777777" w:rsidR="00F85F2F" w:rsidRPr="00A57506" w:rsidRDefault="004C4BA9" w:rsidP="002F1C8B">
      <w:pPr>
        <w:pStyle w:val="ListParagraph"/>
        <w:tabs>
          <w:tab w:val="clear" w:pos="567"/>
          <w:tab w:val="left" w:pos="851"/>
          <w:tab w:val="left" w:pos="1134"/>
        </w:tabs>
        <w:ind w:left="567" w:firstLine="0"/>
        <w:rPr>
          <w:b/>
          <w:i/>
          <w:iCs/>
          <w:color w:val="000000" w:themeColor="text1"/>
          <w:lang w:val="en-US"/>
        </w:rPr>
      </w:pPr>
      <w:r w:rsidRPr="001529C7">
        <w:rPr>
          <w:b/>
          <w:i/>
          <w:iCs/>
          <w:color w:val="000000" w:themeColor="text1"/>
          <w:lang w:val="en"/>
        </w:rPr>
        <w:t>Revision of Rules for Provision of Communication Services</w:t>
      </w:r>
    </w:p>
    <w:p w14:paraId="2D84D53B" w14:textId="77777777" w:rsidR="00F85F2F" w:rsidRPr="00A57506" w:rsidRDefault="004C4BA9" w:rsidP="00F85F2F">
      <w:pPr>
        <w:tabs>
          <w:tab w:val="clear" w:pos="567"/>
        </w:tabs>
        <w:rPr>
          <w:bCs/>
          <w:iCs/>
          <w:color w:val="000000" w:themeColor="text1"/>
          <w:lang w:val="en-US"/>
        </w:rPr>
      </w:pPr>
      <w:r w:rsidRPr="001529C7">
        <w:rPr>
          <w:color w:val="000000" w:themeColor="text1"/>
          <w:lang w:val="en"/>
        </w:rPr>
        <w:t xml:space="preserve">In 2022, the Agency repeatedly received complaints about the actions of mobile operators to increase tariff plans with simultaneous changes in services included in the tariff plan </w:t>
      </w:r>
      <w:r w:rsidRPr="002F1C8B">
        <w:rPr>
          <w:i/>
          <w:color w:val="000000" w:themeColor="text1"/>
          <w:sz w:val="24"/>
          <w:lang w:val="en"/>
        </w:rPr>
        <w:t>(increase in number of Gigabytes, minutes of voice calls, SMS messages, etc.)</w:t>
      </w:r>
      <w:r w:rsidRPr="001529C7">
        <w:rPr>
          <w:color w:val="000000" w:themeColor="text1"/>
          <w:lang w:val="en"/>
        </w:rPr>
        <w:t xml:space="preserve">. </w:t>
      </w:r>
    </w:p>
    <w:p w14:paraId="5BF50A67" w14:textId="77777777" w:rsidR="00F85F2F" w:rsidRPr="00A57506" w:rsidRDefault="004C4BA9" w:rsidP="00F85F2F">
      <w:pPr>
        <w:rPr>
          <w:bCs/>
          <w:color w:val="000000" w:themeColor="text1"/>
          <w:lang w:val="en-US"/>
        </w:rPr>
      </w:pPr>
      <w:r w:rsidRPr="001529C7">
        <w:rPr>
          <w:bCs/>
          <w:color w:val="000000" w:themeColor="text1"/>
          <w:lang w:val="en"/>
        </w:rPr>
        <w:t xml:space="preserve">After analyzing received materials, it was found that mobile operators make minor changes to volume of services, included in tariff plan, which are </w:t>
      </w:r>
      <w:r w:rsidRPr="00F03CF4">
        <w:rPr>
          <w:b/>
          <w:bCs/>
          <w:color w:val="000000" w:themeColor="text1"/>
          <w:lang w:val="en"/>
        </w:rPr>
        <w:t>not demanded by subscribers</w:t>
      </w:r>
      <w:r w:rsidRPr="001529C7">
        <w:rPr>
          <w:bCs/>
          <w:color w:val="000000" w:themeColor="text1"/>
          <w:lang w:val="en"/>
        </w:rPr>
        <w:t xml:space="preserve">. With that, cost of tariff plan increased simultaneously. </w:t>
      </w:r>
    </w:p>
    <w:p w14:paraId="629D06AE" w14:textId="77777777" w:rsidR="00F85F2F" w:rsidRPr="00A57506" w:rsidRDefault="004C4BA9" w:rsidP="00F85F2F">
      <w:pPr>
        <w:rPr>
          <w:color w:val="000000" w:themeColor="text1"/>
          <w:lang w:val="en-US"/>
        </w:rPr>
      </w:pPr>
      <w:r w:rsidRPr="001529C7">
        <w:rPr>
          <w:color w:val="000000" w:themeColor="text1"/>
          <w:lang w:val="en"/>
        </w:rPr>
        <w:lastRenderedPageBreak/>
        <w:t xml:space="preserve">In this regard, in order to exclude cases when cellular operators impose non-required volume of services to subscribers with simultaneous price increase, the Agency has developed certain recommendations to the MDDIAI with amendments to Rules for Provision of Communication Services, in particular, </w:t>
      </w:r>
      <w:r w:rsidRPr="001529C7">
        <w:rPr>
          <w:b/>
          <w:bCs/>
          <w:color w:val="000000" w:themeColor="text1"/>
          <w:lang w:val="en"/>
        </w:rPr>
        <w:t>establishment of ban on cellular operators to change terms of tariff plan</w:t>
      </w:r>
      <w:r w:rsidRPr="001529C7">
        <w:rPr>
          <w:color w:val="000000" w:themeColor="text1"/>
          <w:lang w:val="en"/>
        </w:rPr>
        <w:t xml:space="preserve">, except for increasing its cost due to reasonable expenses. </w:t>
      </w:r>
    </w:p>
    <w:p w14:paraId="3D162551" w14:textId="77777777" w:rsidR="00F85F2F" w:rsidRPr="00A57506" w:rsidRDefault="004C4BA9" w:rsidP="00F85F2F">
      <w:pPr>
        <w:rPr>
          <w:color w:val="000000" w:themeColor="text1"/>
          <w:lang w:val="en-US"/>
        </w:rPr>
      </w:pPr>
      <w:r w:rsidRPr="001529C7">
        <w:rPr>
          <w:color w:val="000000" w:themeColor="text1"/>
          <w:lang w:val="en"/>
        </w:rPr>
        <w:t xml:space="preserve">In addition, the updated Rules provide that increase in tariff for telephone communication services and Internet access in connection with change in the volume of services included in the tariff plan must be made with consent </w:t>
      </w:r>
      <w:r w:rsidRPr="00F03CF4">
        <w:rPr>
          <w:i/>
          <w:color w:val="000000" w:themeColor="text1"/>
          <w:sz w:val="24"/>
          <w:lang w:val="en"/>
        </w:rPr>
        <w:t>(on application)</w:t>
      </w:r>
      <w:r w:rsidRPr="001529C7">
        <w:rPr>
          <w:color w:val="000000" w:themeColor="text1"/>
          <w:lang w:val="en"/>
        </w:rPr>
        <w:t xml:space="preserve"> of subscriber received by the operator through a telephone call, as well as through automatic service system.</w:t>
      </w:r>
    </w:p>
    <w:p w14:paraId="15A261AE" w14:textId="77777777" w:rsidR="00F85F2F" w:rsidRPr="00A57506" w:rsidRDefault="004C4BA9" w:rsidP="00F85F2F">
      <w:pPr>
        <w:rPr>
          <w:color w:val="000000" w:themeColor="text1"/>
          <w:lang w:val="en-US"/>
        </w:rPr>
      </w:pPr>
      <w:r w:rsidRPr="001529C7">
        <w:rPr>
          <w:color w:val="000000" w:themeColor="text1"/>
          <w:lang w:val="en"/>
        </w:rPr>
        <w:t>These proposals are aimed at protecting rights of an unlimited number of consumers of communication services who have the right to use terms of the tariff plans to which they agreed when concluding the contract with operator. The Agency's proposals were accepted by MDDIAI, the order was registered with the Ministry of Justice in April 2023.</w:t>
      </w:r>
    </w:p>
    <w:p w14:paraId="118A0E1B" w14:textId="77777777" w:rsidR="00F85F2F" w:rsidRPr="00A57506" w:rsidRDefault="004C4BA9" w:rsidP="004F7C92">
      <w:pPr>
        <w:pStyle w:val="Heading2"/>
        <w:numPr>
          <w:ilvl w:val="1"/>
          <w:numId w:val="4"/>
        </w:numPr>
        <w:tabs>
          <w:tab w:val="left" w:pos="1134"/>
        </w:tabs>
        <w:spacing w:before="240" w:after="240"/>
        <w:ind w:firstLine="567"/>
        <w:rPr>
          <w:rFonts w:cs="Times New Roman"/>
          <w:szCs w:val="28"/>
          <w:lang w:val="en-US"/>
        </w:rPr>
      </w:pPr>
      <w:bookmarkStart w:id="44" w:name="_Toc135815282"/>
      <w:bookmarkStart w:id="45" w:name="_Toc142467911"/>
      <w:r w:rsidRPr="001529C7">
        <w:rPr>
          <w:rFonts w:cs="Times New Roman"/>
          <w:szCs w:val="28"/>
          <w:lang w:val="en"/>
        </w:rPr>
        <w:t xml:space="preserve">Digital Terrestrial Broadcasting </w:t>
      </w:r>
      <w:bookmarkEnd w:id="44"/>
      <w:r w:rsidRPr="001529C7">
        <w:rPr>
          <w:rFonts w:cs="Times New Roman"/>
          <w:szCs w:val="28"/>
          <w:lang w:val="en"/>
        </w:rPr>
        <w:t>services market;</w:t>
      </w:r>
      <w:bookmarkEnd w:id="45"/>
    </w:p>
    <w:p w14:paraId="784BD6A1" w14:textId="77777777" w:rsidR="00F85F2F" w:rsidRPr="00A57506" w:rsidRDefault="004C4BA9" w:rsidP="00F85F2F">
      <w:pPr>
        <w:rPr>
          <w:color w:val="000000" w:themeColor="text1"/>
          <w:lang w:val="en-US"/>
        </w:rPr>
      </w:pPr>
      <w:r w:rsidRPr="001529C7">
        <w:rPr>
          <w:color w:val="000000" w:themeColor="text1"/>
          <w:lang w:val="en"/>
        </w:rPr>
        <w:t xml:space="preserve">Analysis of the digital terrestrial television broadcasting services market </w:t>
      </w:r>
      <w:r w:rsidRPr="004F7C92">
        <w:rPr>
          <w:i/>
          <w:iCs/>
          <w:color w:val="000000" w:themeColor="text1"/>
          <w:sz w:val="24"/>
          <w:lang w:val="en"/>
        </w:rPr>
        <w:t>(hereinafter – DTTB)</w:t>
      </w:r>
      <w:r w:rsidRPr="001529C7">
        <w:rPr>
          <w:color w:val="000000" w:themeColor="text1"/>
          <w:lang w:val="en"/>
        </w:rPr>
        <w:t xml:space="preserve"> was carried out in accordance with the Agency's Work Plan for 2022.</w:t>
      </w:r>
    </w:p>
    <w:p w14:paraId="1075E0DE" w14:textId="6263E016" w:rsidR="00F85F2F" w:rsidRPr="00A57506" w:rsidRDefault="004C4BA9" w:rsidP="002A0980">
      <w:pPr>
        <w:contextualSpacing/>
        <w:rPr>
          <w:bCs/>
          <w:color w:val="000000" w:themeColor="text1"/>
          <w:lang w:val="en-US"/>
        </w:rPr>
      </w:pPr>
      <w:r w:rsidRPr="001529C7">
        <w:rPr>
          <w:bCs/>
          <w:color w:val="000000" w:themeColor="text1"/>
          <w:lang w:val="en"/>
        </w:rPr>
        <w:t>DTTB project was included in state program "Digital Kazakhstan" as one of elements for development of Republic's digital space and ensuring possibility of equal access to information for country's population, including public services and information resources of domestic television and radio broadcasting. Kazteleradio JSC has been designated as national operator of digital terrestrial television broadcasting in accordance with Government Decree No. 777 dated June 11, 2012 "On National operator in television and radio broadcasting". "Kazteleradio" JSC</w:t>
      </w:r>
      <w:r w:rsidR="004524E1">
        <w:rPr>
          <w:bCs/>
          <w:color w:val="000000" w:themeColor="text1"/>
          <w:lang w:val="en"/>
        </w:rPr>
        <w:t xml:space="preserve"> </w:t>
      </w:r>
      <w:r w:rsidRPr="001529C7">
        <w:rPr>
          <w:bCs/>
          <w:color w:val="000000" w:themeColor="text1"/>
          <w:lang w:val="en"/>
        </w:rPr>
        <w:t>has started working on planned transition to DTTB in the Republic of Kazakhstan on the basis of order No. 128 dated December 29, 2010, approved by the Committee of Communications and Information of the Ministry of Communications and Information.</w:t>
      </w:r>
    </w:p>
    <w:p w14:paraId="15405A3A" w14:textId="77777777" w:rsidR="00F85F2F" w:rsidRPr="00A57506" w:rsidRDefault="004C4BA9" w:rsidP="0051530B">
      <w:pPr>
        <w:rPr>
          <w:color w:val="000000" w:themeColor="text1"/>
          <w:lang w:val="en-US"/>
        </w:rPr>
      </w:pPr>
      <w:r w:rsidRPr="001529C7">
        <w:rPr>
          <w:color w:val="000000" w:themeColor="text1"/>
          <w:lang w:val="en"/>
        </w:rPr>
        <w:t xml:space="preserve">Based on developed feasibility study and financial and economic justification of the project, it is planned to build and modernize 827 radio-television stations </w:t>
      </w:r>
      <w:r w:rsidR="0051530B" w:rsidRPr="0051530B">
        <w:rPr>
          <w:i/>
          <w:color w:val="000000" w:themeColor="text1"/>
          <w:sz w:val="24"/>
          <w:lang w:val="en"/>
        </w:rPr>
        <w:t>(hereinafter - RTS)</w:t>
      </w:r>
      <w:r w:rsidRPr="001529C7">
        <w:rPr>
          <w:color w:val="000000" w:themeColor="text1"/>
          <w:lang w:val="en"/>
        </w:rPr>
        <w:t xml:space="preserve"> in the Republic of Kazakhstan with more than 95 % coverage of the country's population. During implementation of DTTB project, as of the period of the analysis, Kazteleradio JSC commissioned </w:t>
      </w:r>
      <w:r w:rsidRPr="0051530B">
        <w:rPr>
          <w:b/>
          <w:color w:val="000000" w:themeColor="text1"/>
          <w:lang w:val="en"/>
        </w:rPr>
        <w:t>561 RTS</w:t>
      </w:r>
      <w:r w:rsidRPr="001529C7">
        <w:rPr>
          <w:color w:val="000000" w:themeColor="text1"/>
          <w:lang w:val="en"/>
        </w:rPr>
        <w:t xml:space="preserve">, which provided up to </w:t>
      </w:r>
      <w:r w:rsidRPr="0051530B">
        <w:rPr>
          <w:b/>
          <w:color w:val="000000" w:themeColor="text1"/>
          <w:lang w:val="en"/>
        </w:rPr>
        <w:t>93%</w:t>
      </w:r>
      <w:r w:rsidRPr="001529C7">
        <w:rPr>
          <w:color w:val="000000" w:themeColor="text1"/>
          <w:lang w:val="en"/>
        </w:rPr>
        <w:t xml:space="preserve"> coverage of the population of the Republic of Kazakhstan with DTTB. </w:t>
      </w:r>
    </w:p>
    <w:p w14:paraId="60D211AD" w14:textId="77777777" w:rsidR="00F85F2F" w:rsidRPr="00A57506" w:rsidRDefault="004C4BA9" w:rsidP="0051530B">
      <w:pPr>
        <w:tabs>
          <w:tab w:val="left" w:pos="1134"/>
        </w:tabs>
        <w:ind w:firstLine="0"/>
        <w:rPr>
          <w:color w:val="000000" w:themeColor="text1"/>
          <w:szCs w:val="24"/>
          <w:lang w:val="en-US"/>
        </w:rPr>
      </w:pPr>
      <w:r w:rsidRPr="0032540C">
        <w:rPr>
          <w:color w:val="000000" w:themeColor="text1"/>
          <w:szCs w:val="24"/>
          <w:lang w:val="en"/>
        </w:rPr>
        <w:t>Table 14. Coverage of Republic's population with DTTB by region.</w:t>
      </w:r>
    </w:p>
    <w:tbl>
      <w:tblPr>
        <w:tblpPr w:leftFromText="180" w:rightFromText="180" w:vertAnchor="text" w:horzAnchor="margin" w:tblpXSpec="center" w:tblpY="178"/>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
        <w:gridCol w:w="4683"/>
        <w:gridCol w:w="2268"/>
        <w:gridCol w:w="2238"/>
      </w:tblGrid>
      <w:tr w:rsidR="00706070" w:rsidRPr="00A22DA1" w14:paraId="459AA7B2" w14:textId="77777777" w:rsidTr="00F85F2F">
        <w:trPr>
          <w:trHeight w:val="335"/>
        </w:trPr>
        <w:tc>
          <w:tcPr>
            <w:tcW w:w="557" w:type="dxa"/>
          </w:tcPr>
          <w:p w14:paraId="75FCF2EF" w14:textId="77777777" w:rsidR="00F85F2F" w:rsidRPr="00A57506" w:rsidRDefault="00F85F2F" w:rsidP="00F85F2F">
            <w:pPr>
              <w:tabs>
                <w:tab w:val="clear" w:pos="567"/>
                <w:tab w:val="left" w:pos="851"/>
              </w:tabs>
              <w:rPr>
                <w:rFonts w:eastAsia="Calibri"/>
                <w:b/>
                <w:bCs/>
                <w:color w:val="000000" w:themeColor="text1"/>
                <w:sz w:val="24"/>
                <w:szCs w:val="24"/>
                <w:lang w:val="en-US" w:eastAsia="en-US"/>
              </w:rPr>
            </w:pPr>
          </w:p>
        </w:tc>
        <w:tc>
          <w:tcPr>
            <w:tcW w:w="4683" w:type="dxa"/>
            <w:shd w:val="clear" w:color="auto" w:fill="auto"/>
            <w:tcMar>
              <w:top w:w="72" w:type="dxa"/>
              <w:left w:w="144" w:type="dxa"/>
              <w:bottom w:w="72" w:type="dxa"/>
              <w:right w:w="144" w:type="dxa"/>
            </w:tcMar>
            <w:vAlign w:val="center"/>
            <w:hideMark/>
          </w:tcPr>
          <w:p w14:paraId="0400B9E8"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b/>
                <w:bCs/>
                <w:color w:val="000000" w:themeColor="text1"/>
                <w:sz w:val="24"/>
                <w:szCs w:val="24"/>
                <w:lang w:val="en" w:eastAsia="en-US"/>
              </w:rPr>
              <w:t>Region</w:t>
            </w:r>
          </w:p>
        </w:tc>
        <w:tc>
          <w:tcPr>
            <w:tcW w:w="2268" w:type="dxa"/>
            <w:shd w:val="clear" w:color="auto" w:fill="auto"/>
            <w:tcMar>
              <w:top w:w="72" w:type="dxa"/>
              <w:left w:w="144" w:type="dxa"/>
              <w:bottom w:w="72" w:type="dxa"/>
              <w:right w:w="144" w:type="dxa"/>
            </w:tcMar>
            <w:vAlign w:val="center"/>
            <w:hideMark/>
          </w:tcPr>
          <w:p w14:paraId="2AE8AF28" w14:textId="77777777" w:rsidR="00F85F2F" w:rsidRPr="001529C7" w:rsidRDefault="004C4BA9"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b/>
                <w:bCs/>
                <w:color w:val="000000" w:themeColor="text1"/>
                <w:sz w:val="24"/>
                <w:szCs w:val="24"/>
                <w:lang w:val="en" w:eastAsia="en-US"/>
              </w:rPr>
              <w:t>Number of RTS</w:t>
            </w:r>
          </w:p>
        </w:tc>
        <w:tc>
          <w:tcPr>
            <w:tcW w:w="2238" w:type="dxa"/>
            <w:vAlign w:val="center"/>
          </w:tcPr>
          <w:p w14:paraId="3B945C03" w14:textId="77777777" w:rsidR="00F85F2F" w:rsidRPr="00A57506" w:rsidRDefault="004C4BA9" w:rsidP="00F85F2F">
            <w:pPr>
              <w:tabs>
                <w:tab w:val="clear" w:pos="567"/>
                <w:tab w:val="left" w:pos="851"/>
              </w:tabs>
              <w:ind w:firstLine="3"/>
              <w:jc w:val="center"/>
              <w:rPr>
                <w:rFonts w:eastAsia="Calibri"/>
                <w:b/>
                <w:bCs/>
                <w:color w:val="000000" w:themeColor="text1"/>
                <w:sz w:val="24"/>
                <w:szCs w:val="24"/>
                <w:lang w:val="en-US" w:eastAsia="en-US"/>
              </w:rPr>
            </w:pPr>
            <w:r w:rsidRPr="001529C7">
              <w:rPr>
                <w:rFonts w:eastAsia="Calibri"/>
                <w:b/>
                <w:bCs/>
                <w:color w:val="000000" w:themeColor="text1"/>
                <w:sz w:val="24"/>
                <w:szCs w:val="24"/>
                <w:lang w:val="en" w:eastAsia="en-US"/>
              </w:rPr>
              <w:t>Coverage of population with DTTB, %</w:t>
            </w:r>
          </w:p>
        </w:tc>
      </w:tr>
      <w:tr w:rsidR="00706070" w14:paraId="014BD4DD" w14:textId="77777777" w:rsidTr="00F85F2F">
        <w:trPr>
          <w:trHeight w:val="256"/>
        </w:trPr>
        <w:tc>
          <w:tcPr>
            <w:tcW w:w="557" w:type="dxa"/>
          </w:tcPr>
          <w:p w14:paraId="592031E0" w14:textId="77777777" w:rsidR="00F85F2F" w:rsidRPr="001529C7" w:rsidRDefault="004C4BA9" w:rsidP="00F85F2F">
            <w:pPr>
              <w:tabs>
                <w:tab w:val="clear" w:pos="567"/>
                <w:tab w:val="left" w:pos="851"/>
              </w:tabs>
              <w:ind w:left="-10" w:right="-9" w:firstLine="0"/>
              <w:contextualSpacing/>
              <w:jc w:val="center"/>
              <w:rPr>
                <w:color w:val="000000" w:themeColor="text1"/>
                <w:sz w:val="24"/>
                <w:szCs w:val="24"/>
              </w:rPr>
            </w:pPr>
            <w:r w:rsidRPr="001529C7">
              <w:rPr>
                <w:color w:val="000000" w:themeColor="text1"/>
                <w:sz w:val="24"/>
                <w:szCs w:val="24"/>
                <w:lang w:val="en"/>
              </w:rPr>
              <w:t>1</w:t>
            </w:r>
          </w:p>
        </w:tc>
        <w:tc>
          <w:tcPr>
            <w:tcW w:w="4683" w:type="dxa"/>
            <w:shd w:val="clear" w:color="auto" w:fill="auto"/>
            <w:tcMar>
              <w:top w:w="72" w:type="dxa"/>
              <w:left w:w="144" w:type="dxa"/>
              <w:bottom w:w="72" w:type="dxa"/>
              <w:right w:w="144" w:type="dxa"/>
            </w:tcMar>
            <w:vAlign w:val="center"/>
            <w:hideMark/>
          </w:tcPr>
          <w:p w14:paraId="432652E3" w14:textId="77777777" w:rsidR="00F85F2F" w:rsidRPr="00A57506" w:rsidRDefault="004C4BA9" w:rsidP="00F85F2F">
            <w:pPr>
              <w:tabs>
                <w:tab w:val="clear" w:pos="567"/>
                <w:tab w:val="left" w:pos="851"/>
              </w:tabs>
              <w:ind w:firstLine="3"/>
              <w:jc w:val="left"/>
              <w:rPr>
                <w:rFonts w:eastAsia="Calibri"/>
                <w:color w:val="000000" w:themeColor="text1"/>
                <w:sz w:val="24"/>
                <w:szCs w:val="24"/>
                <w:lang w:val="en-US" w:eastAsia="en-US"/>
              </w:rPr>
            </w:pPr>
            <w:r w:rsidRPr="001529C7">
              <w:rPr>
                <w:rFonts w:eastAsia="Calibri"/>
                <w:color w:val="000000" w:themeColor="text1"/>
                <w:sz w:val="24"/>
                <w:szCs w:val="24"/>
                <w:lang w:val="en" w:eastAsia="en-US"/>
              </w:rPr>
              <w:t>Almaty region and Almaty city</w:t>
            </w:r>
          </w:p>
        </w:tc>
        <w:tc>
          <w:tcPr>
            <w:tcW w:w="2268" w:type="dxa"/>
            <w:shd w:val="clear" w:color="auto" w:fill="auto"/>
            <w:tcMar>
              <w:top w:w="72" w:type="dxa"/>
              <w:left w:w="144" w:type="dxa"/>
              <w:bottom w:w="72" w:type="dxa"/>
              <w:right w:w="144" w:type="dxa"/>
            </w:tcMar>
            <w:vAlign w:val="center"/>
            <w:hideMark/>
          </w:tcPr>
          <w:p w14:paraId="3046B99D" w14:textId="77777777" w:rsidR="00F85F2F" w:rsidRPr="001529C7" w:rsidRDefault="004C4BA9"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color w:val="000000" w:themeColor="text1"/>
                <w:sz w:val="24"/>
                <w:szCs w:val="24"/>
                <w:lang w:val="en" w:eastAsia="en-US"/>
              </w:rPr>
              <w:t>91</w:t>
            </w:r>
          </w:p>
        </w:tc>
        <w:tc>
          <w:tcPr>
            <w:tcW w:w="2238" w:type="dxa"/>
            <w:vAlign w:val="center"/>
          </w:tcPr>
          <w:p w14:paraId="244B8C23" w14:textId="77777777" w:rsidR="00F85F2F" w:rsidRPr="001529C7" w:rsidRDefault="004C4BA9" w:rsidP="00F85F2F">
            <w:pPr>
              <w:tabs>
                <w:tab w:val="clear" w:pos="567"/>
                <w:tab w:val="left" w:pos="851"/>
              </w:tabs>
              <w:ind w:firstLine="3"/>
              <w:jc w:val="center"/>
              <w:rPr>
                <w:rFonts w:eastAsia="Calibri"/>
                <w:color w:val="000000" w:themeColor="text1"/>
                <w:sz w:val="24"/>
                <w:szCs w:val="24"/>
                <w:lang w:eastAsia="en-US"/>
              </w:rPr>
            </w:pPr>
            <w:r w:rsidRPr="001529C7">
              <w:rPr>
                <w:color w:val="000000" w:themeColor="text1"/>
                <w:sz w:val="24"/>
                <w:szCs w:val="24"/>
                <w:lang w:val="en"/>
              </w:rPr>
              <w:t>19,68 %</w:t>
            </w:r>
          </w:p>
        </w:tc>
      </w:tr>
      <w:tr w:rsidR="00706070" w14:paraId="65EC2020" w14:textId="77777777" w:rsidTr="00F85F2F">
        <w:trPr>
          <w:trHeight w:val="219"/>
        </w:trPr>
        <w:tc>
          <w:tcPr>
            <w:tcW w:w="557" w:type="dxa"/>
          </w:tcPr>
          <w:p w14:paraId="5531D3F6"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lastRenderedPageBreak/>
              <w:t>2</w:t>
            </w:r>
          </w:p>
        </w:tc>
        <w:tc>
          <w:tcPr>
            <w:tcW w:w="4683" w:type="dxa"/>
            <w:shd w:val="clear" w:color="auto" w:fill="auto"/>
            <w:tcMar>
              <w:top w:w="72" w:type="dxa"/>
              <w:left w:w="144" w:type="dxa"/>
              <w:bottom w:w="72" w:type="dxa"/>
              <w:right w:w="144" w:type="dxa"/>
            </w:tcMar>
            <w:vAlign w:val="center"/>
            <w:hideMark/>
          </w:tcPr>
          <w:p w14:paraId="739D6E9D"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Akmola region and Astana</w:t>
            </w:r>
          </w:p>
        </w:tc>
        <w:tc>
          <w:tcPr>
            <w:tcW w:w="2268" w:type="dxa"/>
            <w:shd w:val="clear" w:color="auto" w:fill="auto"/>
            <w:tcMar>
              <w:top w:w="72" w:type="dxa"/>
              <w:left w:w="144" w:type="dxa"/>
              <w:bottom w:w="72" w:type="dxa"/>
              <w:right w:w="144" w:type="dxa"/>
            </w:tcMar>
            <w:vAlign w:val="center"/>
            <w:hideMark/>
          </w:tcPr>
          <w:p w14:paraId="79A97810"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9</w:t>
            </w:r>
          </w:p>
        </w:tc>
        <w:tc>
          <w:tcPr>
            <w:tcW w:w="2238" w:type="dxa"/>
            <w:vAlign w:val="center"/>
          </w:tcPr>
          <w:p w14:paraId="757007E7" w14:textId="77777777" w:rsidR="00F85F2F" w:rsidRPr="001529C7" w:rsidRDefault="004C4BA9"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color w:val="000000" w:themeColor="text1"/>
                <w:sz w:val="24"/>
                <w:szCs w:val="24"/>
                <w:lang w:val="en" w:eastAsia="en-US"/>
              </w:rPr>
              <w:t>6,82 %</w:t>
            </w:r>
          </w:p>
        </w:tc>
      </w:tr>
      <w:tr w:rsidR="00706070" w14:paraId="0FF4454E" w14:textId="77777777" w:rsidTr="00F85F2F">
        <w:trPr>
          <w:trHeight w:val="232"/>
        </w:trPr>
        <w:tc>
          <w:tcPr>
            <w:tcW w:w="557" w:type="dxa"/>
          </w:tcPr>
          <w:p w14:paraId="2E996B87"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3</w:t>
            </w:r>
          </w:p>
        </w:tc>
        <w:tc>
          <w:tcPr>
            <w:tcW w:w="4683" w:type="dxa"/>
            <w:shd w:val="clear" w:color="auto" w:fill="auto"/>
            <w:tcMar>
              <w:top w:w="72" w:type="dxa"/>
              <w:left w:w="144" w:type="dxa"/>
              <w:bottom w:w="72" w:type="dxa"/>
              <w:right w:w="144" w:type="dxa"/>
            </w:tcMar>
            <w:vAlign w:val="center"/>
            <w:hideMark/>
          </w:tcPr>
          <w:p w14:paraId="4EBEF634"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Aktobe region</w:t>
            </w:r>
          </w:p>
        </w:tc>
        <w:tc>
          <w:tcPr>
            <w:tcW w:w="2268" w:type="dxa"/>
            <w:shd w:val="clear" w:color="auto" w:fill="auto"/>
            <w:tcMar>
              <w:top w:w="72" w:type="dxa"/>
              <w:left w:w="144" w:type="dxa"/>
              <w:bottom w:w="72" w:type="dxa"/>
              <w:right w:w="144" w:type="dxa"/>
            </w:tcMar>
            <w:vAlign w:val="center"/>
            <w:hideMark/>
          </w:tcPr>
          <w:p w14:paraId="0EF812C5"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6</w:t>
            </w:r>
          </w:p>
        </w:tc>
        <w:tc>
          <w:tcPr>
            <w:tcW w:w="2238" w:type="dxa"/>
            <w:vAlign w:val="center"/>
          </w:tcPr>
          <w:p w14:paraId="5DF4B5EE"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3,41%</w:t>
            </w:r>
          </w:p>
        </w:tc>
      </w:tr>
      <w:tr w:rsidR="00706070" w14:paraId="2CBAA94B" w14:textId="77777777" w:rsidTr="00F85F2F">
        <w:trPr>
          <w:trHeight w:val="232"/>
        </w:trPr>
        <w:tc>
          <w:tcPr>
            <w:tcW w:w="557" w:type="dxa"/>
          </w:tcPr>
          <w:p w14:paraId="29136CA5"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4</w:t>
            </w:r>
          </w:p>
        </w:tc>
        <w:tc>
          <w:tcPr>
            <w:tcW w:w="4683" w:type="dxa"/>
            <w:shd w:val="clear" w:color="auto" w:fill="auto"/>
            <w:tcMar>
              <w:top w:w="72" w:type="dxa"/>
              <w:left w:w="144" w:type="dxa"/>
              <w:bottom w:w="72" w:type="dxa"/>
              <w:right w:w="144" w:type="dxa"/>
            </w:tcMar>
            <w:vAlign w:val="center"/>
          </w:tcPr>
          <w:p w14:paraId="693BCF54"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Atyrau region</w:t>
            </w:r>
          </w:p>
        </w:tc>
        <w:tc>
          <w:tcPr>
            <w:tcW w:w="2268" w:type="dxa"/>
            <w:shd w:val="clear" w:color="auto" w:fill="auto"/>
            <w:tcMar>
              <w:top w:w="72" w:type="dxa"/>
              <w:left w:w="144" w:type="dxa"/>
              <w:bottom w:w="72" w:type="dxa"/>
              <w:right w:w="144" w:type="dxa"/>
            </w:tcMar>
            <w:vAlign w:val="center"/>
          </w:tcPr>
          <w:p w14:paraId="368DBE1B"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9</w:t>
            </w:r>
          </w:p>
        </w:tc>
        <w:tc>
          <w:tcPr>
            <w:tcW w:w="2238" w:type="dxa"/>
            <w:vAlign w:val="center"/>
          </w:tcPr>
          <w:p w14:paraId="76C2DD8F"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2,63%</w:t>
            </w:r>
          </w:p>
        </w:tc>
      </w:tr>
      <w:tr w:rsidR="00706070" w14:paraId="03957D29" w14:textId="77777777" w:rsidTr="00F85F2F">
        <w:trPr>
          <w:trHeight w:val="237"/>
        </w:trPr>
        <w:tc>
          <w:tcPr>
            <w:tcW w:w="557" w:type="dxa"/>
          </w:tcPr>
          <w:p w14:paraId="0FFD5CEB"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5</w:t>
            </w:r>
          </w:p>
        </w:tc>
        <w:tc>
          <w:tcPr>
            <w:tcW w:w="4683" w:type="dxa"/>
            <w:shd w:val="clear" w:color="auto" w:fill="auto"/>
            <w:tcMar>
              <w:top w:w="72" w:type="dxa"/>
              <w:left w:w="144" w:type="dxa"/>
              <w:bottom w:w="72" w:type="dxa"/>
              <w:right w:w="144" w:type="dxa"/>
            </w:tcMar>
            <w:vAlign w:val="center"/>
          </w:tcPr>
          <w:p w14:paraId="05E25F78"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East Kazakhstan region</w:t>
            </w:r>
          </w:p>
        </w:tc>
        <w:tc>
          <w:tcPr>
            <w:tcW w:w="2268" w:type="dxa"/>
            <w:shd w:val="clear" w:color="auto" w:fill="auto"/>
            <w:tcMar>
              <w:top w:w="72" w:type="dxa"/>
              <w:left w:w="144" w:type="dxa"/>
              <w:bottom w:w="72" w:type="dxa"/>
              <w:right w:w="144" w:type="dxa"/>
            </w:tcMar>
            <w:vAlign w:val="center"/>
          </w:tcPr>
          <w:p w14:paraId="587525A1"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118</w:t>
            </w:r>
          </w:p>
        </w:tc>
        <w:tc>
          <w:tcPr>
            <w:tcW w:w="2238" w:type="dxa"/>
            <w:vAlign w:val="center"/>
          </w:tcPr>
          <w:p w14:paraId="213183AE"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7,95%</w:t>
            </w:r>
          </w:p>
        </w:tc>
      </w:tr>
      <w:tr w:rsidR="00706070" w14:paraId="04D6B5BA" w14:textId="77777777" w:rsidTr="00F85F2F">
        <w:trPr>
          <w:trHeight w:val="233"/>
        </w:trPr>
        <w:tc>
          <w:tcPr>
            <w:tcW w:w="557" w:type="dxa"/>
          </w:tcPr>
          <w:p w14:paraId="18EF444C"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6</w:t>
            </w:r>
          </w:p>
        </w:tc>
        <w:tc>
          <w:tcPr>
            <w:tcW w:w="4683" w:type="dxa"/>
            <w:shd w:val="clear" w:color="auto" w:fill="auto"/>
            <w:tcMar>
              <w:top w:w="72" w:type="dxa"/>
              <w:left w:w="144" w:type="dxa"/>
              <w:bottom w:w="72" w:type="dxa"/>
              <w:right w:w="144" w:type="dxa"/>
            </w:tcMar>
            <w:vAlign w:val="center"/>
          </w:tcPr>
          <w:p w14:paraId="2E1BC624"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Zhambyl region</w:t>
            </w:r>
          </w:p>
        </w:tc>
        <w:tc>
          <w:tcPr>
            <w:tcW w:w="2268" w:type="dxa"/>
            <w:shd w:val="clear" w:color="auto" w:fill="auto"/>
            <w:tcMar>
              <w:top w:w="72" w:type="dxa"/>
              <w:left w:w="144" w:type="dxa"/>
              <w:bottom w:w="72" w:type="dxa"/>
              <w:right w:w="144" w:type="dxa"/>
            </w:tcMar>
            <w:vAlign w:val="center"/>
          </w:tcPr>
          <w:p w14:paraId="7A8D2532"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43</w:t>
            </w:r>
          </w:p>
        </w:tc>
        <w:tc>
          <w:tcPr>
            <w:tcW w:w="2238" w:type="dxa"/>
            <w:vAlign w:val="center"/>
          </w:tcPr>
          <w:p w14:paraId="13D8F25E"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6,31%</w:t>
            </w:r>
          </w:p>
        </w:tc>
      </w:tr>
      <w:tr w:rsidR="00706070" w14:paraId="25F91183" w14:textId="77777777" w:rsidTr="00F85F2F">
        <w:trPr>
          <w:trHeight w:val="222"/>
        </w:trPr>
        <w:tc>
          <w:tcPr>
            <w:tcW w:w="557" w:type="dxa"/>
          </w:tcPr>
          <w:p w14:paraId="3C064F2D"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7</w:t>
            </w:r>
          </w:p>
        </w:tc>
        <w:tc>
          <w:tcPr>
            <w:tcW w:w="4683" w:type="dxa"/>
            <w:shd w:val="clear" w:color="auto" w:fill="auto"/>
            <w:tcMar>
              <w:top w:w="72" w:type="dxa"/>
              <w:left w:w="144" w:type="dxa"/>
              <w:bottom w:w="72" w:type="dxa"/>
              <w:right w:w="144" w:type="dxa"/>
            </w:tcMar>
            <w:vAlign w:val="center"/>
          </w:tcPr>
          <w:p w14:paraId="59184A70"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West Kazakhstan region</w:t>
            </w:r>
          </w:p>
        </w:tc>
        <w:tc>
          <w:tcPr>
            <w:tcW w:w="2268" w:type="dxa"/>
            <w:shd w:val="clear" w:color="auto" w:fill="auto"/>
            <w:tcMar>
              <w:top w:w="72" w:type="dxa"/>
              <w:left w:w="144" w:type="dxa"/>
              <w:bottom w:w="72" w:type="dxa"/>
              <w:right w:w="144" w:type="dxa"/>
            </w:tcMar>
            <w:vAlign w:val="center"/>
          </w:tcPr>
          <w:p w14:paraId="13EC8368"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w:t>
            </w:r>
          </w:p>
        </w:tc>
        <w:tc>
          <w:tcPr>
            <w:tcW w:w="2238" w:type="dxa"/>
            <w:vAlign w:val="center"/>
          </w:tcPr>
          <w:p w14:paraId="7379E2A7"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2,21%</w:t>
            </w:r>
          </w:p>
        </w:tc>
      </w:tr>
      <w:tr w:rsidR="00706070" w14:paraId="03134260" w14:textId="77777777" w:rsidTr="00F85F2F">
        <w:trPr>
          <w:trHeight w:val="235"/>
        </w:trPr>
        <w:tc>
          <w:tcPr>
            <w:tcW w:w="557" w:type="dxa"/>
          </w:tcPr>
          <w:p w14:paraId="5F219758"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8</w:t>
            </w:r>
          </w:p>
        </w:tc>
        <w:tc>
          <w:tcPr>
            <w:tcW w:w="4683" w:type="dxa"/>
            <w:shd w:val="clear" w:color="auto" w:fill="auto"/>
            <w:tcMar>
              <w:top w:w="72" w:type="dxa"/>
              <w:left w:w="144" w:type="dxa"/>
              <w:bottom w:w="72" w:type="dxa"/>
              <w:right w:w="144" w:type="dxa"/>
            </w:tcMar>
            <w:vAlign w:val="center"/>
          </w:tcPr>
          <w:p w14:paraId="26B7F31F"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Karaganda region</w:t>
            </w:r>
          </w:p>
        </w:tc>
        <w:tc>
          <w:tcPr>
            <w:tcW w:w="2268" w:type="dxa"/>
            <w:shd w:val="clear" w:color="auto" w:fill="auto"/>
            <w:tcMar>
              <w:top w:w="72" w:type="dxa"/>
              <w:left w:w="144" w:type="dxa"/>
              <w:bottom w:w="72" w:type="dxa"/>
              <w:right w:w="144" w:type="dxa"/>
            </w:tcMar>
            <w:vAlign w:val="center"/>
          </w:tcPr>
          <w:p w14:paraId="79F6B22B"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35</w:t>
            </w:r>
          </w:p>
        </w:tc>
        <w:tc>
          <w:tcPr>
            <w:tcW w:w="2238" w:type="dxa"/>
            <w:vAlign w:val="center"/>
          </w:tcPr>
          <w:p w14:paraId="081E0786"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8,04%</w:t>
            </w:r>
          </w:p>
        </w:tc>
      </w:tr>
      <w:tr w:rsidR="00706070" w14:paraId="7977C26C" w14:textId="77777777" w:rsidTr="00F85F2F">
        <w:trPr>
          <w:trHeight w:val="235"/>
        </w:trPr>
        <w:tc>
          <w:tcPr>
            <w:tcW w:w="557" w:type="dxa"/>
          </w:tcPr>
          <w:p w14:paraId="14E6142D"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9</w:t>
            </w:r>
          </w:p>
        </w:tc>
        <w:tc>
          <w:tcPr>
            <w:tcW w:w="4683" w:type="dxa"/>
            <w:shd w:val="clear" w:color="auto" w:fill="auto"/>
            <w:tcMar>
              <w:top w:w="72" w:type="dxa"/>
              <w:left w:w="144" w:type="dxa"/>
              <w:bottom w:w="72" w:type="dxa"/>
              <w:right w:w="144" w:type="dxa"/>
            </w:tcMar>
            <w:vAlign w:val="center"/>
          </w:tcPr>
          <w:p w14:paraId="59A0B7C6"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Kostanay region</w:t>
            </w:r>
          </w:p>
        </w:tc>
        <w:tc>
          <w:tcPr>
            <w:tcW w:w="2268" w:type="dxa"/>
            <w:shd w:val="clear" w:color="auto" w:fill="auto"/>
            <w:tcMar>
              <w:top w:w="72" w:type="dxa"/>
              <w:left w:w="144" w:type="dxa"/>
              <w:bottom w:w="72" w:type="dxa"/>
              <w:right w:w="144" w:type="dxa"/>
            </w:tcMar>
            <w:vAlign w:val="center"/>
          </w:tcPr>
          <w:p w14:paraId="05B704F8"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59</w:t>
            </w:r>
          </w:p>
        </w:tc>
        <w:tc>
          <w:tcPr>
            <w:tcW w:w="2238" w:type="dxa"/>
            <w:vAlign w:val="center"/>
          </w:tcPr>
          <w:p w14:paraId="59464FFF"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5,47%</w:t>
            </w:r>
          </w:p>
        </w:tc>
      </w:tr>
      <w:tr w:rsidR="00706070" w14:paraId="2990548F" w14:textId="77777777" w:rsidTr="00F85F2F">
        <w:trPr>
          <w:trHeight w:val="232"/>
        </w:trPr>
        <w:tc>
          <w:tcPr>
            <w:tcW w:w="557" w:type="dxa"/>
          </w:tcPr>
          <w:p w14:paraId="026AB2CF"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10</w:t>
            </w:r>
          </w:p>
        </w:tc>
        <w:tc>
          <w:tcPr>
            <w:tcW w:w="4683" w:type="dxa"/>
            <w:shd w:val="clear" w:color="auto" w:fill="auto"/>
            <w:tcMar>
              <w:top w:w="72" w:type="dxa"/>
              <w:left w:w="144" w:type="dxa"/>
              <w:bottom w:w="72" w:type="dxa"/>
              <w:right w:w="144" w:type="dxa"/>
            </w:tcMar>
            <w:vAlign w:val="center"/>
          </w:tcPr>
          <w:p w14:paraId="525A4F31"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Kyzylorda region</w:t>
            </w:r>
          </w:p>
        </w:tc>
        <w:tc>
          <w:tcPr>
            <w:tcW w:w="2268" w:type="dxa"/>
            <w:shd w:val="clear" w:color="auto" w:fill="auto"/>
            <w:tcMar>
              <w:top w:w="72" w:type="dxa"/>
              <w:left w:w="144" w:type="dxa"/>
              <w:bottom w:w="72" w:type="dxa"/>
              <w:right w:w="144" w:type="dxa"/>
            </w:tcMar>
            <w:vAlign w:val="center"/>
          </w:tcPr>
          <w:p w14:paraId="6D9CFA25"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17</w:t>
            </w:r>
          </w:p>
        </w:tc>
        <w:tc>
          <w:tcPr>
            <w:tcW w:w="2238" w:type="dxa"/>
            <w:vAlign w:val="center"/>
          </w:tcPr>
          <w:p w14:paraId="3A354B23"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3,47%</w:t>
            </w:r>
          </w:p>
        </w:tc>
      </w:tr>
      <w:tr w:rsidR="00706070" w14:paraId="18D2D736" w14:textId="77777777" w:rsidTr="00F85F2F">
        <w:trPr>
          <w:trHeight w:val="227"/>
        </w:trPr>
        <w:tc>
          <w:tcPr>
            <w:tcW w:w="557" w:type="dxa"/>
          </w:tcPr>
          <w:p w14:paraId="2108B96F"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11</w:t>
            </w:r>
          </w:p>
        </w:tc>
        <w:tc>
          <w:tcPr>
            <w:tcW w:w="4683" w:type="dxa"/>
            <w:shd w:val="clear" w:color="auto" w:fill="auto"/>
            <w:tcMar>
              <w:top w:w="72" w:type="dxa"/>
              <w:left w:w="144" w:type="dxa"/>
              <w:bottom w:w="72" w:type="dxa"/>
              <w:right w:w="144" w:type="dxa"/>
            </w:tcMar>
            <w:vAlign w:val="center"/>
          </w:tcPr>
          <w:p w14:paraId="66BE95BD"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Mangystau region</w:t>
            </w:r>
          </w:p>
        </w:tc>
        <w:tc>
          <w:tcPr>
            <w:tcW w:w="2268" w:type="dxa"/>
            <w:shd w:val="clear" w:color="auto" w:fill="auto"/>
            <w:tcMar>
              <w:top w:w="72" w:type="dxa"/>
              <w:left w:w="144" w:type="dxa"/>
              <w:bottom w:w="72" w:type="dxa"/>
              <w:right w:w="144" w:type="dxa"/>
            </w:tcMar>
            <w:vAlign w:val="center"/>
          </w:tcPr>
          <w:p w14:paraId="38835944"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21</w:t>
            </w:r>
          </w:p>
        </w:tc>
        <w:tc>
          <w:tcPr>
            <w:tcW w:w="2238" w:type="dxa"/>
            <w:vAlign w:val="center"/>
          </w:tcPr>
          <w:p w14:paraId="220444DF"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2,99%</w:t>
            </w:r>
          </w:p>
        </w:tc>
      </w:tr>
      <w:tr w:rsidR="00706070" w14:paraId="4A3D15D5" w14:textId="77777777" w:rsidTr="00F85F2F">
        <w:trPr>
          <w:trHeight w:val="227"/>
        </w:trPr>
        <w:tc>
          <w:tcPr>
            <w:tcW w:w="557" w:type="dxa"/>
          </w:tcPr>
          <w:p w14:paraId="6B96EEEF"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12</w:t>
            </w:r>
          </w:p>
        </w:tc>
        <w:tc>
          <w:tcPr>
            <w:tcW w:w="4683" w:type="dxa"/>
            <w:shd w:val="clear" w:color="auto" w:fill="auto"/>
            <w:tcMar>
              <w:top w:w="72" w:type="dxa"/>
              <w:left w:w="144" w:type="dxa"/>
              <w:bottom w:w="72" w:type="dxa"/>
              <w:right w:w="144" w:type="dxa"/>
            </w:tcMar>
            <w:vAlign w:val="center"/>
          </w:tcPr>
          <w:p w14:paraId="18592922"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Pavlodar region</w:t>
            </w:r>
          </w:p>
        </w:tc>
        <w:tc>
          <w:tcPr>
            <w:tcW w:w="2268" w:type="dxa"/>
            <w:shd w:val="clear" w:color="auto" w:fill="auto"/>
            <w:tcMar>
              <w:top w:w="72" w:type="dxa"/>
              <w:left w:w="144" w:type="dxa"/>
              <w:bottom w:w="72" w:type="dxa"/>
              <w:right w:w="144" w:type="dxa"/>
            </w:tcMar>
            <w:vAlign w:val="center"/>
          </w:tcPr>
          <w:p w14:paraId="2F8BBCD1"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29</w:t>
            </w:r>
          </w:p>
        </w:tc>
        <w:tc>
          <w:tcPr>
            <w:tcW w:w="2238" w:type="dxa"/>
            <w:vAlign w:val="center"/>
          </w:tcPr>
          <w:p w14:paraId="1ED771FF"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4,54%</w:t>
            </w:r>
          </w:p>
        </w:tc>
      </w:tr>
      <w:tr w:rsidR="00706070" w14:paraId="23C32E7F" w14:textId="77777777" w:rsidTr="00F85F2F">
        <w:trPr>
          <w:trHeight w:val="227"/>
        </w:trPr>
        <w:tc>
          <w:tcPr>
            <w:tcW w:w="557" w:type="dxa"/>
          </w:tcPr>
          <w:p w14:paraId="247B702F"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13</w:t>
            </w:r>
          </w:p>
        </w:tc>
        <w:tc>
          <w:tcPr>
            <w:tcW w:w="4683" w:type="dxa"/>
            <w:shd w:val="clear" w:color="auto" w:fill="auto"/>
            <w:tcMar>
              <w:top w:w="72" w:type="dxa"/>
              <w:left w:w="144" w:type="dxa"/>
              <w:bottom w:w="72" w:type="dxa"/>
              <w:right w:w="144" w:type="dxa"/>
            </w:tcMar>
            <w:vAlign w:val="center"/>
          </w:tcPr>
          <w:p w14:paraId="2E8B92D1" w14:textId="77777777" w:rsidR="00F85F2F" w:rsidRPr="001529C7" w:rsidRDefault="004C4BA9"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val="en" w:eastAsia="en-US"/>
              </w:rPr>
              <w:t>North Kazakhstan region</w:t>
            </w:r>
          </w:p>
        </w:tc>
        <w:tc>
          <w:tcPr>
            <w:tcW w:w="2268" w:type="dxa"/>
            <w:shd w:val="clear" w:color="auto" w:fill="auto"/>
            <w:tcMar>
              <w:top w:w="72" w:type="dxa"/>
              <w:left w:w="144" w:type="dxa"/>
              <w:bottom w:w="72" w:type="dxa"/>
              <w:right w:w="144" w:type="dxa"/>
            </w:tcMar>
            <w:vAlign w:val="center"/>
          </w:tcPr>
          <w:p w14:paraId="3B8C2A4D"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42</w:t>
            </w:r>
          </w:p>
        </w:tc>
        <w:tc>
          <w:tcPr>
            <w:tcW w:w="2238" w:type="dxa"/>
            <w:vAlign w:val="center"/>
          </w:tcPr>
          <w:p w14:paraId="0B3FA5AA"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3,63%</w:t>
            </w:r>
          </w:p>
        </w:tc>
      </w:tr>
      <w:tr w:rsidR="00706070" w14:paraId="6AA9B93F" w14:textId="77777777" w:rsidTr="00F85F2F">
        <w:trPr>
          <w:trHeight w:val="227"/>
        </w:trPr>
        <w:tc>
          <w:tcPr>
            <w:tcW w:w="557" w:type="dxa"/>
          </w:tcPr>
          <w:p w14:paraId="11DB7968" w14:textId="77777777" w:rsidR="00F85F2F" w:rsidRPr="001529C7" w:rsidRDefault="004C4BA9"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lang w:val="en"/>
              </w:rPr>
              <w:t>14</w:t>
            </w:r>
          </w:p>
        </w:tc>
        <w:tc>
          <w:tcPr>
            <w:tcW w:w="4683" w:type="dxa"/>
            <w:shd w:val="clear" w:color="auto" w:fill="auto"/>
            <w:tcMar>
              <w:top w:w="72" w:type="dxa"/>
              <w:left w:w="144" w:type="dxa"/>
              <w:bottom w:w="72" w:type="dxa"/>
              <w:right w:w="144" w:type="dxa"/>
            </w:tcMar>
            <w:vAlign w:val="center"/>
          </w:tcPr>
          <w:p w14:paraId="2BCD5842" w14:textId="77777777" w:rsidR="00F85F2F" w:rsidRPr="00A57506" w:rsidRDefault="004C4BA9" w:rsidP="00F85F2F">
            <w:pPr>
              <w:tabs>
                <w:tab w:val="clear" w:pos="567"/>
                <w:tab w:val="left" w:pos="851"/>
              </w:tabs>
              <w:ind w:firstLine="3"/>
              <w:jc w:val="left"/>
              <w:rPr>
                <w:rFonts w:eastAsia="Calibri"/>
                <w:color w:val="000000" w:themeColor="text1"/>
                <w:sz w:val="24"/>
                <w:szCs w:val="24"/>
                <w:lang w:val="en-US" w:eastAsia="en-US"/>
              </w:rPr>
            </w:pPr>
            <w:r w:rsidRPr="001529C7">
              <w:rPr>
                <w:rFonts w:eastAsia="Calibri"/>
                <w:color w:val="000000" w:themeColor="text1"/>
                <w:sz w:val="24"/>
                <w:szCs w:val="24"/>
                <w:lang w:val="en" w:eastAsia="en-US"/>
              </w:rPr>
              <w:t xml:space="preserve">Turkestan region and Shymkent city </w:t>
            </w:r>
          </w:p>
        </w:tc>
        <w:tc>
          <w:tcPr>
            <w:tcW w:w="2268" w:type="dxa"/>
            <w:shd w:val="clear" w:color="auto" w:fill="auto"/>
            <w:tcMar>
              <w:top w:w="72" w:type="dxa"/>
              <w:left w:w="144" w:type="dxa"/>
              <w:bottom w:w="72" w:type="dxa"/>
              <w:right w:w="144" w:type="dxa"/>
            </w:tcMar>
            <w:vAlign w:val="center"/>
          </w:tcPr>
          <w:p w14:paraId="7FBFAEC5"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80</w:t>
            </w:r>
          </w:p>
        </w:tc>
        <w:tc>
          <w:tcPr>
            <w:tcW w:w="2238" w:type="dxa"/>
            <w:vAlign w:val="center"/>
          </w:tcPr>
          <w:p w14:paraId="77A0B0C0" w14:textId="77777777" w:rsidR="00F85F2F" w:rsidRPr="001529C7" w:rsidRDefault="004C4BA9"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en" w:eastAsia="en-US"/>
              </w:rPr>
              <w:t>15,82%</w:t>
            </w:r>
          </w:p>
        </w:tc>
      </w:tr>
      <w:tr w:rsidR="00706070" w14:paraId="5624EF26" w14:textId="77777777" w:rsidTr="00F85F2F">
        <w:trPr>
          <w:trHeight w:val="16"/>
        </w:trPr>
        <w:tc>
          <w:tcPr>
            <w:tcW w:w="557" w:type="dxa"/>
          </w:tcPr>
          <w:p w14:paraId="0C349DB3" w14:textId="77777777" w:rsidR="00F85F2F" w:rsidRPr="001529C7" w:rsidRDefault="00F85F2F" w:rsidP="00F85F2F">
            <w:pPr>
              <w:tabs>
                <w:tab w:val="clear" w:pos="567"/>
                <w:tab w:val="left" w:pos="851"/>
              </w:tabs>
              <w:ind w:firstLine="0"/>
              <w:contextualSpacing/>
              <w:jc w:val="left"/>
              <w:rPr>
                <w:color w:val="000000" w:themeColor="text1"/>
                <w:sz w:val="24"/>
                <w:szCs w:val="24"/>
              </w:rPr>
            </w:pPr>
          </w:p>
        </w:tc>
        <w:tc>
          <w:tcPr>
            <w:tcW w:w="4683" w:type="dxa"/>
            <w:shd w:val="clear" w:color="auto" w:fill="auto"/>
            <w:tcMar>
              <w:top w:w="72" w:type="dxa"/>
              <w:left w:w="144" w:type="dxa"/>
              <w:bottom w:w="72" w:type="dxa"/>
              <w:right w:w="144" w:type="dxa"/>
            </w:tcMar>
            <w:vAlign w:val="center"/>
          </w:tcPr>
          <w:p w14:paraId="5992A083" w14:textId="77777777" w:rsidR="00F85F2F" w:rsidRPr="001529C7" w:rsidRDefault="004C4BA9" w:rsidP="00F85F2F">
            <w:pPr>
              <w:tabs>
                <w:tab w:val="clear" w:pos="567"/>
                <w:tab w:val="left" w:pos="851"/>
              </w:tabs>
              <w:ind w:firstLine="3"/>
              <w:jc w:val="center"/>
              <w:rPr>
                <w:rFonts w:eastAsia="Calibri"/>
                <w:b/>
                <w:bCs/>
                <w:color w:val="000000" w:themeColor="text1"/>
                <w:sz w:val="24"/>
                <w:szCs w:val="24"/>
                <w:lang w:eastAsia="en-US"/>
              </w:rPr>
            </w:pPr>
            <w:r w:rsidRPr="001529C7">
              <w:rPr>
                <w:rFonts w:eastAsia="Calibri"/>
                <w:b/>
                <w:bCs/>
                <w:color w:val="000000" w:themeColor="text1"/>
                <w:sz w:val="24"/>
                <w:szCs w:val="24"/>
                <w:lang w:val="en" w:eastAsia="en-US"/>
              </w:rPr>
              <w:t>Total</w:t>
            </w:r>
          </w:p>
        </w:tc>
        <w:tc>
          <w:tcPr>
            <w:tcW w:w="2268" w:type="dxa"/>
            <w:shd w:val="clear" w:color="auto" w:fill="auto"/>
            <w:tcMar>
              <w:top w:w="72" w:type="dxa"/>
              <w:left w:w="144" w:type="dxa"/>
              <w:bottom w:w="72" w:type="dxa"/>
              <w:right w:w="144" w:type="dxa"/>
            </w:tcMar>
            <w:vAlign w:val="center"/>
          </w:tcPr>
          <w:p w14:paraId="69249C2D" w14:textId="77777777" w:rsidR="00F85F2F" w:rsidRPr="001529C7" w:rsidRDefault="004C4BA9" w:rsidP="00F85F2F">
            <w:pPr>
              <w:tabs>
                <w:tab w:val="clear" w:pos="567"/>
                <w:tab w:val="left" w:pos="851"/>
              </w:tabs>
              <w:ind w:firstLine="3"/>
              <w:jc w:val="center"/>
              <w:rPr>
                <w:rFonts w:eastAsia="Calibri"/>
                <w:b/>
                <w:bCs/>
                <w:color w:val="000000" w:themeColor="text1"/>
                <w:sz w:val="24"/>
                <w:szCs w:val="24"/>
                <w:lang w:val="kk-KZ" w:eastAsia="en-US"/>
              </w:rPr>
            </w:pPr>
            <w:r w:rsidRPr="001529C7">
              <w:rPr>
                <w:rFonts w:eastAsia="Calibri"/>
                <w:b/>
                <w:bCs/>
                <w:color w:val="000000" w:themeColor="text1"/>
                <w:sz w:val="24"/>
                <w:szCs w:val="24"/>
                <w:lang w:val="en" w:eastAsia="en-US"/>
              </w:rPr>
              <w:t>561</w:t>
            </w:r>
          </w:p>
        </w:tc>
        <w:tc>
          <w:tcPr>
            <w:tcW w:w="2238" w:type="dxa"/>
            <w:vAlign w:val="center"/>
          </w:tcPr>
          <w:p w14:paraId="3C885B57" w14:textId="77777777" w:rsidR="00F85F2F" w:rsidRPr="001529C7" w:rsidRDefault="004C4BA9" w:rsidP="00F85F2F">
            <w:pPr>
              <w:tabs>
                <w:tab w:val="clear" w:pos="567"/>
                <w:tab w:val="left" w:pos="851"/>
              </w:tabs>
              <w:ind w:firstLine="3"/>
              <w:jc w:val="center"/>
              <w:rPr>
                <w:rFonts w:eastAsia="Calibri"/>
                <w:b/>
                <w:bCs/>
                <w:color w:val="000000" w:themeColor="text1"/>
                <w:sz w:val="24"/>
                <w:szCs w:val="24"/>
                <w:lang w:val="kk-KZ" w:eastAsia="en-US"/>
              </w:rPr>
            </w:pPr>
            <w:r w:rsidRPr="001529C7">
              <w:rPr>
                <w:rFonts w:eastAsia="Calibri"/>
                <w:b/>
                <w:bCs/>
                <w:color w:val="000000" w:themeColor="text1"/>
                <w:sz w:val="24"/>
                <w:szCs w:val="24"/>
                <w:lang w:val="en" w:eastAsia="en-US"/>
              </w:rPr>
              <w:t>93%</w:t>
            </w:r>
          </w:p>
        </w:tc>
      </w:tr>
    </w:tbl>
    <w:p w14:paraId="61F756C6" w14:textId="77777777" w:rsidR="0051530B" w:rsidRDefault="0051530B" w:rsidP="0051530B">
      <w:pPr>
        <w:pStyle w:val="Title"/>
        <w:ind w:firstLine="567"/>
        <w:jc w:val="both"/>
        <w:rPr>
          <w:b w:val="0"/>
          <w:color w:val="000000" w:themeColor="text1"/>
          <w:szCs w:val="28"/>
        </w:rPr>
      </w:pPr>
    </w:p>
    <w:p w14:paraId="68C8DF31" w14:textId="77777777" w:rsidR="0051530B" w:rsidRPr="00A57506" w:rsidRDefault="004C4BA9" w:rsidP="0051530B">
      <w:pPr>
        <w:pStyle w:val="Title"/>
        <w:ind w:firstLine="567"/>
        <w:jc w:val="both"/>
        <w:rPr>
          <w:b w:val="0"/>
          <w:color w:val="000000" w:themeColor="text1"/>
          <w:szCs w:val="28"/>
          <w:lang w:val="en-US"/>
        </w:rPr>
      </w:pPr>
      <w:r w:rsidRPr="001529C7">
        <w:rPr>
          <w:b w:val="0"/>
          <w:color w:val="000000" w:themeColor="text1"/>
          <w:szCs w:val="28"/>
          <w:lang w:val="en"/>
        </w:rPr>
        <w:t xml:space="preserve">Geographical boundaries of analyzed market are limited by area of operations of "Kazteleradio" JSC – the territory in which RTS operate. </w:t>
      </w:r>
    </w:p>
    <w:p w14:paraId="7D273EE7" w14:textId="77777777" w:rsidR="0051530B" w:rsidRPr="00A57506" w:rsidRDefault="004C4BA9" w:rsidP="0051530B">
      <w:pPr>
        <w:pStyle w:val="Title"/>
        <w:ind w:firstLine="567"/>
        <w:jc w:val="both"/>
        <w:rPr>
          <w:i/>
          <w:color w:val="000000" w:themeColor="text1"/>
          <w:lang w:val="en-US"/>
        </w:rPr>
      </w:pPr>
      <w:r w:rsidRPr="0051530B">
        <w:rPr>
          <w:i/>
          <w:color w:val="000000" w:themeColor="text1"/>
          <w:lang w:val="en"/>
        </w:rPr>
        <w:t xml:space="preserve">Technological features of DTTB </w:t>
      </w:r>
    </w:p>
    <w:p w14:paraId="65A51788" w14:textId="77777777" w:rsidR="00F85F2F" w:rsidRPr="00A57506" w:rsidRDefault="004C4BA9" w:rsidP="0051530B">
      <w:pPr>
        <w:pStyle w:val="Title"/>
        <w:ind w:firstLine="567"/>
        <w:jc w:val="both"/>
        <w:rPr>
          <w:color w:val="000000" w:themeColor="text1"/>
          <w:lang w:val="en-US"/>
        </w:rPr>
      </w:pPr>
      <w:r w:rsidRPr="0051530B">
        <w:rPr>
          <w:b w:val="0"/>
          <w:color w:val="000000" w:themeColor="text1"/>
          <w:lang w:val="en"/>
        </w:rPr>
        <w:t xml:space="preserve">In accordance with frequency-territorial plan, facilities </w:t>
      </w:r>
      <w:r w:rsidRPr="0051530B">
        <w:rPr>
          <w:b w:val="0"/>
          <w:i/>
          <w:color w:val="000000" w:themeColor="text1"/>
          <w:sz w:val="24"/>
          <w:lang w:val="en"/>
        </w:rPr>
        <w:t>(RTS)</w:t>
      </w:r>
      <w:r w:rsidRPr="0051530B">
        <w:rPr>
          <w:b w:val="0"/>
          <w:color w:val="000000" w:themeColor="text1"/>
          <w:lang w:val="en"/>
        </w:rPr>
        <w:t xml:space="preserve"> have been identified, which are envisaged for installation of technological equipment for broadcasting. </w:t>
      </w:r>
    </w:p>
    <w:p w14:paraId="0984A0BD" w14:textId="77777777" w:rsidR="00F85F2F" w:rsidRPr="00A57506" w:rsidRDefault="004C4BA9" w:rsidP="0051530B">
      <w:pPr>
        <w:tabs>
          <w:tab w:val="left" w:pos="1134"/>
        </w:tabs>
        <w:rPr>
          <w:color w:val="000000" w:themeColor="text1"/>
          <w:lang w:val="en-US"/>
        </w:rPr>
      </w:pPr>
      <w:r w:rsidRPr="001529C7">
        <w:rPr>
          <w:color w:val="000000" w:themeColor="text1"/>
          <w:lang w:val="en"/>
        </w:rPr>
        <w:t xml:space="preserve">To implement "National Digital Broadcasting Network of the Republic of Kazakhstan" project, in accordance with the frequency-territorial plan </w:t>
      </w:r>
      <w:r w:rsidRPr="0051530B">
        <w:rPr>
          <w:i/>
          <w:color w:val="000000" w:themeColor="text1"/>
          <w:sz w:val="24"/>
          <w:lang w:val="en"/>
        </w:rPr>
        <w:t>(FTP)</w:t>
      </w:r>
      <w:r w:rsidRPr="001529C7">
        <w:rPr>
          <w:color w:val="000000" w:themeColor="text1"/>
          <w:lang w:val="en"/>
        </w:rPr>
        <w:t xml:space="preserve">, facilities </w:t>
      </w:r>
      <w:r w:rsidRPr="0051530B">
        <w:rPr>
          <w:i/>
          <w:color w:val="000000" w:themeColor="text1"/>
          <w:sz w:val="24"/>
          <w:lang w:val="en"/>
        </w:rPr>
        <w:t>(RTS)</w:t>
      </w:r>
      <w:r w:rsidRPr="001529C7">
        <w:rPr>
          <w:color w:val="000000" w:themeColor="text1"/>
          <w:lang w:val="en"/>
        </w:rPr>
        <w:t xml:space="preserve"> of Kazteleradio JSC have been identified, which are envisaged for installation of technological equipment for broadcasting. </w:t>
      </w:r>
    </w:p>
    <w:p w14:paraId="40172E74" w14:textId="77777777" w:rsidR="00F85F2F" w:rsidRPr="00A57506" w:rsidRDefault="004C4BA9" w:rsidP="0051530B">
      <w:pPr>
        <w:rPr>
          <w:color w:val="000000" w:themeColor="text1"/>
          <w:lang w:val="en-US"/>
        </w:rPr>
      </w:pPr>
      <w:r w:rsidRPr="001529C7">
        <w:rPr>
          <w:color w:val="000000" w:themeColor="text1"/>
          <w:lang w:val="en"/>
        </w:rPr>
        <w:t xml:space="preserve">Kazteleradio digital broadcasting network consists of the main center for formation of republican multiplex in Almaty, 15 regional centers for formation of regional multiplexes, centers for formation of multiplexes for direct reception </w:t>
      </w:r>
      <w:r w:rsidRPr="0051530B">
        <w:rPr>
          <w:i/>
          <w:color w:val="000000" w:themeColor="text1"/>
          <w:sz w:val="24"/>
          <w:lang w:val="en"/>
        </w:rPr>
        <w:t>(DTH)</w:t>
      </w:r>
      <w:r w:rsidRPr="001529C7">
        <w:rPr>
          <w:color w:val="000000" w:themeColor="text1"/>
          <w:lang w:val="en"/>
        </w:rPr>
        <w:t xml:space="preserve"> in Astana and Uralsk. The network also includes RTS of republican significance in Almaty </w:t>
      </w:r>
      <w:r w:rsidRPr="0051530B">
        <w:rPr>
          <w:i/>
          <w:color w:val="000000" w:themeColor="text1"/>
          <w:sz w:val="24"/>
          <w:lang w:val="en"/>
        </w:rPr>
        <w:t>(Kok-Tobe)</w:t>
      </w:r>
      <w:r w:rsidRPr="001529C7">
        <w:rPr>
          <w:color w:val="000000" w:themeColor="text1"/>
          <w:lang w:val="en"/>
        </w:rPr>
        <w:t xml:space="preserve">, Astana, Shymkent and 15 RTS of regional significance and more than 700 RTS for broadcasting digital TV programs. </w:t>
      </w:r>
    </w:p>
    <w:p w14:paraId="545DF008" w14:textId="77777777" w:rsidR="00F85F2F" w:rsidRPr="00A57506" w:rsidRDefault="004C4BA9" w:rsidP="0051530B">
      <w:pPr>
        <w:rPr>
          <w:color w:val="000000" w:themeColor="text1"/>
          <w:lang w:val="en-US"/>
        </w:rPr>
      </w:pPr>
      <w:r w:rsidRPr="001529C7">
        <w:rPr>
          <w:color w:val="000000" w:themeColor="text1"/>
          <w:lang w:val="en"/>
        </w:rPr>
        <w:t xml:space="preserve">The main network monitoring and management center is located in Almaty, backup center is located in Astana. Monitoring and management of network equipment is provided through distributed satellite network of VSAT system, that allows receiving and transmitting data for management and monitoring equipment traffic around the clock from each of regional RTSs. </w:t>
      </w:r>
    </w:p>
    <w:p w14:paraId="32CE3F38" w14:textId="77777777" w:rsidR="00F85F2F" w:rsidRPr="00A57506" w:rsidRDefault="004C4BA9"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en-US"/>
        </w:rPr>
      </w:pPr>
      <w:r w:rsidRPr="001529C7">
        <w:rPr>
          <w:color w:val="000000" w:themeColor="text1"/>
          <w:lang w:val="en"/>
        </w:rPr>
        <w:t xml:space="preserve">Due to the fact that DTTB services are provided exclusively by the national operator represented by Kazteleradio JSC, which occupies one hundred percent share in DTTB services market, position of this entity is recognized as  </w:t>
      </w:r>
      <w:r w:rsidRPr="0051530B">
        <w:rPr>
          <w:b/>
          <w:color w:val="000000" w:themeColor="text1"/>
          <w:lang w:val="en"/>
        </w:rPr>
        <w:t>monopolistic</w:t>
      </w:r>
      <w:r w:rsidRPr="001529C7">
        <w:rPr>
          <w:color w:val="000000" w:themeColor="text1"/>
          <w:lang w:val="en"/>
        </w:rPr>
        <w:t xml:space="preserve"> in </w:t>
      </w:r>
      <w:r w:rsidRPr="001529C7">
        <w:rPr>
          <w:color w:val="000000" w:themeColor="text1"/>
          <w:lang w:val="en"/>
        </w:rPr>
        <w:lastRenderedPageBreak/>
        <w:t xml:space="preserve">accordance with paragraph 7, Article 172 of the Code, and accordingly there is </w:t>
      </w:r>
      <w:r w:rsidRPr="0051530B">
        <w:rPr>
          <w:b/>
          <w:color w:val="000000" w:themeColor="text1"/>
          <w:lang w:val="en"/>
        </w:rPr>
        <w:t>high concentration of the market</w:t>
      </w:r>
      <w:r w:rsidRPr="001529C7">
        <w:rPr>
          <w:color w:val="000000" w:themeColor="text1"/>
          <w:lang w:val="en"/>
        </w:rPr>
        <w:t xml:space="preserve">. </w:t>
      </w:r>
    </w:p>
    <w:p w14:paraId="2D5C18CB" w14:textId="77777777" w:rsidR="00F85F2F" w:rsidRPr="00A57506" w:rsidRDefault="004C4BA9" w:rsidP="0051530B">
      <w:pPr>
        <w:contextualSpacing/>
        <w:rPr>
          <w:bCs/>
          <w:color w:val="000000" w:themeColor="text1"/>
          <w:lang w:val="en-US"/>
        </w:rPr>
      </w:pPr>
      <w:r w:rsidRPr="001529C7">
        <w:rPr>
          <w:bCs/>
          <w:color w:val="000000" w:themeColor="text1"/>
          <w:lang w:val="en"/>
        </w:rPr>
        <w:t>The sole shareholder of national DTTB operator "Kazteleradio" JSC is the Ministry of Information and Public Development. National DTTB operator faces the task of providing entire country's population with television programs on DTTB networks by developing national broadcasting network infrastructure.</w:t>
      </w:r>
    </w:p>
    <w:p w14:paraId="412FE83B" w14:textId="77777777" w:rsidR="00F85F2F" w:rsidRPr="00A57506" w:rsidRDefault="004C4BA9" w:rsidP="0051530B">
      <w:pPr>
        <w:autoSpaceDE w:val="0"/>
        <w:autoSpaceDN w:val="0"/>
        <w:adjustRightInd w:val="0"/>
        <w:rPr>
          <w:color w:val="000000" w:themeColor="text1"/>
          <w:lang w:val="en-US"/>
        </w:rPr>
      </w:pPr>
      <w:r w:rsidRPr="001529C7">
        <w:rPr>
          <w:bCs/>
          <w:color w:val="000000" w:themeColor="text1"/>
          <w:lang w:val="en"/>
        </w:rPr>
        <w:t xml:space="preserve">According to the information of Kazteleradio JSC, 266 RTS are planned to be put into operation in the period from 2022 to 2024. </w:t>
      </w:r>
    </w:p>
    <w:p w14:paraId="65ECFA05" w14:textId="77777777" w:rsidR="00F85F2F" w:rsidRPr="00A57506" w:rsidRDefault="004C4BA9" w:rsidP="0051530B">
      <w:pPr>
        <w:contextualSpacing/>
        <w:rPr>
          <w:bCs/>
          <w:color w:val="000000" w:themeColor="text1"/>
          <w:lang w:val="en-US"/>
        </w:rPr>
      </w:pPr>
      <w:r w:rsidRPr="001529C7">
        <w:rPr>
          <w:bCs/>
          <w:color w:val="000000" w:themeColor="text1"/>
          <w:lang w:val="en"/>
        </w:rPr>
        <w:t xml:space="preserve">Taking into account the above and incompleteness of DTTB  project, as well as incomplete readiness of appropriate infrastructure to cover entire population of the Republic of Kazakhstan with DTTB, in order to develop digital space, presence of state, represented by the national DTTB operator - Kazteleradio JSC in this commodity market until full implementation of the project is considered appropriate. </w:t>
      </w:r>
    </w:p>
    <w:p w14:paraId="4F4082CF" w14:textId="77777777" w:rsidR="00F85F2F" w:rsidRPr="00A57506" w:rsidRDefault="004C4BA9"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en-US"/>
        </w:rPr>
      </w:pPr>
      <w:r w:rsidRPr="001529C7">
        <w:rPr>
          <w:color w:val="000000" w:themeColor="text1"/>
          <w:lang w:val="en"/>
        </w:rPr>
        <w:t>Due to the fact that Kazteleradio JSC is the national television and radio broadcasting operator, including DTTB service, there are no other competing operators for the analyzed service.</w:t>
      </w:r>
    </w:p>
    <w:p w14:paraId="78E715BD" w14:textId="77777777" w:rsidR="00F85F2F" w:rsidRPr="00A57506" w:rsidRDefault="004C4BA9"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themeColor="text1"/>
          <w:lang w:val="en-US"/>
        </w:rPr>
      </w:pPr>
      <w:r w:rsidRPr="001529C7">
        <w:rPr>
          <w:b/>
          <w:i/>
          <w:color w:val="000000" w:themeColor="text1"/>
          <w:lang w:val="en"/>
        </w:rPr>
        <w:t>Ongoing work on reviewing the tariffs of Kazteleradio JSC for compliance with antimonopoly legislation</w:t>
      </w:r>
    </w:p>
    <w:p w14:paraId="5439EBFE" w14:textId="77777777" w:rsidR="00F85F2F" w:rsidRPr="00A57506" w:rsidRDefault="004C4BA9" w:rsidP="0051530B">
      <w:pPr>
        <w:pStyle w:val="Caption"/>
        <w:keepNext/>
        <w:spacing w:after="0"/>
        <w:rPr>
          <w:b w:val="0"/>
          <w:bCs w:val="0"/>
          <w:color w:val="000000" w:themeColor="text1"/>
          <w:sz w:val="28"/>
          <w:szCs w:val="28"/>
          <w:lang w:val="en-US" w:eastAsia="en-US"/>
        </w:rPr>
      </w:pPr>
      <w:r w:rsidRPr="001529C7">
        <w:rPr>
          <w:b w:val="0"/>
          <w:color w:val="000000" w:themeColor="text1"/>
          <w:sz w:val="28"/>
          <w:szCs w:val="28"/>
          <w:lang w:val="en"/>
        </w:rPr>
        <w:t>Based on application of Supreme Audit Chamber about signs of violation competition protection legislation in the tariff policy of Kazteleradio JSC, the Agency reviewed tariffs for digital broadcasting of TV channels (Table 15).</w:t>
      </w:r>
    </w:p>
    <w:p w14:paraId="4D1F64B0" w14:textId="77777777" w:rsidR="00F85F2F" w:rsidRPr="00A57506" w:rsidRDefault="00F85F2F" w:rsidP="00F85F2F">
      <w:pPr>
        <w:rPr>
          <w:lang w:val="en-US" w:eastAsia="en-US"/>
        </w:rPr>
      </w:pPr>
    </w:p>
    <w:p w14:paraId="48667F9D" w14:textId="77777777" w:rsidR="00F85F2F" w:rsidRPr="00A57506" w:rsidRDefault="004C4BA9" w:rsidP="0051530B">
      <w:pPr>
        <w:pStyle w:val="Caption"/>
        <w:keepNext/>
        <w:spacing w:after="0"/>
        <w:ind w:firstLine="0"/>
        <w:rPr>
          <w:b w:val="0"/>
          <w:color w:val="000000" w:themeColor="text1"/>
          <w:sz w:val="28"/>
          <w:szCs w:val="24"/>
          <w:lang w:val="en-US"/>
        </w:rPr>
      </w:pPr>
      <w:r w:rsidRPr="0032540C">
        <w:rPr>
          <w:b w:val="0"/>
          <w:color w:val="000000" w:themeColor="text1"/>
          <w:sz w:val="28"/>
          <w:szCs w:val="24"/>
          <w:lang w:val="en"/>
        </w:rPr>
        <w:t xml:space="preserve">Table 15. Distribution services of 1 TV channel via DTTB with  full load of multiplexes </w:t>
      </w:r>
      <w:r w:rsidRPr="0032540C">
        <w:rPr>
          <w:b w:val="0"/>
          <w:i/>
          <w:color w:val="000000" w:themeColor="text1"/>
          <w:sz w:val="24"/>
          <w:szCs w:val="24"/>
          <w:lang w:val="en"/>
        </w:rPr>
        <w:t>(SD format) (Approved by Decision of the Management Board No. 26 of 29.08.2018)</w:t>
      </w:r>
      <w:r w:rsidRPr="0032540C">
        <w:rPr>
          <w:b w:val="0"/>
          <w:color w:val="000000" w:themeColor="text1"/>
          <w:sz w:val="28"/>
          <w:szCs w:val="24"/>
          <w:lang w:val="en"/>
        </w:rPr>
        <w:t>.</w:t>
      </w:r>
    </w:p>
    <w:tbl>
      <w:tblPr>
        <w:tblW w:w="9526" w:type="dxa"/>
        <w:tblInd w:w="-5" w:type="dxa"/>
        <w:tblLook w:val="04A0" w:firstRow="1" w:lastRow="0" w:firstColumn="1" w:lastColumn="0" w:noHBand="0" w:noVBand="1"/>
      </w:tblPr>
      <w:tblGrid>
        <w:gridCol w:w="1126"/>
        <w:gridCol w:w="1795"/>
        <w:gridCol w:w="3685"/>
        <w:gridCol w:w="2920"/>
      </w:tblGrid>
      <w:tr w:rsidR="00706070" w:rsidRPr="00A22DA1" w14:paraId="252DF4EB" w14:textId="77777777" w:rsidTr="00225B66">
        <w:trPr>
          <w:trHeight w:val="300"/>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A9569" w14:textId="77777777" w:rsidR="00D47848" w:rsidRPr="00E22BBE" w:rsidRDefault="004C4BA9" w:rsidP="00D47848">
            <w:pPr>
              <w:ind w:firstLine="0"/>
              <w:jc w:val="center"/>
              <w:rPr>
                <w:b/>
                <w:bCs/>
                <w:color w:val="000000" w:themeColor="text1"/>
                <w:sz w:val="18"/>
                <w:szCs w:val="18"/>
              </w:rPr>
            </w:pPr>
            <w:r w:rsidRPr="00E22BBE">
              <w:rPr>
                <w:b/>
                <w:bCs/>
                <w:color w:val="000000" w:themeColor="text1"/>
                <w:sz w:val="20"/>
                <w:szCs w:val="20"/>
                <w:lang w:val="en"/>
              </w:rPr>
              <w:t>No</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25829BC9" w14:textId="77777777" w:rsidR="00D47848" w:rsidRPr="00E22BBE" w:rsidRDefault="004C4BA9" w:rsidP="00D47848">
            <w:pPr>
              <w:ind w:firstLine="0"/>
              <w:rPr>
                <w:b/>
                <w:bCs/>
                <w:color w:val="000000" w:themeColor="text1"/>
                <w:sz w:val="18"/>
                <w:szCs w:val="18"/>
              </w:rPr>
            </w:pPr>
            <w:r w:rsidRPr="00E22BBE">
              <w:rPr>
                <w:b/>
                <w:bCs/>
                <w:color w:val="000000" w:themeColor="text1"/>
                <w:sz w:val="18"/>
                <w:szCs w:val="18"/>
                <w:lang w:val="en"/>
              </w:rPr>
              <w:t>Transmitter capacity W</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1E9F422B" w14:textId="77777777" w:rsidR="00D47848" w:rsidRPr="00A57506" w:rsidRDefault="004C4BA9" w:rsidP="00D47848">
            <w:pPr>
              <w:ind w:firstLine="0"/>
              <w:jc w:val="center"/>
              <w:rPr>
                <w:b/>
                <w:bCs/>
                <w:color w:val="000000" w:themeColor="text1"/>
                <w:sz w:val="18"/>
                <w:szCs w:val="18"/>
                <w:lang w:val="en-US"/>
              </w:rPr>
            </w:pPr>
            <w:r w:rsidRPr="00E22BBE">
              <w:rPr>
                <w:b/>
                <w:bCs/>
                <w:color w:val="000000" w:themeColor="text1"/>
                <w:sz w:val="18"/>
                <w:szCs w:val="18"/>
                <w:lang w:val="en"/>
              </w:rPr>
              <w:t>Tariff for broadcasting 1 TV channel through digital terrestrial broadcasting, by type of transmitters, on the 1st multiplex, KZT without VAT, per month</w:t>
            </w:r>
          </w:p>
        </w:tc>
        <w:tc>
          <w:tcPr>
            <w:tcW w:w="2920" w:type="dxa"/>
            <w:tcBorders>
              <w:top w:val="single" w:sz="4" w:space="0" w:color="auto"/>
              <w:left w:val="nil"/>
              <w:bottom w:val="single" w:sz="4" w:space="0" w:color="auto"/>
              <w:right w:val="single" w:sz="4" w:space="0" w:color="000000"/>
            </w:tcBorders>
            <w:shd w:val="clear" w:color="auto" w:fill="auto"/>
            <w:hideMark/>
          </w:tcPr>
          <w:p w14:paraId="5EBA1E6C" w14:textId="77777777" w:rsidR="00D47848" w:rsidRPr="00A57506" w:rsidRDefault="004C4BA9" w:rsidP="00D47848">
            <w:pPr>
              <w:ind w:firstLine="0"/>
              <w:jc w:val="center"/>
              <w:rPr>
                <w:b/>
                <w:bCs/>
                <w:color w:val="000000" w:themeColor="text1"/>
                <w:sz w:val="18"/>
                <w:szCs w:val="18"/>
                <w:lang w:val="en-US"/>
              </w:rPr>
            </w:pPr>
            <w:r w:rsidRPr="00E22BBE">
              <w:rPr>
                <w:b/>
                <w:bCs/>
                <w:color w:val="000000" w:themeColor="text1"/>
                <w:sz w:val="18"/>
                <w:szCs w:val="18"/>
                <w:lang w:val="en"/>
              </w:rPr>
              <w:t>Tariff for broadcasting 1 TV channel through digital terrestrial broadcasting, by type of transmitters, on the 2nd multiplex, KZT without VAT, per month</w:t>
            </w:r>
          </w:p>
        </w:tc>
      </w:tr>
      <w:tr w:rsidR="00706070" w14:paraId="53CD0A30" w14:textId="77777777" w:rsidTr="00225B66">
        <w:trPr>
          <w:trHeight w:val="384"/>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6F19B37C" w14:textId="77777777" w:rsidR="00D47848" w:rsidRPr="00E22BBE" w:rsidRDefault="004C4BA9" w:rsidP="00D47848">
            <w:pPr>
              <w:ind w:firstLine="0"/>
              <w:jc w:val="center"/>
              <w:rPr>
                <w:color w:val="000000" w:themeColor="text1"/>
                <w:sz w:val="18"/>
                <w:szCs w:val="18"/>
              </w:rPr>
            </w:pPr>
            <w:r w:rsidRPr="00E22BBE">
              <w:rPr>
                <w:color w:val="000000" w:themeColor="text1"/>
                <w:sz w:val="18"/>
                <w:szCs w:val="18"/>
                <w:lang w:val="en"/>
              </w:rPr>
              <w:t>1</w:t>
            </w:r>
          </w:p>
        </w:tc>
        <w:tc>
          <w:tcPr>
            <w:tcW w:w="1795" w:type="dxa"/>
            <w:tcBorders>
              <w:top w:val="nil"/>
              <w:left w:val="nil"/>
              <w:bottom w:val="single" w:sz="4" w:space="0" w:color="auto"/>
              <w:right w:val="single" w:sz="4" w:space="0" w:color="auto"/>
            </w:tcBorders>
            <w:shd w:val="clear" w:color="auto" w:fill="auto"/>
            <w:vAlign w:val="center"/>
            <w:hideMark/>
          </w:tcPr>
          <w:p w14:paraId="48078D43" w14:textId="77777777" w:rsidR="00D47848" w:rsidRPr="00E22BBE" w:rsidRDefault="004C4BA9" w:rsidP="00D47848">
            <w:pPr>
              <w:ind w:firstLine="0"/>
              <w:jc w:val="center"/>
              <w:rPr>
                <w:color w:val="000000" w:themeColor="text1"/>
                <w:sz w:val="18"/>
                <w:szCs w:val="18"/>
              </w:rPr>
            </w:pPr>
            <w:r w:rsidRPr="00E22BBE">
              <w:rPr>
                <w:color w:val="000000" w:themeColor="text1"/>
                <w:sz w:val="18"/>
                <w:szCs w:val="18"/>
                <w:lang w:val="en"/>
              </w:rPr>
              <w:t>1</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64C32EDC" w14:textId="77777777" w:rsidR="00D47848" w:rsidRPr="00E22BBE" w:rsidRDefault="004C4BA9" w:rsidP="00D47848">
            <w:pPr>
              <w:ind w:firstLine="0"/>
              <w:jc w:val="center"/>
              <w:rPr>
                <w:color w:val="000000" w:themeColor="text1"/>
                <w:sz w:val="18"/>
                <w:szCs w:val="18"/>
              </w:rPr>
            </w:pPr>
            <w:r w:rsidRPr="00E22BBE">
              <w:rPr>
                <w:color w:val="000000" w:themeColor="text1"/>
                <w:sz w:val="18"/>
                <w:szCs w:val="18"/>
                <w:lang w:val="en"/>
              </w:rPr>
              <w:t>311.74</w:t>
            </w:r>
          </w:p>
        </w:tc>
        <w:tc>
          <w:tcPr>
            <w:tcW w:w="2920" w:type="dxa"/>
            <w:tcBorders>
              <w:top w:val="single" w:sz="4" w:space="0" w:color="auto"/>
              <w:left w:val="nil"/>
              <w:bottom w:val="single" w:sz="4" w:space="0" w:color="auto"/>
              <w:right w:val="single" w:sz="4" w:space="0" w:color="000000"/>
            </w:tcBorders>
            <w:shd w:val="clear" w:color="auto" w:fill="auto"/>
            <w:vAlign w:val="center"/>
            <w:hideMark/>
          </w:tcPr>
          <w:p w14:paraId="2EE9A0DD" w14:textId="77777777" w:rsidR="00D47848" w:rsidRPr="00E22BBE" w:rsidRDefault="004C4BA9" w:rsidP="00D47848">
            <w:pPr>
              <w:ind w:firstLine="0"/>
              <w:jc w:val="center"/>
              <w:rPr>
                <w:color w:val="000000" w:themeColor="text1"/>
                <w:sz w:val="18"/>
                <w:szCs w:val="18"/>
              </w:rPr>
            </w:pPr>
            <w:r w:rsidRPr="00E22BBE">
              <w:rPr>
                <w:color w:val="000000" w:themeColor="text1"/>
                <w:sz w:val="18"/>
                <w:szCs w:val="18"/>
                <w:lang w:val="en"/>
              </w:rPr>
              <w:t>159.22</w:t>
            </w:r>
          </w:p>
        </w:tc>
      </w:tr>
    </w:tbl>
    <w:p w14:paraId="7C0CAD59" w14:textId="77777777" w:rsidR="00F85F2F" w:rsidRPr="001529C7" w:rsidRDefault="00F85F2F" w:rsidP="00D47848">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color w:val="000000" w:themeColor="text1"/>
          <w:lang w:eastAsia="en-US"/>
        </w:rPr>
      </w:pPr>
    </w:p>
    <w:p w14:paraId="0D632E57" w14:textId="03E72772" w:rsidR="00F85F2F" w:rsidRPr="00A57506" w:rsidRDefault="004C4BA9" w:rsidP="00F85F2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themeColor="text1"/>
          <w:lang w:val="en-US" w:eastAsia="en-US"/>
        </w:rPr>
      </w:pPr>
      <w:r w:rsidRPr="001529C7">
        <w:rPr>
          <w:color w:val="000000" w:themeColor="text1"/>
          <w:lang w:val="en" w:eastAsia="en-US"/>
        </w:rPr>
        <w:t xml:space="preserve">In accordance with identified signs of violation of competition protection legislation by Kazteleradio JSC, investigation procedure is being conducted in relation to Kazteleradio JSC regarding violation of paragraph 1) of Article 174 of the Code </w:t>
      </w:r>
      <w:r w:rsidRPr="00D47848">
        <w:rPr>
          <w:i/>
          <w:color w:val="000000" w:themeColor="text1"/>
          <w:sz w:val="24"/>
          <w:lang w:val="en" w:eastAsia="en-US"/>
        </w:rPr>
        <w:t>(establishment, maintenance of monopolistically high prices for TV channel broadcasting service in digital format)</w:t>
      </w:r>
      <w:r w:rsidRPr="001529C7">
        <w:rPr>
          <w:color w:val="000000" w:themeColor="text1"/>
          <w:lang w:val="en" w:eastAsia="en-US"/>
        </w:rPr>
        <w:t xml:space="preserve">. </w:t>
      </w:r>
    </w:p>
    <w:p w14:paraId="30F56E96" w14:textId="77777777" w:rsidR="00F85F2F" w:rsidRPr="001529C7" w:rsidRDefault="004C4BA9" w:rsidP="00D47848">
      <w:pPr>
        <w:pStyle w:val="Heading2"/>
        <w:spacing w:before="240" w:after="240"/>
        <w:ind w:firstLine="567"/>
      </w:pPr>
      <w:bookmarkStart w:id="46" w:name="_Toc142467912"/>
      <w:bookmarkStart w:id="47" w:name="_Toc135815283"/>
      <w:r w:rsidRPr="001529C7">
        <w:rPr>
          <w:lang w:val="en"/>
        </w:rPr>
        <w:t>2.7. Railway freight transportation services market</w:t>
      </w:r>
      <w:bookmarkEnd w:id="46"/>
    </w:p>
    <w:p w14:paraId="52A0460F" w14:textId="77777777" w:rsidR="00F85F2F" w:rsidRPr="00A57506" w:rsidRDefault="004C4BA9" w:rsidP="00D47848">
      <w:pPr>
        <w:tabs>
          <w:tab w:val="clear" w:pos="567"/>
        </w:tabs>
        <w:rPr>
          <w:bCs/>
          <w:lang w:val="en-US"/>
        </w:rPr>
      </w:pPr>
      <w:r w:rsidRPr="001529C7">
        <w:rPr>
          <w:bCs/>
          <w:lang w:val="en"/>
        </w:rPr>
        <w:t>Since 1999, since the adoption of Law "On Railway Transport", market of railway transportation of goods has been withdrawn from natural monopoly into competitive environment in order to develop competition.</w:t>
      </w:r>
    </w:p>
    <w:p w14:paraId="69AC97EC" w14:textId="77777777" w:rsidR="007E0BC0" w:rsidRPr="00A57506" w:rsidRDefault="004C4BA9" w:rsidP="007E0BC0">
      <w:pPr>
        <w:tabs>
          <w:tab w:val="clear" w:pos="567"/>
        </w:tabs>
        <w:rPr>
          <w:bCs/>
          <w:lang w:val="en-US"/>
        </w:rPr>
      </w:pPr>
      <w:r>
        <w:rPr>
          <w:bCs/>
          <w:lang w:val="en"/>
        </w:rPr>
        <w:t xml:space="preserve">With that, the market of railway transportation of goods remains one of the most highly </w:t>
      </w:r>
      <w:r w:rsidRPr="007E0BC0">
        <w:rPr>
          <w:b/>
          <w:bCs/>
          <w:i/>
          <w:lang w:val="en"/>
        </w:rPr>
        <w:t>concentrated</w:t>
      </w:r>
      <w:r>
        <w:rPr>
          <w:bCs/>
          <w:lang w:val="en"/>
        </w:rPr>
        <w:t xml:space="preserve"> with undeveloped competition. Share of main player represented </w:t>
      </w:r>
      <w:r>
        <w:rPr>
          <w:bCs/>
          <w:lang w:val="en"/>
        </w:rPr>
        <w:lastRenderedPageBreak/>
        <w:t xml:space="preserve">by KTZ-Cargo Transportation LLP </w:t>
      </w:r>
      <w:r w:rsidRPr="001529C7">
        <w:rPr>
          <w:bCs/>
          <w:i/>
          <w:sz w:val="24"/>
          <w:lang w:val="en"/>
        </w:rPr>
        <w:t>(hereinafter – KTZ-CT)</w:t>
      </w:r>
      <w:r>
        <w:rPr>
          <w:bCs/>
          <w:lang w:val="en"/>
        </w:rPr>
        <w:t xml:space="preserve">, which dominates the market, is </w:t>
      </w:r>
      <w:r w:rsidRPr="007E0BC0">
        <w:rPr>
          <w:b/>
          <w:bCs/>
          <w:lang w:val="en"/>
        </w:rPr>
        <w:t>over 95%</w:t>
      </w:r>
      <w:r>
        <w:rPr>
          <w:bCs/>
          <w:lang w:val="en"/>
        </w:rPr>
        <w:t xml:space="preserve"> </w:t>
      </w:r>
      <w:r w:rsidRPr="007E0BC0">
        <w:rPr>
          <w:bCs/>
          <w:i/>
          <w:sz w:val="24"/>
          <w:lang w:val="en"/>
        </w:rPr>
        <w:t>(in 2018 – 100%, in 2019, 2020 – 99%, in 2021 – 95%)</w:t>
      </w:r>
      <w:r>
        <w:rPr>
          <w:bCs/>
          <w:lang w:val="en"/>
        </w:rPr>
        <w:t>.</w:t>
      </w:r>
    </w:p>
    <w:p w14:paraId="1D4D16D9" w14:textId="77777777" w:rsidR="00AF49B8" w:rsidRPr="00A57506" w:rsidRDefault="004C4BA9" w:rsidP="007E0BC0">
      <w:pPr>
        <w:tabs>
          <w:tab w:val="clear" w:pos="567"/>
        </w:tabs>
        <w:rPr>
          <w:bCs/>
          <w:i/>
          <w:sz w:val="24"/>
          <w:lang w:val="en-US"/>
        </w:rPr>
      </w:pPr>
      <w:r w:rsidRPr="00AF49B8">
        <w:rPr>
          <w:b/>
          <w:bCs/>
          <w:i/>
          <w:sz w:val="24"/>
          <w:lang w:val="en"/>
        </w:rPr>
        <w:t>For reference</w:t>
      </w:r>
      <w:r w:rsidRPr="00AF49B8">
        <w:rPr>
          <w:bCs/>
          <w:i/>
          <w:sz w:val="24"/>
          <w:lang w:val="en"/>
        </w:rPr>
        <w:t>: KTZ-CT is National cargo carrier and ensures execution of train formation plan throughout mainline railway network. The founder of KTZ-CT (100%) is "National Company "Kazakhstan Temir Zholy" JSC (hereinafter - KTZ).</w:t>
      </w:r>
    </w:p>
    <w:p w14:paraId="31723BB4" w14:textId="77777777" w:rsidR="00F85F2F" w:rsidRPr="00A57506" w:rsidRDefault="004C4BA9" w:rsidP="00F85F2F">
      <w:pPr>
        <w:tabs>
          <w:tab w:val="clear" w:pos="567"/>
        </w:tabs>
        <w:rPr>
          <w:bCs/>
          <w:lang w:val="en-US"/>
        </w:rPr>
      </w:pPr>
      <w:r w:rsidRPr="001529C7">
        <w:rPr>
          <w:bCs/>
          <w:lang w:val="en"/>
        </w:rPr>
        <w:t xml:space="preserve">To enter commodity market under consideration, new market entities must obtain a permit </w:t>
      </w:r>
      <w:r w:rsidRPr="007E0BC0">
        <w:rPr>
          <w:bCs/>
          <w:i/>
          <w:sz w:val="24"/>
          <w:lang w:val="en"/>
        </w:rPr>
        <w:t>(license)</w:t>
      </w:r>
      <w:r w:rsidRPr="001529C7">
        <w:rPr>
          <w:bCs/>
          <w:lang w:val="en"/>
        </w:rPr>
        <w:t xml:space="preserve"> in accordance with the Law on Permits. </w:t>
      </w:r>
    </w:p>
    <w:p w14:paraId="06693D10" w14:textId="77777777" w:rsidR="00AF49B8" w:rsidRPr="00A57506" w:rsidRDefault="004C4BA9" w:rsidP="00F85F2F">
      <w:pPr>
        <w:tabs>
          <w:tab w:val="clear" w:pos="567"/>
        </w:tabs>
        <w:rPr>
          <w:bCs/>
          <w:lang w:val="en-US"/>
        </w:rPr>
      </w:pPr>
      <w:r>
        <w:rPr>
          <w:bCs/>
          <w:lang w:val="en"/>
        </w:rPr>
        <w:t xml:space="preserve">In the period from 2014 to 2022, the Ministry of Industry and Infrastructure Development issued </w:t>
      </w:r>
      <w:r w:rsidR="00F85F2F" w:rsidRPr="007E0BC0">
        <w:rPr>
          <w:b/>
          <w:bCs/>
          <w:lang w:val="en"/>
        </w:rPr>
        <w:t>48 licenses</w:t>
      </w:r>
      <w:r>
        <w:rPr>
          <w:bCs/>
          <w:lang w:val="en"/>
        </w:rPr>
        <w:t xml:space="preserve"> for the transportation of goods by rail. With that, as of today, only </w:t>
      </w:r>
      <w:r w:rsidR="00F85F2F" w:rsidRPr="007E0BC0">
        <w:rPr>
          <w:b/>
          <w:bCs/>
          <w:lang w:val="en"/>
        </w:rPr>
        <w:t>2 private carriers</w:t>
      </w:r>
      <w:r>
        <w:rPr>
          <w:bCs/>
          <w:lang w:val="en"/>
        </w:rPr>
        <w:t xml:space="preserve"> </w:t>
      </w:r>
      <w:r w:rsidR="00F85F2F" w:rsidRPr="007E0BC0">
        <w:rPr>
          <w:bCs/>
          <w:i/>
          <w:sz w:val="24"/>
          <w:lang w:val="en"/>
        </w:rPr>
        <w:t>(TTT Service LLP, Dar Rail LLP)</w:t>
      </w:r>
      <w:r>
        <w:rPr>
          <w:bCs/>
          <w:lang w:val="en"/>
        </w:rPr>
        <w:t xml:space="preserve"> gained access to mainline railway network </w:t>
      </w:r>
      <w:r w:rsidR="00A939BE" w:rsidRPr="001529C7">
        <w:rPr>
          <w:bCs/>
          <w:i/>
          <w:sz w:val="24"/>
          <w:lang w:val="en"/>
        </w:rPr>
        <w:t>(hereinafter referred to as MRN)</w:t>
      </w:r>
      <w:r>
        <w:rPr>
          <w:bCs/>
          <w:lang w:val="en"/>
        </w:rPr>
        <w:t xml:space="preserve"> as part of pilot project since 2019. </w:t>
      </w:r>
    </w:p>
    <w:p w14:paraId="0E584C08" w14:textId="77777777" w:rsidR="00AF49B8" w:rsidRPr="00A57506" w:rsidRDefault="004C4BA9" w:rsidP="00AF49B8">
      <w:pPr>
        <w:tabs>
          <w:tab w:val="clear" w:pos="567"/>
        </w:tabs>
        <w:rPr>
          <w:bCs/>
          <w:i/>
          <w:sz w:val="24"/>
          <w:lang w:val="en-US"/>
        </w:rPr>
      </w:pPr>
      <w:r w:rsidRPr="00AF49B8">
        <w:rPr>
          <w:b/>
          <w:bCs/>
          <w:i/>
          <w:sz w:val="24"/>
          <w:lang w:val="en"/>
        </w:rPr>
        <w:t>For reference</w:t>
      </w:r>
      <w:r w:rsidRPr="00AF49B8">
        <w:rPr>
          <w:bCs/>
          <w:i/>
          <w:sz w:val="24"/>
          <w:lang w:val="en"/>
        </w:rPr>
        <w:t>: TTT Service LLP is a part of SilkwayTransit LLP holding company, formed in 2009 and is currently railway freight carrier with its own traction rolling stock. Company has divisions in Almaty, Astana, Shymkent, Atyrau, Pavlodar and at Dostyk, Matai, Koksu stations in Almaty region; Dar Rail LLP is 100% owned by T-Service-Logistics LLC, 99.7% of which belongs to T.D. International Logistic Corporation Limited (Republic of Cyprus).</w:t>
      </w:r>
    </w:p>
    <w:p w14:paraId="6C6991BD" w14:textId="77777777" w:rsidR="00F85F2F" w:rsidRPr="00A57506" w:rsidRDefault="004C4BA9" w:rsidP="00F85F2F">
      <w:pPr>
        <w:tabs>
          <w:tab w:val="clear" w:pos="567"/>
        </w:tabs>
        <w:rPr>
          <w:bCs/>
          <w:lang w:val="en-US"/>
        </w:rPr>
      </w:pPr>
      <w:r>
        <w:rPr>
          <w:bCs/>
          <w:lang w:val="en"/>
        </w:rPr>
        <w:t xml:space="preserve">Moreover, TTT Service LLP and Dar Rail LLP carry out transportation </w:t>
      </w:r>
      <w:r w:rsidRPr="00AF49B8">
        <w:rPr>
          <w:b/>
          <w:bCs/>
          <w:lang w:val="en"/>
        </w:rPr>
        <w:t>only on certain</w:t>
      </w:r>
      <w:r>
        <w:rPr>
          <w:bCs/>
          <w:lang w:val="en"/>
        </w:rPr>
        <w:t xml:space="preserve"> </w:t>
      </w:r>
      <w:r w:rsidRPr="007E0BC0">
        <w:rPr>
          <w:b/>
          <w:bCs/>
          <w:lang w:val="en"/>
        </w:rPr>
        <w:t>designated sections</w:t>
      </w:r>
      <w:r>
        <w:rPr>
          <w:bCs/>
          <w:lang w:val="en"/>
        </w:rPr>
        <w:t xml:space="preserve">, while </w:t>
      </w:r>
      <w:r w:rsidRPr="007E0BC0">
        <w:rPr>
          <w:b/>
          <w:bCs/>
          <w:lang w:val="en"/>
        </w:rPr>
        <w:t xml:space="preserve">KTZ-CT </w:t>
      </w:r>
      <w:r>
        <w:rPr>
          <w:bCs/>
          <w:lang w:val="en"/>
        </w:rPr>
        <w:t xml:space="preserve"> carries out cargo transportation </w:t>
      </w:r>
      <w:r w:rsidRPr="007E0BC0">
        <w:rPr>
          <w:b/>
          <w:bCs/>
          <w:lang w:val="en"/>
        </w:rPr>
        <w:t>by rail throughout the territory</w:t>
      </w:r>
      <w:r>
        <w:rPr>
          <w:bCs/>
          <w:lang w:val="en"/>
        </w:rPr>
        <w:t xml:space="preserve"> of the Republic of Kazakhstan.</w:t>
      </w:r>
    </w:p>
    <w:p w14:paraId="290900C3" w14:textId="77777777" w:rsidR="00AF49B8" w:rsidRPr="00A57506" w:rsidRDefault="004C4BA9" w:rsidP="00AF49B8">
      <w:pPr>
        <w:rPr>
          <w:b/>
          <w:bCs/>
          <w:i/>
          <w:color w:val="000000" w:themeColor="text1"/>
          <w:lang w:val="en-US"/>
        </w:rPr>
      </w:pPr>
      <w:r w:rsidRPr="001529C7">
        <w:rPr>
          <w:b/>
          <w:bCs/>
          <w:i/>
          <w:color w:val="000000" w:themeColor="text1"/>
          <w:lang w:val="en"/>
        </w:rPr>
        <w:t>Barriers for competition development</w:t>
      </w:r>
    </w:p>
    <w:p w14:paraId="596F117B" w14:textId="77777777" w:rsidR="00AF49B8" w:rsidRPr="00A57506" w:rsidRDefault="004C4BA9" w:rsidP="00AF49B8">
      <w:pPr>
        <w:rPr>
          <w:rFonts w:eastAsia="Calibri"/>
          <w:lang w:val="en-US" w:eastAsia="en-US"/>
        </w:rPr>
      </w:pPr>
      <w:r w:rsidRPr="009F61F1">
        <w:rPr>
          <w:rFonts w:eastAsia="Calibri"/>
          <w:lang w:val="en" w:eastAsia="en-US"/>
        </w:rPr>
        <w:t>Agency has identified the following barriers to development of competition in the railway freight transportation market:</w:t>
      </w:r>
    </w:p>
    <w:p w14:paraId="14FE70F4" w14:textId="77777777" w:rsidR="00F85F2F" w:rsidRPr="00A57506" w:rsidRDefault="004C4BA9" w:rsidP="00F85F2F">
      <w:pPr>
        <w:rPr>
          <w:bCs/>
          <w:lang w:val="en-US"/>
        </w:rPr>
      </w:pPr>
      <w:r w:rsidRPr="00AF49B8">
        <w:rPr>
          <w:rFonts w:eastAsia="Calibri"/>
          <w:lang w:val="en" w:eastAsia="en-US"/>
        </w:rPr>
        <w:t xml:space="preserve">1) presence of </w:t>
      </w:r>
      <w:r w:rsidRPr="00AF49B8">
        <w:rPr>
          <w:b/>
          <w:bCs/>
          <w:iCs/>
          <w:lang w:val="en"/>
        </w:rPr>
        <w:t>vertically integrated group</w:t>
      </w:r>
      <w:r w:rsidRPr="00AF49B8">
        <w:rPr>
          <w:rFonts w:eastAsia="Calibri"/>
          <w:lang w:val="en" w:eastAsia="en-US"/>
        </w:rPr>
        <w:t xml:space="preserve"> of railway transport companies. </w:t>
      </w:r>
    </w:p>
    <w:p w14:paraId="00400F3F" w14:textId="77777777" w:rsidR="00F85F2F" w:rsidRPr="00A57506" w:rsidRDefault="004C4BA9" w:rsidP="00F85F2F">
      <w:pPr>
        <w:tabs>
          <w:tab w:val="clear" w:pos="567"/>
        </w:tabs>
        <w:rPr>
          <w:bCs/>
          <w:lang w:val="en-US"/>
        </w:rPr>
      </w:pPr>
      <w:r w:rsidRPr="001529C7">
        <w:rPr>
          <w:bCs/>
          <w:lang w:val="en"/>
        </w:rPr>
        <w:t xml:space="preserve">KTZ is </w:t>
      </w:r>
      <w:r w:rsidRPr="00A2757E">
        <w:rPr>
          <w:b/>
          <w:bCs/>
          <w:lang w:val="en"/>
        </w:rPr>
        <w:t>National Infrastructure Operator</w:t>
      </w:r>
      <w:r w:rsidRPr="001529C7">
        <w:rPr>
          <w:bCs/>
          <w:lang w:val="en"/>
        </w:rPr>
        <w:t xml:space="preserve">. In accordance with the Law "On Natural Monopolies", services of mainline railway network are classified as natural monopoly. Access to the MRN services for carriers is provided by the infrastructure operator represented by KTZ. </w:t>
      </w:r>
    </w:p>
    <w:p w14:paraId="349585C1" w14:textId="77777777" w:rsidR="00F85F2F" w:rsidRPr="00A57506" w:rsidRDefault="004C4BA9" w:rsidP="00F85F2F">
      <w:pPr>
        <w:tabs>
          <w:tab w:val="clear" w:pos="567"/>
        </w:tabs>
        <w:rPr>
          <w:rFonts w:eastAsiaTheme="minorEastAsia"/>
          <w:lang w:val="en-US"/>
        </w:rPr>
      </w:pPr>
      <w:r w:rsidRPr="001529C7">
        <w:rPr>
          <w:rFonts w:eastAsiaTheme="minorEastAsia"/>
          <w:lang w:val="en"/>
        </w:rPr>
        <w:t>It should be noted that there is a branch in KTZ – "Mainline Network Directorate", structural unit that accepts, reviews applications for access to MRN services and concludes contracts for provision of MRN services.</w:t>
      </w:r>
    </w:p>
    <w:p w14:paraId="67391AD9" w14:textId="77777777" w:rsidR="00F85F2F" w:rsidRPr="00A57506" w:rsidRDefault="004C4BA9" w:rsidP="00AF49B8">
      <w:pPr>
        <w:tabs>
          <w:tab w:val="clear" w:pos="567"/>
        </w:tabs>
        <w:rPr>
          <w:lang w:val="en-US"/>
        </w:rPr>
      </w:pPr>
      <w:r w:rsidRPr="001529C7">
        <w:rPr>
          <w:rFonts w:eastAsiaTheme="minorEastAsia"/>
          <w:lang w:val="en"/>
        </w:rPr>
        <w:t xml:space="preserve">However, </w:t>
      </w:r>
      <w:r w:rsidRPr="00AF49B8">
        <w:rPr>
          <w:rFonts w:eastAsiaTheme="minorEastAsia"/>
          <w:b/>
          <w:lang w:val="en"/>
        </w:rPr>
        <w:t>KTZ delegates</w:t>
      </w:r>
      <w:r w:rsidRPr="001529C7">
        <w:rPr>
          <w:rFonts w:eastAsiaTheme="minorEastAsia"/>
          <w:lang w:val="en"/>
        </w:rPr>
        <w:t xml:space="preserve"> its functions provided for by Law to its </w:t>
      </w:r>
      <w:r w:rsidRPr="00AF49B8">
        <w:rPr>
          <w:rFonts w:eastAsiaTheme="minorEastAsia"/>
          <w:b/>
          <w:lang w:val="en"/>
        </w:rPr>
        <w:t xml:space="preserve">affiliated company KTZ-CT </w:t>
      </w:r>
      <w:r w:rsidRPr="001529C7">
        <w:rPr>
          <w:rFonts w:eastAsiaTheme="minorEastAsia"/>
          <w:lang w:val="en"/>
        </w:rPr>
        <w:t xml:space="preserve">, which has a </w:t>
      </w:r>
      <w:r w:rsidRPr="00AF49B8">
        <w:rPr>
          <w:rFonts w:eastAsiaTheme="minorEastAsia"/>
          <w:b/>
          <w:lang w:val="en"/>
        </w:rPr>
        <w:t>priority right</w:t>
      </w:r>
      <w:r w:rsidRPr="001529C7">
        <w:rPr>
          <w:rFonts w:eastAsiaTheme="minorEastAsia"/>
          <w:lang w:val="en"/>
        </w:rPr>
        <w:t xml:space="preserve"> compared to other carriers to participate in the process of organizing access to MRN services, namely, to consider carriers' applications, as well as approve draft contracts for provision of MRN services. So, for example, </w:t>
      </w:r>
      <w:r w:rsidRPr="00AF49B8">
        <w:rPr>
          <w:b/>
          <w:lang w:val="en"/>
        </w:rPr>
        <w:t xml:space="preserve">KTZ-CT, to which National Infrastructure Operator delegated part of its powers under a separate contract, participates </w:t>
      </w:r>
      <w:r w:rsidRPr="001529C7">
        <w:rPr>
          <w:rFonts w:eastAsiaTheme="minorEastAsia"/>
          <w:lang w:val="en"/>
        </w:rPr>
        <w:t xml:space="preserve"> </w:t>
      </w:r>
      <w:r w:rsidRPr="00AF49B8">
        <w:rPr>
          <w:b/>
          <w:lang w:val="en"/>
        </w:rPr>
        <w:t>in considering applications</w:t>
      </w:r>
      <w:r w:rsidRPr="001529C7">
        <w:rPr>
          <w:rFonts w:eastAsiaTheme="minorEastAsia"/>
          <w:lang w:val="en"/>
        </w:rPr>
        <w:t xml:space="preserve"> submitted by private carriers for access to the MRN, that leads to </w:t>
      </w:r>
      <w:r w:rsidRPr="00AF49B8">
        <w:rPr>
          <w:b/>
          <w:lang w:val="en"/>
        </w:rPr>
        <w:t xml:space="preserve">limited access to MRN </w:t>
      </w:r>
      <w:r w:rsidRPr="001529C7">
        <w:rPr>
          <w:rFonts w:eastAsiaTheme="minorEastAsia"/>
          <w:lang w:val="en"/>
        </w:rPr>
        <w:t xml:space="preserve"> for private carriers. KTZ's denials of access to MRN contradict the principles of equal access to key MRN facilities, established by number of norms in current legislation.</w:t>
      </w:r>
    </w:p>
    <w:p w14:paraId="14C7E7FA" w14:textId="77777777" w:rsidR="00F85F2F" w:rsidRPr="00A57506" w:rsidRDefault="004C4BA9" w:rsidP="00F85F2F">
      <w:pPr>
        <w:tabs>
          <w:tab w:val="clear" w:pos="567"/>
        </w:tabs>
        <w:rPr>
          <w:bCs/>
          <w:lang w:val="en-US"/>
        </w:rPr>
      </w:pPr>
      <w:r w:rsidRPr="001529C7">
        <w:rPr>
          <w:bCs/>
          <w:lang w:val="en"/>
        </w:rPr>
        <w:t>KTZ-CT , being 100% affiliated with KTZ, is not interested in objectively determining volume of freight traffic and routes of competitors' trains.</w:t>
      </w:r>
    </w:p>
    <w:p w14:paraId="541B1FEF" w14:textId="753CBC63" w:rsidR="00F85F2F" w:rsidRPr="00A57506" w:rsidRDefault="004C4BA9" w:rsidP="00F85F2F">
      <w:pPr>
        <w:tabs>
          <w:tab w:val="clear" w:pos="567"/>
        </w:tabs>
        <w:rPr>
          <w:bCs/>
          <w:i/>
          <w:iCs/>
          <w:sz w:val="24"/>
          <w:szCs w:val="22"/>
          <w:lang w:val="en-US"/>
        </w:rPr>
      </w:pPr>
      <w:r w:rsidRPr="00AF49B8">
        <w:rPr>
          <w:b/>
          <w:bCs/>
          <w:i/>
          <w:iCs/>
          <w:sz w:val="24"/>
          <w:szCs w:val="22"/>
          <w:lang w:val="en"/>
        </w:rPr>
        <w:t>For reference</w:t>
      </w:r>
      <w:r w:rsidRPr="00AF49B8">
        <w:rPr>
          <w:bCs/>
          <w:i/>
          <w:iCs/>
          <w:sz w:val="24"/>
          <w:szCs w:val="22"/>
          <w:lang w:val="en"/>
        </w:rPr>
        <w:t>: According to private carriers' data, KTZ has denied access to MRN services on sections: Nura – Topar, Ekibastuz-2 – Ekibastuz North, Ekibastuz-2 – Ekibastuz No</w:t>
      </w:r>
      <w:r w:rsidR="00AF59F7">
        <w:rPr>
          <w:bCs/>
          <w:i/>
          <w:iCs/>
          <w:sz w:val="24"/>
          <w:szCs w:val="22"/>
          <w:lang w:val="en"/>
        </w:rPr>
        <w:t>r</w:t>
      </w:r>
      <w:r w:rsidRPr="00AF49B8">
        <w:rPr>
          <w:bCs/>
          <w:i/>
          <w:iCs/>
          <w:sz w:val="24"/>
          <w:szCs w:val="22"/>
          <w:lang w:val="en"/>
        </w:rPr>
        <w:t>th 2, Ekibastuz-</w:t>
      </w:r>
      <w:r w:rsidRPr="00AF49B8">
        <w:rPr>
          <w:bCs/>
          <w:i/>
          <w:iCs/>
          <w:sz w:val="24"/>
          <w:szCs w:val="22"/>
          <w:lang w:val="en"/>
        </w:rPr>
        <w:lastRenderedPageBreak/>
        <w:t>2 – Karaganda Marshalling , Zhem - Kimpersay due to the fact that requested volumes of cargo transportation have been reserved for KTZ-CT.</w:t>
      </w:r>
    </w:p>
    <w:p w14:paraId="2FA503EB" w14:textId="5159FA60" w:rsidR="00BB1362" w:rsidRPr="00A57506" w:rsidRDefault="004C4BA9" w:rsidP="00BB1362">
      <w:pPr>
        <w:tabs>
          <w:tab w:val="clear" w:pos="567"/>
        </w:tabs>
        <w:rPr>
          <w:rFonts w:eastAsiaTheme="minorEastAsia"/>
          <w:lang w:val="en-US"/>
        </w:rPr>
      </w:pPr>
      <w:r w:rsidRPr="001529C7">
        <w:rPr>
          <w:bCs/>
          <w:lang w:val="en"/>
        </w:rPr>
        <w:t xml:space="preserve">Thus, KTZ's ownership of 100% share in KTZ-CT </w:t>
      </w:r>
      <w:r w:rsidRPr="00AF49B8">
        <w:rPr>
          <w:b/>
          <w:bCs/>
          <w:lang w:val="en"/>
        </w:rPr>
        <w:t>without completing functional and organizational allocation</w:t>
      </w:r>
      <w:r w:rsidRPr="001529C7">
        <w:rPr>
          <w:bCs/>
          <w:lang w:val="en"/>
        </w:rPr>
        <w:t xml:space="preserve"> of National Infrastructure Operator allows it to provide </w:t>
      </w:r>
      <w:r w:rsidRPr="00AF49B8">
        <w:rPr>
          <w:b/>
          <w:bCs/>
          <w:lang w:val="en"/>
        </w:rPr>
        <w:t>exceptional advantages</w:t>
      </w:r>
      <w:r w:rsidRPr="001529C7">
        <w:rPr>
          <w:bCs/>
          <w:lang w:val="en"/>
        </w:rPr>
        <w:t xml:space="preserve"> to its subsidiary – KTZ-CT in transportation market and providing deliberately </w:t>
      </w:r>
      <w:r w:rsidRPr="00AF49B8">
        <w:rPr>
          <w:b/>
          <w:bCs/>
          <w:lang w:val="en"/>
        </w:rPr>
        <w:t>discriminatory conditions</w:t>
      </w:r>
      <w:r w:rsidRPr="001529C7">
        <w:rPr>
          <w:bCs/>
          <w:lang w:val="en"/>
        </w:rPr>
        <w:t xml:space="preserve"> for other carriers. This circumstance leads to </w:t>
      </w:r>
      <w:r w:rsidRPr="00AF49B8">
        <w:rPr>
          <w:rFonts w:eastAsiaTheme="minorEastAsia"/>
          <w:b/>
          <w:lang w:val="en"/>
        </w:rPr>
        <w:t>privileged position</w:t>
      </w:r>
      <w:r w:rsidRPr="001529C7">
        <w:rPr>
          <w:bCs/>
          <w:lang w:val="en"/>
        </w:rPr>
        <w:t xml:space="preserve"> of KTZ - CT LLP in this market compared to other carriers at obtaining right of access to MRN services and transportation process, </w:t>
      </w:r>
      <w:r w:rsidRPr="00AF49B8">
        <w:rPr>
          <w:rFonts w:eastAsiaTheme="minorEastAsia"/>
          <w:b/>
          <w:lang w:val="en"/>
        </w:rPr>
        <w:t>creating obstacles</w:t>
      </w:r>
      <w:r w:rsidRPr="001529C7">
        <w:rPr>
          <w:bCs/>
          <w:lang w:val="en"/>
        </w:rPr>
        <w:t xml:space="preserve"> to access to market for other participants; </w:t>
      </w:r>
    </w:p>
    <w:p w14:paraId="68941E05" w14:textId="77777777" w:rsidR="00F85F2F" w:rsidRPr="00A57506" w:rsidRDefault="004C4BA9" w:rsidP="00F85F2F">
      <w:pPr>
        <w:rPr>
          <w:lang w:val="en-US"/>
        </w:rPr>
      </w:pPr>
      <w:r>
        <w:rPr>
          <w:lang w:val="en"/>
        </w:rPr>
        <w:t xml:space="preserve">2) "Kedentransservice" JSC, "KTZ Express" JSC, "Kaztemirtrans" JSC and others are subsidiaries of KTZ. KTZ-CT provides </w:t>
      </w:r>
      <w:r w:rsidRPr="00A2757E">
        <w:rPr>
          <w:b/>
          <w:lang w:val="en"/>
        </w:rPr>
        <w:t>benefits</w:t>
      </w:r>
      <w:r>
        <w:rPr>
          <w:lang w:val="en"/>
        </w:rPr>
        <w:t xml:space="preserve"> and </w:t>
      </w:r>
      <w:r w:rsidRPr="00A2757E">
        <w:rPr>
          <w:b/>
          <w:lang w:val="en"/>
        </w:rPr>
        <w:t>preferences, discounts, credit conditions</w:t>
      </w:r>
      <w:r>
        <w:rPr>
          <w:lang w:val="en"/>
        </w:rPr>
        <w:t xml:space="preserve"> to its companies in competitive market, that are the signs of </w:t>
      </w:r>
      <w:r w:rsidRPr="00A2757E">
        <w:rPr>
          <w:b/>
          <w:lang w:val="en"/>
        </w:rPr>
        <w:t>limiting competition</w:t>
      </w:r>
      <w:r>
        <w:rPr>
          <w:lang w:val="en"/>
        </w:rPr>
        <w:t xml:space="preserve">. </w:t>
      </w:r>
    </w:p>
    <w:p w14:paraId="155082E1" w14:textId="77777777" w:rsidR="00F85F2F" w:rsidRPr="00A57506" w:rsidRDefault="004C4BA9" w:rsidP="00F85F2F">
      <w:pPr>
        <w:rPr>
          <w:lang w:val="en-US"/>
        </w:rPr>
      </w:pPr>
      <w:r w:rsidRPr="001529C7">
        <w:rPr>
          <w:lang w:val="en"/>
        </w:rPr>
        <w:t xml:space="preserve">The transshipment facilities located at Dostyk and Altynkol stations operate in competitive environment, despite this, KTZ, using its right, distributes volumes primarily </w:t>
      </w:r>
      <w:r w:rsidRPr="00A2757E">
        <w:rPr>
          <w:b/>
          <w:lang w:val="en"/>
        </w:rPr>
        <w:t>with 100% capacity utilization of its subsidiaries</w:t>
      </w:r>
      <w:r w:rsidRPr="001529C7">
        <w:rPr>
          <w:lang w:val="en"/>
        </w:rPr>
        <w:t xml:space="preserve">, and all other competitors have opportunity to provide transshipment services on residual basis. Also, KTZ-CT was granted </w:t>
      </w:r>
      <w:r w:rsidRPr="00CE47B7">
        <w:rPr>
          <w:b/>
          <w:lang w:val="en"/>
        </w:rPr>
        <w:t xml:space="preserve">discounts by "KTZ-Express" JSC </w:t>
      </w:r>
      <w:r w:rsidRPr="001529C7">
        <w:rPr>
          <w:lang w:val="en"/>
        </w:rPr>
        <w:t xml:space="preserve"> from the beginning of its transportation, while other companies are required to execute guaranteed volume of transportation. </w:t>
      </w:r>
    </w:p>
    <w:p w14:paraId="4CB9BC24" w14:textId="369DC281" w:rsidR="00F85F2F" w:rsidRPr="00A57506" w:rsidRDefault="004C4BA9" w:rsidP="00F85F2F">
      <w:pPr>
        <w:rPr>
          <w:lang w:val="en-US"/>
        </w:rPr>
      </w:pPr>
      <w:r w:rsidRPr="001529C7">
        <w:rPr>
          <w:lang w:val="en"/>
        </w:rPr>
        <w:t xml:space="preserve">With that, KTZ-CT declared a </w:t>
      </w:r>
      <w:r w:rsidRPr="00CE47B7">
        <w:rPr>
          <w:b/>
          <w:lang w:val="en"/>
        </w:rPr>
        <w:t>ban</w:t>
      </w:r>
      <w:r w:rsidRPr="001529C7">
        <w:rPr>
          <w:lang w:val="en"/>
        </w:rPr>
        <w:t xml:space="preserve"> accepting empty covered railway cars for transportation, </w:t>
      </w:r>
      <w:r w:rsidRPr="00CE47B7">
        <w:rPr>
          <w:b/>
          <w:lang w:val="en"/>
        </w:rPr>
        <w:t>except for the railway cars owned by Kaztemirtrans JSC</w:t>
      </w:r>
      <w:r w:rsidRPr="001529C7">
        <w:rPr>
          <w:lang w:val="en"/>
        </w:rPr>
        <w:t>. KTZ-CT was pointed at unfavorable traffic situation at station, where more than 1,000 empty covered railway cars and grain carriers of different owners remained idle on tracks for a long time, accumulating on station tracks, that led to technological difficulties in shunting train operation of the station;</w:t>
      </w:r>
    </w:p>
    <w:p w14:paraId="0C739915" w14:textId="77777777" w:rsidR="001004C0" w:rsidRPr="00A57506" w:rsidRDefault="004C4BA9" w:rsidP="001004C0">
      <w:pPr>
        <w:tabs>
          <w:tab w:val="clear" w:pos="567"/>
        </w:tabs>
        <w:rPr>
          <w:lang w:val="en-US"/>
        </w:rPr>
      </w:pPr>
      <w:r>
        <w:rPr>
          <w:lang w:val="en"/>
        </w:rPr>
        <w:t xml:space="preserve">3) barriers during </w:t>
      </w:r>
      <w:r w:rsidRPr="001004C0">
        <w:rPr>
          <w:b/>
          <w:lang w:val="en"/>
        </w:rPr>
        <w:t>inspection of containers</w:t>
      </w:r>
      <w:r>
        <w:rPr>
          <w:lang w:val="en"/>
        </w:rPr>
        <w:t xml:space="preserve"> with cargo at Dostyk and Altynkol station tracks lead to long downtime of railway cars and additional costs; </w:t>
      </w:r>
    </w:p>
    <w:p w14:paraId="49C4729A" w14:textId="77777777" w:rsidR="00F85F2F" w:rsidRPr="00A57506" w:rsidRDefault="004C4BA9" w:rsidP="00F85F2F">
      <w:pPr>
        <w:rPr>
          <w:lang w:val="en-US"/>
        </w:rPr>
      </w:pPr>
      <w:r>
        <w:rPr>
          <w:lang w:val="en"/>
        </w:rPr>
        <w:t xml:space="preserve">4) at the end of 2020, Ministries of Industry and Infrastructure Development and National Economy, KTZ and private carriers developed and adopted </w:t>
      </w:r>
      <w:r w:rsidRPr="00CE47B7">
        <w:rPr>
          <w:b/>
          <w:lang w:val="en"/>
        </w:rPr>
        <w:t>Regulations</w:t>
      </w:r>
      <w:r>
        <w:rPr>
          <w:lang w:val="en"/>
        </w:rPr>
        <w:t xml:space="preserve"> for Technological Interaction between National Infrastructure Operator and cargo carriers during in organization and performance of transportation. According to private carriers, practical application of this Regulation has not revealed any critical problems. With that, the abovementioned Regulations have </w:t>
      </w:r>
      <w:r w:rsidRPr="00CE47B7">
        <w:rPr>
          <w:b/>
          <w:lang w:val="en"/>
        </w:rPr>
        <w:t xml:space="preserve">not been prolonged </w:t>
      </w:r>
      <w:r>
        <w:rPr>
          <w:lang w:val="en"/>
        </w:rPr>
        <w:t xml:space="preserve"> for new period, and therefore there is currently </w:t>
      </w:r>
      <w:r w:rsidRPr="00CE47B7">
        <w:rPr>
          <w:b/>
          <w:lang w:val="en"/>
        </w:rPr>
        <w:t>no procedure</w:t>
      </w:r>
      <w:r>
        <w:rPr>
          <w:lang w:val="en"/>
        </w:rPr>
        <w:t xml:space="preserve"> regulating operations National Infrastructure Operator in plurality of cargo carriers;</w:t>
      </w:r>
    </w:p>
    <w:p w14:paraId="106D4BB9" w14:textId="77777777" w:rsidR="00F85F2F" w:rsidRPr="00A57506" w:rsidRDefault="004C4BA9" w:rsidP="00F85F2F">
      <w:pPr>
        <w:rPr>
          <w:lang w:val="en-US"/>
        </w:rPr>
      </w:pPr>
      <w:r>
        <w:rPr>
          <w:lang w:val="en"/>
        </w:rPr>
        <w:t xml:space="preserve">5) </w:t>
      </w:r>
      <w:r w:rsidR="006C2F71" w:rsidRPr="006C2F71">
        <w:rPr>
          <w:b/>
          <w:lang w:val="en"/>
        </w:rPr>
        <w:t>inefficient organization</w:t>
      </w:r>
      <w:r>
        <w:rPr>
          <w:lang w:val="en"/>
        </w:rPr>
        <w:t xml:space="preserve"> of transportation process and absence of </w:t>
      </w:r>
      <w:r w:rsidRPr="00CE47B7">
        <w:rPr>
          <w:b/>
          <w:lang w:val="en"/>
        </w:rPr>
        <w:t>KTZ's interest in admitting</w:t>
      </w:r>
      <w:r>
        <w:rPr>
          <w:lang w:val="en"/>
        </w:rPr>
        <w:t xml:space="preserve"> private carriers. According to KTZ, expansion of routes for private carriers entails decrease in throughput and processing capacity of stations and sections, increase in downtime of trains and locomotives of both National carriers and private carriers, massive oncoming reserve runs of locomotives of both National carriers and private carriers, increase in underweight and incomplete trains, that would </w:t>
      </w:r>
      <w:r>
        <w:rPr>
          <w:lang w:val="en"/>
        </w:rPr>
        <w:lastRenderedPageBreak/>
        <w:t>entail a decrease in carrying capacity railway infrastructure of the country, abandonment of trains due to congestion on infrastructure and lack of locomotives.</w:t>
      </w:r>
    </w:p>
    <w:p w14:paraId="4BFEC083" w14:textId="77777777" w:rsidR="00F85F2F" w:rsidRPr="00A57506" w:rsidRDefault="004C4BA9" w:rsidP="00F85F2F">
      <w:pPr>
        <w:rPr>
          <w:lang w:val="en-US"/>
        </w:rPr>
      </w:pPr>
      <w:r w:rsidRPr="001529C7">
        <w:rPr>
          <w:lang w:val="en"/>
        </w:rPr>
        <w:t xml:space="preserve">With that , according to experts, today, with existing transportation system, there is </w:t>
      </w:r>
      <w:r w:rsidRPr="00CE47B7">
        <w:rPr>
          <w:b/>
          <w:lang w:val="en"/>
        </w:rPr>
        <w:t xml:space="preserve"> inefficient</w:t>
      </w:r>
      <w:r w:rsidRPr="001529C7">
        <w:rPr>
          <w:lang w:val="en"/>
        </w:rPr>
        <w:t xml:space="preserve"> organization of transportation process </w:t>
      </w:r>
      <w:r w:rsidRPr="00CE47B7">
        <w:rPr>
          <w:i/>
          <w:sz w:val="24"/>
          <w:lang w:val="en"/>
        </w:rPr>
        <w:t>(priority of freight transit trains and increase in the number of passenger trains)</w:t>
      </w:r>
      <w:r w:rsidRPr="001529C7">
        <w:rPr>
          <w:lang w:val="en"/>
        </w:rPr>
        <w:t xml:space="preserve">. All of facts above facts lead to worsening of railway infrastructure throughput capacity </w:t>
      </w:r>
      <w:r w:rsidRPr="00CE47B7">
        <w:rPr>
          <w:i/>
          <w:sz w:val="24"/>
          <w:lang w:val="en"/>
        </w:rPr>
        <w:t>(as a consequence, decrease in cargo transportation across the country)</w:t>
      </w:r>
      <w:r w:rsidRPr="001529C7">
        <w:rPr>
          <w:lang w:val="en"/>
        </w:rPr>
        <w:t>;</w:t>
      </w:r>
    </w:p>
    <w:p w14:paraId="072C464C" w14:textId="77777777" w:rsidR="00F85F2F" w:rsidRPr="00A57506" w:rsidRDefault="004C4BA9" w:rsidP="00F85F2F">
      <w:pPr>
        <w:rPr>
          <w:lang w:val="en-US"/>
        </w:rPr>
      </w:pPr>
      <w:r>
        <w:rPr>
          <w:lang w:val="en"/>
        </w:rPr>
        <w:t xml:space="preserve">6) </w:t>
      </w:r>
      <w:r w:rsidRPr="006C2F71">
        <w:rPr>
          <w:b/>
          <w:lang w:val="en"/>
        </w:rPr>
        <w:t>significant wear</w:t>
      </w:r>
      <w:r>
        <w:rPr>
          <w:lang w:val="en"/>
        </w:rPr>
        <w:t xml:space="preserve"> </w:t>
      </w:r>
      <w:r w:rsidRPr="006C2F71">
        <w:rPr>
          <w:i/>
          <w:sz w:val="24"/>
          <w:lang w:val="en"/>
        </w:rPr>
        <w:t>(up to 70%)</w:t>
      </w:r>
      <w:r>
        <w:rPr>
          <w:lang w:val="en"/>
        </w:rPr>
        <w:t xml:space="preserve"> of fleet and </w:t>
      </w:r>
      <w:r w:rsidRPr="006C2F71">
        <w:rPr>
          <w:b/>
          <w:lang w:val="en"/>
        </w:rPr>
        <w:t>insufficient provision</w:t>
      </w:r>
      <w:r>
        <w:rPr>
          <w:lang w:val="en"/>
        </w:rPr>
        <w:t xml:space="preserve"> of locomotive traction create seasonal shortages in carrying capacity of the railway transport system, contributing to increase in delivery time of passengers and cargo. Technological obsolescence of significant part of locomotive fleet increases costs and reduces overall efficiency of transportation, as well as exacerbates negative impact of railway transportation on the environment;</w:t>
      </w:r>
    </w:p>
    <w:p w14:paraId="489189E1" w14:textId="77777777" w:rsidR="00F85F2F" w:rsidRPr="00A57506" w:rsidRDefault="004C4BA9" w:rsidP="00F85F2F">
      <w:pPr>
        <w:rPr>
          <w:lang w:val="en-US"/>
        </w:rPr>
      </w:pPr>
      <w:r>
        <w:rPr>
          <w:lang w:val="en"/>
        </w:rPr>
        <w:t xml:space="preserve">7) absence of </w:t>
      </w:r>
      <w:r w:rsidRPr="006C2F71">
        <w:rPr>
          <w:b/>
          <w:lang w:val="en"/>
        </w:rPr>
        <w:t xml:space="preserve">long-term access to MRN services </w:t>
      </w:r>
      <w:r>
        <w:rPr>
          <w:lang w:val="en"/>
        </w:rPr>
        <w:t>is a significant barrier preventing private carriers from using borrowed financing necessary for multimillion-dollar investments and purchase of traction rolling stock   The infrastructure operator denies conclusion of long-term contracts with private carriers for access to MRN services.</w:t>
      </w:r>
    </w:p>
    <w:p w14:paraId="12636664" w14:textId="77777777" w:rsidR="00F85F2F" w:rsidRPr="00A57506" w:rsidRDefault="004C4BA9" w:rsidP="00F85F2F">
      <w:pPr>
        <w:rPr>
          <w:b/>
          <w:bCs/>
          <w:i/>
          <w:iCs/>
          <w:lang w:val="en-US"/>
        </w:rPr>
      </w:pPr>
      <w:r>
        <w:rPr>
          <w:b/>
          <w:bCs/>
          <w:i/>
          <w:iCs/>
          <w:szCs w:val="26"/>
          <w:lang w:val="en"/>
        </w:rPr>
        <w:t>Pricing</w:t>
      </w:r>
    </w:p>
    <w:p w14:paraId="0A5BC227" w14:textId="77777777" w:rsidR="00F85F2F" w:rsidRPr="00A57506" w:rsidRDefault="004C4BA9" w:rsidP="00F85F2F">
      <w:pPr>
        <w:tabs>
          <w:tab w:val="left" w:pos="1080"/>
        </w:tabs>
        <w:rPr>
          <w:lang w:val="en-US"/>
        </w:rPr>
      </w:pPr>
      <w:r w:rsidRPr="001529C7">
        <w:rPr>
          <w:lang w:val="en"/>
        </w:rPr>
        <w:t xml:space="preserve">In accordance with subparagraph 5) of Article 124-5 of the Code, </w:t>
      </w:r>
      <w:r w:rsidRPr="006C2F71">
        <w:rPr>
          <w:b/>
          <w:lang w:val="en"/>
        </w:rPr>
        <w:t>state price regulation</w:t>
      </w:r>
      <w:r w:rsidRPr="001529C7">
        <w:rPr>
          <w:lang w:val="en"/>
        </w:rPr>
        <w:t xml:space="preserve"> applies to goods </w:t>
      </w:r>
      <w:r w:rsidRPr="006C2F71">
        <w:rPr>
          <w:i/>
          <w:sz w:val="24"/>
          <w:lang w:val="en"/>
        </w:rPr>
        <w:t>(works, services)</w:t>
      </w:r>
      <w:r w:rsidRPr="001529C7">
        <w:rPr>
          <w:lang w:val="en"/>
        </w:rPr>
        <w:t xml:space="preserve"> of socially significant market entities in areas of railway transportation of goods and locomotive traction, with the exception of:</w:t>
      </w:r>
    </w:p>
    <w:p w14:paraId="7D341201" w14:textId="77777777" w:rsidR="00F85F2F" w:rsidRPr="00A57506" w:rsidRDefault="004C4BA9" w:rsidP="00F85F2F">
      <w:pPr>
        <w:tabs>
          <w:tab w:val="left" w:pos="1080"/>
        </w:tabs>
        <w:rPr>
          <w:lang w:val="en-US"/>
        </w:rPr>
      </w:pPr>
      <w:r w:rsidRPr="001529C7">
        <w:rPr>
          <w:lang w:val="en"/>
        </w:rPr>
        <w:t xml:space="preserve">- rent of railway freight cars and services of railway cars </w:t>
      </w:r>
      <w:r w:rsidRPr="006C2F71">
        <w:rPr>
          <w:i/>
          <w:sz w:val="24"/>
          <w:lang w:val="en"/>
        </w:rPr>
        <w:t>(containers)</w:t>
      </w:r>
      <w:r w:rsidRPr="001529C7">
        <w:rPr>
          <w:lang w:val="en"/>
        </w:rPr>
        <w:t xml:space="preserve"> operator;</w:t>
      </w:r>
    </w:p>
    <w:p w14:paraId="51A3A746" w14:textId="77777777" w:rsidR="00F85F2F" w:rsidRPr="00A57506" w:rsidRDefault="004C4BA9" w:rsidP="00F85F2F">
      <w:pPr>
        <w:tabs>
          <w:tab w:val="left" w:pos="1080"/>
        </w:tabs>
        <w:rPr>
          <w:lang w:val="en-US"/>
        </w:rPr>
      </w:pPr>
      <w:r w:rsidRPr="001529C7">
        <w:rPr>
          <w:lang w:val="en"/>
        </w:rPr>
        <w:t>- services for transportation of goods by rail in transit through the territory of the Republic of Kazakhstan;</w:t>
      </w:r>
    </w:p>
    <w:p w14:paraId="0E550C76" w14:textId="77777777" w:rsidR="00F85F2F" w:rsidRPr="00A57506" w:rsidRDefault="004C4BA9" w:rsidP="00F85F2F">
      <w:pPr>
        <w:tabs>
          <w:tab w:val="left" w:pos="1080"/>
        </w:tabs>
        <w:rPr>
          <w:lang w:val="en-US"/>
        </w:rPr>
      </w:pPr>
      <w:r w:rsidRPr="001529C7">
        <w:rPr>
          <w:lang w:val="en"/>
        </w:rPr>
        <w:t>- services of transporting goods in containers, piggyback shipments, empty containers and empty fitting platforms by rail.</w:t>
      </w:r>
    </w:p>
    <w:p w14:paraId="6FCBD126" w14:textId="77777777" w:rsidR="00F85F2F" w:rsidRPr="00A57506" w:rsidRDefault="004C4BA9" w:rsidP="00F85F2F">
      <w:pPr>
        <w:tabs>
          <w:tab w:val="clear" w:pos="567"/>
        </w:tabs>
        <w:rPr>
          <w:bCs/>
          <w:lang w:val="en-US"/>
        </w:rPr>
      </w:pPr>
      <w:r w:rsidRPr="001529C7">
        <w:rPr>
          <w:bCs/>
          <w:lang w:val="en"/>
        </w:rPr>
        <w:t xml:space="preserve">In this connection, prices for services of KTZ-CT , TTT Service </w:t>
      </w:r>
      <w:r w:rsidRPr="001529C7">
        <w:rPr>
          <w:bCs/>
          <w:lang w:val="en"/>
        </w:rPr>
        <w:br/>
        <w:t>LLP and Dar Rail LLP for transportation of goods by rail are regulated by the Committee for the Regulation of Natural Monopolies of the Ministry of National Economy.</w:t>
      </w:r>
    </w:p>
    <w:p w14:paraId="7923872D" w14:textId="77777777" w:rsidR="006C2F71" w:rsidRPr="00A57506" w:rsidRDefault="004C4BA9" w:rsidP="00F85F2F">
      <w:pPr>
        <w:tabs>
          <w:tab w:val="clear" w:pos="567"/>
        </w:tabs>
        <w:rPr>
          <w:bCs/>
          <w:lang w:val="en-US"/>
        </w:rPr>
      </w:pPr>
      <w:r w:rsidRPr="001529C7">
        <w:rPr>
          <w:bCs/>
          <w:lang w:val="en"/>
        </w:rPr>
        <w:t xml:space="preserve">According to KTZ, current tariff system for cargo transportation provides for </w:t>
      </w:r>
      <w:r w:rsidRPr="006C2F71">
        <w:rPr>
          <w:b/>
          <w:bCs/>
          <w:lang w:val="en"/>
        </w:rPr>
        <w:t>cross-subsidization</w:t>
      </w:r>
      <w:r w:rsidRPr="001529C7">
        <w:rPr>
          <w:bCs/>
          <w:lang w:val="en"/>
        </w:rPr>
        <w:t xml:space="preserve"> of some goods at the expense of others </w:t>
      </w:r>
      <w:r w:rsidRPr="006C2F71">
        <w:rPr>
          <w:bCs/>
          <w:i/>
          <w:sz w:val="24"/>
          <w:lang w:val="en"/>
        </w:rPr>
        <w:t>(cost of transporting petroleum products exceeds cost of grain transportation by 3.9 times)</w:t>
      </w:r>
      <w:r w:rsidRPr="001529C7">
        <w:rPr>
          <w:bCs/>
          <w:lang w:val="en"/>
        </w:rPr>
        <w:t>.</w:t>
      </w:r>
    </w:p>
    <w:p w14:paraId="6305CA99" w14:textId="77777777" w:rsidR="006C2F71" w:rsidRPr="00A57506" w:rsidRDefault="004C4BA9" w:rsidP="006C2F71">
      <w:pPr>
        <w:tabs>
          <w:tab w:val="clear" w:pos="567"/>
        </w:tabs>
        <w:rPr>
          <w:bCs/>
          <w:i/>
          <w:sz w:val="24"/>
          <w:szCs w:val="24"/>
          <w:lang w:val="en-US"/>
        </w:rPr>
      </w:pPr>
      <w:r w:rsidRPr="006C2F71">
        <w:rPr>
          <w:b/>
          <w:bCs/>
          <w:i/>
          <w:sz w:val="24"/>
          <w:szCs w:val="24"/>
          <w:lang w:val="en"/>
        </w:rPr>
        <w:t>For reference</w:t>
      </w:r>
      <w:r w:rsidRPr="006C2F71">
        <w:rPr>
          <w:bCs/>
          <w:i/>
          <w:sz w:val="24"/>
          <w:szCs w:val="24"/>
          <w:lang w:val="en"/>
        </w:rPr>
        <w:t>: The main transported cargoes are coal, iron ore, grain and petroleum products (58% of total volume) along with massive cargoes, raw materials and semi-finished products generated by large enterprises of mining, metallurgical, petrochemical and agricultural sectors.</w:t>
      </w:r>
    </w:p>
    <w:p w14:paraId="703A3628" w14:textId="3A8CDEAE" w:rsidR="00F85F2F" w:rsidRPr="00A57506" w:rsidRDefault="004C4BA9" w:rsidP="00F85F2F">
      <w:pPr>
        <w:tabs>
          <w:tab w:val="clear" w:pos="567"/>
        </w:tabs>
        <w:rPr>
          <w:bCs/>
          <w:lang w:val="en-US"/>
        </w:rPr>
      </w:pPr>
      <w:r>
        <w:rPr>
          <w:bCs/>
          <w:lang w:val="en"/>
        </w:rPr>
        <w:t xml:space="preserve">It also provides for cross-subsidization in support of diesel-electric traction at the expense of electric traction </w:t>
      </w:r>
      <w:r w:rsidRPr="006C2F71">
        <w:rPr>
          <w:bCs/>
          <w:i/>
          <w:sz w:val="24"/>
          <w:lang w:val="en"/>
        </w:rPr>
        <w:t xml:space="preserve">(tariff for diesel-electric traction is 9% higher than electric traction, while the prime cost of diesel-electric traction </w:t>
      </w:r>
      <w:r w:rsidRPr="006C2F71">
        <w:rPr>
          <w:b/>
          <w:bCs/>
          <w:i/>
          <w:sz w:val="24"/>
          <w:lang w:val="en"/>
        </w:rPr>
        <w:t>is 2.5 times</w:t>
      </w:r>
      <w:r w:rsidRPr="006C2F71">
        <w:rPr>
          <w:bCs/>
          <w:i/>
          <w:sz w:val="24"/>
          <w:lang w:val="en"/>
        </w:rPr>
        <w:t xml:space="preserve"> higher)</w:t>
      </w:r>
      <w:r>
        <w:rPr>
          <w:bCs/>
          <w:lang w:val="en"/>
        </w:rPr>
        <w:t xml:space="preserve">. Also, group transportation </w:t>
      </w:r>
      <w:r w:rsidRPr="006C2F71">
        <w:rPr>
          <w:bCs/>
          <w:i/>
          <w:sz w:val="24"/>
          <w:lang w:val="en"/>
        </w:rPr>
        <w:t>(products of large and extractive industries)</w:t>
      </w:r>
      <w:r>
        <w:rPr>
          <w:bCs/>
          <w:lang w:val="en"/>
        </w:rPr>
        <w:t xml:space="preserve"> is less expensive than combined shipments due to need for uncoupling, coupling en route. In addition, according to market participants, </w:t>
      </w:r>
      <w:r>
        <w:rPr>
          <w:bCs/>
          <w:lang w:val="en"/>
        </w:rPr>
        <w:lastRenderedPageBreak/>
        <w:t xml:space="preserve">existing tariff model does not provide necessary balance of tariff regulation for long-term investment planning and maintaining sufficient flexibility of tariff conditions, and as a result, investment opportunities for maintenance and modernization of infrastructure, as well as improving quality of rail transport services are limited. </w:t>
      </w:r>
    </w:p>
    <w:p w14:paraId="043C8FED" w14:textId="77777777" w:rsidR="00A939BE" w:rsidRPr="00A57506" w:rsidRDefault="004C4BA9" w:rsidP="00A939BE">
      <w:pPr>
        <w:rPr>
          <w:b/>
          <w:bCs/>
          <w:i/>
          <w:color w:val="000000" w:themeColor="text1"/>
          <w:lang w:val="en-US"/>
        </w:rPr>
      </w:pPr>
      <w:r w:rsidRPr="001529C7">
        <w:rPr>
          <w:b/>
          <w:bCs/>
          <w:i/>
          <w:color w:val="000000" w:themeColor="text1"/>
          <w:lang w:val="en"/>
        </w:rPr>
        <w:t xml:space="preserve">Proposals and recommendations for competition development </w:t>
      </w:r>
    </w:p>
    <w:p w14:paraId="226A2016" w14:textId="77777777" w:rsidR="00A939BE" w:rsidRPr="00A57506" w:rsidRDefault="004C4BA9" w:rsidP="00A939BE">
      <w:pPr>
        <w:rPr>
          <w:b/>
          <w:bCs/>
          <w:i/>
          <w:iCs/>
          <w:szCs w:val="26"/>
          <w:lang w:val="en-US"/>
        </w:rPr>
      </w:pPr>
      <w:r>
        <w:rPr>
          <w:rFonts w:eastAsia="Calibri"/>
          <w:lang w:val="en" w:eastAsia="en-US"/>
        </w:rPr>
        <w:t>Taking into account identified barriers for development of competition, the Agency proposes:</w:t>
      </w:r>
    </w:p>
    <w:p w14:paraId="5C5DAD2E" w14:textId="77777777" w:rsidR="00A939BE" w:rsidRPr="00A57506" w:rsidRDefault="004C4BA9" w:rsidP="00A939BE">
      <w:pPr>
        <w:tabs>
          <w:tab w:val="left" w:pos="851"/>
        </w:tabs>
        <w:rPr>
          <w:bCs/>
          <w:iCs/>
          <w:szCs w:val="26"/>
          <w:lang w:val="en-US"/>
        </w:rPr>
      </w:pPr>
      <w:r w:rsidRPr="00F41EA2">
        <w:rPr>
          <w:bCs/>
          <w:iCs/>
          <w:szCs w:val="26"/>
          <w:lang w:val="en"/>
        </w:rPr>
        <w:t xml:space="preserve">1) </w:t>
      </w:r>
      <w:r w:rsidRPr="00F41EA2">
        <w:rPr>
          <w:b/>
          <w:bCs/>
          <w:iCs/>
          <w:szCs w:val="26"/>
          <w:lang w:val="en"/>
        </w:rPr>
        <w:t>completion</w:t>
      </w:r>
      <w:r w:rsidRPr="00F41EA2">
        <w:rPr>
          <w:bCs/>
          <w:iCs/>
          <w:szCs w:val="26"/>
          <w:lang w:val="en"/>
        </w:rPr>
        <w:t xml:space="preserve"> of functional and organizational </w:t>
      </w:r>
      <w:r w:rsidR="00F85F2F" w:rsidRPr="00F41EA2">
        <w:rPr>
          <w:b/>
          <w:bCs/>
          <w:lang w:val="en"/>
        </w:rPr>
        <w:t>separation</w:t>
      </w:r>
      <w:r w:rsidRPr="00F41EA2">
        <w:rPr>
          <w:bCs/>
          <w:iCs/>
          <w:szCs w:val="26"/>
          <w:lang w:val="en"/>
        </w:rPr>
        <w:t xml:space="preserve"> of National Infrastructure Operator with dispatching regulation functions </w:t>
      </w:r>
      <w:r w:rsidR="00F85F2F" w:rsidRPr="00F41EA2">
        <w:rPr>
          <w:b/>
          <w:bCs/>
          <w:lang w:val="en"/>
        </w:rPr>
        <w:t>, to segregate it as independent legal entity</w:t>
      </w:r>
      <w:r w:rsidRPr="00F41EA2">
        <w:rPr>
          <w:bCs/>
          <w:iCs/>
          <w:szCs w:val="26"/>
          <w:lang w:val="en"/>
        </w:rPr>
        <w:t xml:space="preserve">. So, for example, in Germany there is </w:t>
      </w:r>
      <w:r w:rsidRPr="00F41EA2">
        <w:rPr>
          <w:b/>
          <w:bCs/>
          <w:lang w:val="en"/>
        </w:rPr>
        <w:t>organizational division</w:t>
      </w:r>
      <w:r w:rsidRPr="00F41EA2">
        <w:rPr>
          <w:bCs/>
          <w:iCs/>
          <w:szCs w:val="26"/>
          <w:lang w:val="en"/>
        </w:rPr>
        <w:t xml:space="preserve"> of infrastructure block, transportation and logistics activities into separate organizational and independent segments. The organization of DB Group's activities is characterized by control over infrastructure block from state regulator to ensure non-discriminatory access to MRN and related services, demonstrating </w:t>
      </w:r>
      <w:r w:rsidRPr="00F41EA2">
        <w:rPr>
          <w:b/>
          <w:bCs/>
          <w:lang w:val="en"/>
        </w:rPr>
        <w:t>high effectiveness</w:t>
      </w:r>
      <w:r w:rsidRPr="00F41EA2">
        <w:rPr>
          <w:bCs/>
          <w:iCs/>
          <w:szCs w:val="26"/>
          <w:lang w:val="en"/>
        </w:rPr>
        <w:t xml:space="preserve"> of this approach;</w:t>
      </w:r>
    </w:p>
    <w:p w14:paraId="10C9989A" w14:textId="77777777" w:rsidR="00A939BE" w:rsidRPr="00A57506" w:rsidRDefault="004C4BA9" w:rsidP="008E459E">
      <w:pPr>
        <w:tabs>
          <w:tab w:val="left" w:pos="993"/>
        </w:tabs>
        <w:rPr>
          <w:bCs/>
          <w:lang w:val="en-US"/>
        </w:rPr>
      </w:pPr>
      <w:r>
        <w:rPr>
          <w:lang w:val="en"/>
        </w:rPr>
        <w:t xml:space="preserve">2) </w:t>
      </w:r>
      <w:r w:rsidRPr="00A939BE">
        <w:rPr>
          <w:b/>
          <w:bCs/>
          <w:lang w:val="en"/>
        </w:rPr>
        <w:t>completion</w:t>
      </w:r>
      <w:r>
        <w:rPr>
          <w:lang w:val="en"/>
        </w:rPr>
        <w:t xml:space="preserve"> of pilot project and providing </w:t>
      </w:r>
      <w:r w:rsidR="00F85F2F" w:rsidRPr="00A939BE">
        <w:rPr>
          <w:b/>
          <w:bCs/>
          <w:lang w:val="en"/>
        </w:rPr>
        <w:t>access to services for private carriers</w:t>
      </w:r>
      <w:r>
        <w:rPr>
          <w:lang w:val="en"/>
        </w:rPr>
        <w:t xml:space="preserve"> during transportation of goods </w:t>
      </w:r>
      <w:r w:rsidR="00F85F2F" w:rsidRPr="00A939BE">
        <w:rPr>
          <w:b/>
          <w:bCs/>
          <w:lang w:val="en"/>
        </w:rPr>
        <w:t>in long-term periods</w:t>
      </w:r>
      <w:r>
        <w:rPr>
          <w:lang w:val="en"/>
        </w:rPr>
        <w:t xml:space="preserve"> with necessary amendments and additions to the regulatory legal acts regulating the access of carriers to the services of the Ministry of Transport. In accordance with the Concept of development of transport and logistics potential until 2030, it is planned to increase share of private carriers in the railway transportation of goods by at least 30% in 2030. During pilot project, participating private carriers purchased 75 mainline locomotives </w:t>
      </w:r>
      <w:r w:rsidR="008E459E" w:rsidRPr="008E459E">
        <w:rPr>
          <w:bCs/>
          <w:i/>
          <w:sz w:val="24"/>
          <w:lang w:val="en"/>
        </w:rPr>
        <w:t>(11 new electric locomotives, 46 used electric locomotives, 18 diesel locomotives)</w:t>
      </w:r>
      <w:r>
        <w:rPr>
          <w:lang w:val="en"/>
        </w:rPr>
        <w:t xml:space="preserve"> and 4 new shunting locomotives. In the first quarter of 2023, it is planned to deliver another 16 shunting locomotives. According to private carriers, over the next years it is planned to purchase about 140 mainline locomotives of new series, including the ones manufactured by Kazakhstan locomotive factories;</w:t>
      </w:r>
    </w:p>
    <w:p w14:paraId="20F00C16" w14:textId="77777777" w:rsidR="00A939BE" w:rsidRPr="00A57506" w:rsidRDefault="004C4BA9" w:rsidP="00A939BE">
      <w:pPr>
        <w:tabs>
          <w:tab w:val="left" w:pos="993"/>
        </w:tabs>
        <w:rPr>
          <w:lang w:val="en-US"/>
        </w:rPr>
      </w:pPr>
      <w:r w:rsidRPr="00A939BE">
        <w:rPr>
          <w:bCs/>
          <w:iCs/>
          <w:szCs w:val="26"/>
          <w:lang w:val="en"/>
        </w:rPr>
        <w:t xml:space="preserve">3) </w:t>
      </w:r>
      <w:r>
        <w:rPr>
          <w:b/>
          <w:bCs/>
          <w:iCs/>
          <w:szCs w:val="26"/>
          <w:lang w:val="en"/>
        </w:rPr>
        <w:t>determination of KPI</w:t>
      </w:r>
      <w:r w:rsidRPr="00A939BE">
        <w:rPr>
          <w:bCs/>
          <w:iCs/>
          <w:szCs w:val="26"/>
          <w:lang w:val="en"/>
        </w:rPr>
        <w:t xml:space="preserve"> for KTZ in order to improve throughput capacity of railway infrastructure, subject to plurality of carriers;</w:t>
      </w:r>
    </w:p>
    <w:p w14:paraId="340C6E0D" w14:textId="77777777" w:rsidR="00A939BE" w:rsidRPr="00A57506" w:rsidRDefault="004C4BA9" w:rsidP="00A939BE">
      <w:pPr>
        <w:tabs>
          <w:tab w:val="left" w:pos="993"/>
        </w:tabs>
        <w:rPr>
          <w:lang w:val="en-US"/>
        </w:rPr>
      </w:pPr>
      <w:r>
        <w:rPr>
          <w:lang w:val="en"/>
        </w:rPr>
        <w:t xml:space="preserve">4) work </w:t>
      </w:r>
      <w:r w:rsidR="00F85F2F" w:rsidRPr="00A939BE">
        <w:rPr>
          <w:b/>
          <w:bCs/>
          <w:lang w:val="en"/>
        </w:rPr>
        <w:t>to improve KTZ information systems</w:t>
      </w:r>
      <w:r>
        <w:rPr>
          <w:lang w:val="en"/>
        </w:rPr>
        <w:t xml:space="preserve">, providing for change in MRN infrastructure operator's system, </w:t>
      </w:r>
      <w:r w:rsidR="00F85F2F" w:rsidRPr="00A939BE">
        <w:rPr>
          <w:b/>
          <w:bCs/>
          <w:lang w:val="en"/>
        </w:rPr>
        <w:t>with open services for integration of private carriers</w:t>
      </w:r>
      <w:r>
        <w:rPr>
          <w:lang w:val="en"/>
        </w:rPr>
        <w:t>, as well as automation of planning processes;</w:t>
      </w:r>
    </w:p>
    <w:p w14:paraId="5BE6BC31" w14:textId="77777777" w:rsidR="00F85F2F" w:rsidRPr="00A57506" w:rsidRDefault="004C4BA9" w:rsidP="00A939BE">
      <w:pPr>
        <w:tabs>
          <w:tab w:val="left" w:pos="993"/>
        </w:tabs>
        <w:rPr>
          <w:b/>
          <w:bCs/>
          <w:iCs/>
          <w:szCs w:val="26"/>
          <w:lang w:val="en-US"/>
        </w:rPr>
      </w:pPr>
      <w:r>
        <w:rPr>
          <w:lang w:val="en"/>
        </w:rPr>
        <w:t xml:space="preserve">5) revision of current tariff system </w:t>
      </w:r>
      <w:r w:rsidRPr="001529C7">
        <w:rPr>
          <w:b/>
          <w:bCs/>
          <w:lang w:val="en"/>
        </w:rPr>
        <w:t>in terms of plurality of carriers</w:t>
      </w:r>
      <w:r>
        <w:rPr>
          <w:lang w:val="en"/>
        </w:rPr>
        <w:t xml:space="preserve"> and, if necessary, development of new approaches taking into account results of an economic analysis of risks and benefits.</w:t>
      </w:r>
    </w:p>
    <w:p w14:paraId="3DCE8AFA" w14:textId="77777777" w:rsidR="00AF49B8" w:rsidRPr="00A57506" w:rsidRDefault="004C4BA9" w:rsidP="00A939BE">
      <w:pPr>
        <w:rPr>
          <w:i/>
          <w:sz w:val="24"/>
          <w:szCs w:val="24"/>
          <w:lang w:val="en-US"/>
        </w:rPr>
      </w:pPr>
      <w:r w:rsidRPr="00A939BE">
        <w:rPr>
          <w:b/>
          <w:i/>
          <w:sz w:val="24"/>
          <w:szCs w:val="24"/>
          <w:lang w:val="en"/>
        </w:rPr>
        <w:t>For reference</w:t>
      </w:r>
      <w:r w:rsidRPr="00A939BE">
        <w:rPr>
          <w:i/>
          <w:sz w:val="24"/>
          <w:szCs w:val="24"/>
          <w:lang w:val="en"/>
        </w:rPr>
        <w:t xml:space="preserve">: The authorized body is delaying adoption of Roadmap for the Development of Competition in the railway transport market. </w:t>
      </w:r>
    </w:p>
    <w:p w14:paraId="37B6773B" w14:textId="77777777" w:rsidR="00F85F2F"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bookmarkStart w:id="48" w:name="_Toc142467913"/>
      <w:r w:rsidRPr="001529C7">
        <w:rPr>
          <w:rFonts w:cs="Times New Roman"/>
          <w:szCs w:val="28"/>
          <w:lang w:val="en"/>
        </w:rPr>
        <w:t>Markets for repair, service and maintenance of locomotives and railway cars in the Republic of Kazakhstan</w:t>
      </w:r>
      <w:bookmarkEnd w:id="47"/>
      <w:bookmarkEnd w:id="48"/>
    </w:p>
    <w:p w14:paraId="6E08E72D" w14:textId="77777777" w:rsidR="00F85F2F" w:rsidRPr="00A57506" w:rsidRDefault="004C4BA9" w:rsidP="00F85F2F">
      <w:pPr>
        <w:tabs>
          <w:tab w:val="clear" w:pos="567"/>
        </w:tabs>
        <w:rPr>
          <w:color w:val="000000"/>
          <w:lang w:val="en-US"/>
        </w:rPr>
      </w:pPr>
      <w:r w:rsidRPr="001529C7">
        <w:rPr>
          <w:color w:val="000000"/>
          <w:lang w:val="en"/>
        </w:rPr>
        <w:t>In accordance with the Agency's Work Plan for 2022, analysis of the market for repair of railway cars, service and maintenance of locomotives in the Republic of Kazakhstan was carried out.</w:t>
      </w:r>
    </w:p>
    <w:p w14:paraId="669993E5" w14:textId="77777777" w:rsidR="00F85F2F" w:rsidRPr="00A57506" w:rsidRDefault="004C4BA9" w:rsidP="00F85F2F">
      <w:pPr>
        <w:tabs>
          <w:tab w:val="clear" w:pos="567"/>
        </w:tabs>
        <w:rPr>
          <w:color w:val="000000"/>
          <w:lang w:val="en-US"/>
        </w:rPr>
      </w:pPr>
      <w:r w:rsidRPr="001529C7">
        <w:rPr>
          <w:lang w:val="en"/>
        </w:rPr>
        <w:lastRenderedPageBreak/>
        <w:t xml:space="preserve">During the analysis, it was found that in the Republic of Kazakhstan, 30 market entities provided </w:t>
      </w:r>
      <w:r w:rsidRPr="001529C7">
        <w:rPr>
          <w:color w:val="000000"/>
          <w:lang w:val="en"/>
        </w:rPr>
        <w:t>locomotive maintenance services within the analyzed period, 6 market entities provided locomotive maintenance services, 21 companies repaired railway cars.</w:t>
      </w:r>
    </w:p>
    <w:p w14:paraId="2CCB9D6C" w14:textId="247B043B" w:rsidR="00F85F2F" w:rsidRPr="00A57506" w:rsidRDefault="004C4BA9" w:rsidP="00F85F2F">
      <w:pPr>
        <w:rPr>
          <w:iCs/>
          <w:lang w:val="en-US"/>
        </w:rPr>
      </w:pPr>
      <w:r w:rsidRPr="001529C7">
        <w:rPr>
          <w:lang w:val="en"/>
        </w:rPr>
        <w:t xml:space="preserve">As a result of </w:t>
      </w:r>
      <w:r w:rsidR="003263B8" w:rsidRPr="001529C7">
        <w:rPr>
          <w:lang w:val="en"/>
        </w:rPr>
        <w:t>analyzing</w:t>
      </w:r>
      <w:r w:rsidRPr="001529C7">
        <w:rPr>
          <w:lang w:val="en"/>
        </w:rPr>
        <w:t xml:space="preserve"> indicators characterizing structure of market of services for maintenance, repair of railway cars, the market is characterized as highly </w:t>
      </w:r>
      <w:r w:rsidRPr="007631BA">
        <w:rPr>
          <w:b/>
          <w:i/>
          <w:iCs/>
          <w:lang w:val="en"/>
        </w:rPr>
        <w:t>concentrated</w:t>
      </w:r>
      <w:r w:rsidRPr="001529C7">
        <w:rPr>
          <w:lang w:val="en"/>
        </w:rPr>
        <w:t xml:space="preserve"> with undeveloped competition.</w:t>
      </w:r>
    </w:p>
    <w:p w14:paraId="1A62FAEC" w14:textId="1B41D1B1" w:rsidR="00F85F2F" w:rsidRPr="00A57506" w:rsidRDefault="004C4BA9" w:rsidP="00F85F2F">
      <w:pPr>
        <w:rPr>
          <w:iCs/>
          <w:lang w:val="en-US"/>
        </w:rPr>
      </w:pPr>
      <w:r w:rsidRPr="001529C7">
        <w:rPr>
          <w:lang w:val="en"/>
        </w:rPr>
        <w:t xml:space="preserve">Maintenance services </w:t>
      </w:r>
      <w:r w:rsidR="003263B8" w:rsidRPr="001529C7">
        <w:rPr>
          <w:lang w:val="en"/>
        </w:rPr>
        <w:t>for</w:t>
      </w:r>
      <w:r w:rsidRPr="001529C7">
        <w:rPr>
          <w:lang w:val="en"/>
        </w:rPr>
        <w:t xml:space="preserve"> MNT-2, MNT-3 periods in analyzed period belong to the 2nd type of market – moderately </w:t>
      </w:r>
      <w:r w:rsidR="007631BA">
        <w:rPr>
          <w:b/>
          <w:i/>
          <w:iCs/>
          <w:lang w:val="en"/>
        </w:rPr>
        <w:t>concentrated</w:t>
      </w:r>
      <w:r w:rsidRPr="001529C7">
        <w:rPr>
          <w:lang w:val="en"/>
        </w:rPr>
        <w:t xml:space="preserve"> with undeveloped competition.</w:t>
      </w:r>
    </w:p>
    <w:p w14:paraId="6240FC89" w14:textId="77777777" w:rsidR="00F85F2F" w:rsidRPr="00A57506" w:rsidRDefault="004C4BA9" w:rsidP="00F85F2F">
      <w:pPr>
        <w:tabs>
          <w:tab w:val="clear" w:pos="567"/>
        </w:tabs>
        <w:rPr>
          <w:lang w:val="en-US"/>
        </w:rPr>
      </w:pPr>
      <w:r w:rsidRPr="001529C7">
        <w:rPr>
          <w:lang w:val="en"/>
        </w:rPr>
        <w:t>It should be noted that rolling stock and special rolling stock must regularly and timely undergo preventive repairs, maintenance and service.</w:t>
      </w:r>
    </w:p>
    <w:p w14:paraId="7224F493" w14:textId="77777777" w:rsidR="00F85F2F" w:rsidRPr="00A57506" w:rsidRDefault="004C4BA9" w:rsidP="00F85F2F">
      <w:pPr>
        <w:tabs>
          <w:tab w:val="clear" w:pos="567"/>
        </w:tabs>
        <w:rPr>
          <w:lang w:val="en-US"/>
        </w:rPr>
      </w:pPr>
      <w:r w:rsidRPr="001529C7">
        <w:rPr>
          <w:lang w:val="en"/>
        </w:rPr>
        <w:t xml:space="preserve">Service maintenance </w:t>
      </w:r>
      <w:r w:rsidRPr="007631BA">
        <w:rPr>
          <w:i/>
          <w:sz w:val="24"/>
          <w:lang w:val="en"/>
        </w:rPr>
        <w:t>(hereinafter – SM)</w:t>
      </w:r>
      <w:r w:rsidRPr="001529C7">
        <w:rPr>
          <w:lang w:val="en"/>
        </w:rPr>
        <w:t xml:space="preserve"> - complex of technical and organizational measures carried out by specialized organizations and/or manufacturers of railway rolling stock or its components to ensure the operation and repair of railway rolling stock.</w:t>
      </w:r>
    </w:p>
    <w:p w14:paraId="0EC79F52" w14:textId="77777777" w:rsidR="00F85F2F" w:rsidRPr="00A57506" w:rsidRDefault="004C4BA9" w:rsidP="00F85F2F">
      <w:pPr>
        <w:tabs>
          <w:tab w:val="clear" w:pos="567"/>
        </w:tabs>
        <w:rPr>
          <w:lang w:val="en-US"/>
        </w:rPr>
      </w:pPr>
      <w:r w:rsidRPr="001529C7">
        <w:rPr>
          <w:lang w:val="en"/>
        </w:rPr>
        <w:t>Locomotives are tested according to manufacturer's operating manual before being released from SM. Locomotive repair companies that perform SM have repair and maintenance documents, technological processes for types of locomotives being repaired and their components.</w:t>
      </w:r>
    </w:p>
    <w:p w14:paraId="1B37C044" w14:textId="77777777" w:rsidR="00F85F2F" w:rsidRPr="00A57506" w:rsidRDefault="004C4BA9" w:rsidP="00F85F2F">
      <w:pPr>
        <w:tabs>
          <w:tab w:val="clear" w:pos="567"/>
        </w:tabs>
        <w:rPr>
          <w:lang w:val="en-US"/>
        </w:rPr>
      </w:pPr>
      <w:r w:rsidRPr="001529C7">
        <w:rPr>
          <w:lang w:val="en"/>
        </w:rPr>
        <w:t>In these commodity markets there is a limited circle of main consumers – KTZ-CT , DAR-Rail LLP, TTT Service LLP, etc.</w:t>
      </w:r>
    </w:p>
    <w:p w14:paraId="44D7C260" w14:textId="77777777" w:rsidR="00F85F2F" w:rsidRPr="00A57506" w:rsidRDefault="004C4BA9" w:rsidP="00F85F2F">
      <w:pPr>
        <w:tabs>
          <w:tab w:val="clear" w:pos="567"/>
        </w:tabs>
        <w:rPr>
          <w:lang w:val="en-US"/>
        </w:rPr>
      </w:pPr>
      <w:r w:rsidRPr="001529C7">
        <w:rPr>
          <w:lang w:val="en"/>
        </w:rPr>
        <w:t>Service maintenance is not interchangeable with maintenance and overhaul services of locomotives due to different types of work performed, frequency and cost.</w:t>
      </w:r>
    </w:p>
    <w:p w14:paraId="2448B644" w14:textId="77777777" w:rsidR="00F85F2F" w:rsidRPr="00A57506" w:rsidRDefault="004C4BA9" w:rsidP="00F85F2F">
      <w:pPr>
        <w:tabs>
          <w:tab w:val="clear" w:pos="567"/>
        </w:tabs>
        <w:rPr>
          <w:lang w:val="en-US"/>
        </w:rPr>
      </w:pPr>
      <w:r w:rsidRPr="001529C7">
        <w:rPr>
          <w:lang w:val="en"/>
        </w:rPr>
        <w:t>So, for each type of locomotives, certain requirements are  presented to service maintenance and maintenance, as well as repair of railway cars. In this regard, types of locomotives, as well as types of railway cars, represent separate commodity markets.</w:t>
      </w:r>
    </w:p>
    <w:p w14:paraId="14851CEE" w14:textId="3B4A0A64" w:rsidR="00F85F2F" w:rsidRPr="00A57506" w:rsidRDefault="004C4BA9" w:rsidP="00F85F2F">
      <w:pPr>
        <w:tabs>
          <w:tab w:val="clear" w:pos="567"/>
        </w:tabs>
        <w:rPr>
          <w:lang w:val="en-US"/>
        </w:rPr>
      </w:pPr>
      <w:r w:rsidRPr="001529C7">
        <w:rPr>
          <w:lang w:val="en"/>
        </w:rPr>
        <w:t xml:space="preserve">Maintenance </w:t>
      </w:r>
      <w:r w:rsidRPr="007631BA">
        <w:rPr>
          <w:i/>
          <w:sz w:val="24"/>
          <w:lang w:val="en"/>
        </w:rPr>
        <w:t>(hereinafter referred to as MNT)</w:t>
      </w:r>
      <w:r w:rsidRPr="001529C7">
        <w:rPr>
          <w:lang w:val="en"/>
        </w:rPr>
        <w:t xml:space="preserve"> differs from repairs by volume and content of work. The main restoration works in MNT are adjustment, in-situ smith work, replacement of unusable or rapidly wearing parts by new ones upon reaching maximum wear-out, tightening, fastening, adding or changing lubricants in friction units. Types of locomotives maintenance by types </w:t>
      </w:r>
      <w:r w:rsidRPr="007631BA">
        <w:rPr>
          <w:i/>
          <w:sz w:val="24"/>
          <w:lang w:val="en"/>
        </w:rPr>
        <w:t>(cycles)</w:t>
      </w:r>
      <w:r w:rsidRPr="001529C7">
        <w:rPr>
          <w:lang w:val="en"/>
        </w:rPr>
        <w:t xml:space="preserve"> MNT-2, MNT-3, MNT-4, MNT-6, MNT-7, MNT-8, MNT-8 are not interchangeable with </w:t>
      </w:r>
      <w:r w:rsidR="003263B8" w:rsidRPr="001529C7">
        <w:rPr>
          <w:lang w:val="en"/>
        </w:rPr>
        <w:t>each other since</w:t>
      </w:r>
      <w:r w:rsidRPr="001529C7">
        <w:rPr>
          <w:lang w:val="en"/>
        </w:rPr>
        <w:t xml:space="preserve"> each type of MNT has its own goal and purpose. The difference is due to the different types of work performed, frequency and cost of a particular type of maintenance.</w:t>
      </w:r>
    </w:p>
    <w:p w14:paraId="51B3A236" w14:textId="77777777" w:rsidR="00F85F2F" w:rsidRPr="00A57506" w:rsidRDefault="004C4BA9" w:rsidP="00F85F2F">
      <w:pPr>
        <w:tabs>
          <w:tab w:val="clear" w:pos="567"/>
        </w:tabs>
        <w:rPr>
          <w:lang w:val="en-US"/>
        </w:rPr>
      </w:pPr>
      <w:r w:rsidRPr="001529C7">
        <w:rPr>
          <w:lang w:val="en"/>
        </w:rPr>
        <w:t>Railway car repair services are non-interchangeable due to the different types of work performed, the frequency and their cost.</w:t>
      </w:r>
    </w:p>
    <w:p w14:paraId="7362E3F4" w14:textId="77777777" w:rsidR="007631BA" w:rsidRPr="00A57506" w:rsidRDefault="004C4BA9" w:rsidP="007631BA">
      <w:pPr>
        <w:rPr>
          <w:b/>
          <w:bCs/>
          <w:i/>
          <w:color w:val="000000" w:themeColor="text1"/>
          <w:lang w:val="en-US"/>
        </w:rPr>
      </w:pPr>
      <w:r w:rsidRPr="001529C7">
        <w:rPr>
          <w:b/>
          <w:bCs/>
          <w:i/>
          <w:color w:val="000000" w:themeColor="text1"/>
          <w:lang w:val="en"/>
        </w:rPr>
        <w:t>Barriers for competition development</w:t>
      </w:r>
    </w:p>
    <w:p w14:paraId="33D00EE3" w14:textId="77777777" w:rsidR="00F85F2F" w:rsidRPr="00A57506" w:rsidRDefault="004C4BA9" w:rsidP="00F85F2F">
      <w:pPr>
        <w:rPr>
          <w:lang w:val="en-US"/>
        </w:rPr>
      </w:pPr>
      <w:r w:rsidRPr="001529C7">
        <w:rPr>
          <w:lang w:val="en"/>
        </w:rPr>
        <w:t xml:space="preserve">The main barriers to entry of new entities </w:t>
      </w:r>
      <w:r w:rsidRPr="007631BA">
        <w:rPr>
          <w:i/>
          <w:sz w:val="24"/>
          <w:lang w:val="en"/>
        </w:rPr>
        <w:t>(potential competitors)</w:t>
      </w:r>
      <w:r w:rsidRPr="001529C7">
        <w:rPr>
          <w:lang w:val="en"/>
        </w:rPr>
        <w:t xml:space="preserve"> into commodity markets under consideration are economic restrictions, in terms of significant capital investments with long payback periods for these investments </w:t>
      </w:r>
      <w:r w:rsidRPr="007631BA">
        <w:rPr>
          <w:i/>
          <w:sz w:val="24"/>
          <w:lang w:val="en"/>
        </w:rPr>
        <w:t>(purchase of spare parts, maintenance, etc.)</w:t>
      </w:r>
      <w:r w:rsidRPr="001529C7">
        <w:rPr>
          <w:lang w:val="en"/>
        </w:rPr>
        <w:t xml:space="preserve">. </w:t>
      </w:r>
    </w:p>
    <w:p w14:paraId="4FD7EF0F" w14:textId="77777777" w:rsidR="00F85F2F" w:rsidRPr="00A57506" w:rsidRDefault="004C4BA9" w:rsidP="00F85F2F">
      <w:pPr>
        <w:rPr>
          <w:lang w:val="en-US"/>
        </w:rPr>
      </w:pPr>
      <w:r w:rsidRPr="001529C7">
        <w:rPr>
          <w:lang w:val="en"/>
        </w:rPr>
        <w:t xml:space="preserve">Materials, semi–finished products, spare parts and accessories used in the maintenance of locomotives must comply with </w:t>
      </w:r>
      <w:r w:rsidRPr="007631BA">
        <w:rPr>
          <w:b/>
          <w:lang w:val="en"/>
        </w:rPr>
        <w:t xml:space="preserve">requirements of relevant </w:t>
      </w:r>
      <w:r w:rsidRPr="007631BA">
        <w:rPr>
          <w:b/>
          <w:lang w:val="en"/>
        </w:rPr>
        <w:lastRenderedPageBreak/>
        <w:t>instructions</w:t>
      </w:r>
      <w:r w:rsidRPr="001529C7">
        <w:rPr>
          <w:lang w:val="en"/>
        </w:rPr>
        <w:t xml:space="preserve">, and new ones - </w:t>
      </w:r>
      <w:r w:rsidRPr="007631BA">
        <w:rPr>
          <w:b/>
          <w:lang w:val="en"/>
        </w:rPr>
        <w:t>standards, specifications and certificates</w:t>
      </w:r>
      <w:r w:rsidRPr="001529C7">
        <w:rPr>
          <w:lang w:val="en"/>
        </w:rPr>
        <w:t xml:space="preserve"> for their manufacture.</w:t>
      </w:r>
    </w:p>
    <w:p w14:paraId="29FAEF10" w14:textId="77777777" w:rsidR="00F85F2F" w:rsidRPr="00A57506" w:rsidRDefault="004C4BA9" w:rsidP="00F85F2F">
      <w:pPr>
        <w:rPr>
          <w:lang w:val="en-US"/>
        </w:rPr>
      </w:pPr>
      <w:r w:rsidRPr="001529C7">
        <w:rPr>
          <w:lang w:val="en"/>
        </w:rPr>
        <w:t>In recent years, due to difficult economic situation at domestic and global markets, there are difficulties in purchasing spare parts to ensure performance of the volume of work, since there has been sharp change in exchange rate against KZT, and price of spare parts has doubled, maintenance of locomotives is unprofitable.</w:t>
      </w:r>
    </w:p>
    <w:p w14:paraId="1AB1FFC6" w14:textId="77777777" w:rsidR="00F85F2F" w:rsidRPr="00A57506" w:rsidRDefault="004C4BA9" w:rsidP="00F85F2F">
      <w:pPr>
        <w:rPr>
          <w:lang w:val="en-US"/>
        </w:rPr>
      </w:pPr>
      <w:r w:rsidRPr="001529C7">
        <w:rPr>
          <w:lang w:val="en"/>
        </w:rPr>
        <w:t>Lack of qualified personnel and significant shortage of young specialists in metalworking and welding specialties with education.</w:t>
      </w:r>
    </w:p>
    <w:p w14:paraId="39AE02EE" w14:textId="77777777" w:rsidR="00F85F2F" w:rsidRPr="00A57506" w:rsidRDefault="004C4BA9" w:rsidP="00F85F2F">
      <w:pPr>
        <w:rPr>
          <w:lang w:val="en-US"/>
        </w:rPr>
      </w:pPr>
      <w:r w:rsidRPr="001529C7">
        <w:rPr>
          <w:lang w:val="en"/>
        </w:rPr>
        <w:t>In order for enterprises to maintain their positions, it is necessary not only to produce modern quality product, but also to constantly develop production line and create unique products.</w:t>
      </w:r>
    </w:p>
    <w:p w14:paraId="63B3408C" w14:textId="77777777" w:rsidR="00F85F2F" w:rsidRPr="00A57506" w:rsidRDefault="004C4BA9" w:rsidP="00F85F2F">
      <w:pPr>
        <w:rPr>
          <w:lang w:val="en-US"/>
        </w:rPr>
      </w:pPr>
      <w:r w:rsidRPr="001529C7">
        <w:rPr>
          <w:lang w:val="en"/>
        </w:rPr>
        <w:t xml:space="preserve">The main customer of these services is KTZ, as there are </w:t>
      </w:r>
      <w:r w:rsidRPr="007631BA">
        <w:rPr>
          <w:b/>
          <w:lang w:val="en"/>
        </w:rPr>
        <w:t>no conditions for prepayment</w:t>
      </w:r>
      <w:r w:rsidRPr="001529C7">
        <w:rPr>
          <w:lang w:val="en"/>
        </w:rPr>
        <w:t xml:space="preserve"> for repair of locomotives and railway cars within the procurement framework of "NWF "Samruk Kazyna" JSC, which in turn affects liquidity of enterprises' funds.</w:t>
      </w:r>
    </w:p>
    <w:p w14:paraId="6EC01DC3" w14:textId="77777777" w:rsidR="00F85F2F" w:rsidRPr="00A57506" w:rsidRDefault="004C4BA9" w:rsidP="00F85F2F">
      <w:pPr>
        <w:rPr>
          <w:szCs w:val="26"/>
          <w:lang w:val="en-US"/>
        </w:rPr>
      </w:pPr>
      <w:r w:rsidRPr="001529C7">
        <w:rPr>
          <w:lang w:val="en"/>
        </w:rPr>
        <w:t xml:space="preserve">Taking into account constant share of market entities and constant increase in prices at locomotive maintenance market, </w:t>
      </w:r>
      <w:r w:rsidR="007631BA" w:rsidRPr="007631BA">
        <w:rPr>
          <w:b/>
          <w:lang w:val="en"/>
        </w:rPr>
        <w:t xml:space="preserve">signs of violating competition protection legislation in terms of establishing </w:t>
      </w:r>
      <w:r w:rsidRPr="001529C7">
        <w:rPr>
          <w:lang w:val="en"/>
        </w:rPr>
        <w:t>monopolistically high prices</w:t>
      </w:r>
      <w:r w:rsidRPr="007631BA">
        <w:rPr>
          <w:b/>
          <w:lang w:val="en"/>
        </w:rPr>
        <w:t xml:space="preserve"> were revealed</w:t>
      </w:r>
      <w:r w:rsidRPr="001529C7">
        <w:rPr>
          <w:lang w:val="en"/>
        </w:rPr>
        <w:t xml:space="preserve">, and measures were taken against Kamkor Locomotive LLP with imposition of an administrative penalty in amount of </w:t>
      </w:r>
      <w:r w:rsidRPr="007631BA">
        <w:rPr>
          <w:b/>
          <w:szCs w:val="26"/>
          <w:lang w:val="en"/>
        </w:rPr>
        <w:t>more than 240 million KZT</w:t>
      </w:r>
      <w:r w:rsidRPr="001529C7">
        <w:rPr>
          <w:lang w:val="en"/>
        </w:rPr>
        <w:t>.</w:t>
      </w:r>
    </w:p>
    <w:p w14:paraId="5B42B90D" w14:textId="77777777" w:rsidR="00F85F2F" w:rsidRPr="00A57506" w:rsidRDefault="004C4BA9" w:rsidP="00F85F2F">
      <w:pPr>
        <w:rPr>
          <w:b/>
          <w:bCs/>
          <w:lang w:val="en-US"/>
        </w:rPr>
      </w:pPr>
      <w:r w:rsidRPr="001529C7">
        <w:rPr>
          <w:lang w:val="en"/>
        </w:rPr>
        <w:t xml:space="preserve">For effective functioning and development of competition in these markets, </w:t>
      </w:r>
      <w:r w:rsidRPr="001529C7">
        <w:rPr>
          <w:b/>
          <w:bCs/>
          <w:lang w:val="en"/>
        </w:rPr>
        <w:t>authorized body needs to ensure update of regulatory documentation, requirements for modernizing technical base</w:t>
      </w:r>
      <w:r w:rsidRPr="001529C7">
        <w:rPr>
          <w:lang w:val="en"/>
        </w:rPr>
        <w:t xml:space="preserve"> of production sites for service and maintenance of locomotives, repair of specific types of rolling stock, allowing improvement in quality of repairs and reducing its time, as well as </w:t>
      </w:r>
      <w:r w:rsidRPr="001529C7">
        <w:rPr>
          <w:b/>
          <w:bCs/>
          <w:lang w:val="en"/>
        </w:rPr>
        <w:t>take measures to attract</w:t>
      </w:r>
      <w:r w:rsidRPr="001529C7">
        <w:rPr>
          <w:lang w:val="en"/>
        </w:rPr>
        <w:t xml:space="preserve"> </w:t>
      </w:r>
      <w:r w:rsidRPr="001529C7">
        <w:rPr>
          <w:b/>
          <w:bCs/>
          <w:lang w:val="en"/>
        </w:rPr>
        <w:t>qualified personnel of working specialties for provision of services in this commodity market .</w:t>
      </w:r>
    </w:p>
    <w:p w14:paraId="29C20143" w14:textId="77777777" w:rsidR="00F85F2F"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bookmarkStart w:id="49" w:name="_Toc135815284"/>
      <w:bookmarkStart w:id="50" w:name="_Toc142467914"/>
      <w:r w:rsidRPr="001529C7">
        <w:rPr>
          <w:rFonts w:cs="Times New Roman"/>
          <w:szCs w:val="28"/>
          <w:lang w:val="en"/>
        </w:rPr>
        <w:t xml:space="preserve">The </w:t>
      </w:r>
      <w:bookmarkEnd w:id="49"/>
      <w:r w:rsidRPr="001529C7">
        <w:rPr>
          <w:rFonts w:cs="Times New Roman"/>
          <w:szCs w:val="28"/>
          <w:lang w:val="en"/>
        </w:rPr>
        <w:t>market of services for regular passenger transportation by air</w:t>
      </w:r>
      <w:bookmarkEnd w:id="50"/>
    </w:p>
    <w:p w14:paraId="12B74381" w14:textId="77777777" w:rsidR="00F85F2F" w:rsidRPr="00A57506" w:rsidRDefault="004C4BA9" w:rsidP="00F85F2F">
      <w:pPr>
        <w:rPr>
          <w:color w:val="000000" w:themeColor="text1"/>
          <w:lang w:val="en-US"/>
        </w:rPr>
      </w:pPr>
      <w:r w:rsidRPr="001529C7">
        <w:rPr>
          <w:color w:val="000000" w:themeColor="text1"/>
          <w:lang w:val="en"/>
        </w:rPr>
        <w:t xml:space="preserve">Analysis of market of </w:t>
      </w:r>
      <w:r w:rsidRPr="001529C7">
        <w:rPr>
          <w:bCs/>
          <w:lang w:val="en"/>
        </w:rPr>
        <w:t xml:space="preserve">regular passenger air transportation </w:t>
      </w:r>
      <w:r w:rsidRPr="001529C7">
        <w:rPr>
          <w:color w:val="000000" w:themeColor="text1"/>
          <w:lang w:val="en"/>
        </w:rPr>
        <w:t xml:space="preserve"> was carried out on the basis of price monitoring results, identified signs of violation of competition protection legislation.</w:t>
      </w:r>
    </w:p>
    <w:p w14:paraId="1BA56F60" w14:textId="7342C582" w:rsidR="00F85F2F" w:rsidRPr="00A57506" w:rsidRDefault="004C4BA9" w:rsidP="00F85F2F">
      <w:pPr>
        <w:rPr>
          <w:lang w:val="en-US"/>
        </w:rPr>
      </w:pPr>
      <w:r w:rsidRPr="001529C7">
        <w:rPr>
          <w:lang w:val="en"/>
        </w:rPr>
        <w:t xml:space="preserve">Domestic air transportation is carried out on more than </w:t>
      </w:r>
      <w:r w:rsidR="00886031">
        <w:rPr>
          <w:b/>
          <w:lang w:val="en"/>
        </w:rPr>
        <w:t>40 routes</w:t>
      </w:r>
      <w:r w:rsidRPr="001529C7">
        <w:rPr>
          <w:lang w:val="en"/>
        </w:rPr>
        <w:t xml:space="preserve">. Regular commercial transportation is carried out by </w:t>
      </w:r>
      <w:r w:rsidR="00886031">
        <w:rPr>
          <w:b/>
          <w:lang w:val="en"/>
        </w:rPr>
        <w:t>3 airlines</w:t>
      </w:r>
      <w:r w:rsidRPr="001529C7">
        <w:rPr>
          <w:lang w:val="en"/>
        </w:rPr>
        <w:t xml:space="preserve">, main share is occupied by "AirAstana" JSC and Fly Arystan, "Qazaq Air" JSC, "SCAT" JSC. </w:t>
      </w:r>
    </w:p>
    <w:p w14:paraId="34AE829A" w14:textId="1ACC9EA2" w:rsidR="00886031" w:rsidRPr="007F61A3" w:rsidRDefault="00886031" w:rsidP="00886031">
      <w:pPr>
        <w:ind w:firstLine="0"/>
        <w:rPr>
          <w:color w:val="000000"/>
          <w:sz w:val="24"/>
          <w:szCs w:val="24"/>
          <w:lang w:val="en-US"/>
        </w:rPr>
      </w:pPr>
    </w:p>
    <w:p w14:paraId="25D527C9" w14:textId="69B1F32A" w:rsidR="00886031" w:rsidRPr="00A57506" w:rsidRDefault="004C4BA9" w:rsidP="00225B66">
      <w:pPr>
        <w:pStyle w:val="Caption"/>
        <w:spacing w:after="12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12</w:t>
      </w:r>
      <w:r w:rsidRPr="001529C7">
        <w:rPr>
          <w:b w:val="0"/>
          <w:color w:val="000000" w:themeColor="text1"/>
          <w:sz w:val="28"/>
          <w:szCs w:val="28"/>
        </w:rPr>
        <w:fldChar w:fldCharType="end"/>
      </w:r>
      <w:r w:rsidRPr="001529C7">
        <w:rPr>
          <w:b w:val="0"/>
          <w:color w:val="000000" w:themeColor="text1"/>
          <w:sz w:val="28"/>
          <w:szCs w:val="28"/>
          <w:lang w:val="en"/>
        </w:rPr>
        <w:t>- Distribution of airlines's shares between "AirAstana" JSC and Fly Arystan, "Qazaq Air" JSC, "SCAT" JSC.</w:t>
      </w:r>
    </w:p>
    <w:p w14:paraId="5934E386" w14:textId="5C4A8260" w:rsidR="004524E1" w:rsidRDefault="004524E1" w:rsidP="00CB2F71">
      <w:pPr>
        <w:jc w:val="center"/>
        <w:rPr>
          <w:lang w:val="en-US"/>
        </w:rPr>
      </w:pPr>
    </w:p>
    <w:p w14:paraId="4DBEE305" w14:textId="4D00E6A9" w:rsidR="004524E1" w:rsidRDefault="004524E1" w:rsidP="00CB2F71">
      <w:pPr>
        <w:jc w:val="center"/>
        <w:rPr>
          <w:lang w:val="en-US"/>
        </w:rPr>
      </w:pPr>
      <w:r>
        <w:rPr>
          <w:noProof/>
        </w:rPr>
        <w:lastRenderedPageBreak/>
        <w:drawing>
          <wp:anchor distT="0" distB="0" distL="114300" distR="114300" simplePos="0" relativeHeight="251668480" behindDoc="0" locked="0" layoutInCell="1" allowOverlap="1" wp14:anchorId="1DC07EC6" wp14:editId="383F6045">
            <wp:simplePos x="0" y="0"/>
            <wp:positionH relativeFrom="column">
              <wp:posOffset>1457514</wp:posOffset>
            </wp:positionH>
            <wp:positionV relativeFrom="paragraph">
              <wp:posOffset>-52875</wp:posOffset>
            </wp:positionV>
            <wp:extent cx="3625850" cy="1629410"/>
            <wp:effectExtent l="0" t="0" r="12700" b="8890"/>
            <wp:wrapSquare wrapText="bothSides"/>
            <wp:docPr id="23" name="Chart 23">
              <a:extLst xmlns:a="http://schemas.openxmlformats.org/drawingml/2006/main">
                <a:ext uri="{FF2B5EF4-FFF2-40B4-BE49-F238E27FC236}">
                  <a16:creationId xmlns:a16="http://schemas.microsoft.com/office/drawing/2014/main" id="{36B07B66-C760-49EC-A83B-86A6D2ACC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4B7CF519" w14:textId="77777777" w:rsidR="004524E1" w:rsidRDefault="004524E1" w:rsidP="00CB2F71">
      <w:pPr>
        <w:jc w:val="center"/>
        <w:rPr>
          <w:lang w:val="en-US"/>
        </w:rPr>
      </w:pPr>
    </w:p>
    <w:p w14:paraId="3626D708" w14:textId="77777777" w:rsidR="004524E1" w:rsidRDefault="004524E1" w:rsidP="00CB2F71">
      <w:pPr>
        <w:jc w:val="center"/>
        <w:rPr>
          <w:lang w:val="en-US"/>
        </w:rPr>
      </w:pPr>
    </w:p>
    <w:p w14:paraId="1C268003" w14:textId="77777777" w:rsidR="004524E1" w:rsidRDefault="004524E1" w:rsidP="00CB2F71">
      <w:pPr>
        <w:jc w:val="center"/>
        <w:rPr>
          <w:lang w:val="en-US"/>
        </w:rPr>
      </w:pPr>
    </w:p>
    <w:p w14:paraId="6E2D21F6" w14:textId="77777777" w:rsidR="004524E1" w:rsidRDefault="004524E1" w:rsidP="00CB2F71">
      <w:pPr>
        <w:jc w:val="center"/>
        <w:rPr>
          <w:lang w:val="en-US"/>
        </w:rPr>
      </w:pPr>
    </w:p>
    <w:p w14:paraId="4FFA5CEA" w14:textId="77777777" w:rsidR="004524E1" w:rsidRDefault="004524E1" w:rsidP="00CB2F71">
      <w:pPr>
        <w:jc w:val="center"/>
        <w:rPr>
          <w:lang w:val="en-US"/>
        </w:rPr>
      </w:pPr>
    </w:p>
    <w:p w14:paraId="7D641BB0" w14:textId="4947917A" w:rsidR="00886031" w:rsidRDefault="00886031" w:rsidP="00CB2F71">
      <w:pPr>
        <w:jc w:val="center"/>
        <w:rPr>
          <w:lang w:val="en-US"/>
        </w:rPr>
      </w:pPr>
    </w:p>
    <w:p w14:paraId="59A4CE1C" w14:textId="2283EB61" w:rsidR="00AF59F7" w:rsidRDefault="00AF59F7" w:rsidP="00CB2F71">
      <w:pPr>
        <w:jc w:val="center"/>
        <w:rPr>
          <w:lang w:val="en-US"/>
        </w:rPr>
      </w:pPr>
    </w:p>
    <w:p w14:paraId="39E9AE99" w14:textId="77777777" w:rsidR="00AF59F7" w:rsidRPr="00A57506" w:rsidRDefault="00AF59F7" w:rsidP="00CB2F71">
      <w:pPr>
        <w:jc w:val="center"/>
        <w:rPr>
          <w:lang w:val="en-US"/>
        </w:rPr>
      </w:pPr>
    </w:p>
    <w:p w14:paraId="04872EB2" w14:textId="1D2F30A6" w:rsidR="00F85F2F" w:rsidRPr="00A57506" w:rsidRDefault="004C4BA9" w:rsidP="00F85F2F">
      <w:pPr>
        <w:rPr>
          <w:i/>
          <w:sz w:val="24"/>
          <w:lang w:val="en-US"/>
        </w:rPr>
      </w:pPr>
      <w:r w:rsidRPr="00225B66">
        <w:rPr>
          <w:b/>
          <w:i/>
          <w:sz w:val="24"/>
          <w:lang w:val="en"/>
        </w:rPr>
        <w:t>For reference</w:t>
      </w:r>
      <w:r w:rsidRPr="00225B66">
        <w:rPr>
          <w:i/>
          <w:sz w:val="24"/>
          <w:lang w:val="en"/>
        </w:rPr>
        <w:t xml:space="preserve">: 1) "Air Astana" JSC: state's share is 51% ("NWF "Samruk-Kazyna" JSC), 49% of company's shares belong to BAE Systems PLC (UK); 2) Shareholders of "SCAT" JSC are Denisov V.I. (57%) and Sytnik V.A. (43%). "SCAT" JSC owns 2 subsidiary airlines: "Southern Sky" and "Sunday Airlines" (passenger transportation on charter destinations); 3) "Qazaq Air" JSC: 100% shares belong to "NWF "Samruk-Kazyna" JSC. </w:t>
      </w:r>
    </w:p>
    <w:p w14:paraId="51170A9A" w14:textId="77777777" w:rsidR="00F85F2F" w:rsidRPr="00A57506" w:rsidRDefault="004C4BA9" w:rsidP="00F85F2F">
      <w:pPr>
        <w:rPr>
          <w:lang w:val="en-US"/>
        </w:rPr>
      </w:pPr>
      <w:r w:rsidRPr="001529C7">
        <w:rPr>
          <w:color w:val="000000" w:themeColor="text1"/>
          <w:lang w:val="en"/>
        </w:rPr>
        <w:t>International air routes for regular commercial air transportation are determined in accordance with international treaties of the Republic of Kazakhstan.</w:t>
      </w:r>
    </w:p>
    <w:p w14:paraId="7BFE88AA" w14:textId="77777777" w:rsidR="00F85F2F" w:rsidRPr="00A57506" w:rsidRDefault="004C4BA9" w:rsidP="00F85F2F">
      <w:pPr>
        <w:tabs>
          <w:tab w:val="left" w:pos="1080"/>
        </w:tabs>
        <w:rPr>
          <w:color w:val="000000" w:themeColor="text1"/>
          <w:lang w:val="en-US"/>
        </w:rPr>
      </w:pPr>
      <w:r w:rsidRPr="001529C7">
        <w:rPr>
          <w:color w:val="000000" w:themeColor="text1"/>
          <w:lang w:val="en"/>
        </w:rPr>
        <w:t>With that , due to different conditions of market access, qualification requirements, regulatory regulations for airlines, domestic and international air transportation cannot be considered as one commodity market.</w:t>
      </w:r>
    </w:p>
    <w:p w14:paraId="6ECDCFFA" w14:textId="77777777" w:rsidR="00F85F2F" w:rsidRPr="00A57506" w:rsidRDefault="004C4BA9" w:rsidP="00F85F2F">
      <w:pPr>
        <w:rPr>
          <w:i/>
          <w:lang w:val="en-US"/>
        </w:rPr>
      </w:pPr>
      <w:r w:rsidRPr="001529C7">
        <w:rPr>
          <w:lang w:val="en"/>
        </w:rPr>
        <w:t xml:space="preserve">Regular </w:t>
      </w:r>
      <w:r w:rsidRPr="001529C7">
        <w:rPr>
          <w:i/>
          <w:iCs/>
          <w:sz w:val="24"/>
          <w:szCs w:val="24"/>
          <w:lang w:val="en"/>
        </w:rPr>
        <w:t>(domestic)</w:t>
      </w:r>
      <w:r w:rsidRPr="001529C7">
        <w:rPr>
          <w:lang w:val="en"/>
        </w:rPr>
        <w:t xml:space="preserve"> passenger air transportation services are regulated by Law </w:t>
      </w:r>
      <w:r w:rsidRPr="001529C7">
        <w:rPr>
          <w:b/>
          <w:bCs/>
          <w:lang w:val="en"/>
        </w:rPr>
        <w:t>"</w:t>
      </w:r>
      <w:r w:rsidRPr="001529C7">
        <w:rPr>
          <w:rStyle w:val="s1"/>
          <w:b w:val="0"/>
          <w:bCs w:val="0"/>
          <w:sz w:val="28"/>
          <w:szCs w:val="28"/>
          <w:lang w:val="en"/>
        </w:rPr>
        <w:t>On Use of Air Space of the Republic of Kazakhstan and Aviation Activity</w:t>
      </w:r>
      <w:r w:rsidRPr="001529C7">
        <w:rPr>
          <w:b/>
          <w:bCs/>
          <w:lang w:val="en"/>
        </w:rPr>
        <w:t>"</w:t>
      </w:r>
      <w:r w:rsidRPr="001529C7">
        <w:rPr>
          <w:i/>
          <w:sz w:val="24"/>
          <w:szCs w:val="24"/>
          <w:lang w:val="en"/>
        </w:rPr>
        <w:t xml:space="preserve"> (hereinafter referred to as the Law)</w:t>
      </w:r>
      <w:r w:rsidRPr="001529C7">
        <w:rPr>
          <w:lang w:val="en"/>
        </w:rPr>
        <w:t xml:space="preserve"> and relevant by–laws. </w:t>
      </w:r>
    </w:p>
    <w:p w14:paraId="68B08B26" w14:textId="77777777" w:rsidR="00225B66" w:rsidRPr="00A57506" w:rsidRDefault="004C4BA9" w:rsidP="00225B66">
      <w:pPr>
        <w:rPr>
          <w:color w:val="000000"/>
          <w:lang w:val="en-US"/>
        </w:rPr>
      </w:pPr>
      <w:r>
        <w:rPr>
          <w:lang w:val="en"/>
        </w:rPr>
        <w:t xml:space="preserve">Results of analysis, as well as calculation of coefficient and market concentration showed that market for passenger air transportation services by regular </w:t>
      </w:r>
      <w:r w:rsidR="00F85F2F" w:rsidRPr="00225B66">
        <w:rPr>
          <w:i/>
          <w:sz w:val="24"/>
          <w:lang w:val="en"/>
        </w:rPr>
        <w:t>(domestic)</w:t>
      </w:r>
      <w:r>
        <w:rPr>
          <w:lang w:val="en"/>
        </w:rPr>
        <w:t xml:space="preserve"> flights for analyzed period belongs to 1 type of market – highly </w:t>
      </w:r>
      <w:r w:rsidR="00F85F2F" w:rsidRPr="00225B66">
        <w:rPr>
          <w:b/>
          <w:i/>
          <w:lang w:val="en"/>
        </w:rPr>
        <w:t>concentrated</w:t>
      </w:r>
      <w:r>
        <w:rPr>
          <w:lang w:val="en"/>
        </w:rPr>
        <w:t xml:space="preserve"> with insufficiently developed competition. </w:t>
      </w:r>
    </w:p>
    <w:p w14:paraId="57D72F35" w14:textId="7CAF3C87" w:rsidR="00F85F2F" w:rsidRPr="00A57506" w:rsidRDefault="004C4BA9" w:rsidP="00225B66">
      <w:pPr>
        <w:rPr>
          <w:lang w:val="en-US"/>
        </w:rPr>
      </w:pPr>
      <w:r>
        <w:rPr>
          <w:color w:val="000000"/>
          <w:lang w:val="en"/>
        </w:rPr>
        <w:t>In addition to the above, the main share in this market is occupied by</w:t>
      </w:r>
      <w:r w:rsidRPr="001529C7">
        <w:rPr>
          <w:bCs/>
          <w:lang w:val="en"/>
        </w:rPr>
        <w:t xml:space="preserve"> "AirAstana" JSC and Fly Arystan, "Qazaq Air" JSC, "SCAT" JSC, while 2 companies belong to "National Welfare Fund "Samruk-Kazyna" JSC. In turn, FlyArystan is a division of "AirAstana" JSC </w:t>
      </w:r>
      <w:r w:rsidRPr="00225B66">
        <w:rPr>
          <w:i/>
          <w:sz w:val="24"/>
          <w:lang w:val="en"/>
        </w:rPr>
        <w:t>(51% shares belong to "NWF Samruk Kazyna" JSC)</w:t>
      </w:r>
      <w:r w:rsidRPr="001529C7">
        <w:rPr>
          <w:i/>
          <w:lang w:val="en"/>
        </w:rPr>
        <w:t>,</w:t>
      </w:r>
      <w:r w:rsidRPr="001529C7">
        <w:rPr>
          <w:bCs/>
          <w:lang w:val="en"/>
        </w:rPr>
        <w:t xml:space="preserve"> created </w:t>
      </w:r>
      <w:r w:rsidRPr="00225B66">
        <w:rPr>
          <w:b/>
          <w:lang w:val="en"/>
        </w:rPr>
        <w:t>according to the low-cost carrier system</w:t>
      </w:r>
      <w:r w:rsidRPr="001529C7">
        <w:rPr>
          <w:bCs/>
          <w:lang w:val="en"/>
        </w:rPr>
        <w:t xml:space="preserve">, carries out regular transportation without being a legal entity. Thus, we believe that presence of airlines </w:t>
      </w:r>
      <w:r w:rsidRPr="00225B66">
        <w:rPr>
          <w:b/>
          <w:lang w:val="en"/>
        </w:rPr>
        <w:t>with state participation</w:t>
      </w:r>
      <w:r w:rsidRPr="001529C7">
        <w:rPr>
          <w:bCs/>
          <w:lang w:val="en"/>
        </w:rPr>
        <w:t xml:space="preserve"> leads to decrease in competition between market participants, absence of interest from foreign investors, that generally negatively affects competition. </w:t>
      </w:r>
    </w:p>
    <w:p w14:paraId="753AEE80" w14:textId="77777777" w:rsidR="00F85F2F" w:rsidRPr="00A57506" w:rsidRDefault="004C4BA9" w:rsidP="00225B66">
      <w:pPr>
        <w:pStyle w:val="NoSpacing"/>
        <w:rPr>
          <w:szCs w:val="28"/>
          <w:lang w:val="en-US"/>
        </w:rPr>
      </w:pPr>
      <w:r w:rsidRPr="001529C7">
        <w:rPr>
          <w:szCs w:val="28"/>
          <w:lang w:val="en"/>
        </w:rPr>
        <w:t xml:space="preserve">On December 30, 2015, the Government adopted a resolution "On some issues of privatization </w:t>
      </w:r>
      <w:r w:rsidRPr="00225B66">
        <w:rPr>
          <w:b/>
          <w:szCs w:val="28"/>
          <w:lang w:val="en"/>
        </w:rPr>
        <w:t>for 2016-2020"</w:t>
      </w:r>
      <w:r w:rsidRPr="001529C7">
        <w:rPr>
          <w:szCs w:val="28"/>
          <w:lang w:val="en"/>
        </w:rPr>
        <w:t xml:space="preserve">, in which </w:t>
      </w:r>
      <w:r w:rsidRPr="00225B66">
        <w:rPr>
          <w:b/>
          <w:szCs w:val="28"/>
          <w:lang w:val="en"/>
        </w:rPr>
        <w:t xml:space="preserve">sale of "Qazaq Air" JSC and "AirAstana" JSC </w:t>
      </w:r>
      <w:r w:rsidRPr="001529C7">
        <w:rPr>
          <w:szCs w:val="28"/>
          <w:lang w:val="en"/>
        </w:rPr>
        <w:t xml:space="preserve"> is planned as a priority. With that, these airlines were not sold, and therefore they were included in the Comprehensive Privatization Plan </w:t>
      </w:r>
      <w:r w:rsidRPr="00225B66">
        <w:rPr>
          <w:b/>
          <w:szCs w:val="28"/>
          <w:lang w:val="en"/>
        </w:rPr>
        <w:t>for 2021-2025, approved by Government Decree No. 908 of December 29, 2020</w:t>
      </w:r>
      <w:r w:rsidRPr="001529C7">
        <w:rPr>
          <w:szCs w:val="28"/>
          <w:lang w:val="en"/>
        </w:rPr>
        <w:t xml:space="preserve">,  deadline for sale of airlines was </w:t>
      </w:r>
      <w:r w:rsidRPr="00225B66">
        <w:rPr>
          <w:b/>
          <w:szCs w:val="28"/>
          <w:lang w:val="en"/>
        </w:rPr>
        <w:t>postponed</w:t>
      </w:r>
      <w:r w:rsidRPr="001529C7">
        <w:rPr>
          <w:szCs w:val="28"/>
          <w:lang w:val="en"/>
        </w:rPr>
        <w:t xml:space="preserve"> due to pandemic, also within the framework of this comprehensive plan.</w:t>
      </w:r>
    </w:p>
    <w:p w14:paraId="70DC9411" w14:textId="77777777" w:rsidR="00F85F2F" w:rsidRPr="00A57506" w:rsidRDefault="004C4BA9" w:rsidP="00225B66">
      <w:pPr>
        <w:pStyle w:val="NoSpacing"/>
        <w:rPr>
          <w:szCs w:val="28"/>
          <w:lang w:val="en-US"/>
        </w:rPr>
      </w:pPr>
      <w:r w:rsidRPr="001529C7">
        <w:rPr>
          <w:szCs w:val="28"/>
          <w:lang w:val="en"/>
        </w:rPr>
        <w:t xml:space="preserve">In addition, in 2018, AirAstana JSC </w:t>
      </w:r>
      <w:r w:rsidRPr="00225B66">
        <w:rPr>
          <w:b/>
          <w:szCs w:val="28"/>
          <w:lang w:val="en"/>
        </w:rPr>
        <w:t>created Fly Arystan division</w:t>
      </w:r>
      <w:r w:rsidRPr="001529C7">
        <w:rPr>
          <w:szCs w:val="28"/>
          <w:lang w:val="en"/>
        </w:rPr>
        <w:t xml:space="preserve"> as a low-cost carrier. To date, Fly Arystan has </w:t>
      </w:r>
      <w:r w:rsidRPr="00225B66">
        <w:rPr>
          <w:b/>
          <w:szCs w:val="28"/>
          <w:lang w:val="en"/>
        </w:rPr>
        <w:t>not been singled out as a separate legal entity</w:t>
      </w:r>
      <w:r w:rsidRPr="001529C7">
        <w:rPr>
          <w:szCs w:val="28"/>
          <w:lang w:val="en"/>
        </w:rPr>
        <w:t xml:space="preserve"> and does not have a certificate of civil aircraft operator. Fly Arystan operates in the structure of "AirAstana"  JSC and does </w:t>
      </w:r>
      <w:r w:rsidRPr="00225B66">
        <w:rPr>
          <w:b/>
          <w:szCs w:val="28"/>
          <w:lang w:val="en"/>
        </w:rPr>
        <w:t>not keep separate records</w:t>
      </w:r>
      <w:r w:rsidRPr="001529C7">
        <w:rPr>
          <w:szCs w:val="28"/>
          <w:lang w:val="en"/>
        </w:rPr>
        <w:t xml:space="preserve"> of expenditure and </w:t>
      </w:r>
      <w:r w:rsidRPr="001529C7">
        <w:rPr>
          <w:szCs w:val="28"/>
          <w:lang w:val="en"/>
        </w:rPr>
        <w:lastRenderedPageBreak/>
        <w:t xml:space="preserve">revenue, and accordingly there is no transparency in activities of the airline and its division, including </w:t>
      </w:r>
      <w:r w:rsidR="00225B66" w:rsidRPr="00225B66">
        <w:rPr>
          <w:b/>
          <w:szCs w:val="28"/>
          <w:lang w:val="en"/>
        </w:rPr>
        <w:t>pricing issues</w:t>
      </w:r>
      <w:r w:rsidRPr="001529C7">
        <w:rPr>
          <w:szCs w:val="28"/>
          <w:lang w:val="en"/>
        </w:rPr>
        <w:t>.</w:t>
      </w:r>
    </w:p>
    <w:p w14:paraId="59293BD9" w14:textId="77777777" w:rsidR="00F85F2F" w:rsidRPr="00A57506" w:rsidRDefault="004C4BA9" w:rsidP="00225B66">
      <w:pPr>
        <w:rPr>
          <w:b/>
          <w:bCs/>
          <w:i/>
          <w:iCs/>
          <w:lang w:val="en-US"/>
        </w:rPr>
      </w:pPr>
      <w:r w:rsidRPr="001529C7">
        <w:rPr>
          <w:b/>
          <w:bCs/>
          <w:i/>
          <w:iCs/>
          <w:lang w:val="en"/>
        </w:rPr>
        <w:t>Pricing</w:t>
      </w:r>
    </w:p>
    <w:p w14:paraId="1DE9CE6C" w14:textId="63A57713" w:rsidR="00F85F2F" w:rsidRPr="00A57506" w:rsidRDefault="004C4BA9" w:rsidP="00225B66">
      <w:pPr>
        <w:pStyle w:val="NoSpacing"/>
        <w:rPr>
          <w:szCs w:val="28"/>
          <w:lang w:val="en-US"/>
        </w:rPr>
      </w:pPr>
      <w:r w:rsidRPr="001529C7">
        <w:rPr>
          <w:szCs w:val="28"/>
          <w:lang w:val="en"/>
        </w:rPr>
        <w:t xml:space="preserve">In October 2015, domestic passenger air transportation market was withdrawn from state regulation. Currently, ticket prices for airlines of the Republic of Kazakhstan are formed on the basis of market pricing mechanisms based on demand and user data, </w:t>
      </w:r>
      <w:r w:rsidR="003263B8" w:rsidRPr="001529C7">
        <w:rPr>
          <w:szCs w:val="28"/>
          <w:lang w:val="en"/>
        </w:rPr>
        <w:t>i.e.,</w:t>
      </w:r>
      <w:r w:rsidRPr="001529C7">
        <w:rPr>
          <w:szCs w:val="28"/>
          <w:lang w:val="en"/>
        </w:rPr>
        <w:t xml:space="preserve"> </w:t>
      </w:r>
      <w:r w:rsidRPr="00C1773E">
        <w:rPr>
          <w:b/>
          <w:szCs w:val="28"/>
          <w:lang w:val="en"/>
        </w:rPr>
        <w:t>dynamic pricing</w:t>
      </w:r>
      <w:r w:rsidRPr="001529C7">
        <w:rPr>
          <w:szCs w:val="28"/>
          <w:lang w:val="en"/>
        </w:rPr>
        <w:t xml:space="preserve"> is used, in which prices can remain at the same level, increase and decrease depending on demand, advance ticket purchase, day of the week when flight is performed, flight departure time, etc.</w:t>
      </w:r>
    </w:p>
    <w:p w14:paraId="2DA0CFDD" w14:textId="77777777" w:rsidR="00F85F2F" w:rsidRPr="00A57506" w:rsidRDefault="004C4BA9" w:rsidP="00225B66">
      <w:pPr>
        <w:pStyle w:val="NoSpacing"/>
        <w:rPr>
          <w:szCs w:val="28"/>
          <w:lang w:val="en-US"/>
        </w:rPr>
      </w:pPr>
      <w:r w:rsidRPr="001529C7">
        <w:rPr>
          <w:szCs w:val="28"/>
          <w:lang w:val="en"/>
        </w:rPr>
        <w:t xml:space="preserve">Prices for air transportation are formed depending on level of loading, and therefore, </w:t>
      </w:r>
      <w:r w:rsidRPr="00C1773E">
        <w:rPr>
          <w:b/>
          <w:szCs w:val="28"/>
          <w:lang w:val="en"/>
        </w:rPr>
        <w:t>minimum</w:t>
      </w:r>
      <w:r w:rsidRPr="001529C7">
        <w:rPr>
          <w:szCs w:val="28"/>
          <w:lang w:val="en"/>
        </w:rPr>
        <w:t xml:space="preserve"> and </w:t>
      </w:r>
      <w:r w:rsidRPr="00C1773E">
        <w:rPr>
          <w:b/>
          <w:szCs w:val="28"/>
          <w:lang w:val="en"/>
        </w:rPr>
        <w:t>maximum</w:t>
      </w:r>
      <w:r w:rsidRPr="001529C7">
        <w:rPr>
          <w:szCs w:val="28"/>
          <w:lang w:val="en"/>
        </w:rPr>
        <w:t xml:space="preserve"> fares per adult passenger are possible on one flight, depending on class, direction and conditions of purchase </w:t>
      </w:r>
      <w:r w:rsidRPr="00C1773E">
        <w:rPr>
          <w:i/>
          <w:iCs/>
          <w:sz w:val="24"/>
          <w:szCs w:val="28"/>
          <w:lang w:val="en"/>
        </w:rPr>
        <w:t>(date of purchase, availability of restrictions on return and rebooking, etc.)</w:t>
      </w:r>
      <w:r w:rsidRPr="001529C7">
        <w:rPr>
          <w:i/>
          <w:iCs/>
          <w:szCs w:val="28"/>
          <w:lang w:val="en"/>
        </w:rPr>
        <w:t>.</w:t>
      </w:r>
      <w:r w:rsidRPr="001529C7">
        <w:rPr>
          <w:szCs w:val="28"/>
          <w:lang w:val="en"/>
        </w:rPr>
        <w:t xml:space="preserve"> The purchase of air tickets at a lower price is possible in cases of advance purchase, purchase of a round-trip ticket, acceptance of restrictions on flights availability, refund and rebooking.</w:t>
      </w:r>
    </w:p>
    <w:p w14:paraId="0D5327D5" w14:textId="77777777" w:rsidR="00F85F2F" w:rsidRPr="00A57506" w:rsidRDefault="004C4BA9" w:rsidP="00225B66">
      <w:pPr>
        <w:rPr>
          <w:lang w:val="en-US"/>
        </w:rPr>
      </w:pPr>
      <w:r w:rsidRPr="001529C7">
        <w:rPr>
          <w:lang w:val="en"/>
        </w:rPr>
        <w:t xml:space="preserve">According to "dynamic pricing" principle, prices for air tickets should be formed taking into account sales dynamics, historical data on flights, prices, level of demand, prices of other carriers and only </w:t>
      </w:r>
      <w:r w:rsidRPr="00C1773E">
        <w:rPr>
          <w:b/>
          <w:lang w:val="en"/>
        </w:rPr>
        <w:t>under conditions of existing competition</w:t>
      </w:r>
      <w:r w:rsidRPr="001529C7">
        <w:rPr>
          <w:lang w:val="en"/>
        </w:rPr>
        <w:t>.</w:t>
      </w:r>
    </w:p>
    <w:p w14:paraId="4A2BC1FD" w14:textId="77777777" w:rsidR="00F85F2F" w:rsidRPr="00A57506" w:rsidRDefault="004C4BA9" w:rsidP="00225B66">
      <w:pPr>
        <w:rPr>
          <w:lang w:val="en-US"/>
        </w:rPr>
      </w:pPr>
      <w:r>
        <w:rPr>
          <w:lang w:val="en"/>
        </w:rPr>
        <w:t>In 2021, "AirAstana" JSC adopted declaration on transparency with the following mandatory conditions:</w:t>
      </w:r>
    </w:p>
    <w:p w14:paraId="0BBDD5D0" w14:textId="77777777" w:rsidR="00F85F2F" w:rsidRPr="00A57506" w:rsidRDefault="004C4BA9" w:rsidP="00225B66">
      <w:pPr>
        <w:rPr>
          <w:lang w:val="en-US"/>
        </w:rPr>
      </w:pPr>
      <w:r w:rsidRPr="001529C7">
        <w:rPr>
          <w:lang w:val="en"/>
        </w:rPr>
        <w:t xml:space="preserve">1) reduction of maximum prices </w:t>
      </w:r>
      <w:r w:rsidRPr="00C1773E">
        <w:rPr>
          <w:b/>
          <w:lang w:val="en"/>
        </w:rPr>
        <w:t>by 10%</w:t>
      </w:r>
      <w:r w:rsidRPr="001529C7">
        <w:rPr>
          <w:lang w:val="en"/>
        </w:rPr>
        <w:t xml:space="preserve"> for domestic routes, while maintaining stable prices until May 1, 2022;</w:t>
      </w:r>
    </w:p>
    <w:p w14:paraId="0CC04A4F" w14:textId="77777777" w:rsidR="00F85F2F" w:rsidRPr="00A57506" w:rsidRDefault="004C4BA9" w:rsidP="00225B66">
      <w:pPr>
        <w:rPr>
          <w:lang w:val="en-US"/>
        </w:rPr>
      </w:pPr>
      <w:r w:rsidRPr="001529C7">
        <w:rPr>
          <w:lang w:val="en"/>
        </w:rPr>
        <w:t xml:space="preserve">2) selling at </w:t>
      </w:r>
      <w:r w:rsidRPr="00C1773E">
        <w:rPr>
          <w:b/>
          <w:lang w:val="en"/>
        </w:rPr>
        <w:t>least 70%</w:t>
      </w:r>
      <w:r w:rsidRPr="001529C7">
        <w:rPr>
          <w:lang w:val="en"/>
        </w:rPr>
        <w:t xml:space="preserve"> of tickets at prices below average;</w:t>
      </w:r>
    </w:p>
    <w:p w14:paraId="47EF5F96" w14:textId="77777777" w:rsidR="00F85F2F" w:rsidRPr="00A57506" w:rsidRDefault="004C4BA9" w:rsidP="00225B66">
      <w:pPr>
        <w:rPr>
          <w:lang w:val="en-US"/>
        </w:rPr>
      </w:pPr>
      <w:r w:rsidRPr="001529C7">
        <w:rPr>
          <w:lang w:val="en"/>
        </w:rPr>
        <w:t xml:space="preserve">3) possibility of choosing fare group </w:t>
      </w:r>
      <w:r w:rsidRPr="00C1773E">
        <w:rPr>
          <w:b/>
          <w:lang w:val="en"/>
        </w:rPr>
        <w:t>without luggage</w:t>
      </w:r>
      <w:r w:rsidRPr="001529C7">
        <w:rPr>
          <w:lang w:val="en"/>
        </w:rPr>
        <w:t>.</w:t>
      </w:r>
    </w:p>
    <w:p w14:paraId="4532E1BF" w14:textId="77777777" w:rsidR="00F85F2F" w:rsidRPr="00A57506" w:rsidRDefault="004C4BA9" w:rsidP="00225B66">
      <w:pPr>
        <w:rPr>
          <w:lang w:val="en-US"/>
        </w:rPr>
      </w:pPr>
      <w:r w:rsidRPr="001529C7">
        <w:rPr>
          <w:lang w:val="en"/>
        </w:rPr>
        <w:t xml:space="preserve">In 2022, after expiration of terms stipulated in the declaration, according to the results of the monitoring, there is an increase in prices. Price monitoring was carried out in 43 routes performed by airlines. So, for example, main directions showed the following </w:t>
      </w:r>
      <w:r w:rsidR="00C1773E" w:rsidRPr="00C1773E">
        <w:rPr>
          <w:i/>
          <w:sz w:val="24"/>
          <w:lang w:val="en"/>
        </w:rPr>
        <w:t>(compared to the first quarter of 2021 and the first quarter of 2022)</w:t>
      </w:r>
      <w:r w:rsidRPr="001529C7">
        <w:rPr>
          <w:lang w:val="en"/>
        </w:rPr>
        <w:t>:</w:t>
      </w:r>
    </w:p>
    <w:p w14:paraId="4C0B3793" w14:textId="77777777" w:rsidR="00F85F2F" w:rsidRPr="00DB6ACF" w:rsidRDefault="004C4BA9" w:rsidP="00901D92">
      <w:pPr>
        <w:pStyle w:val="TableParagraph"/>
        <w:numPr>
          <w:ilvl w:val="0"/>
          <w:numId w:val="10"/>
        </w:numPr>
        <w:ind w:left="0" w:firstLine="567"/>
        <w:jc w:val="both"/>
        <w:rPr>
          <w:bCs/>
          <w:sz w:val="28"/>
          <w:szCs w:val="24"/>
        </w:rPr>
      </w:pPr>
      <w:r w:rsidRPr="00C1773E">
        <w:rPr>
          <w:bCs/>
          <w:sz w:val="28"/>
          <w:szCs w:val="24"/>
          <w:lang w:val="en"/>
        </w:rPr>
        <w:t>Almaty - Astana - Almaty, growth - 45%;</w:t>
      </w:r>
    </w:p>
    <w:p w14:paraId="655FDE6A" w14:textId="77777777" w:rsidR="00F85F2F" w:rsidRPr="00C1773E" w:rsidRDefault="004C4BA9" w:rsidP="00901D92">
      <w:pPr>
        <w:pStyle w:val="TableParagraph"/>
        <w:numPr>
          <w:ilvl w:val="0"/>
          <w:numId w:val="10"/>
        </w:numPr>
        <w:ind w:left="0" w:firstLine="567"/>
        <w:jc w:val="both"/>
        <w:rPr>
          <w:bCs/>
          <w:sz w:val="28"/>
          <w:szCs w:val="24"/>
        </w:rPr>
      </w:pPr>
      <w:r w:rsidRPr="00DB6ACF">
        <w:rPr>
          <w:bCs/>
          <w:sz w:val="28"/>
          <w:szCs w:val="24"/>
          <w:lang w:val="en"/>
        </w:rPr>
        <w:t>Shymkent - Astana - Shymkent, growth - 49%;</w:t>
      </w:r>
    </w:p>
    <w:p w14:paraId="29E46472" w14:textId="77777777" w:rsidR="00F85F2F" w:rsidRPr="00C13D40" w:rsidRDefault="004C4BA9" w:rsidP="00901D92">
      <w:pPr>
        <w:pStyle w:val="TableParagraph"/>
        <w:numPr>
          <w:ilvl w:val="0"/>
          <w:numId w:val="10"/>
        </w:numPr>
        <w:ind w:left="0" w:firstLine="567"/>
        <w:jc w:val="both"/>
        <w:rPr>
          <w:bCs/>
          <w:sz w:val="28"/>
          <w:szCs w:val="24"/>
          <w:lang w:val="kk-KZ"/>
        </w:rPr>
      </w:pPr>
      <w:r w:rsidRPr="00C1773E">
        <w:rPr>
          <w:bCs/>
          <w:sz w:val="28"/>
          <w:szCs w:val="24"/>
          <w:lang w:val="en"/>
        </w:rPr>
        <w:t>Shymkent - Almaty - Shymkent, growth - 48%.</w:t>
      </w:r>
    </w:p>
    <w:p w14:paraId="39EE3E62" w14:textId="77777777" w:rsidR="00F85F2F" w:rsidRPr="00A57506" w:rsidRDefault="004C4BA9" w:rsidP="00225B66">
      <w:pPr>
        <w:rPr>
          <w:lang w:val="en-US"/>
        </w:rPr>
      </w:pPr>
      <w:r w:rsidRPr="00C13D40">
        <w:rPr>
          <w:lang w:val="en"/>
        </w:rPr>
        <w:t xml:space="preserve">With that, taking into account increase in passenger turnover, use of dynamic pricing by airlines </w:t>
      </w:r>
      <w:r w:rsidR="00C1773E" w:rsidRPr="00C1773E">
        <w:rPr>
          <w:b/>
          <w:lang w:val="en"/>
        </w:rPr>
        <w:t>in duopoly structure of the market</w:t>
      </w:r>
      <w:r w:rsidRPr="00C13D40">
        <w:rPr>
          <w:lang w:val="en"/>
        </w:rPr>
        <w:t xml:space="preserve"> provides an opportunity to maximize revenue. </w:t>
      </w:r>
    </w:p>
    <w:p w14:paraId="03DC0EB2" w14:textId="77777777" w:rsidR="00F85F2F" w:rsidRPr="00A57506" w:rsidRDefault="00F85F2F" w:rsidP="00F85F2F">
      <w:pPr>
        <w:rPr>
          <w:sz w:val="24"/>
          <w:szCs w:val="24"/>
          <w:lang w:val="en-US"/>
        </w:rPr>
      </w:pPr>
    </w:p>
    <w:p w14:paraId="2C2C7504" w14:textId="77777777" w:rsidR="00F85F2F" w:rsidRPr="001529C7" w:rsidRDefault="004C4BA9" w:rsidP="00FD2E7A">
      <w:pPr>
        <w:ind w:firstLine="0"/>
      </w:pPr>
      <w:r w:rsidRPr="001529C7">
        <w:rPr>
          <w:noProof/>
        </w:rPr>
        <w:lastRenderedPageBreak/>
        <w:drawing>
          <wp:inline distT="0" distB="0" distL="0" distR="0" wp14:anchorId="38F046B7" wp14:editId="74D59C44">
            <wp:extent cx="5986732" cy="2352675"/>
            <wp:effectExtent l="0" t="0" r="0" b="0"/>
            <wp:docPr id="31" name="Диаграмма 31">
              <a:extLst xmlns:a="http://schemas.openxmlformats.org/drawingml/2006/main">
                <a:ext uri="{FF2B5EF4-FFF2-40B4-BE49-F238E27FC236}">
                  <a16:creationId xmlns:a16="http://schemas.microsoft.com/office/drawing/2014/main" id="{529333EF-C312-4C33-97D0-78457A6C2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91F6B1" w14:textId="226A7538" w:rsidR="00FD2E7A" w:rsidRPr="00A57506" w:rsidRDefault="004C4BA9" w:rsidP="00FD2E7A">
      <w:pPr>
        <w:pStyle w:val="Caption"/>
        <w:spacing w:before="120"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13</w:t>
      </w:r>
      <w:r w:rsidRPr="001529C7">
        <w:rPr>
          <w:b w:val="0"/>
          <w:color w:val="000000" w:themeColor="text1"/>
          <w:sz w:val="28"/>
          <w:szCs w:val="28"/>
        </w:rPr>
        <w:fldChar w:fldCharType="end"/>
      </w:r>
      <w:r w:rsidRPr="001529C7">
        <w:rPr>
          <w:b w:val="0"/>
          <w:color w:val="000000" w:themeColor="text1"/>
          <w:sz w:val="28"/>
          <w:szCs w:val="28"/>
          <w:lang w:val="en"/>
        </w:rPr>
        <w:t>- Information on passenger traffic (thousand persons).</w:t>
      </w:r>
    </w:p>
    <w:p w14:paraId="3AB1AEC8" w14:textId="77777777" w:rsidR="00F85F2F" w:rsidRPr="00A57506" w:rsidRDefault="004C4BA9" w:rsidP="00FD2E7A">
      <w:pPr>
        <w:rPr>
          <w:b/>
          <w:bCs/>
          <w:lang w:val="en-US"/>
        </w:rPr>
      </w:pPr>
      <w:r>
        <w:rPr>
          <w:lang w:val="en"/>
        </w:rPr>
        <w:t xml:space="preserve">Dynamic pricing system of individual airlines during increased demand  period </w:t>
      </w:r>
      <w:r w:rsidRPr="00FD2E7A">
        <w:rPr>
          <w:b/>
          <w:lang w:val="en"/>
        </w:rPr>
        <w:t>blocks sale of free seats at cheaper fares</w:t>
      </w:r>
      <w:r>
        <w:rPr>
          <w:lang w:val="en"/>
        </w:rPr>
        <w:t xml:space="preserve"> in favor of tickets with a higher fare level. Thus, cases have been established when, during increased demand period, the largest volume </w:t>
      </w:r>
      <w:r w:rsidRPr="00FD2E7A">
        <w:rPr>
          <w:i/>
          <w:sz w:val="24"/>
          <w:lang w:val="en"/>
        </w:rPr>
        <w:t>(90%)</w:t>
      </w:r>
      <w:r>
        <w:rPr>
          <w:lang w:val="en"/>
        </w:rPr>
        <w:t xml:space="preserve"> of tickets is sold </w:t>
      </w:r>
      <w:r w:rsidRPr="00FD2E7A">
        <w:rPr>
          <w:b/>
          <w:lang w:val="en"/>
        </w:rPr>
        <w:t>at high tariffs</w:t>
      </w:r>
      <w:r>
        <w:rPr>
          <w:lang w:val="en"/>
        </w:rPr>
        <w:t>.</w:t>
      </w:r>
    </w:p>
    <w:p w14:paraId="4D8AF743" w14:textId="77777777" w:rsidR="00F85F2F" w:rsidRPr="00A57506" w:rsidRDefault="004C4BA9" w:rsidP="00FD2E7A">
      <w:pPr>
        <w:tabs>
          <w:tab w:val="clear" w:pos="567"/>
        </w:tabs>
        <w:rPr>
          <w:lang w:val="en-US"/>
        </w:rPr>
      </w:pPr>
      <w:r w:rsidRPr="001529C7">
        <w:rPr>
          <w:lang w:val="en"/>
        </w:rPr>
        <w:t xml:space="preserve">In ticket cost structure, one of the main costs is </w:t>
      </w:r>
      <w:r w:rsidRPr="004A3E7A">
        <w:rPr>
          <w:b/>
          <w:lang w:val="en"/>
        </w:rPr>
        <w:t>fuel</w:t>
      </w:r>
      <w:r w:rsidRPr="001529C7">
        <w:rPr>
          <w:lang w:val="en"/>
        </w:rPr>
        <w:t>, change in its price level significantly affects the final cost of the ticket for passengers.</w:t>
      </w:r>
    </w:p>
    <w:p w14:paraId="673C9F8D" w14:textId="77777777" w:rsidR="00F85F2F" w:rsidRPr="00A57506" w:rsidRDefault="004C4BA9" w:rsidP="00FD2E7A">
      <w:pPr>
        <w:rPr>
          <w:lang w:val="en-US"/>
        </w:rPr>
      </w:pPr>
      <w:r w:rsidRPr="001529C7">
        <w:rPr>
          <w:lang w:val="en"/>
        </w:rPr>
        <w:t>According to the Ministry of Energy, the maximum volume of domestic jet fuel production is about 650 thousand tons per annum. With that, consumption of jet fuel by domestic companies, taking into account the growth of traffic, is already over a million tons per annum. Accordingly, there is a shortage of jet fuel production.</w:t>
      </w:r>
    </w:p>
    <w:p w14:paraId="1BC1D8BD" w14:textId="77777777" w:rsidR="00F85F2F" w:rsidRPr="00A57506" w:rsidRDefault="004C4BA9" w:rsidP="00024B5C">
      <w:pPr>
        <w:rPr>
          <w:lang w:val="en-US"/>
        </w:rPr>
      </w:pPr>
      <w:r w:rsidRPr="001529C7">
        <w:rPr>
          <w:lang w:val="en"/>
        </w:rPr>
        <w:t xml:space="preserve">Today, in accordance with paragraph 9, Article 76 of the Law "On the Use of Airspace", </w:t>
      </w:r>
      <w:r w:rsidRPr="004A3E7A">
        <w:rPr>
          <w:b/>
          <w:lang w:val="en"/>
        </w:rPr>
        <w:t>airlines with state participation</w:t>
      </w:r>
      <w:r w:rsidRPr="001529C7">
        <w:rPr>
          <w:lang w:val="en"/>
        </w:rPr>
        <w:t xml:space="preserve">, in order to compensate for increase in cost of jet fuel during period of passenger transportation tariff validity, which cannot be taken into account when calculating tariff, collect </w:t>
      </w:r>
      <w:r w:rsidRPr="004A3E7A">
        <w:rPr>
          <w:b/>
          <w:lang w:val="en"/>
        </w:rPr>
        <w:t xml:space="preserve">fuel surcharge </w:t>
      </w:r>
      <w:r w:rsidRPr="001529C7">
        <w:rPr>
          <w:lang w:val="en"/>
        </w:rPr>
        <w:t>.</w:t>
      </w:r>
    </w:p>
    <w:p w14:paraId="76A48F71" w14:textId="77777777" w:rsidR="00F85F2F" w:rsidRPr="00A57506" w:rsidRDefault="004C4BA9" w:rsidP="00024B5C">
      <w:pPr>
        <w:rPr>
          <w:lang w:val="en-US"/>
        </w:rPr>
      </w:pPr>
      <w:r w:rsidRPr="001529C7">
        <w:rPr>
          <w:lang w:val="en"/>
        </w:rPr>
        <w:t>It should be noted that this rule was introduced during the period of regulation of prices for air tickets, in order to level constantly changing prices for jet fuel.</w:t>
      </w:r>
    </w:p>
    <w:p w14:paraId="221FD884" w14:textId="54DBEC90" w:rsidR="00F85F2F" w:rsidRPr="00A57506" w:rsidRDefault="004C4BA9" w:rsidP="00024B5C">
      <w:pPr>
        <w:rPr>
          <w:lang w:val="en-US"/>
        </w:rPr>
      </w:pPr>
      <w:r w:rsidRPr="001529C7">
        <w:rPr>
          <w:lang w:val="en"/>
        </w:rPr>
        <w:t xml:space="preserve">With that, the Ministry of Energy, together with the Ministry of Industry and Infrastructure Development, distributes produced jet fuel </w:t>
      </w:r>
      <w:r w:rsidRPr="004A3E7A">
        <w:rPr>
          <w:b/>
          <w:lang w:val="en"/>
        </w:rPr>
        <w:t>directly to airlines</w:t>
      </w:r>
      <w:r w:rsidR="00AF59F7">
        <w:rPr>
          <w:b/>
          <w:lang w:val="en"/>
        </w:rPr>
        <w:t xml:space="preserve"> </w:t>
      </w:r>
      <w:r w:rsidRPr="001529C7">
        <w:rPr>
          <w:lang w:val="en"/>
        </w:rPr>
        <w:t>in order to exclude intermediary services and ensure uninterrupted supply of jet fuel.</w:t>
      </w:r>
    </w:p>
    <w:p w14:paraId="3AC1FA2C" w14:textId="77777777" w:rsidR="00F85F2F" w:rsidRPr="00A57506" w:rsidRDefault="004C4BA9" w:rsidP="00024B5C">
      <w:pPr>
        <w:rPr>
          <w:bCs/>
          <w:lang w:val="en-US"/>
        </w:rPr>
      </w:pPr>
      <w:r w:rsidRPr="001529C7">
        <w:rPr>
          <w:bCs/>
          <w:lang w:val="en"/>
        </w:rPr>
        <w:t xml:space="preserve">The volatility of prices for jet fuel of "Petrosun" LLP in 2020 amounted to about 30% </w:t>
      </w:r>
      <w:r w:rsidRPr="001529C7">
        <w:rPr>
          <w:bCs/>
          <w:i/>
          <w:iCs/>
          <w:sz w:val="24"/>
          <w:szCs w:val="24"/>
          <w:lang w:val="en"/>
        </w:rPr>
        <w:t>(weighted average price of "Petrosun" LLP in January was 222,975.77 KZT, in December 160,000 KZT)</w:t>
      </w:r>
      <w:r w:rsidRPr="001529C7">
        <w:rPr>
          <w:bCs/>
          <w:lang w:val="en"/>
        </w:rPr>
        <w:t xml:space="preserve">, with that amount of fuel surcharge is </w:t>
      </w:r>
      <w:r w:rsidRPr="004A3E7A">
        <w:rPr>
          <w:b/>
          <w:bCs/>
          <w:lang w:val="en"/>
        </w:rPr>
        <w:t>not revised</w:t>
      </w:r>
      <w:r w:rsidRPr="001529C7">
        <w:rPr>
          <w:bCs/>
          <w:lang w:val="en"/>
        </w:rPr>
        <w:t xml:space="preserve"> by airlines.</w:t>
      </w:r>
    </w:p>
    <w:p w14:paraId="3EA748FE" w14:textId="77777777" w:rsidR="00024B5C" w:rsidRPr="00A57506" w:rsidRDefault="004C4BA9" w:rsidP="00024B5C">
      <w:pPr>
        <w:tabs>
          <w:tab w:val="left" w:pos="851"/>
        </w:tabs>
        <w:contextualSpacing/>
        <w:rPr>
          <w:rFonts w:eastAsia="Calibri"/>
          <w:b/>
          <w:i/>
          <w:iCs/>
          <w:lang w:val="en-US"/>
        </w:rPr>
      </w:pPr>
      <w:r w:rsidRPr="001529C7">
        <w:rPr>
          <w:rFonts w:eastAsia="Calibri"/>
          <w:b/>
          <w:i/>
          <w:iCs/>
          <w:lang w:val="en"/>
        </w:rPr>
        <w:t>Open Skies mode</w:t>
      </w:r>
    </w:p>
    <w:p w14:paraId="32A81E67" w14:textId="77777777" w:rsidR="00024B5C" w:rsidRPr="00A57506" w:rsidRDefault="004C4BA9" w:rsidP="00024B5C">
      <w:pPr>
        <w:tabs>
          <w:tab w:val="clear" w:pos="567"/>
        </w:tabs>
        <w:rPr>
          <w:lang w:val="en-US"/>
        </w:rPr>
      </w:pPr>
      <w:r w:rsidRPr="001529C7">
        <w:rPr>
          <w:lang w:val="en"/>
        </w:rPr>
        <w:t xml:space="preserve">In order to expand flight geography and increase number of international flights, the Ministry of Industry and Infrastructure Development has introduced "Open Sky" mode since November 1, 2019. </w:t>
      </w:r>
    </w:p>
    <w:p w14:paraId="76A31EFF" w14:textId="48D4AFD6" w:rsidR="00024B5C" w:rsidRPr="00A57506" w:rsidRDefault="004C4BA9" w:rsidP="00024B5C">
      <w:pPr>
        <w:tabs>
          <w:tab w:val="clear" w:pos="567"/>
        </w:tabs>
        <w:autoSpaceDE w:val="0"/>
        <w:autoSpaceDN w:val="0"/>
        <w:adjustRightInd w:val="0"/>
        <w:rPr>
          <w:i/>
          <w:iCs/>
          <w:lang w:val="en-US"/>
        </w:rPr>
      </w:pPr>
      <w:r w:rsidRPr="00024B5C">
        <w:rPr>
          <w:rFonts w:eastAsiaTheme="minorHAnsi"/>
          <w:b/>
          <w:i/>
          <w:iCs/>
          <w:sz w:val="24"/>
          <w:szCs w:val="24"/>
          <w:lang w:val="en" w:eastAsia="en-US"/>
        </w:rPr>
        <w:t>For reference</w:t>
      </w:r>
      <w:r w:rsidRPr="001529C7">
        <w:rPr>
          <w:rFonts w:eastAsiaTheme="minorHAnsi"/>
          <w:i/>
          <w:iCs/>
          <w:sz w:val="24"/>
          <w:szCs w:val="24"/>
          <w:lang w:val="en" w:eastAsia="en-US"/>
        </w:rPr>
        <w:t xml:space="preserve">: "Open Skies" is an international concept aimed at lifting restrictions and creating free market for this economy sector, </w:t>
      </w:r>
      <w:r w:rsidR="003263B8" w:rsidRPr="001529C7">
        <w:rPr>
          <w:rFonts w:eastAsiaTheme="minorHAnsi"/>
          <w:i/>
          <w:iCs/>
          <w:sz w:val="24"/>
          <w:szCs w:val="24"/>
          <w:lang w:val="en" w:eastAsia="en-US"/>
        </w:rPr>
        <w:t>i.e.,</w:t>
      </w:r>
      <w:r w:rsidRPr="001529C7">
        <w:rPr>
          <w:rFonts w:eastAsiaTheme="minorHAnsi"/>
          <w:i/>
          <w:iCs/>
          <w:sz w:val="24"/>
          <w:szCs w:val="24"/>
          <w:lang w:val="en" w:eastAsia="en-US"/>
        </w:rPr>
        <w:t xml:space="preserve"> conditions in air transportation market should be fair and equal to all participants, regardless of the country of origin.</w:t>
      </w:r>
    </w:p>
    <w:p w14:paraId="6AE904B6" w14:textId="77777777" w:rsidR="00024B5C" w:rsidRPr="00A57506" w:rsidRDefault="004C4BA9" w:rsidP="00024B5C">
      <w:pPr>
        <w:tabs>
          <w:tab w:val="clear" w:pos="567"/>
        </w:tabs>
        <w:rPr>
          <w:lang w:val="en-US"/>
        </w:rPr>
      </w:pPr>
      <w:r w:rsidRPr="001529C7">
        <w:rPr>
          <w:lang w:val="en"/>
        </w:rPr>
        <w:lastRenderedPageBreak/>
        <w:t xml:space="preserve">"Open skies" mode extended to </w:t>
      </w:r>
      <w:r w:rsidRPr="00024B5C">
        <w:rPr>
          <w:b/>
          <w:lang w:val="en"/>
        </w:rPr>
        <w:t>12 international airports</w:t>
      </w:r>
      <w:r w:rsidRPr="001529C7">
        <w:rPr>
          <w:lang w:val="en"/>
        </w:rPr>
        <w:t xml:space="preserve"> of Astana, Almaty, Taraz, Shymkent, Aktau, Semey, Karaganda, Ust-Kamenogorsk, Pavlodar, Petropavlovsk, Kokshetau and Turkestan, in 2022 the list also includes " Aktobe International Airport" JSC.</w:t>
      </w:r>
    </w:p>
    <w:p w14:paraId="08669F80" w14:textId="77777777" w:rsidR="00024B5C" w:rsidRPr="00A57506" w:rsidRDefault="004C4BA9" w:rsidP="00024B5C">
      <w:pPr>
        <w:tabs>
          <w:tab w:val="clear" w:pos="567"/>
        </w:tabs>
        <w:rPr>
          <w:lang w:val="en-US"/>
        </w:rPr>
      </w:pPr>
      <w:r>
        <w:rPr>
          <w:lang w:val="en"/>
        </w:rPr>
        <w:t xml:space="preserve">"Open skies" mode has been extended </w:t>
      </w:r>
      <w:r w:rsidRPr="00024B5C">
        <w:rPr>
          <w:b/>
          <w:lang w:val="en"/>
        </w:rPr>
        <w:t>until the end of 2027</w:t>
      </w:r>
      <w:r>
        <w:rPr>
          <w:lang w:val="en"/>
        </w:rPr>
        <w:t xml:space="preserve">. This regime provides for removal of all restrictions on number of flights and provision of </w:t>
      </w:r>
      <w:r w:rsidRPr="00024B5C">
        <w:rPr>
          <w:b/>
          <w:lang w:val="en"/>
        </w:rPr>
        <w:t>fifth degree</w:t>
      </w:r>
      <w:r>
        <w:rPr>
          <w:lang w:val="en"/>
        </w:rPr>
        <w:t xml:space="preserve"> of "air freedom" to foreign airlines on routes where Kazakh airlines do not operate. The fifth degree of "air freedom" implies flights of foreign airline through the cities of Kazakhstan to the cities of third countries.</w:t>
      </w:r>
    </w:p>
    <w:p w14:paraId="64019BD5" w14:textId="77777777" w:rsidR="00024B5C" w:rsidRPr="00A57506" w:rsidRDefault="004C4BA9" w:rsidP="00024B5C">
      <w:pPr>
        <w:tabs>
          <w:tab w:val="clear" w:pos="567"/>
        </w:tabs>
        <w:rPr>
          <w:lang w:val="en-US"/>
        </w:rPr>
      </w:pPr>
      <w:r w:rsidRPr="001529C7">
        <w:rPr>
          <w:lang w:val="en"/>
        </w:rPr>
        <w:t xml:space="preserve">Currently, the Republic of Kazakhstan is concluding  </w:t>
      </w:r>
      <w:r w:rsidRPr="00024B5C">
        <w:rPr>
          <w:b/>
          <w:lang w:val="en"/>
        </w:rPr>
        <w:t>bilateral</w:t>
      </w:r>
      <w:r w:rsidRPr="001529C7">
        <w:rPr>
          <w:lang w:val="en"/>
        </w:rPr>
        <w:t xml:space="preserve"> agreements between countries. According to Manual on the Regulation of International Air Transport No. 9626, approved by the International Civil Aviation Organization ICAO, there are </w:t>
      </w:r>
      <w:r w:rsidRPr="00024B5C">
        <w:rPr>
          <w:b/>
          <w:lang w:val="en"/>
        </w:rPr>
        <w:t>2 types of international agreements</w:t>
      </w:r>
      <w:r w:rsidRPr="001529C7">
        <w:rPr>
          <w:lang w:val="en"/>
        </w:rPr>
        <w:t>:</w:t>
      </w:r>
    </w:p>
    <w:p w14:paraId="2CC42C45" w14:textId="77777777" w:rsidR="00024B5C" w:rsidRPr="00A57506" w:rsidRDefault="004C4BA9" w:rsidP="00024B5C">
      <w:pPr>
        <w:tabs>
          <w:tab w:val="clear" w:pos="567"/>
        </w:tabs>
        <w:rPr>
          <w:lang w:val="en-US"/>
        </w:rPr>
      </w:pPr>
      <w:r w:rsidRPr="001529C7">
        <w:rPr>
          <w:lang w:val="en"/>
        </w:rPr>
        <w:t xml:space="preserve">- bilateral agreements </w:t>
      </w:r>
      <w:r w:rsidRPr="00024B5C">
        <w:rPr>
          <w:i/>
          <w:sz w:val="24"/>
          <w:lang w:val="en"/>
        </w:rPr>
        <w:t>(type 1)</w:t>
      </w:r>
      <w:r w:rsidRPr="001529C7">
        <w:rPr>
          <w:lang w:val="en"/>
        </w:rPr>
        <w:t>, that is, negotiations between two parties, most often between two sovereign states;</w:t>
      </w:r>
    </w:p>
    <w:p w14:paraId="7CE33080" w14:textId="0AA02EFE" w:rsidR="00024B5C" w:rsidRPr="00A57506" w:rsidRDefault="004C4BA9" w:rsidP="00024B5C">
      <w:pPr>
        <w:tabs>
          <w:tab w:val="clear" w:pos="567"/>
        </w:tabs>
        <w:rPr>
          <w:lang w:val="en-US"/>
        </w:rPr>
      </w:pPr>
      <w:r w:rsidRPr="001529C7">
        <w:rPr>
          <w:lang w:val="en"/>
        </w:rPr>
        <w:t xml:space="preserve">- multilateral agreements, </w:t>
      </w:r>
      <w:r w:rsidR="003263B8" w:rsidRPr="001529C7">
        <w:rPr>
          <w:lang w:val="en"/>
        </w:rPr>
        <w:t>i.e.,</w:t>
      </w:r>
      <w:r w:rsidRPr="001529C7">
        <w:rPr>
          <w:lang w:val="en"/>
        </w:rPr>
        <w:t xml:space="preserve"> agreements that may initially be bilateral, but with possibility of its expansion and additional parties ascending it </w:t>
      </w:r>
      <w:r w:rsidRPr="00024B5C">
        <w:rPr>
          <w:i/>
          <w:sz w:val="24"/>
          <w:lang w:val="en"/>
        </w:rPr>
        <w:t>(so-called "expanded bilateral")</w:t>
      </w:r>
      <w:r w:rsidRPr="001529C7">
        <w:rPr>
          <w:lang w:val="en"/>
        </w:rPr>
        <w:t xml:space="preserve">  or in which three or more parties may participate from the very beginning, but in both cases with participation of parties setting the same regulatory goals, which are not so typical that it would be possible to conduct typical multilateral negotiations on separate bilateral agreements.</w:t>
      </w:r>
    </w:p>
    <w:p w14:paraId="32C88BBF" w14:textId="77777777" w:rsidR="007513F3" w:rsidRPr="00A57506" w:rsidRDefault="004C4BA9" w:rsidP="00024B5C">
      <w:pPr>
        <w:tabs>
          <w:tab w:val="clear" w:pos="567"/>
        </w:tabs>
        <w:rPr>
          <w:lang w:val="en-US"/>
        </w:rPr>
      </w:pPr>
      <w:r w:rsidRPr="001529C7">
        <w:rPr>
          <w:lang w:val="en"/>
        </w:rPr>
        <w:t xml:space="preserve">According to research by International Civil Aviation Organization, </w:t>
      </w:r>
      <w:r w:rsidRPr="007513F3">
        <w:rPr>
          <w:b/>
          <w:lang w:val="en"/>
        </w:rPr>
        <w:t>multilateral agreements</w:t>
      </w:r>
      <w:r w:rsidRPr="001529C7">
        <w:rPr>
          <w:lang w:val="en"/>
        </w:rPr>
        <w:t xml:space="preserve"> would ensure development of airports and airlines. Airlines get the opportunity to launch new routes by expanding coverage of their global networks, and airports benefit from increased traffic volume and a greater choice of flight options for airport users, such as passengers. In the countries that signed the "open skies" agreements, five years after their signing, there is 17% increase in traffic volumes, and more than a third of this growth is accounted for by growth on new routes. </w:t>
      </w:r>
    </w:p>
    <w:p w14:paraId="52A5F1EE" w14:textId="77777777" w:rsidR="00024B5C" w:rsidRPr="001529C7" w:rsidRDefault="004C4BA9" w:rsidP="00024B5C">
      <w:pPr>
        <w:tabs>
          <w:tab w:val="clear" w:pos="567"/>
        </w:tabs>
        <w:rPr>
          <w:lang w:val="kk-KZ"/>
        </w:rPr>
      </w:pPr>
      <w:r w:rsidRPr="001529C7">
        <w:rPr>
          <w:lang w:val="en"/>
        </w:rPr>
        <w:t xml:space="preserve">Allowing carriers to use rights of fifth degree of "air freedom" would also </w:t>
      </w:r>
      <w:r w:rsidRPr="007513F3">
        <w:rPr>
          <w:b/>
          <w:lang w:val="en"/>
        </w:rPr>
        <w:t>diversify composition of airlines</w:t>
      </w:r>
      <w:r w:rsidRPr="001529C7">
        <w:rPr>
          <w:lang w:val="en"/>
        </w:rPr>
        <w:t xml:space="preserve"> operating in the market, giving users </w:t>
      </w:r>
      <w:r w:rsidRPr="007513F3">
        <w:rPr>
          <w:b/>
          <w:lang w:val="en"/>
        </w:rPr>
        <w:t>a wider choice</w:t>
      </w:r>
      <w:r w:rsidRPr="001529C7">
        <w:rPr>
          <w:lang w:val="en"/>
        </w:rPr>
        <w:t>. With that , according to the above recommendations, States can perform liberalization at the rate and in the ways that meet their needs and circumstances.</w:t>
      </w:r>
    </w:p>
    <w:p w14:paraId="433F259B" w14:textId="77777777" w:rsidR="00F85F2F" w:rsidRPr="00A57506" w:rsidRDefault="004C4BA9" w:rsidP="004A3E7A">
      <w:pPr>
        <w:rPr>
          <w:b/>
          <w:bCs/>
          <w:i/>
          <w:iCs/>
          <w:color w:val="000000" w:themeColor="text1"/>
          <w:lang w:val="en-US"/>
        </w:rPr>
      </w:pPr>
      <w:r w:rsidRPr="001529C7">
        <w:rPr>
          <w:b/>
          <w:bCs/>
          <w:i/>
          <w:iCs/>
          <w:color w:val="000000" w:themeColor="text1"/>
          <w:lang w:val="en"/>
        </w:rPr>
        <w:t>Conclusions, suggestions and recommendations on development of competition at commodity markets under consideration</w:t>
      </w:r>
    </w:p>
    <w:p w14:paraId="68928598" w14:textId="77777777" w:rsidR="00F85F2F" w:rsidRPr="00A57506" w:rsidRDefault="004C4BA9" w:rsidP="004A3E7A">
      <w:pPr>
        <w:tabs>
          <w:tab w:val="clear" w:pos="567"/>
        </w:tabs>
        <w:rPr>
          <w:lang w:val="en-US"/>
        </w:rPr>
      </w:pPr>
      <w:r>
        <w:rPr>
          <w:lang w:val="en"/>
        </w:rPr>
        <w:t>1) it is necessary to accelerate sale of state share in "QazaqAir" JSC and "AirAstana" JSC;</w:t>
      </w:r>
    </w:p>
    <w:p w14:paraId="581C13B3" w14:textId="77777777" w:rsidR="00F85F2F" w:rsidRPr="00A57506" w:rsidRDefault="004C4BA9" w:rsidP="004A3E7A">
      <w:pPr>
        <w:tabs>
          <w:tab w:val="clear" w:pos="567"/>
        </w:tabs>
        <w:rPr>
          <w:lang w:val="en-US"/>
        </w:rPr>
      </w:pPr>
      <w:r>
        <w:rPr>
          <w:lang w:val="en"/>
        </w:rPr>
        <w:t>2) prior to sale "AirAstana" JSC, it is necessary to single out FlyArystan as a separate market entity;</w:t>
      </w:r>
    </w:p>
    <w:p w14:paraId="482CA10E" w14:textId="77777777" w:rsidR="007513F3" w:rsidRPr="00A57506" w:rsidRDefault="004C4BA9" w:rsidP="007513F3">
      <w:pPr>
        <w:tabs>
          <w:tab w:val="clear" w:pos="567"/>
        </w:tabs>
        <w:rPr>
          <w:lang w:val="en-US"/>
        </w:rPr>
      </w:pPr>
      <w:r>
        <w:rPr>
          <w:lang w:val="en"/>
        </w:rPr>
        <w:t>3) eliminate restrictions on "open skies" mode for passenger flights "on routes that are not operated by designated Kazakhstani carriers", and also extend them to all international airports. Also, in order to strengthen competitiveness and improve quality of provided services, increase profitability of airports, it is proposed to gradually switch to long-term, multilateral agreements;</w:t>
      </w:r>
    </w:p>
    <w:p w14:paraId="732B668E" w14:textId="77777777" w:rsidR="00F85F2F" w:rsidRPr="00A57506" w:rsidRDefault="004C4BA9" w:rsidP="004A3E7A">
      <w:pPr>
        <w:tabs>
          <w:tab w:val="clear" w:pos="567"/>
        </w:tabs>
        <w:rPr>
          <w:lang w:val="en-US"/>
        </w:rPr>
      </w:pPr>
      <w:r>
        <w:rPr>
          <w:rFonts w:eastAsia="Calibri"/>
          <w:bCs/>
          <w:lang w:val="en"/>
        </w:rPr>
        <w:lastRenderedPageBreak/>
        <w:t>4) develop regulatory legal act regulating use of dynamic pricing in air transport;</w:t>
      </w:r>
    </w:p>
    <w:p w14:paraId="630A58EF" w14:textId="77777777" w:rsidR="00F85F2F" w:rsidRPr="00A57506" w:rsidRDefault="004C4BA9" w:rsidP="004A3E7A">
      <w:pPr>
        <w:pStyle w:val="ListParagraph"/>
        <w:tabs>
          <w:tab w:val="clear" w:pos="567"/>
        </w:tabs>
        <w:ind w:left="0"/>
        <w:rPr>
          <w:i/>
          <w:iCs/>
          <w:sz w:val="24"/>
          <w:szCs w:val="24"/>
          <w:lang w:val="en-US"/>
        </w:rPr>
      </w:pPr>
      <w:r w:rsidRPr="004A3E7A">
        <w:rPr>
          <w:rFonts w:eastAsia="Calibri"/>
          <w:b/>
          <w:bCs/>
          <w:i/>
          <w:iCs/>
          <w:sz w:val="24"/>
          <w:szCs w:val="24"/>
          <w:lang w:val="en"/>
        </w:rPr>
        <w:t>For reference</w:t>
      </w:r>
      <w:r w:rsidRPr="001529C7">
        <w:rPr>
          <w:i/>
          <w:iCs/>
          <w:sz w:val="24"/>
          <w:szCs w:val="24"/>
          <w:lang w:val="en"/>
        </w:rPr>
        <w:t>: The Agency has submitted a proposal to the Ministry of Industry and Infrastructure Development to amend Order No. 540 dated April 30, 2015 "On approval of the Rules for transportation of passengers, baggage and cargo by air transport", regarding regulation of dynamic pricing based on results of inspection, carried out by General Transport Prosecutor's Office.</w:t>
      </w:r>
    </w:p>
    <w:p w14:paraId="1F02B2B3" w14:textId="77777777" w:rsidR="00F85F2F" w:rsidRPr="00A57506" w:rsidRDefault="004C4BA9" w:rsidP="004A3E7A">
      <w:pPr>
        <w:pStyle w:val="ListParagraph"/>
        <w:tabs>
          <w:tab w:val="clear" w:pos="567"/>
        </w:tabs>
        <w:ind w:left="0"/>
        <w:rPr>
          <w:lang w:val="en-US"/>
        </w:rPr>
      </w:pPr>
      <w:r>
        <w:rPr>
          <w:lang w:val="en"/>
        </w:rPr>
        <w:t>5) introduce amendments to legislation providing for excluding collection of fuel surcharge .</w:t>
      </w:r>
    </w:p>
    <w:p w14:paraId="458E49C1" w14:textId="77777777" w:rsidR="004A3E7A" w:rsidRPr="00A57506" w:rsidRDefault="004C4BA9" w:rsidP="004A3E7A">
      <w:pPr>
        <w:pStyle w:val="ListParagraph"/>
        <w:tabs>
          <w:tab w:val="clear" w:pos="567"/>
        </w:tabs>
        <w:ind w:left="0"/>
        <w:rPr>
          <w:lang w:val="en-US"/>
        </w:rPr>
      </w:pPr>
      <w:r>
        <w:rPr>
          <w:lang w:val="en"/>
        </w:rPr>
        <w:t xml:space="preserve">The relevant proposals were reflected in </w:t>
      </w:r>
      <w:r w:rsidR="00024B5C" w:rsidRPr="00024B5C">
        <w:rPr>
          <w:b/>
          <w:lang w:val="en"/>
        </w:rPr>
        <w:t>Roadmap for the Development of Competition in Civil Aviation</w:t>
      </w:r>
      <w:r>
        <w:rPr>
          <w:lang w:val="en"/>
        </w:rPr>
        <w:t>, adopted by the Agency jointly with the Ministry of Industry and Infrastructure Development.</w:t>
      </w:r>
    </w:p>
    <w:p w14:paraId="7EB04AF3" w14:textId="77777777" w:rsidR="007513F3" w:rsidRPr="00A57506" w:rsidRDefault="004C4BA9" w:rsidP="007513F3">
      <w:pPr>
        <w:tabs>
          <w:tab w:val="left" w:pos="851"/>
        </w:tabs>
        <w:contextualSpacing/>
        <w:rPr>
          <w:rFonts w:eastAsia="Calibri"/>
          <w:b/>
          <w:i/>
          <w:iCs/>
          <w:lang w:val="en-US"/>
        </w:rPr>
      </w:pPr>
      <w:r w:rsidRPr="001529C7">
        <w:rPr>
          <w:rFonts w:eastAsia="Calibri"/>
          <w:b/>
          <w:i/>
          <w:iCs/>
          <w:lang w:val="en"/>
        </w:rPr>
        <w:t>Development of competition in the market of airport services</w:t>
      </w:r>
    </w:p>
    <w:p w14:paraId="4C384450"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 xml:space="preserve">There are </w:t>
      </w:r>
      <w:r w:rsidRPr="007513F3">
        <w:rPr>
          <w:rFonts w:eastAsia="Calibri"/>
          <w:b/>
          <w:bCs/>
          <w:lang w:val="en"/>
        </w:rPr>
        <w:t>20 airports</w:t>
      </w:r>
      <w:r w:rsidRPr="001529C7">
        <w:rPr>
          <w:rFonts w:eastAsia="Calibri"/>
          <w:bCs/>
          <w:lang w:val="en"/>
        </w:rPr>
        <w:t xml:space="preserve"> operating at the territory of the Republic of Kazakhstan, of which 6 are private, 11 are municipal and 3 are state-owned. </w:t>
      </w:r>
    </w:p>
    <w:p w14:paraId="25A18A9B" w14:textId="77777777" w:rsidR="007513F3" w:rsidRPr="00A57506" w:rsidRDefault="004C4BA9" w:rsidP="007513F3">
      <w:pPr>
        <w:tabs>
          <w:tab w:val="left" w:pos="851"/>
        </w:tabs>
        <w:contextualSpacing/>
        <w:rPr>
          <w:rFonts w:eastAsia="Calibri"/>
          <w:bCs/>
          <w:lang w:val="en-US"/>
        </w:rPr>
      </w:pPr>
      <w:r>
        <w:rPr>
          <w:rFonts w:eastAsia="Calibri"/>
          <w:bCs/>
          <w:lang w:val="en"/>
        </w:rPr>
        <w:t xml:space="preserve">The largest airports </w:t>
      </w:r>
      <w:r w:rsidRPr="00590BE1">
        <w:rPr>
          <w:rFonts w:eastAsia="Calibri"/>
          <w:bCs/>
          <w:i/>
          <w:sz w:val="24"/>
          <w:lang w:val="en"/>
        </w:rPr>
        <w:t xml:space="preserve"> (Astana, Almaty)</w:t>
      </w:r>
      <w:r>
        <w:rPr>
          <w:rFonts w:eastAsia="Calibri"/>
          <w:bCs/>
          <w:lang w:val="en"/>
        </w:rPr>
        <w:t xml:space="preserve">, due to the geographical location and conditions provided by aviation authorities and airports of other states, are in fierce competition with airports of neighboring states. </w:t>
      </w:r>
    </w:p>
    <w:p w14:paraId="414F121B" w14:textId="77777777" w:rsidR="007513F3" w:rsidRPr="001529C7" w:rsidRDefault="004C4BA9" w:rsidP="007513F3">
      <w:pPr>
        <w:tabs>
          <w:tab w:val="left" w:pos="851"/>
        </w:tabs>
        <w:contextualSpacing/>
        <w:rPr>
          <w:rFonts w:eastAsia="Calibri"/>
          <w:bCs/>
          <w:lang w:val="kk-KZ"/>
        </w:rPr>
      </w:pPr>
      <w:r w:rsidRPr="001529C7">
        <w:rPr>
          <w:lang w:val="en"/>
        </w:rPr>
        <w:t>Airports that have multifunctional industrial and public funds and act as natural monopolistic structures in air transportation market are at the same time completely dependent on this market. To date, 4 services belong to natural monopoly and 5 services belong to socially significant markets.</w:t>
      </w:r>
    </w:p>
    <w:p w14:paraId="11767FAF"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 xml:space="preserve">Practice of foreign airports shows that they receive significant share of income from </w:t>
      </w:r>
      <w:r w:rsidRPr="0034008E">
        <w:rPr>
          <w:rFonts w:eastAsia="Calibri"/>
          <w:b/>
          <w:bCs/>
          <w:lang w:val="en"/>
        </w:rPr>
        <w:t>non-aviation activities</w:t>
      </w:r>
      <w:r w:rsidRPr="001529C7">
        <w:rPr>
          <w:rFonts w:eastAsia="Calibri"/>
          <w:bCs/>
          <w:lang w:val="en"/>
        </w:rPr>
        <w:t>. The level of airport development and its competitiveness is determined, first of all, by generated passenger and cargo flows, which lead to increase in income mainly due to non-aviation activities.</w:t>
      </w:r>
    </w:p>
    <w:p w14:paraId="0A0D294E"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Investment attractiveness of airports also increases significantly with growth of income from non-aviation activities.</w:t>
      </w:r>
    </w:p>
    <w:p w14:paraId="35F648D0"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 xml:space="preserve">Main consumers of airport services are also airlines that pay for use of ground infrastructure </w:t>
      </w:r>
      <w:r w:rsidRPr="0034008E">
        <w:rPr>
          <w:rFonts w:eastAsia="Calibri"/>
          <w:bCs/>
          <w:i/>
          <w:sz w:val="24"/>
          <w:lang w:val="en"/>
        </w:rPr>
        <w:t>(fees from airlines for take-off and landing services, parking, security, noise level)</w:t>
      </w:r>
      <w:r w:rsidRPr="001529C7">
        <w:rPr>
          <w:rFonts w:eastAsia="Calibri"/>
          <w:bCs/>
          <w:lang w:val="en"/>
        </w:rPr>
        <w:t>. This most important group of consumers of airport services has decisive impact on its market position.</w:t>
      </w:r>
    </w:p>
    <w:p w14:paraId="4454253C"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Most regional airports often seek to maximize benefits from local monopolism in which they usually find themselves, however, abuse of natural advantages can lead to outflow of customers and narrowing of regional air transportation market. The reason for this may be excessively high tariffs, poor quality of ground handling or limited network of air routes.</w:t>
      </w:r>
    </w:p>
    <w:p w14:paraId="6B25482F" w14:textId="77777777" w:rsidR="007513F3" w:rsidRPr="00A57506" w:rsidRDefault="004C4BA9" w:rsidP="007513F3">
      <w:pPr>
        <w:tabs>
          <w:tab w:val="left" w:pos="851"/>
        </w:tabs>
        <w:contextualSpacing/>
        <w:rPr>
          <w:lang w:val="en-US"/>
        </w:rPr>
      </w:pPr>
      <w:r w:rsidRPr="001529C7">
        <w:rPr>
          <w:lang w:val="en"/>
        </w:rPr>
        <w:t>Council of Europe Directive 96/67/EC dated 10/15/1996, which established rules for access to this market at airports in EU countries and determined changes in the global aviation industry. Directive establishes the following requirements in ground handling market regulation:</w:t>
      </w:r>
    </w:p>
    <w:p w14:paraId="104F27AA" w14:textId="77777777" w:rsidR="007513F3" w:rsidRPr="00A57506" w:rsidRDefault="004C4BA9" w:rsidP="007513F3">
      <w:pPr>
        <w:tabs>
          <w:tab w:val="left" w:pos="851"/>
        </w:tabs>
        <w:contextualSpacing/>
        <w:rPr>
          <w:lang w:val="en-US"/>
        </w:rPr>
      </w:pPr>
      <w:r w:rsidRPr="001529C7">
        <w:rPr>
          <w:lang w:val="en"/>
        </w:rPr>
        <w:t xml:space="preserve">- separation of airport as natural monopoly entity from ground handling business </w:t>
      </w:r>
      <w:r w:rsidRPr="0034008E">
        <w:rPr>
          <w:i/>
          <w:sz w:val="24"/>
          <w:lang w:val="en"/>
        </w:rPr>
        <w:t>(exclusion of financial relations and cross-financing)</w:t>
      </w:r>
      <w:r w:rsidRPr="001529C7">
        <w:rPr>
          <w:lang w:val="en"/>
        </w:rPr>
        <w:t>;</w:t>
      </w:r>
    </w:p>
    <w:p w14:paraId="47B17083" w14:textId="77777777" w:rsidR="007513F3" w:rsidRPr="00A57506" w:rsidRDefault="004C4BA9" w:rsidP="007513F3">
      <w:pPr>
        <w:tabs>
          <w:tab w:val="left" w:pos="851"/>
        </w:tabs>
        <w:contextualSpacing/>
        <w:rPr>
          <w:lang w:val="en-US"/>
        </w:rPr>
      </w:pPr>
      <w:r w:rsidRPr="001529C7">
        <w:rPr>
          <w:lang w:val="en"/>
        </w:rPr>
        <w:t xml:space="preserve">- since 2001, at airports with annual passenger traffic at least 2 million people or cargo turnover of 50,000 tons, there must be at </w:t>
      </w:r>
      <w:r w:rsidRPr="0034008E">
        <w:rPr>
          <w:b/>
          <w:lang w:val="en"/>
        </w:rPr>
        <w:t>least 2 operators</w:t>
      </w:r>
      <w:r w:rsidRPr="001529C7">
        <w:rPr>
          <w:lang w:val="en"/>
        </w:rPr>
        <w:t xml:space="preserve"> </w:t>
      </w:r>
      <w:r w:rsidRPr="0034008E">
        <w:rPr>
          <w:i/>
          <w:sz w:val="24"/>
          <w:lang w:val="en"/>
        </w:rPr>
        <w:t>(AONO)</w:t>
      </w:r>
      <w:r w:rsidRPr="001529C7">
        <w:rPr>
          <w:lang w:val="en"/>
        </w:rPr>
        <w:t xml:space="preserve"> for handling </w:t>
      </w:r>
      <w:r w:rsidRPr="001529C7">
        <w:rPr>
          <w:lang w:val="en"/>
        </w:rPr>
        <w:lastRenderedPageBreak/>
        <w:t>baggage, passengers and cargo on apron, provision of jet fuel and lubricants, as well as cargo and mail handling.</w:t>
      </w:r>
    </w:p>
    <w:p w14:paraId="7D361D90" w14:textId="77777777" w:rsidR="007513F3" w:rsidRPr="00A57506" w:rsidRDefault="004C4BA9" w:rsidP="007513F3">
      <w:pPr>
        <w:tabs>
          <w:tab w:val="left" w:pos="851"/>
        </w:tabs>
        <w:contextualSpacing/>
        <w:rPr>
          <w:lang w:val="en-US"/>
        </w:rPr>
      </w:pPr>
      <w:r w:rsidRPr="001529C7">
        <w:rPr>
          <w:lang w:val="en"/>
        </w:rPr>
        <w:t>As a result of this Directive, in most European airports, ground handling services are provided by independent specialized operators. Analysis of results of Directive 96/67/EC, summed up in 2009, showed the following results:</w:t>
      </w:r>
    </w:p>
    <w:p w14:paraId="2019248F" w14:textId="77777777" w:rsidR="007513F3" w:rsidRPr="00A57506" w:rsidRDefault="004C4BA9" w:rsidP="007513F3">
      <w:pPr>
        <w:tabs>
          <w:tab w:val="left" w:pos="851"/>
        </w:tabs>
        <w:contextualSpacing/>
        <w:rPr>
          <w:lang w:val="en-US"/>
        </w:rPr>
      </w:pPr>
      <w:r w:rsidRPr="001529C7">
        <w:rPr>
          <w:lang w:val="en"/>
        </w:rPr>
        <w:t xml:space="preserve">- cost of ground handling at EU airports has </w:t>
      </w:r>
      <w:r w:rsidRPr="0034008E">
        <w:rPr>
          <w:b/>
          <w:lang w:val="en"/>
        </w:rPr>
        <w:t>decreased</w:t>
      </w:r>
      <w:r w:rsidRPr="001529C7">
        <w:rPr>
          <w:lang w:val="en"/>
        </w:rPr>
        <w:t>;</w:t>
      </w:r>
    </w:p>
    <w:p w14:paraId="7F9C568A" w14:textId="77777777" w:rsidR="007513F3" w:rsidRPr="00A57506" w:rsidRDefault="004C4BA9" w:rsidP="007513F3">
      <w:pPr>
        <w:tabs>
          <w:tab w:val="left" w:pos="851"/>
        </w:tabs>
        <w:contextualSpacing/>
        <w:rPr>
          <w:lang w:val="en-US"/>
        </w:rPr>
      </w:pPr>
      <w:r w:rsidRPr="001529C7">
        <w:rPr>
          <w:lang w:val="en"/>
        </w:rPr>
        <w:t xml:space="preserve">- in airports where monopoly on ground handling existed before, prevailing market share is occupied by </w:t>
      </w:r>
      <w:r w:rsidRPr="0034008E">
        <w:rPr>
          <w:b/>
          <w:lang w:val="en"/>
        </w:rPr>
        <w:t>newly emerged operators</w:t>
      </w:r>
      <w:r w:rsidRPr="001529C7">
        <w:rPr>
          <w:lang w:val="en"/>
        </w:rPr>
        <w:t>;</w:t>
      </w:r>
    </w:p>
    <w:p w14:paraId="2BB0EF1C" w14:textId="77777777" w:rsidR="007513F3" w:rsidRPr="00A57506" w:rsidRDefault="004C4BA9" w:rsidP="007513F3">
      <w:pPr>
        <w:tabs>
          <w:tab w:val="left" w:pos="851"/>
        </w:tabs>
        <w:contextualSpacing/>
        <w:rPr>
          <w:lang w:val="en-US"/>
        </w:rPr>
      </w:pPr>
      <w:r w:rsidRPr="001529C7">
        <w:rPr>
          <w:lang w:val="en"/>
        </w:rPr>
        <w:t xml:space="preserve">- number of </w:t>
      </w:r>
      <w:r w:rsidRPr="0034008E">
        <w:rPr>
          <w:b/>
          <w:lang w:val="en"/>
        </w:rPr>
        <w:t>independent specialized operators</w:t>
      </w:r>
      <w:r w:rsidRPr="001529C7">
        <w:rPr>
          <w:lang w:val="en"/>
        </w:rPr>
        <w:t xml:space="preserve"> performing this activity as core activity with higher quality and competitive service prices has significantly increased.</w:t>
      </w:r>
    </w:p>
    <w:p w14:paraId="3DD1CC21" w14:textId="77777777" w:rsidR="007513F3" w:rsidRPr="00A57506" w:rsidRDefault="004C4BA9" w:rsidP="007513F3">
      <w:pPr>
        <w:tabs>
          <w:tab w:val="left" w:pos="851"/>
        </w:tabs>
        <w:contextualSpacing/>
        <w:rPr>
          <w:color w:val="151515"/>
          <w:shd w:val="clear" w:color="auto" w:fill="FFFFFF"/>
          <w:lang w:val="en-US"/>
        </w:rPr>
      </w:pPr>
      <w:r w:rsidRPr="001529C7">
        <w:rPr>
          <w:rFonts w:eastAsia="Calibri"/>
          <w:bCs/>
          <w:lang w:val="en"/>
        </w:rPr>
        <w:t>In this regard, amendments have been made to the Law "On Use of Airspace",</w:t>
      </w:r>
      <w:r w:rsidRPr="001529C7">
        <w:rPr>
          <w:color w:val="151515"/>
          <w:shd w:val="clear" w:color="auto" w:fill="FFFFFF"/>
          <w:lang w:val="en"/>
        </w:rPr>
        <w:t xml:space="preserve"> establishing that if airport services more than 2 million passengers per annum, the airport is obliged to admit independent provider of ground handling services </w:t>
      </w:r>
      <w:r w:rsidR="0034008E" w:rsidRPr="0034008E">
        <w:rPr>
          <w:i/>
          <w:color w:val="151515"/>
          <w:sz w:val="24"/>
          <w:shd w:val="clear" w:color="auto" w:fill="FFFFFF"/>
          <w:lang w:val="en"/>
        </w:rPr>
        <w:t>(Astana and Almaty airports fall under this category)</w:t>
      </w:r>
      <w:r w:rsidRPr="001529C7">
        <w:rPr>
          <w:rFonts w:eastAsia="Calibri"/>
          <w:bCs/>
          <w:lang w:val="en"/>
        </w:rPr>
        <w:t>.</w:t>
      </w:r>
    </w:p>
    <w:p w14:paraId="3490E85A"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On June 21, 2022, the Agency, together with the Ministry of Industry and Infrastructure Development, amended the Rules for Ground Handling at Airports in terms of providing non-discriminatory access to ground handling providers. Thus, the following is provided for ground handling services:</w:t>
      </w:r>
    </w:p>
    <w:p w14:paraId="362EA0C8" w14:textId="77777777" w:rsidR="007513F3" w:rsidRPr="00A57506" w:rsidRDefault="004C4BA9" w:rsidP="00506DC5">
      <w:pPr>
        <w:tabs>
          <w:tab w:val="left" w:pos="851"/>
        </w:tabs>
        <w:contextualSpacing/>
        <w:rPr>
          <w:rFonts w:eastAsia="Calibri"/>
          <w:bCs/>
          <w:lang w:val="en-US"/>
        </w:rPr>
      </w:pPr>
      <w:r w:rsidRPr="001529C7">
        <w:rPr>
          <w:rFonts w:eastAsia="Calibri"/>
          <w:bCs/>
          <w:lang w:val="en"/>
        </w:rPr>
        <w:t>-</w:t>
      </w:r>
      <w:r w:rsidR="00506DC5" w:rsidRPr="0034008E">
        <w:rPr>
          <w:rFonts w:eastAsia="Calibri"/>
          <w:b/>
          <w:bCs/>
          <w:lang w:val="en"/>
        </w:rPr>
        <w:t xml:space="preserve"> open</w:t>
      </w:r>
      <w:r w:rsidR="00506DC5" w:rsidRPr="00590BE1">
        <w:rPr>
          <w:rFonts w:eastAsia="Calibri"/>
          <w:bCs/>
          <w:lang w:val="en"/>
        </w:rPr>
        <w:t xml:space="preserve"> access for all suppliers</w:t>
      </w:r>
      <w:r w:rsidR="00506DC5" w:rsidRPr="00506DC5">
        <w:rPr>
          <w:rFonts w:eastAsia="Calibri"/>
          <w:bCs/>
          <w:i/>
          <w:sz w:val="24"/>
          <w:lang w:val="en"/>
        </w:rPr>
        <w:t xml:space="preserve"> (services, provided in the terminal, for example, passenger registration, baggage handling, provision of in-flight catering to passengers and crew, etc.);</w:t>
      </w:r>
    </w:p>
    <w:p w14:paraId="35DAFB90" w14:textId="77777777" w:rsidR="007513F3" w:rsidRPr="00A57506" w:rsidRDefault="004C4BA9" w:rsidP="00506DC5">
      <w:pPr>
        <w:tabs>
          <w:tab w:val="left" w:pos="851"/>
        </w:tabs>
        <w:contextualSpacing/>
        <w:rPr>
          <w:rFonts w:eastAsia="Calibri"/>
          <w:bCs/>
          <w:lang w:val="en-US"/>
        </w:rPr>
      </w:pPr>
      <w:r w:rsidRPr="001529C7">
        <w:rPr>
          <w:rFonts w:eastAsia="Calibri"/>
          <w:bCs/>
          <w:lang w:val="en"/>
        </w:rPr>
        <w:t xml:space="preserve">- access to apron service for suppliers, including 1 supplier affiliated with the airport </w:t>
      </w:r>
      <w:r w:rsidR="00506DC5" w:rsidRPr="00506DC5">
        <w:rPr>
          <w:rFonts w:eastAsia="Calibri"/>
          <w:bCs/>
          <w:i/>
          <w:sz w:val="24"/>
          <w:lang w:val="en"/>
        </w:rPr>
        <w:t>(for example, passenger shuttle, aircraft fueling);</w:t>
      </w:r>
    </w:p>
    <w:p w14:paraId="2CF19429"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 xml:space="preserve">- provision of </w:t>
      </w:r>
      <w:r w:rsidR="00590BE1" w:rsidRPr="00590BE1">
        <w:rPr>
          <w:rFonts w:eastAsia="Calibri"/>
          <w:b/>
          <w:bCs/>
          <w:lang w:val="en"/>
        </w:rPr>
        <w:t>infrastructure services</w:t>
      </w:r>
      <w:r w:rsidRPr="001529C7">
        <w:rPr>
          <w:rFonts w:eastAsia="Calibri"/>
          <w:bCs/>
          <w:lang w:val="en"/>
        </w:rPr>
        <w:t xml:space="preserve"> only by the airport.</w:t>
      </w:r>
    </w:p>
    <w:p w14:paraId="4ACDC25C" w14:textId="77777777" w:rsidR="007513F3" w:rsidRPr="00A57506" w:rsidRDefault="004C4BA9" w:rsidP="007513F3">
      <w:pPr>
        <w:tabs>
          <w:tab w:val="left" w:pos="851"/>
        </w:tabs>
        <w:contextualSpacing/>
        <w:rPr>
          <w:rFonts w:eastAsia="Calibri"/>
          <w:bCs/>
          <w:lang w:val="en-US"/>
        </w:rPr>
      </w:pPr>
      <w:r w:rsidRPr="001529C7">
        <w:rPr>
          <w:rFonts w:eastAsia="Calibri"/>
          <w:bCs/>
          <w:lang w:val="en"/>
        </w:rPr>
        <w:t>The rules are aimed at improving business climate and developing competition by ensuring equal and non-discriminatory access to ground handling services at airports, including supply of jet fuel.</w:t>
      </w:r>
    </w:p>
    <w:p w14:paraId="52A6189D" w14:textId="77777777" w:rsidR="007513F3" w:rsidRPr="00A57506" w:rsidRDefault="004C4BA9" w:rsidP="007513F3">
      <w:pPr>
        <w:tabs>
          <w:tab w:val="left" w:pos="851"/>
        </w:tabs>
        <w:contextualSpacing/>
        <w:rPr>
          <w:rFonts w:eastAsia="Calibri"/>
          <w:bCs/>
          <w:i/>
          <w:iCs/>
          <w:sz w:val="24"/>
          <w:szCs w:val="24"/>
          <w:lang w:val="en-US"/>
        </w:rPr>
      </w:pPr>
      <w:r w:rsidRPr="007513F3">
        <w:rPr>
          <w:rFonts w:eastAsia="Calibri"/>
          <w:b/>
          <w:bCs/>
          <w:i/>
          <w:iCs/>
          <w:sz w:val="24"/>
          <w:szCs w:val="24"/>
          <w:lang w:val="en"/>
        </w:rPr>
        <w:t>For reference</w:t>
      </w:r>
      <w:r w:rsidR="00590BE1">
        <w:rPr>
          <w:rFonts w:eastAsia="Calibri"/>
          <w:bCs/>
          <w:i/>
          <w:iCs/>
          <w:sz w:val="24"/>
          <w:szCs w:val="24"/>
          <w:lang w:val="en"/>
        </w:rPr>
        <w:t xml:space="preserve">: as of today, Almaty International Airport JSC has announced a competition for selection of ground handling service providers for implementation of these Rules. </w:t>
      </w:r>
    </w:p>
    <w:p w14:paraId="490B2D08" w14:textId="77777777" w:rsidR="00F85F2F" w:rsidRPr="00A57506" w:rsidRDefault="004C4BA9" w:rsidP="004A3E7A">
      <w:pPr>
        <w:tabs>
          <w:tab w:val="left" w:pos="851"/>
        </w:tabs>
        <w:contextualSpacing/>
        <w:rPr>
          <w:rFonts w:eastAsia="Calibri"/>
          <w:b/>
          <w:i/>
          <w:iCs/>
          <w:lang w:val="en-US"/>
        </w:rPr>
      </w:pPr>
      <w:r w:rsidRPr="001529C7">
        <w:rPr>
          <w:rFonts w:eastAsia="Calibri"/>
          <w:b/>
          <w:i/>
          <w:iCs/>
          <w:lang w:val="en"/>
        </w:rPr>
        <w:t>Development of competition in helicopter services market</w:t>
      </w:r>
    </w:p>
    <w:p w14:paraId="4CCB5842" w14:textId="77777777" w:rsidR="00F85F2F" w:rsidRPr="00A57506" w:rsidRDefault="004C4BA9" w:rsidP="00A37F38">
      <w:pPr>
        <w:tabs>
          <w:tab w:val="left" w:pos="851"/>
        </w:tabs>
        <w:contextualSpacing/>
        <w:rPr>
          <w:rStyle w:val="selectable-text"/>
          <w:rFonts w:eastAsiaTheme="majorEastAsia"/>
          <w:lang w:val="en-US"/>
        </w:rPr>
      </w:pPr>
      <w:r w:rsidRPr="001529C7">
        <w:rPr>
          <w:rStyle w:val="selectable-text"/>
          <w:rFonts w:eastAsiaTheme="majorEastAsia"/>
          <w:lang w:val="en"/>
        </w:rPr>
        <w:t xml:space="preserve">Various helicopters </w:t>
      </w:r>
      <w:r w:rsidRPr="00A37F38">
        <w:rPr>
          <w:rStyle w:val="selectable-text"/>
          <w:rFonts w:eastAsiaTheme="majorEastAsia"/>
          <w:i/>
          <w:sz w:val="24"/>
          <w:lang w:val="en"/>
        </w:rPr>
        <w:t>(brands: Mi-8/Mi-171, Ka-32, EC 130, EC 145, AW-139, etc.)</w:t>
      </w:r>
      <w:r w:rsidRPr="001529C7">
        <w:rPr>
          <w:rStyle w:val="selectable-text"/>
          <w:rFonts w:eastAsiaTheme="majorEastAsia"/>
          <w:lang w:val="en"/>
        </w:rPr>
        <w:t xml:space="preserve"> are operated in the Republic of Kazakhstan, providing services for commercial air transportation, aerial surveys and aerial works on protection of forests, flights for provision of medical assistance to population and sanitary measures, rescue and recovery operations, construction and installation and loading and unloading operations, transport and communication flights, as well as flight inspections </w:t>
      </w:r>
      <w:r w:rsidRPr="00A37F38">
        <w:rPr>
          <w:rStyle w:val="selectable-text"/>
          <w:rFonts w:eastAsiaTheme="majorEastAsia"/>
          <w:i/>
          <w:sz w:val="24"/>
          <w:lang w:val="en"/>
        </w:rPr>
        <w:t>(overflights)</w:t>
      </w:r>
      <w:r w:rsidRPr="001529C7">
        <w:rPr>
          <w:rStyle w:val="selectable-text"/>
          <w:rFonts w:eastAsiaTheme="majorEastAsia"/>
          <w:lang w:val="en"/>
        </w:rPr>
        <w:t xml:space="preserve"> of ground-based aviation radio communication devices, airfield circuits and lighting equipment. </w:t>
      </w:r>
    </w:p>
    <w:p w14:paraId="3005B957" w14:textId="77777777" w:rsidR="00F85F2F" w:rsidRPr="00A57506" w:rsidRDefault="004C4BA9" w:rsidP="00A37F38">
      <w:pPr>
        <w:tabs>
          <w:tab w:val="left" w:pos="851"/>
        </w:tabs>
        <w:contextualSpacing/>
        <w:rPr>
          <w:rFonts w:eastAsia="Calibri"/>
          <w:b/>
          <w:lang w:val="en-US"/>
        </w:rPr>
      </w:pPr>
      <w:r w:rsidRPr="001529C7">
        <w:rPr>
          <w:rStyle w:val="selectable-text"/>
          <w:rFonts w:eastAsiaTheme="majorEastAsia"/>
          <w:lang w:val="en"/>
        </w:rPr>
        <w:t>The main operators are "Kaz Air Jet" JSC, "Airline "Fly Jet.kz" JSC, "Kazaviaspas" JSC, "Beybarys Airline" JSC, "Dala Air" LLP, Municipal State-Owned Public Enterprise "AP EKR", "Q-Avia" LLP, "Euro-Asia Air" JSC, "Burundai Avia" JJSC, Sauts Oil LLP.</w:t>
      </w:r>
    </w:p>
    <w:p w14:paraId="66A3FE84" w14:textId="77777777" w:rsidR="00F85F2F" w:rsidRPr="00A57506" w:rsidRDefault="004C4BA9" w:rsidP="00A37F38">
      <w:pPr>
        <w:tabs>
          <w:tab w:val="left" w:pos="851"/>
        </w:tabs>
        <w:contextualSpacing/>
        <w:rPr>
          <w:rFonts w:eastAsia="Calibri"/>
          <w:bCs/>
          <w:lang w:val="en-US"/>
        </w:rPr>
      </w:pPr>
      <w:r w:rsidRPr="001529C7">
        <w:rPr>
          <w:rFonts w:eastAsia="Calibri"/>
          <w:bCs/>
          <w:lang w:val="en"/>
        </w:rPr>
        <w:t xml:space="preserve">With that , in accordance with the Resolution of the Government of the Republic of Kazakhstan dated February 18, 2016 No. 72 </w:t>
      </w:r>
      <w:r w:rsidRPr="001529C7">
        <w:rPr>
          <w:rFonts w:eastAsia="Calibri"/>
          <w:bCs/>
          <w:i/>
          <w:iCs/>
          <w:sz w:val="22"/>
          <w:szCs w:val="22"/>
          <w:lang w:val="en"/>
        </w:rPr>
        <w:t>(hereinafter referred to as the Resolution)</w:t>
      </w:r>
      <w:r w:rsidRPr="001529C7">
        <w:rPr>
          <w:rFonts w:eastAsia="Calibri"/>
          <w:bCs/>
          <w:lang w:val="en"/>
        </w:rPr>
        <w:t xml:space="preserve">, </w:t>
      </w:r>
      <w:r w:rsidRPr="001529C7">
        <w:rPr>
          <w:rFonts w:eastAsia="Calibri"/>
          <w:bCs/>
          <w:lang w:val="en"/>
        </w:rPr>
        <w:lastRenderedPageBreak/>
        <w:t xml:space="preserve">Kazaviaspas JSC is defined as </w:t>
      </w:r>
      <w:r w:rsidRPr="00A37F38">
        <w:rPr>
          <w:rFonts w:eastAsia="Calibri"/>
          <w:b/>
          <w:bCs/>
          <w:lang w:val="en"/>
        </w:rPr>
        <w:t>single operator of helicopter services</w:t>
      </w:r>
      <w:r w:rsidRPr="001529C7">
        <w:rPr>
          <w:rFonts w:eastAsia="Calibri"/>
          <w:bCs/>
          <w:lang w:val="en"/>
        </w:rPr>
        <w:t xml:space="preserve">. The legal status of single operator for provision of helicopter services is regulated by Article 82-1 of the Law "On Use of Airspace of the Republic of Kazakhstan and Aviation Activity". </w:t>
      </w:r>
    </w:p>
    <w:p w14:paraId="3C680BD5" w14:textId="77777777" w:rsidR="00F85F2F" w:rsidRPr="00A57506" w:rsidRDefault="004C4BA9" w:rsidP="00A37F38">
      <w:pPr>
        <w:tabs>
          <w:tab w:val="left" w:pos="851"/>
        </w:tabs>
        <w:contextualSpacing/>
        <w:rPr>
          <w:rFonts w:eastAsia="Calibri"/>
          <w:bCs/>
          <w:lang w:val="en-US"/>
        </w:rPr>
      </w:pPr>
      <w:r w:rsidRPr="001529C7">
        <w:rPr>
          <w:rFonts w:eastAsia="Calibri"/>
          <w:bCs/>
          <w:lang w:val="en"/>
        </w:rPr>
        <w:t>Kazaviaspas JSC performs emergency prevention and response flights, emergency medical assistance in the form of air ambulance, aerial protection of forests and wildlife, rescue and recovery support of flights, transportation of protected persons for local executive bodies.</w:t>
      </w:r>
    </w:p>
    <w:p w14:paraId="7E9ACA35" w14:textId="140F2702" w:rsidR="00F85F2F" w:rsidRPr="00A57506" w:rsidRDefault="004C4BA9" w:rsidP="00A37F38">
      <w:pPr>
        <w:rPr>
          <w:bCs/>
          <w:color w:val="000000"/>
          <w:lang w:val="en-US"/>
        </w:rPr>
      </w:pPr>
      <w:r w:rsidRPr="001529C7">
        <w:rPr>
          <w:rFonts w:eastAsia="Calibri"/>
          <w:bCs/>
          <w:lang w:val="en"/>
        </w:rPr>
        <w:t>The Government has adopted Development Program of Kazavi</w:t>
      </w:r>
      <w:r w:rsidR="00AF59F7">
        <w:rPr>
          <w:rFonts w:eastAsia="Calibri"/>
          <w:bCs/>
          <w:lang w:val="en"/>
        </w:rPr>
        <w:t>a</w:t>
      </w:r>
      <w:r w:rsidRPr="001529C7">
        <w:rPr>
          <w:rFonts w:eastAsia="Calibri"/>
          <w:bCs/>
          <w:lang w:val="en"/>
        </w:rPr>
        <w:t xml:space="preserve">spas JSC for the period from 2020 to 2029. </w:t>
      </w:r>
      <w:bookmarkStart w:id="51" w:name="_Hlk15218782"/>
      <w:r w:rsidRPr="001529C7">
        <w:rPr>
          <w:bCs/>
          <w:color w:val="000000"/>
          <w:lang w:val="en"/>
        </w:rPr>
        <w:t xml:space="preserve">The total amount of funds to renewal of aircraft fleet and meeting needs of government agencies is planned in amount of 274.9 billion KZT </w:t>
      </w:r>
      <w:r w:rsidRPr="00A37F38">
        <w:rPr>
          <w:bCs/>
          <w:i/>
          <w:color w:val="000000"/>
          <w:sz w:val="24"/>
          <w:lang w:val="en"/>
        </w:rPr>
        <w:t>(including infrastructure and training costs)</w:t>
      </w:r>
      <w:r w:rsidRPr="001529C7">
        <w:rPr>
          <w:bCs/>
          <w:color w:val="000000"/>
          <w:lang w:val="en"/>
        </w:rPr>
        <w:t>, out of it:</w:t>
      </w:r>
    </w:p>
    <w:bookmarkEnd w:id="51"/>
    <w:p w14:paraId="134C5FAC" w14:textId="77777777" w:rsidR="00F85F2F" w:rsidRPr="00A57506" w:rsidRDefault="004C4BA9" w:rsidP="00A37F38">
      <w:pPr>
        <w:rPr>
          <w:lang w:val="en-US"/>
        </w:rPr>
      </w:pPr>
      <w:r w:rsidRPr="001529C7">
        <w:rPr>
          <w:lang w:val="en"/>
        </w:rPr>
        <w:t>- 100.6 billion KZT – 26 aircraft;</w:t>
      </w:r>
    </w:p>
    <w:p w14:paraId="73FF0C3E" w14:textId="77777777" w:rsidR="00F85F2F" w:rsidRPr="00A57506" w:rsidRDefault="004C4BA9" w:rsidP="00A37F38">
      <w:pPr>
        <w:rPr>
          <w:lang w:val="en-US"/>
        </w:rPr>
      </w:pPr>
      <w:r w:rsidRPr="001529C7">
        <w:rPr>
          <w:lang w:val="en"/>
        </w:rPr>
        <w:t>- 162.7 billion KZT – 32 helicopters;</w:t>
      </w:r>
    </w:p>
    <w:p w14:paraId="1A85A0A9" w14:textId="77777777" w:rsidR="00F85F2F" w:rsidRPr="00A57506" w:rsidRDefault="004C4BA9" w:rsidP="00A37F38">
      <w:pPr>
        <w:rPr>
          <w:lang w:val="en-US"/>
        </w:rPr>
      </w:pPr>
      <w:r w:rsidRPr="001529C7">
        <w:rPr>
          <w:lang w:val="en"/>
        </w:rPr>
        <w:t>- 11.5 billion KZT – for maintenance of infrastructure and training of flight technical personnel.</w:t>
      </w:r>
    </w:p>
    <w:p w14:paraId="137129DF" w14:textId="77777777" w:rsidR="00F85F2F" w:rsidRPr="00A57506" w:rsidRDefault="004C4BA9" w:rsidP="00A37F38">
      <w:pPr>
        <w:rPr>
          <w:rFonts w:eastAsia="Calibri"/>
          <w:bCs/>
          <w:lang w:val="en-US"/>
        </w:rPr>
      </w:pPr>
      <w:r w:rsidRPr="001529C7">
        <w:rPr>
          <w:lang w:val="en"/>
        </w:rPr>
        <w:t xml:space="preserve">Renewal of fleet of "Kazaviaspas" JSC is expected within ten years. According to the Ministry of Emergency Situations, transfer of helicopter services provided to state bodies and organizations into competitive environment will entail inability of </w:t>
      </w:r>
      <w:r w:rsidRPr="001529C7">
        <w:rPr>
          <w:lang w:val="en"/>
        </w:rPr>
        <w:br/>
        <w:t>Kazaviaspas JSC to perform flights on sanitary aviation and forest protection assignments, as well as decrease in quality of flight safety due to price dumping by private companies.</w:t>
      </w:r>
    </w:p>
    <w:p w14:paraId="77600582" w14:textId="04A8140B" w:rsidR="00F85F2F" w:rsidRPr="00A57506" w:rsidRDefault="004C4BA9" w:rsidP="00A37F38">
      <w:pPr>
        <w:tabs>
          <w:tab w:val="left" w:pos="851"/>
        </w:tabs>
        <w:contextualSpacing/>
        <w:rPr>
          <w:rFonts w:eastAsia="Calibri"/>
          <w:bCs/>
          <w:lang w:val="en-US"/>
        </w:rPr>
      </w:pPr>
      <w:r w:rsidRPr="001529C7">
        <w:rPr>
          <w:rFonts w:eastAsia="Calibri"/>
          <w:bCs/>
          <w:lang w:val="en"/>
        </w:rPr>
        <w:t xml:space="preserve">With that, there is a certain criticism among consumers of data on quality of services provided and prices of </w:t>
      </w:r>
      <w:r w:rsidR="00AF59F7">
        <w:rPr>
          <w:rFonts w:eastAsia="Calibri"/>
          <w:bCs/>
          <w:lang w:val="en"/>
        </w:rPr>
        <w:t>Kazaviaspas</w:t>
      </w:r>
      <w:r w:rsidRPr="001529C7">
        <w:rPr>
          <w:rFonts w:eastAsia="Calibri"/>
          <w:bCs/>
          <w:lang w:val="en"/>
        </w:rPr>
        <w:t xml:space="preserve"> JSC, namely Ministries of HealthCare and Ecology and Natural Resources. They propose to provide a choice of suppliers of aviation </w:t>
      </w:r>
      <w:r w:rsidRPr="00A37F38">
        <w:rPr>
          <w:rFonts w:eastAsia="Calibri"/>
          <w:bCs/>
          <w:i/>
          <w:sz w:val="24"/>
          <w:lang w:val="en"/>
        </w:rPr>
        <w:t>(helicopter)</w:t>
      </w:r>
      <w:r w:rsidRPr="001529C7">
        <w:rPr>
          <w:rFonts w:eastAsia="Calibri"/>
          <w:bCs/>
          <w:lang w:val="en"/>
        </w:rPr>
        <w:t xml:space="preserve"> services, on a general basis, that will create competitive environment by attracting private airline operators to helicopter services market that meet the relevant requirements, which will ultimately have positive impact on quality of medical services provided and on aerial protection of forests from fires. </w:t>
      </w:r>
    </w:p>
    <w:p w14:paraId="39C04097" w14:textId="3C694F91" w:rsidR="00F85F2F" w:rsidRPr="00A57506" w:rsidRDefault="004C4BA9" w:rsidP="008E459E">
      <w:pPr>
        <w:rPr>
          <w:rFonts w:eastAsia="Calibri"/>
          <w:bCs/>
          <w:lang w:val="en-US"/>
        </w:rPr>
      </w:pPr>
      <w:r w:rsidRPr="001529C7">
        <w:rPr>
          <w:lang w:val="en"/>
        </w:rPr>
        <w:t xml:space="preserve">With that, Development Program of </w:t>
      </w:r>
      <w:r w:rsidR="00AF59F7">
        <w:rPr>
          <w:lang w:val="en"/>
        </w:rPr>
        <w:t>Kazaviaspas</w:t>
      </w:r>
      <w:r w:rsidRPr="001529C7">
        <w:rPr>
          <w:lang w:val="en"/>
        </w:rPr>
        <w:t xml:space="preserve"> JSC for the period from 2020 to 2029, according to the Agency, leads to </w:t>
      </w:r>
      <w:r w:rsidRPr="008E459E">
        <w:rPr>
          <w:b/>
          <w:lang w:val="en"/>
        </w:rPr>
        <w:t>strengthening of market power in helicopter services market</w:t>
      </w:r>
      <w:r w:rsidRPr="001529C7">
        <w:rPr>
          <w:lang w:val="en"/>
        </w:rPr>
        <w:t>. This issue is being considered at the Council of Domestic Entrepreneurs.</w:t>
      </w:r>
    </w:p>
    <w:p w14:paraId="1F7ABE25" w14:textId="77777777" w:rsidR="00F85F2F" w:rsidRPr="00A57506" w:rsidRDefault="004C4BA9" w:rsidP="00A37F38">
      <w:pPr>
        <w:tabs>
          <w:tab w:val="left" w:pos="851"/>
        </w:tabs>
        <w:contextualSpacing/>
        <w:rPr>
          <w:rFonts w:eastAsia="Calibri"/>
          <w:bCs/>
          <w:lang w:val="en-US"/>
        </w:rPr>
      </w:pPr>
      <w:r w:rsidRPr="001529C7">
        <w:rPr>
          <w:rFonts w:eastAsia="Calibri"/>
          <w:bCs/>
          <w:lang w:val="en"/>
        </w:rPr>
        <w:t xml:space="preserve">In this regard, taking into account positions developed at working groups, the Agency considers it appropriate to </w:t>
      </w:r>
      <w:r w:rsidRPr="008E459E">
        <w:rPr>
          <w:rFonts w:eastAsia="Calibri"/>
          <w:b/>
          <w:bCs/>
          <w:lang w:val="en"/>
        </w:rPr>
        <w:t xml:space="preserve">transfer </w:t>
      </w:r>
      <w:r w:rsidRPr="001529C7">
        <w:rPr>
          <w:rFonts w:eastAsia="Calibri"/>
          <w:bCs/>
          <w:lang w:val="en"/>
        </w:rPr>
        <w:t xml:space="preserve">emergency medical services of medical aviation and </w:t>
      </w:r>
      <w:r w:rsidRPr="008E459E">
        <w:rPr>
          <w:rFonts w:eastAsia="Calibri"/>
          <w:b/>
          <w:bCs/>
          <w:lang w:val="en"/>
        </w:rPr>
        <w:t xml:space="preserve"> aerial protection of forests and wildlife into competitive environment</w:t>
      </w:r>
      <w:r w:rsidRPr="001529C7">
        <w:rPr>
          <w:rFonts w:eastAsia="Calibri"/>
          <w:bCs/>
          <w:lang w:val="en"/>
        </w:rPr>
        <w:t xml:space="preserve"> to be rendered by all operators meeting relevant requirements, that in turn will stimulate the sector of private air carriers. With that , it is necessary to </w:t>
      </w:r>
      <w:r w:rsidRPr="008E459E">
        <w:rPr>
          <w:rFonts w:eastAsia="Calibri"/>
          <w:b/>
          <w:bCs/>
          <w:lang w:val="en"/>
        </w:rPr>
        <w:t>revise Development Program</w:t>
      </w:r>
      <w:r w:rsidRPr="001529C7">
        <w:rPr>
          <w:rFonts w:eastAsia="Calibri"/>
          <w:bCs/>
          <w:lang w:val="en"/>
        </w:rPr>
        <w:t xml:space="preserve"> of Kazaviaspas JSC for 2020-2029, taking into account competitive environment.</w:t>
      </w:r>
    </w:p>
    <w:p w14:paraId="42DD4A63" w14:textId="77777777" w:rsidR="00E972FE" w:rsidRPr="001529C7" w:rsidRDefault="004C4BA9" w:rsidP="00901D92">
      <w:pPr>
        <w:pStyle w:val="Heading2"/>
        <w:numPr>
          <w:ilvl w:val="1"/>
          <w:numId w:val="8"/>
        </w:numPr>
        <w:tabs>
          <w:tab w:val="left" w:pos="0"/>
          <w:tab w:val="left" w:pos="1134"/>
        </w:tabs>
        <w:spacing w:before="240" w:after="240"/>
        <w:ind w:left="0" w:firstLine="567"/>
        <w:rPr>
          <w:rFonts w:cs="Times New Roman"/>
          <w:szCs w:val="28"/>
        </w:rPr>
      </w:pPr>
      <w:bookmarkStart w:id="52" w:name="_Toc142467915"/>
      <w:r w:rsidRPr="001529C7">
        <w:rPr>
          <w:rFonts w:cs="Times New Roman"/>
          <w:szCs w:val="28"/>
          <w:lang w:val="en"/>
        </w:rPr>
        <w:lastRenderedPageBreak/>
        <w:t>Housing construction market</w:t>
      </w:r>
      <w:bookmarkEnd w:id="52"/>
    </w:p>
    <w:p w14:paraId="3E7B939A" w14:textId="77777777" w:rsidR="0059338B" w:rsidRPr="00A57506" w:rsidRDefault="004C4BA9" w:rsidP="0059338B">
      <w:pPr>
        <w:rPr>
          <w:lang w:val="en-US"/>
        </w:rPr>
      </w:pPr>
      <w:r w:rsidRPr="001529C7">
        <w:rPr>
          <w:lang w:val="en"/>
        </w:rPr>
        <w:t xml:space="preserve">Analysis of state of competition showed </w:t>
      </w:r>
      <w:r w:rsidRPr="008E459E">
        <w:rPr>
          <w:b/>
          <w:i/>
          <w:lang w:val="en"/>
        </w:rPr>
        <w:t>high level of concentration</w:t>
      </w:r>
      <w:r w:rsidRPr="001529C7">
        <w:rPr>
          <w:lang w:val="en"/>
        </w:rPr>
        <w:t xml:space="preserve"> at local </w:t>
      </w:r>
      <w:r w:rsidRPr="008E459E">
        <w:rPr>
          <w:i/>
          <w:sz w:val="24"/>
          <w:lang w:val="en"/>
        </w:rPr>
        <w:t>(regional)</w:t>
      </w:r>
      <w:r w:rsidRPr="001529C7">
        <w:rPr>
          <w:lang w:val="en"/>
        </w:rPr>
        <w:t xml:space="preserve"> housing sales markets. With that , in North Kazakhstan region, Almaty, Zhambyl, Kyzylorda, Mangistau regions, housing markets are characterized as </w:t>
      </w:r>
      <w:r w:rsidRPr="0083522E">
        <w:rPr>
          <w:b/>
          <w:i/>
          <w:lang w:val="en"/>
        </w:rPr>
        <w:t>moderately</w:t>
      </w:r>
      <w:r w:rsidRPr="001529C7">
        <w:rPr>
          <w:lang w:val="en"/>
        </w:rPr>
        <w:t xml:space="preserve"> concentrated, in Almaty and Astana, I and II class housing sales markets are defined as highly </w:t>
      </w:r>
      <w:r w:rsidRPr="0083522E">
        <w:rPr>
          <w:b/>
          <w:i/>
          <w:lang w:val="en"/>
        </w:rPr>
        <w:t>concentrated</w:t>
      </w:r>
      <w:r w:rsidRPr="001529C7">
        <w:rPr>
          <w:lang w:val="en"/>
        </w:rPr>
        <w:t xml:space="preserve">, markets of III and IV class housing are moderately </w:t>
      </w:r>
      <w:r w:rsidRPr="0083522E">
        <w:rPr>
          <w:b/>
          <w:i/>
          <w:lang w:val="en"/>
        </w:rPr>
        <w:t>concentrated</w:t>
      </w:r>
      <w:r w:rsidRPr="001529C7">
        <w:rPr>
          <w:lang w:val="en"/>
        </w:rPr>
        <w:t>.</w:t>
      </w:r>
    </w:p>
    <w:p w14:paraId="25DA5A68" w14:textId="77777777" w:rsidR="0059338B" w:rsidRPr="00A57506" w:rsidRDefault="004C4BA9" w:rsidP="0059338B">
      <w:pPr>
        <w:rPr>
          <w:lang w:val="en-US"/>
        </w:rPr>
      </w:pPr>
      <w:r w:rsidRPr="001529C7">
        <w:rPr>
          <w:lang w:val="en"/>
        </w:rPr>
        <w:t>In this regard, in 2022, housing construction market was reviewed by Agency for developing set of measures aimed at protecting and developing competition.</w:t>
      </w:r>
    </w:p>
    <w:p w14:paraId="44CB0AFE" w14:textId="77777777" w:rsidR="0059338B" w:rsidRPr="00A57506" w:rsidRDefault="004C4BA9" w:rsidP="0059338B">
      <w:pPr>
        <w:rPr>
          <w:lang w:val="en-US"/>
        </w:rPr>
      </w:pPr>
      <w:r w:rsidRPr="001529C7">
        <w:rPr>
          <w:lang w:val="en"/>
        </w:rPr>
        <w:t xml:space="preserve">For 3 years, average cost per square meter of primary housing has increased </w:t>
      </w:r>
      <w:r w:rsidRPr="008E459E">
        <w:rPr>
          <w:b/>
          <w:lang w:val="en"/>
        </w:rPr>
        <w:t>by 48.5%</w:t>
      </w:r>
      <w:r w:rsidRPr="001529C7">
        <w:rPr>
          <w:lang w:val="en"/>
        </w:rPr>
        <w:t xml:space="preserve"> </w:t>
      </w:r>
      <w:r w:rsidRPr="008E459E">
        <w:rPr>
          <w:i/>
          <w:sz w:val="24"/>
          <w:lang w:val="en"/>
        </w:rPr>
        <w:t>(from 290 to 430 thousand KZT)</w:t>
      </w:r>
      <w:r w:rsidRPr="001529C7">
        <w:rPr>
          <w:lang w:val="en"/>
        </w:rPr>
        <w:t xml:space="preserve">. With that, growth rate of housing costs is </w:t>
      </w:r>
      <w:r w:rsidRPr="008E459E">
        <w:rPr>
          <w:b/>
          <w:lang w:val="en"/>
        </w:rPr>
        <w:t>not correlated</w:t>
      </w:r>
      <w:r w:rsidRPr="001529C7">
        <w:rPr>
          <w:lang w:val="en"/>
        </w:rPr>
        <w:t xml:space="preserve"> with growth rate of prices for construction materials.</w:t>
      </w:r>
    </w:p>
    <w:p w14:paraId="3C71897E" w14:textId="77777777" w:rsidR="0059338B" w:rsidRPr="00A57506" w:rsidRDefault="004C4BA9" w:rsidP="0059338B">
      <w:pPr>
        <w:rPr>
          <w:lang w:val="en-US"/>
        </w:rPr>
      </w:pPr>
      <w:r w:rsidRPr="001529C7">
        <w:rPr>
          <w:lang w:val="en"/>
        </w:rPr>
        <w:t xml:space="preserve">According to the Agency, the key factor in price increase was </w:t>
      </w:r>
      <w:r w:rsidRPr="008E459E">
        <w:rPr>
          <w:b/>
          <w:lang w:val="en"/>
        </w:rPr>
        <w:t>stimulating demand</w:t>
      </w:r>
      <w:r w:rsidRPr="001529C7">
        <w:rPr>
          <w:lang w:val="en"/>
        </w:rPr>
        <w:t xml:space="preserve">. Since 2019, </w:t>
      </w:r>
      <w:r w:rsidRPr="008E459E">
        <w:rPr>
          <w:b/>
          <w:lang w:val="en"/>
        </w:rPr>
        <w:t>3.6 trillion KZT</w:t>
      </w:r>
      <w:r w:rsidRPr="001529C7">
        <w:rPr>
          <w:lang w:val="en"/>
        </w:rPr>
        <w:t xml:space="preserve"> was injected into housing market from implementation of programs </w:t>
      </w:r>
      <w:r w:rsidRPr="008E459E">
        <w:rPr>
          <w:i/>
          <w:sz w:val="24"/>
          <w:lang w:val="en"/>
        </w:rPr>
        <w:t>("7-20-25", "Baspana-Hit")</w:t>
      </w:r>
      <w:r w:rsidRPr="001529C7">
        <w:rPr>
          <w:lang w:val="en"/>
        </w:rPr>
        <w:t xml:space="preserve"> and pension savings. However, speculative price increases by developers have </w:t>
      </w:r>
      <w:r w:rsidRPr="00D67755">
        <w:rPr>
          <w:b/>
          <w:lang w:val="en"/>
        </w:rPr>
        <w:t xml:space="preserve">reduced effect of government's social initiatives </w:t>
      </w:r>
      <w:r w:rsidRPr="001529C7">
        <w:rPr>
          <w:lang w:val="en"/>
        </w:rPr>
        <w:t>, and therefore construction companies have become main beneficiaries of support measures.</w:t>
      </w:r>
    </w:p>
    <w:p w14:paraId="6AB46ABB" w14:textId="77777777" w:rsidR="0059338B" w:rsidRPr="00A57506" w:rsidRDefault="004C4BA9" w:rsidP="0059338B">
      <w:pPr>
        <w:rPr>
          <w:lang w:val="en-US"/>
        </w:rPr>
      </w:pPr>
      <w:r w:rsidRPr="001529C7">
        <w:rPr>
          <w:lang w:val="en"/>
        </w:rPr>
        <w:t xml:space="preserve">As for infrastructure, share of imports in construction materials has not changed in 5 years. If in 2017 it was 46%, then at the end of 2021 it was 43%. In five years, production of construction materials has increased </w:t>
      </w:r>
      <w:r w:rsidRPr="005450E8">
        <w:rPr>
          <w:b/>
          <w:lang w:val="en"/>
        </w:rPr>
        <w:t>by 2 times</w:t>
      </w:r>
      <w:r w:rsidRPr="001529C7">
        <w:rPr>
          <w:lang w:val="en"/>
        </w:rPr>
        <w:t xml:space="preserve">, however, domestic production covers only need for basic materials. Dependence on materials with high added value remains </w:t>
      </w:r>
      <w:r w:rsidRPr="005450E8">
        <w:rPr>
          <w:b/>
          <w:lang w:val="en"/>
        </w:rPr>
        <w:t>at the level of 50 to 100%</w:t>
      </w:r>
      <w:r w:rsidRPr="001529C7">
        <w:rPr>
          <w:lang w:val="en"/>
        </w:rPr>
        <w:t>.</w:t>
      </w:r>
    </w:p>
    <w:p w14:paraId="266F7E79" w14:textId="77777777" w:rsidR="0059338B" w:rsidRPr="00A57506" w:rsidRDefault="004C4BA9" w:rsidP="0059338B">
      <w:pPr>
        <w:rPr>
          <w:lang w:val="en-US"/>
        </w:rPr>
      </w:pPr>
      <w:r w:rsidRPr="001529C7">
        <w:rPr>
          <w:lang w:val="en"/>
        </w:rPr>
        <w:t xml:space="preserve">In addition to stimulating demand and rising prices for construction materials, cost of housing is also </w:t>
      </w:r>
      <w:r w:rsidRPr="005450E8">
        <w:rPr>
          <w:b/>
          <w:lang w:val="en"/>
        </w:rPr>
        <w:t>influenced by government regulation</w:t>
      </w:r>
      <w:r w:rsidRPr="001529C7">
        <w:rPr>
          <w:lang w:val="en"/>
        </w:rPr>
        <w:t xml:space="preserve">, </w:t>
      </w:r>
      <w:r w:rsidRPr="005450E8">
        <w:rPr>
          <w:b/>
          <w:lang w:val="en"/>
        </w:rPr>
        <w:t>access to land and infrastructure</w:t>
      </w:r>
      <w:r w:rsidRPr="001529C7">
        <w:rPr>
          <w:lang w:val="en"/>
        </w:rPr>
        <w:t>.</w:t>
      </w:r>
    </w:p>
    <w:p w14:paraId="1E53A912" w14:textId="77777777" w:rsidR="0059338B" w:rsidRPr="00A57506" w:rsidRDefault="004C4BA9" w:rsidP="0059338B">
      <w:pPr>
        <w:rPr>
          <w:lang w:val="en-US"/>
        </w:rPr>
      </w:pPr>
      <w:r w:rsidRPr="001529C7">
        <w:rPr>
          <w:lang w:val="en"/>
        </w:rPr>
        <w:t>State regulation has been tightened since 2016 after adoption of new Law "On Equity Participation in Housing Construction".</w:t>
      </w:r>
    </w:p>
    <w:p w14:paraId="0A89EB76" w14:textId="77777777" w:rsidR="0059338B" w:rsidRPr="00A57506" w:rsidRDefault="004C4BA9" w:rsidP="0059338B">
      <w:pPr>
        <w:rPr>
          <w:lang w:val="en-US"/>
        </w:rPr>
      </w:pPr>
      <w:r w:rsidRPr="001529C7">
        <w:rPr>
          <w:lang w:val="en"/>
        </w:rPr>
        <w:t xml:space="preserve">The law defined only three permitted ways of raising funds for shareholders: 1) after construction of structural frame </w:t>
      </w:r>
      <w:r w:rsidRPr="005450E8">
        <w:rPr>
          <w:i/>
          <w:sz w:val="24"/>
          <w:lang w:val="en"/>
        </w:rPr>
        <w:t>(upon permission of the akimat)</w:t>
      </w:r>
      <w:r w:rsidRPr="001529C7">
        <w:rPr>
          <w:lang w:val="en"/>
        </w:rPr>
        <w:t xml:space="preserve">; 2) involvement of bank loan </w:t>
      </w:r>
      <w:r w:rsidRPr="005450E8">
        <w:rPr>
          <w:i/>
          <w:sz w:val="24"/>
          <w:lang w:val="en"/>
        </w:rPr>
        <w:t>(upon permission of the akimat)</w:t>
      </w:r>
      <w:r w:rsidRPr="001529C7">
        <w:rPr>
          <w:lang w:val="en"/>
        </w:rPr>
        <w:t>; 3) upon receipt of Single Operator's guarantee.</w:t>
      </w:r>
    </w:p>
    <w:p w14:paraId="681AD220" w14:textId="77777777" w:rsidR="0059338B" w:rsidRPr="00A57506" w:rsidRDefault="004C4BA9" w:rsidP="0059338B">
      <w:pPr>
        <w:rPr>
          <w:lang w:val="en-US"/>
        </w:rPr>
      </w:pPr>
      <w:r w:rsidRPr="001529C7">
        <w:rPr>
          <w:lang w:val="en"/>
        </w:rPr>
        <w:t xml:space="preserve">With that, state control over compliance with these requirements has not yet </w:t>
      </w:r>
      <w:r w:rsidRPr="005450E8">
        <w:rPr>
          <w:b/>
          <w:lang w:val="en"/>
        </w:rPr>
        <w:t>been implemented</w:t>
      </w:r>
      <w:r w:rsidRPr="001529C7">
        <w:rPr>
          <w:lang w:val="en"/>
        </w:rPr>
        <w:t xml:space="preserve">. </w:t>
      </w:r>
      <w:r w:rsidRPr="005450E8">
        <w:rPr>
          <w:b/>
          <w:lang w:val="en"/>
        </w:rPr>
        <w:t>Checklists have not been approved</w:t>
      </w:r>
      <w:r w:rsidRPr="001529C7">
        <w:rPr>
          <w:lang w:val="en"/>
        </w:rPr>
        <w:t xml:space="preserve"> by the authorized body for construction, akimats do not check legality of raising funds and have limited themselves to publishing lists of developers who have not received permits without bringing them to administrative responsibility.</w:t>
      </w:r>
    </w:p>
    <w:p w14:paraId="67FC01AB" w14:textId="77777777" w:rsidR="005450E8" w:rsidRPr="00A57506" w:rsidRDefault="004C4BA9" w:rsidP="0059338B">
      <w:pPr>
        <w:rPr>
          <w:lang w:val="en-US"/>
        </w:rPr>
      </w:pPr>
      <w:r w:rsidRPr="001529C7">
        <w:rPr>
          <w:lang w:val="en"/>
        </w:rPr>
        <w:t xml:space="preserve">As a result, there is </w:t>
      </w:r>
      <w:r w:rsidRPr="005450E8">
        <w:rPr>
          <w:b/>
          <w:lang w:val="en"/>
        </w:rPr>
        <w:t>widespread practice</w:t>
      </w:r>
      <w:r w:rsidRPr="001529C7">
        <w:rPr>
          <w:lang w:val="en"/>
        </w:rPr>
        <w:t xml:space="preserve"> of attracting funds from shareholders by concluding "booking agreements", selling apartments through unauthorized organizations </w:t>
      </w:r>
      <w:r w:rsidRPr="005450E8">
        <w:rPr>
          <w:b/>
          <w:lang w:val="en"/>
        </w:rPr>
        <w:t>without permission</w:t>
      </w:r>
      <w:r w:rsidRPr="001529C7">
        <w:rPr>
          <w:lang w:val="en"/>
        </w:rPr>
        <w:t xml:space="preserve"> of akimats or Single operator. </w:t>
      </w:r>
    </w:p>
    <w:p w14:paraId="49D8FA7A" w14:textId="77777777" w:rsidR="0059338B" w:rsidRPr="00A57506" w:rsidRDefault="004C4BA9" w:rsidP="0059338B">
      <w:pPr>
        <w:rPr>
          <w:lang w:val="en-US"/>
        </w:rPr>
      </w:pPr>
      <w:r w:rsidRPr="001529C7">
        <w:rPr>
          <w:lang w:val="en"/>
        </w:rPr>
        <w:t>According to the Agency's estimate</w:t>
      </w:r>
      <w:r w:rsidRPr="005450E8">
        <w:rPr>
          <w:b/>
          <w:lang w:val="en"/>
        </w:rPr>
        <w:t>, out of 7.5 million square meters of housing commissioned in 2021, permits were issued for 2.1 million or 28%</w:t>
      </w:r>
      <w:r w:rsidRPr="001529C7">
        <w:rPr>
          <w:lang w:val="en"/>
        </w:rPr>
        <w:t>.</w:t>
      </w:r>
    </w:p>
    <w:p w14:paraId="240DEFBE" w14:textId="2F1E4CD6" w:rsidR="0059338B" w:rsidRPr="00A57506" w:rsidRDefault="004C4BA9" w:rsidP="0059338B">
      <w:pPr>
        <w:rPr>
          <w:lang w:val="en-US"/>
        </w:rPr>
      </w:pPr>
      <w:r w:rsidRPr="001529C7">
        <w:rPr>
          <w:lang w:val="en"/>
        </w:rPr>
        <w:lastRenderedPageBreak/>
        <w:t xml:space="preserve">Thus, at least half of housing built with involvement of equity holders has been sold, </w:t>
      </w:r>
      <w:r w:rsidRPr="005450E8">
        <w:rPr>
          <w:b/>
          <w:lang w:val="en"/>
        </w:rPr>
        <w:t>bypassing the Law</w:t>
      </w:r>
      <w:r w:rsidRPr="001529C7">
        <w:rPr>
          <w:lang w:val="en"/>
        </w:rPr>
        <w:t xml:space="preserve">. This volume of </w:t>
      </w:r>
      <w:r w:rsidRPr="005450E8">
        <w:rPr>
          <w:b/>
          <w:lang w:val="en"/>
        </w:rPr>
        <w:t>shadow market</w:t>
      </w:r>
      <w:r w:rsidRPr="001529C7">
        <w:rPr>
          <w:lang w:val="en"/>
        </w:rPr>
        <w:t xml:space="preserve"> is not covered by guarantees of shareholders' rights, nor by state control. It also fell out of turnover during implementation of state mortgage programs and use of pension funds, which was another </w:t>
      </w:r>
      <w:r w:rsidRPr="005450E8">
        <w:rPr>
          <w:b/>
          <w:lang w:val="en"/>
        </w:rPr>
        <w:t>reason for "explosive" growth in real estate prices</w:t>
      </w:r>
      <w:r w:rsidRPr="001529C7">
        <w:rPr>
          <w:lang w:val="en"/>
        </w:rPr>
        <w:t>.</w:t>
      </w:r>
    </w:p>
    <w:p w14:paraId="45B30232" w14:textId="77777777" w:rsidR="0059338B" w:rsidRPr="00A57506" w:rsidRDefault="004C4BA9" w:rsidP="0059338B">
      <w:pPr>
        <w:rPr>
          <w:lang w:val="en-US"/>
        </w:rPr>
      </w:pPr>
      <w:r w:rsidRPr="001529C7">
        <w:rPr>
          <w:lang w:val="en"/>
        </w:rPr>
        <w:t>State support of the market is implemented by single housing construction operator– "Kazakhstan Housing Company" JSC. In addition to subsidizing interest rate on commercial loans to private developers, it provides guarantees for completion of construction.</w:t>
      </w:r>
    </w:p>
    <w:p w14:paraId="7F681E83" w14:textId="77777777" w:rsidR="0059338B" w:rsidRPr="00A57506" w:rsidRDefault="004C4BA9" w:rsidP="0059338B">
      <w:pPr>
        <w:rPr>
          <w:lang w:val="en-US"/>
        </w:rPr>
      </w:pPr>
      <w:r w:rsidRPr="001529C7">
        <w:rPr>
          <w:lang w:val="en"/>
        </w:rPr>
        <w:t xml:space="preserve">Out of three ways to build housing with involvement of equity holders, obtaining its guarantees is the most profitable way for developers. With that, by the end of 2021, with more than 1,700 apartment buildings commissioned, </w:t>
      </w:r>
      <w:r w:rsidRPr="005450E8">
        <w:rPr>
          <w:b/>
          <w:lang w:val="en"/>
        </w:rPr>
        <w:t>only 72 houses or 4% received Operator's guarantees</w:t>
      </w:r>
      <w:r w:rsidRPr="001529C7">
        <w:rPr>
          <w:lang w:val="en"/>
        </w:rPr>
        <w:t xml:space="preserve">. Such a low level of guarantees is one of the reasons for high economic cost of entering the market.   </w:t>
      </w:r>
    </w:p>
    <w:p w14:paraId="58678C70" w14:textId="77777777" w:rsidR="0059338B" w:rsidRPr="00A57506" w:rsidRDefault="004C4BA9" w:rsidP="0059338B">
      <w:pPr>
        <w:rPr>
          <w:lang w:val="en-US"/>
        </w:rPr>
      </w:pPr>
      <w:r w:rsidRPr="001529C7">
        <w:rPr>
          <w:lang w:val="en"/>
        </w:rPr>
        <w:t xml:space="preserve">Availability of support measures implemented by the Operator is also affected by the practice of </w:t>
      </w:r>
      <w:r w:rsidRPr="005450E8">
        <w:rPr>
          <w:b/>
          <w:lang w:val="en"/>
        </w:rPr>
        <w:t>delaying</w:t>
      </w:r>
      <w:r w:rsidRPr="001529C7">
        <w:rPr>
          <w:lang w:val="en"/>
        </w:rPr>
        <w:t xml:space="preserve"> consideration of applications, charging developers both commission for issuing guarantee </w:t>
      </w:r>
      <w:r w:rsidRPr="005450E8">
        <w:rPr>
          <w:i/>
          <w:sz w:val="24"/>
          <w:lang w:val="en"/>
        </w:rPr>
        <w:t>(1% of guaranteed amount)</w:t>
      </w:r>
      <w:r w:rsidRPr="001529C7">
        <w:rPr>
          <w:lang w:val="en"/>
        </w:rPr>
        <w:t xml:space="preserve"> and fees for application review procedure </w:t>
      </w:r>
      <w:r w:rsidRPr="005450E8">
        <w:rPr>
          <w:i/>
          <w:sz w:val="24"/>
          <w:lang w:val="en"/>
        </w:rPr>
        <w:t>(up to 1 million KZT)</w:t>
      </w:r>
      <w:r w:rsidRPr="001529C7">
        <w:rPr>
          <w:lang w:val="en"/>
        </w:rPr>
        <w:t xml:space="preserve">. They also introduced </w:t>
      </w:r>
      <w:r w:rsidRPr="005450E8">
        <w:rPr>
          <w:b/>
          <w:lang w:val="en"/>
        </w:rPr>
        <w:t>additional requirements</w:t>
      </w:r>
      <w:r w:rsidRPr="001529C7">
        <w:rPr>
          <w:lang w:val="en"/>
        </w:rPr>
        <w:t xml:space="preserve"> on work experience and financial stability, not provided for by the law, </w:t>
      </w:r>
      <w:r w:rsidRPr="005450E8">
        <w:rPr>
          <w:b/>
          <w:lang w:val="en"/>
        </w:rPr>
        <w:t>imposed services of "their" engineering organizations</w:t>
      </w:r>
      <w:r w:rsidRPr="001529C7">
        <w:rPr>
          <w:lang w:val="en"/>
        </w:rPr>
        <w:t>. According to this fact, the Agency issued a notification about signs of violating competition protection legislation in Single Operator's activities.</w:t>
      </w:r>
    </w:p>
    <w:p w14:paraId="1783807A" w14:textId="77777777" w:rsidR="0059338B" w:rsidRPr="00A57506" w:rsidRDefault="004C4BA9" w:rsidP="0059338B">
      <w:pPr>
        <w:rPr>
          <w:lang w:val="en-US"/>
        </w:rPr>
      </w:pPr>
      <w:r w:rsidRPr="001529C7">
        <w:rPr>
          <w:lang w:val="en"/>
        </w:rPr>
        <w:t>Another significant state support operator is Otbasy Bank, which supports demand at housing market through concessional lending. Its main task was to create a system of housing construction savings, that is, product that was not represented in the financial markets.</w:t>
      </w:r>
    </w:p>
    <w:p w14:paraId="2AE48F5B" w14:textId="77777777" w:rsidR="0059338B" w:rsidRPr="00A57506" w:rsidRDefault="004C4BA9" w:rsidP="0059338B">
      <w:pPr>
        <w:rPr>
          <w:lang w:val="en-US"/>
        </w:rPr>
      </w:pPr>
      <w:r w:rsidRPr="001529C7">
        <w:rPr>
          <w:lang w:val="en"/>
        </w:rPr>
        <w:t xml:space="preserve">The condition of this basic product is accumulation of a minimum amount of savings over 3 years. Today, share of such "hybrid" products of the bank, replacing concept of housing savings development, is 83% of the total portfolio. As of January 2022, the loan portfolio of Otbasy Bank increased by 50% and amounted to 2.1 trillion KZT, or </w:t>
      </w:r>
      <w:r w:rsidRPr="005450E8">
        <w:rPr>
          <w:b/>
          <w:lang w:val="en"/>
        </w:rPr>
        <w:t>60% of total volume of mortgage loans</w:t>
      </w:r>
      <w:r w:rsidRPr="001529C7">
        <w:rPr>
          <w:lang w:val="en"/>
        </w:rPr>
        <w:t>.</w:t>
      </w:r>
    </w:p>
    <w:p w14:paraId="1D5C5108" w14:textId="77777777" w:rsidR="0059338B" w:rsidRPr="00A57506" w:rsidRDefault="004C4BA9" w:rsidP="0059338B">
      <w:pPr>
        <w:rPr>
          <w:lang w:val="en-US"/>
        </w:rPr>
      </w:pPr>
      <w:r w:rsidRPr="001529C7">
        <w:rPr>
          <w:lang w:val="en"/>
        </w:rPr>
        <w:t xml:space="preserve">Thus, instead of implementing a system of housing construction savings, Otbasy Bank, </w:t>
      </w:r>
      <w:r w:rsidRPr="005450E8">
        <w:rPr>
          <w:b/>
          <w:lang w:val="en"/>
        </w:rPr>
        <w:t>operating with public funds</w:t>
      </w:r>
      <w:r w:rsidRPr="001529C7">
        <w:rPr>
          <w:lang w:val="en"/>
        </w:rPr>
        <w:t xml:space="preserve">, entered commercial mortgage lending market, </w:t>
      </w:r>
      <w:r w:rsidRPr="005450E8">
        <w:rPr>
          <w:b/>
          <w:lang w:val="en"/>
        </w:rPr>
        <w:t>displacing</w:t>
      </w:r>
      <w:r w:rsidRPr="001529C7">
        <w:rPr>
          <w:lang w:val="en"/>
        </w:rPr>
        <w:t xml:space="preserve"> private financial structures.</w:t>
      </w:r>
    </w:p>
    <w:p w14:paraId="799D5181" w14:textId="77777777" w:rsidR="0059338B" w:rsidRPr="00A57506" w:rsidRDefault="004C4BA9" w:rsidP="0059338B">
      <w:pPr>
        <w:rPr>
          <w:lang w:val="en-US"/>
        </w:rPr>
      </w:pPr>
      <w:r w:rsidRPr="001529C7">
        <w:rPr>
          <w:lang w:val="en"/>
        </w:rPr>
        <w:t xml:space="preserve">Access to the key production factors – land and infrastructure – has a significant impact on development of this market. The underlying problem is non-transparent resource allocation mechanism. The main method of allocating land plots, defined by the Land Code is </w:t>
      </w:r>
      <w:r w:rsidRPr="005450E8">
        <w:rPr>
          <w:i/>
          <w:sz w:val="24"/>
          <w:lang w:val="en"/>
        </w:rPr>
        <w:t>auctions</w:t>
      </w:r>
      <w:r w:rsidRPr="001529C7">
        <w:rPr>
          <w:lang w:val="en"/>
        </w:rPr>
        <w:t xml:space="preserve"> and, as an exception -  21 methods.</w:t>
      </w:r>
    </w:p>
    <w:p w14:paraId="234CCB82" w14:textId="77777777" w:rsidR="0059338B" w:rsidRPr="00A57506" w:rsidRDefault="004C4BA9" w:rsidP="0059338B">
      <w:pPr>
        <w:rPr>
          <w:lang w:val="en-US"/>
        </w:rPr>
      </w:pPr>
      <w:r w:rsidRPr="001529C7">
        <w:rPr>
          <w:lang w:val="en"/>
        </w:rPr>
        <w:t xml:space="preserve">With that, in practice, local executive bodies distribute plots </w:t>
      </w:r>
      <w:r w:rsidRPr="005450E8">
        <w:rPr>
          <w:b/>
          <w:lang w:val="en"/>
        </w:rPr>
        <w:t>without bidding</w:t>
      </w:r>
      <w:r w:rsidRPr="001529C7">
        <w:rPr>
          <w:lang w:val="en"/>
        </w:rPr>
        <w:t xml:space="preserve">. Thus, Akimat of Astana city has issued only 6 land plots through auctions over the past 3 years, and 889 without auction. Its last auction dates back to 2020. </w:t>
      </w:r>
    </w:p>
    <w:p w14:paraId="542807A0" w14:textId="77777777" w:rsidR="0059338B" w:rsidRPr="00A57506" w:rsidRDefault="004C4BA9" w:rsidP="0059338B">
      <w:pPr>
        <w:rPr>
          <w:lang w:val="en-US"/>
        </w:rPr>
      </w:pPr>
      <w:r w:rsidRPr="001529C7">
        <w:rPr>
          <w:lang w:val="en"/>
        </w:rPr>
        <w:t xml:space="preserve">The requirement for quarterly public posting of information on vacant plots is not met. </w:t>
      </w:r>
    </w:p>
    <w:p w14:paraId="1EB97751" w14:textId="77777777" w:rsidR="0059338B" w:rsidRPr="00A57506" w:rsidRDefault="004C4BA9" w:rsidP="0059338B">
      <w:pPr>
        <w:rPr>
          <w:lang w:val="en-US"/>
        </w:rPr>
      </w:pPr>
      <w:r w:rsidRPr="001529C7">
        <w:rPr>
          <w:lang w:val="en"/>
        </w:rPr>
        <w:lastRenderedPageBreak/>
        <w:t xml:space="preserve">The most common way of issuing plots has become the use of Social Entrepreneurial Corporations </w:t>
      </w:r>
      <w:r w:rsidRPr="005450E8">
        <w:rPr>
          <w:i/>
          <w:sz w:val="24"/>
          <w:lang w:val="en"/>
        </w:rPr>
        <w:t>(SEC)</w:t>
      </w:r>
      <w:r w:rsidRPr="001529C7">
        <w:rPr>
          <w:lang w:val="en"/>
        </w:rPr>
        <w:t>.</w:t>
      </w:r>
    </w:p>
    <w:p w14:paraId="4C23315F" w14:textId="77777777" w:rsidR="0059338B" w:rsidRPr="00A57506" w:rsidRDefault="004C4BA9" w:rsidP="0059338B">
      <w:pPr>
        <w:rPr>
          <w:lang w:val="en-US"/>
        </w:rPr>
      </w:pPr>
      <w:r w:rsidRPr="001529C7">
        <w:rPr>
          <w:lang w:val="en"/>
        </w:rPr>
        <w:t>This is a non-competitive procedure, implying direct request of entrepreneur to SEC or akimat without any criteria for decision-making.</w:t>
      </w:r>
    </w:p>
    <w:p w14:paraId="7D29E645" w14:textId="77777777" w:rsidR="0059338B" w:rsidRPr="00A57506" w:rsidRDefault="004C4BA9" w:rsidP="0059338B">
      <w:pPr>
        <w:rPr>
          <w:lang w:val="en-US"/>
        </w:rPr>
      </w:pPr>
      <w:r w:rsidRPr="001529C7">
        <w:rPr>
          <w:lang w:val="en"/>
        </w:rPr>
        <w:t xml:space="preserve">There is an arbitrary determination of amounts and methods of compensation to state for provision of land, misuse of received refunds, implementation of projects that do not meet legislation requirements </w:t>
      </w:r>
      <w:r w:rsidRPr="005450E8">
        <w:rPr>
          <w:i/>
          <w:sz w:val="24"/>
          <w:lang w:val="en"/>
        </w:rPr>
        <w:t>(bathhouses, restaurants, trading houses, gas stations, car washes)</w:t>
      </w:r>
      <w:r w:rsidRPr="001529C7">
        <w:rPr>
          <w:lang w:val="en"/>
        </w:rPr>
        <w:t xml:space="preserve">. </w:t>
      </w:r>
    </w:p>
    <w:p w14:paraId="4B73E053" w14:textId="77777777" w:rsidR="0059338B" w:rsidRPr="00A57506" w:rsidRDefault="004C4BA9" w:rsidP="0059338B">
      <w:pPr>
        <w:rPr>
          <w:lang w:val="en-US"/>
        </w:rPr>
      </w:pPr>
      <w:r w:rsidRPr="001529C7">
        <w:rPr>
          <w:lang w:val="en"/>
        </w:rPr>
        <w:t>For example, over the past five years, SEC "Astana" has allocated 70% of plots specifically for construction of housing and non-residential premises. In general, main activity of regional development institutions is shifted towards implementation of commercial projects - bathhouses, restaurants, trading houses, gas stations, car washes, country home communities.</w:t>
      </w:r>
    </w:p>
    <w:p w14:paraId="3771A259" w14:textId="77777777" w:rsidR="0059338B" w:rsidRPr="00A57506" w:rsidRDefault="004C4BA9" w:rsidP="0059338B">
      <w:pPr>
        <w:rPr>
          <w:lang w:val="en-US"/>
        </w:rPr>
      </w:pPr>
      <w:r w:rsidRPr="001529C7">
        <w:rPr>
          <w:lang w:val="en"/>
        </w:rPr>
        <w:t xml:space="preserve">Meanwhile, this practice contradicts Land and Business Code, which prohibits non-competitive allocation of land through SEC for implementation of project that is not an investment </w:t>
      </w:r>
      <w:r w:rsidRPr="005450E8">
        <w:rPr>
          <w:i/>
          <w:sz w:val="24"/>
          <w:lang w:val="en"/>
        </w:rPr>
        <w:t>(production of goods)</w:t>
      </w:r>
      <w:r w:rsidRPr="001529C7">
        <w:rPr>
          <w:lang w:val="en"/>
        </w:rPr>
        <w:t xml:space="preserve"> or innovative </w:t>
      </w:r>
      <w:r w:rsidRPr="005450E8">
        <w:rPr>
          <w:i/>
          <w:sz w:val="24"/>
          <w:lang w:val="en"/>
        </w:rPr>
        <w:t>(creation of a new product)</w:t>
      </w:r>
      <w:r w:rsidRPr="001529C7">
        <w:rPr>
          <w:lang w:val="en"/>
        </w:rPr>
        <w:t xml:space="preserve"> project.</w:t>
      </w:r>
    </w:p>
    <w:p w14:paraId="1D6E1424" w14:textId="77777777" w:rsidR="0059338B" w:rsidRPr="00A57506" w:rsidRDefault="004C4BA9" w:rsidP="0059338B">
      <w:pPr>
        <w:rPr>
          <w:lang w:val="en-US"/>
        </w:rPr>
      </w:pPr>
      <w:r w:rsidRPr="001529C7">
        <w:rPr>
          <w:lang w:val="en"/>
        </w:rPr>
        <w:t>According to  anti-corruption service, such activities of the SEC are associated with corruption risks, due to resale of land plots by private companies at prices ten times higher than the purchase price, booking vacant plots to large construction companies.</w:t>
      </w:r>
    </w:p>
    <w:p w14:paraId="23075A75" w14:textId="77777777" w:rsidR="0059338B" w:rsidRPr="00A57506" w:rsidRDefault="004C4BA9" w:rsidP="0059338B">
      <w:pPr>
        <w:rPr>
          <w:lang w:val="en-US"/>
        </w:rPr>
      </w:pPr>
      <w:r w:rsidRPr="001529C7">
        <w:rPr>
          <w:lang w:val="en"/>
        </w:rPr>
        <w:t xml:space="preserve">According to this fact, out of 12 antimonopoly notices addressed to SEC, 6 were voluntarily executed, remaining notifications were appealed by SEC in courts </w:t>
      </w:r>
      <w:r w:rsidRPr="005450E8">
        <w:rPr>
          <w:i/>
          <w:sz w:val="24"/>
          <w:lang w:val="en"/>
        </w:rPr>
        <w:t>(court proceedings are ongoing)</w:t>
      </w:r>
      <w:r w:rsidRPr="001529C7">
        <w:rPr>
          <w:lang w:val="en"/>
        </w:rPr>
        <w:t>.</w:t>
      </w:r>
    </w:p>
    <w:p w14:paraId="6C2608E0" w14:textId="77777777" w:rsidR="0059338B" w:rsidRPr="00A57506" w:rsidRDefault="004C4BA9" w:rsidP="0059338B">
      <w:pPr>
        <w:rPr>
          <w:lang w:val="en-US"/>
        </w:rPr>
      </w:pPr>
      <w:r w:rsidRPr="001529C7">
        <w:rPr>
          <w:lang w:val="en"/>
        </w:rPr>
        <w:t xml:space="preserve">Another common method of non-competitive distribution of land plots is implementation of housing construction projects at the territory of special economic zones </w:t>
      </w:r>
      <w:r w:rsidRPr="005450E8">
        <w:rPr>
          <w:i/>
          <w:sz w:val="24"/>
          <w:lang w:val="en"/>
        </w:rPr>
        <w:t>(SEZ)</w:t>
      </w:r>
      <w:r w:rsidRPr="001529C7">
        <w:rPr>
          <w:lang w:val="en"/>
        </w:rPr>
        <w:t>.</w:t>
      </w:r>
    </w:p>
    <w:p w14:paraId="0A2F796E" w14:textId="77777777" w:rsidR="0059338B" w:rsidRPr="00A57506" w:rsidRDefault="004C4BA9" w:rsidP="0059338B">
      <w:pPr>
        <w:rPr>
          <w:lang w:val="en-US"/>
        </w:rPr>
      </w:pPr>
      <w:r w:rsidRPr="001529C7">
        <w:rPr>
          <w:lang w:val="en"/>
        </w:rPr>
        <w:t>Current Law "On Special Economic Zones" excludes possibility of implementing housing construction projects, since they do not belong to production of goods. With that , by Order of the Minister for Investment and Development No. 142 dated February 27, 2018, as an exception, housing construction is included in the list of priority types of SEZs located in Astana, Turkestan and Aktau cities.</w:t>
      </w:r>
    </w:p>
    <w:p w14:paraId="5A5234C5" w14:textId="77777777" w:rsidR="0059338B" w:rsidRPr="00A57506" w:rsidRDefault="004C4BA9" w:rsidP="0059338B">
      <w:pPr>
        <w:rPr>
          <w:lang w:val="en-US"/>
        </w:rPr>
      </w:pPr>
      <w:r w:rsidRPr="001529C7">
        <w:rPr>
          <w:lang w:val="en"/>
        </w:rPr>
        <w:t>Given that the procedure for selecting SEZ participants is non-public, it also contains risks of committing anticompetitive and corrupt actions. In particular, disproportionate distribution of plots among developers has been established on the example of SEZ "Astana". Thus, 65 or 55% of 118 housing construction projects are implemented by BI Group.</w:t>
      </w:r>
    </w:p>
    <w:p w14:paraId="1EBF522B" w14:textId="77777777" w:rsidR="0059338B" w:rsidRPr="00A57506" w:rsidRDefault="004C4BA9" w:rsidP="0059338B">
      <w:pPr>
        <w:rPr>
          <w:lang w:val="en-US"/>
        </w:rPr>
      </w:pPr>
      <w:r w:rsidRPr="001529C7">
        <w:rPr>
          <w:lang w:val="en"/>
        </w:rPr>
        <w:t xml:space="preserve">With that , despite gratuitous receipt of land plots and exemption from tax and customs duties, developers sell housing at current market prices. </w:t>
      </w:r>
    </w:p>
    <w:p w14:paraId="2CC004FA" w14:textId="77777777" w:rsidR="0059338B" w:rsidRPr="00A57506" w:rsidRDefault="004C4BA9" w:rsidP="0059338B">
      <w:pPr>
        <w:rPr>
          <w:lang w:val="en-US"/>
        </w:rPr>
      </w:pPr>
      <w:r w:rsidRPr="001529C7">
        <w:rPr>
          <w:lang w:val="en"/>
        </w:rPr>
        <w:t>The state, in turn, does not issue any counter obligations to developers, although only in 2011-2020 they received benefits in the amount of 215 billion KZT.</w:t>
      </w:r>
    </w:p>
    <w:p w14:paraId="5D8BBDFD" w14:textId="77777777" w:rsidR="0059338B" w:rsidRPr="00A57506" w:rsidRDefault="004C4BA9" w:rsidP="0059338B">
      <w:pPr>
        <w:rPr>
          <w:lang w:val="en-US"/>
        </w:rPr>
      </w:pPr>
      <w:r w:rsidRPr="001529C7">
        <w:rPr>
          <w:lang w:val="en"/>
        </w:rPr>
        <w:t xml:space="preserve">Moreover, according to the Ministry of Finance, procedure for registering import of goods and absence of technical specialists do not allow the Ministry to ensure proper control, that creates risks of materials being used outside SEZ territory. </w:t>
      </w:r>
    </w:p>
    <w:p w14:paraId="55048493" w14:textId="77777777" w:rsidR="0059338B" w:rsidRPr="00A57506" w:rsidRDefault="004C4BA9" w:rsidP="0059338B">
      <w:pPr>
        <w:rPr>
          <w:lang w:val="en-US"/>
        </w:rPr>
      </w:pPr>
      <w:r w:rsidRPr="001529C7">
        <w:rPr>
          <w:lang w:val="en"/>
        </w:rPr>
        <w:lastRenderedPageBreak/>
        <w:t xml:space="preserve">As a result, instead of creating high-tech and competitive industries, </w:t>
      </w:r>
      <w:r w:rsidRPr="005450E8">
        <w:rPr>
          <w:b/>
          <w:lang w:val="en"/>
        </w:rPr>
        <w:t>territory of SEZ is used for non-production purposes</w:t>
      </w:r>
      <w:r w:rsidRPr="001529C7">
        <w:rPr>
          <w:lang w:val="en"/>
        </w:rPr>
        <w:t xml:space="preserve">. </w:t>
      </w:r>
    </w:p>
    <w:p w14:paraId="295EEA4C" w14:textId="77777777" w:rsidR="0059338B" w:rsidRPr="00A57506" w:rsidRDefault="004C4BA9" w:rsidP="0059338B">
      <w:pPr>
        <w:rPr>
          <w:lang w:val="en-US"/>
        </w:rPr>
      </w:pPr>
      <w:r w:rsidRPr="001529C7">
        <w:rPr>
          <w:lang w:val="en"/>
        </w:rPr>
        <w:t xml:space="preserve">Today, limited land resource is the </w:t>
      </w:r>
      <w:r w:rsidRPr="005450E8">
        <w:rPr>
          <w:b/>
          <w:lang w:val="en"/>
        </w:rPr>
        <w:t>main factor in development of housing construction</w:t>
      </w:r>
      <w:r w:rsidRPr="001529C7">
        <w:rPr>
          <w:lang w:val="en"/>
        </w:rPr>
        <w:t xml:space="preserve">. Its </w:t>
      </w:r>
      <w:r w:rsidRPr="005450E8">
        <w:rPr>
          <w:b/>
          <w:lang w:val="en"/>
        </w:rPr>
        <w:t>non-competitive distribution</w:t>
      </w:r>
      <w:r w:rsidRPr="001529C7">
        <w:rPr>
          <w:lang w:val="en"/>
        </w:rPr>
        <w:t xml:space="preserve"> distorts competition, acts to strengthen market share of the largest developers. This is also reason for shortfalls of funds to budget and high corruption risks.</w:t>
      </w:r>
    </w:p>
    <w:p w14:paraId="394F38DB" w14:textId="77777777" w:rsidR="0059338B" w:rsidRPr="00A57506" w:rsidRDefault="004C4BA9" w:rsidP="0059338B">
      <w:pPr>
        <w:rPr>
          <w:lang w:val="en-US"/>
        </w:rPr>
      </w:pPr>
      <w:r w:rsidRPr="001529C7">
        <w:rPr>
          <w:lang w:val="en"/>
        </w:rPr>
        <w:t xml:space="preserve">In turn, existing state support institutions – SEC and SEZ – prefer commercially attractive housing construction projects, using budget, land and other limited resources for them. </w:t>
      </w:r>
    </w:p>
    <w:p w14:paraId="2F44FBD5" w14:textId="77777777" w:rsidR="0059338B" w:rsidRPr="00A57506" w:rsidRDefault="004C4BA9" w:rsidP="0059338B">
      <w:pPr>
        <w:rPr>
          <w:lang w:val="en-US"/>
        </w:rPr>
      </w:pPr>
      <w:r w:rsidRPr="005450E8">
        <w:rPr>
          <w:b/>
          <w:lang w:val="en"/>
        </w:rPr>
        <w:t>Unequal access</w:t>
      </w:r>
      <w:r w:rsidRPr="001529C7">
        <w:rPr>
          <w:lang w:val="en"/>
        </w:rPr>
        <w:t xml:space="preserve"> to land resources is aggravated by the </w:t>
      </w:r>
      <w:r w:rsidRPr="005450E8">
        <w:rPr>
          <w:b/>
          <w:lang w:val="en"/>
        </w:rPr>
        <w:t>inefficient implementation</w:t>
      </w:r>
      <w:r w:rsidRPr="001529C7">
        <w:rPr>
          <w:lang w:val="en"/>
        </w:rPr>
        <w:t xml:space="preserve"> of mechanism for seizure of unused land.</w:t>
      </w:r>
    </w:p>
    <w:p w14:paraId="047DDECB" w14:textId="77777777" w:rsidR="0059338B" w:rsidRPr="00A57506" w:rsidRDefault="004C4BA9" w:rsidP="0059338B">
      <w:pPr>
        <w:rPr>
          <w:lang w:val="en-US"/>
        </w:rPr>
      </w:pPr>
      <w:r w:rsidRPr="001529C7">
        <w:rPr>
          <w:lang w:val="en"/>
        </w:rPr>
        <w:t>Today, Land Code requires seizure of land plot granted into ownership or for housing construction after 3 years of non-use.</w:t>
      </w:r>
    </w:p>
    <w:p w14:paraId="6BD8BF00" w14:textId="77777777" w:rsidR="0059338B" w:rsidRPr="00A57506" w:rsidRDefault="004C4BA9" w:rsidP="0059338B">
      <w:pPr>
        <w:rPr>
          <w:lang w:val="en-US"/>
        </w:rPr>
      </w:pPr>
      <w:r w:rsidRPr="001529C7">
        <w:rPr>
          <w:lang w:val="en"/>
        </w:rPr>
        <w:t xml:space="preserve">Meanwhile, dynamics of work on seizure of unused land by the state has decreased due to moratorium on inspections of businesses. So, if 1.1 thousand hectares were seized in 2019, 45 hectares in 2020, 221 hectares in 2021, then there were no seizures by August 2022. In these conditions, sale of land plots intended for housing construction is spreading wide, not on behalf of the state, but from private individuals, which in practice leads to increase in the cost of housing construction projects. </w:t>
      </w:r>
    </w:p>
    <w:p w14:paraId="7524581C" w14:textId="77777777" w:rsidR="0059338B" w:rsidRPr="00A57506" w:rsidRDefault="004C4BA9" w:rsidP="0059338B">
      <w:pPr>
        <w:rPr>
          <w:lang w:val="en-US"/>
        </w:rPr>
      </w:pPr>
      <w:r w:rsidRPr="001529C7">
        <w:rPr>
          <w:lang w:val="en"/>
        </w:rPr>
        <w:t xml:space="preserve">Another unused resource is agricultural land located within the city limits. </w:t>
      </w:r>
    </w:p>
    <w:p w14:paraId="0E5526C8" w14:textId="77777777" w:rsidR="0059338B" w:rsidRPr="00A57506" w:rsidRDefault="004C4BA9" w:rsidP="0059338B">
      <w:pPr>
        <w:rPr>
          <w:lang w:val="en-US"/>
        </w:rPr>
      </w:pPr>
      <w:r w:rsidRPr="001529C7">
        <w:rPr>
          <w:lang w:val="en"/>
        </w:rPr>
        <w:t xml:space="preserve">According to "Atameken" NCE, there are about 80 thousand hectares of such land plots at the territory of Astana, Almaty and Shymkent. When changing designated use of land, in addition to buying it from owners, developers must also pay fees for changing designated use of the site </w:t>
      </w:r>
      <w:r w:rsidRPr="005450E8">
        <w:rPr>
          <w:i/>
          <w:sz w:val="24"/>
          <w:lang w:val="en"/>
        </w:rPr>
        <w:t>(total cost of such payments is more than 1 trillion KZT)</w:t>
      </w:r>
      <w:r w:rsidRPr="001529C7">
        <w:rPr>
          <w:lang w:val="en"/>
        </w:rPr>
        <w:t>, that significantly affects the final cost of construction projects.</w:t>
      </w:r>
    </w:p>
    <w:p w14:paraId="73BD7CD4" w14:textId="77777777" w:rsidR="0059338B" w:rsidRPr="00A57506" w:rsidRDefault="004C4BA9" w:rsidP="0059338B">
      <w:pPr>
        <w:rPr>
          <w:i/>
          <w:sz w:val="24"/>
          <w:lang w:val="en-US"/>
        </w:rPr>
      </w:pPr>
      <w:r w:rsidRPr="005450E8">
        <w:rPr>
          <w:b/>
          <w:i/>
          <w:sz w:val="24"/>
          <w:lang w:val="en"/>
        </w:rPr>
        <w:t>For reference</w:t>
      </w:r>
      <w:r w:rsidRPr="005450E8">
        <w:rPr>
          <w:i/>
          <w:sz w:val="24"/>
          <w:lang w:val="en"/>
        </w:rPr>
        <w:t>. According to "Atameken" NCE, in Astana, the cost of changing designated use of 269 land plots with area of 13 thousand hectares is 501.7 billion KZT, in Almaty there are 2,549 land plots with an area of 6.6 thousand hectares (on average 2.6 hectares each), total cost of changing their designated u se is 292 billion KZT, Shymkent has 13,301 land plots with an area of 60.6 thousand hectares (average of 4.5 hectares each), changing their designated use amounts to 386.3 billion KZT.</w:t>
      </w:r>
    </w:p>
    <w:p w14:paraId="476AB75E" w14:textId="77777777" w:rsidR="0059338B" w:rsidRPr="00A57506" w:rsidRDefault="004C4BA9" w:rsidP="0059338B">
      <w:pPr>
        <w:rPr>
          <w:lang w:val="en-US"/>
        </w:rPr>
      </w:pPr>
      <w:r w:rsidRPr="001529C7">
        <w:rPr>
          <w:lang w:val="en"/>
        </w:rPr>
        <w:t>Shortage of land resources and unequal access to them for market participants require increased work on seizure of unused land and changing designated use of agricultural land located within city boundaries.</w:t>
      </w:r>
    </w:p>
    <w:p w14:paraId="64096FC8" w14:textId="77777777" w:rsidR="0059338B" w:rsidRPr="00A57506" w:rsidRDefault="004C4BA9" w:rsidP="0059338B">
      <w:pPr>
        <w:rPr>
          <w:lang w:val="en-US"/>
        </w:rPr>
      </w:pPr>
      <w:r w:rsidRPr="001529C7">
        <w:rPr>
          <w:lang w:val="en"/>
        </w:rPr>
        <w:t xml:space="preserve">Based on the above, within the framework of the Concept, the Ministry of Industry and Infrastructure Development, together with the Agency and interested state bodies, approved </w:t>
      </w:r>
      <w:r w:rsidRPr="005450E8">
        <w:rPr>
          <w:b/>
          <w:lang w:val="en"/>
        </w:rPr>
        <w:t>Roadmap for housing construction</w:t>
      </w:r>
      <w:r w:rsidRPr="001529C7">
        <w:rPr>
          <w:lang w:val="en"/>
        </w:rPr>
        <w:t xml:space="preserve">. By the end of 2023, it is planned to exclude non-competitive allocation of land plots through SEC and SEZ, tighten procedure for posting information about vacant plots. </w:t>
      </w:r>
    </w:p>
    <w:p w14:paraId="5912354E" w14:textId="77777777" w:rsidR="0059338B" w:rsidRPr="00A57506" w:rsidRDefault="004C4BA9" w:rsidP="0059338B">
      <w:pPr>
        <w:rPr>
          <w:lang w:val="en-US"/>
        </w:rPr>
      </w:pPr>
      <w:r w:rsidRPr="001529C7">
        <w:rPr>
          <w:lang w:val="en"/>
        </w:rPr>
        <w:t xml:space="preserve">With strengthening of control over raising funds, requirements for developers and obtaining guarantees from housing construction operator will be lowered. Digitalization of process from start of construction to sale of housing will increase market transparency. Measures are also proposed to de-monopolize and denationalize mortgage market, in particular, introduce participation of banks, in addition to Otbasy </w:t>
      </w:r>
      <w:r w:rsidRPr="001529C7">
        <w:rPr>
          <w:lang w:val="en"/>
        </w:rPr>
        <w:lastRenderedPageBreak/>
        <w:t>Bank, in housing construction savings system, as well as providing banks with access to budget financing of mortgages by analogy with 7-20-25 program. Competitive access of STBs to government programs and possibility of participating in housing savings system will reduce transaction costs of concessional lending.</w:t>
      </w:r>
    </w:p>
    <w:p w14:paraId="2A93CF86" w14:textId="77777777" w:rsidR="00E96417"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r>
        <w:rPr>
          <w:rFonts w:cs="Times New Roman"/>
          <w:szCs w:val="28"/>
          <w:lang w:val="en"/>
        </w:rPr>
        <w:t xml:space="preserve"> </w:t>
      </w:r>
      <w:bookmarkStart w:id="53" w:name="_Toc142467916"/>
      <w:r>
        <w:rPr>
          <w:rFonts w:cs="Times New Roman"/>
          <w:szCs w:val="28"/>
          <w:lang w:val="en"/>
        </w:rPr>
        <w:t>Markets for sale of non-ferrous metals</w:t>
      </w:r>
      <w:bookmarkEnd w:id="53"/>
      <w:r>
        <w:rPr>
          <w:rFonts w:cs="Times New Roman"/>
          <w:szCs w:val="28"/>
          <w:lang w:val="en"/>
        </w:rPr>
        <w:t xml:space="preserve"> </w:t>
      </w:r>
    </w:p>
    <w:p w14:paraId="038D0786" w14:textId="77777777" w:rsidR="0059338B" w:rsidRPr="00A57506" w:rsidRDefault="004C4BA9" w:rsidP="0059338B">
      <w:pPr>
        <w:rPr>
          <w:color w:val="000000" w:themeColor="text1"/>
          <w:lang w:val="en-US"/>
        </w:rPr>
      </w:pPr>
      <w:r w:rsidRPr="001529C7">
        <w:rPr>
          <w:color w:val="000000" w:themeColor="text1"/>
          <w:lang w:val="en"/>
        </w:rPr>
        <w:t>Analysis of markets for sale of copper, lead, zinc and aluminum was carried out in accordance with Agency's Work Plan for 2022 as part</w:t>
      </w:r>
      <w:r w:rsidRPr="001529C7">
        <w:rPr>
          <w:lang w:val="en"/>
        </w:rPr>
        <w:t xml:space="preserve"> of instructions of Head of State to develop regulatory mechanisms for ensure full loading of domestic processing enterprises with feedstock.</w:t>
      </w:r>
    </w:p>
    <w:p w14:paraId="546649DD" w14:textId="77777777" w:rsidR="0059338B" w:rsidRPr="00A57506" w:rsidRDefault="004C4BA9" w:rsidP="0059338B">
      <w:pPr>
        <w:rPr>
          <w:rFonts w:eastAsia="Calibri"/>
          <w:bCs/>
          <w:iCs/>
          <w:lang w:val="en-US"/>
        </w:rPr>
      </w:pPr>
      <w:r w:rsidRPr="001529C7">
        <w:rPr>
          <w:lang w:val="en"/>
        </w:rPr>
        <w:t xml:space="preserve">According to results of analyses, it was found that markets for sale of copper, lead, aluminum and zinc are highly </w:t>
      </w:r>
      <w:r w:rsidRPr="00F13D43">
        <w:rPr>
          <w:rFonts w:eastAsia="Calibri"/>
          <w:b/>
          <w:bCs/>
          <w:i/>
          <w:iCs/>
          <w:lang w:val="en"/>
        </w:rPr>
        <w:t>concentrated</w:t>
      </w:r>
      <w:r w:rsidRPr="001529C7">
        <w:rPr>
          <w:lang w:val="en"/>
        </w:rPr>
        <w:t>.</w:t>
      </w:r>
    </w:p>
    <w:p w14:paraId="732C873D" w14:textId="77777777" w:rsidR="0059338B" w:rsidRPr="00A57506" w:rsidRDefault="004C4BA9" w:rsidP="0059338B">
      <w:pPr>
        <w:rPr>
          <w:rFonts w:eastAsia="Calibri"/>
          <w:bCs/>
          <w:iCs/>
          <w:lang w:val="en-US"/>
        </w:rPr>
      </w:pPr>
      <w:r w:rsidRPr="001529C7">
        <w:rPr>
          <w:rFonts w:eastAsia="Calibri"/>
          <w:bCs/>
          <w:iCs/>
          <w:lang w:val="en"/>
        </w:rPr>
        <w:t>The composition of the markets is as follows:</w:t>
      </w:r>
    </w:p>
    <w:p w14:paraId="0E4D14D7" w14:textId="5BD3F290" w:rsidR="0059338B" w:rsidRPr="00A57506" w:rsidRDefault="004C4BA9" w:rsidP="0059338B">
      <w:pPr>
        <w:rPr>
          <w:rFonts w:eastAsia="Calibri"/>
          <w:bCs/>
          <w:iCs/>
          <w:lang w:val="en-US"/>
        </w:rPr>
      </w:pPr>
      <w:r w:rsidRPr="001529C7">
        <w:rPr>
          <w:rFonts w:eastAsia="Calibri"/>
          <w:b/>
          <w:bCs/>
          <w:iCs/>
          <w:lang w:val="en"/>
        </w:rPr>
        <w:t>Copper ore</w:t>
      </w:r>
      <w:r w:rsidRPr="00F13D43">
        <w:rPr>
          <w:rFonts w:eastAsia="Calibri"/>
          <w:bCs/>
          <w:iCs/>
          <w:lang w:val="en"/>
        </w:rPr>
        <w:t xml:space="preserve"> is extracted by: Kazakhmys Corporation LLP, KAZ Minerals Group, Eurasia Copper Operating LLP, Sary Kazna LLP, Aktobe Copper Company LLP, Copper Technology LLP, KazGeorud LLP.</w:t>
      </w:r>
    </w:p>
    <w:p w14:paraId="3E254250" w14:textId="6D0D6F14" w:rsidR="0059338B" w:rsidRPr="00A57506" w:rsidRDefault="004C4BA9" w:rsidP="0059338B">
      <w:pPr>
        <w:rPr>
          <w:rFonts w:eastAsia="Calibri"/>
          <w:bCs/>
          <w:iCs/>
          <w:lang w:val="en-US"/>
        </w:rPr>
      </w:pPr>
      <w:r w:rsidRPr="001529C7">
        <w:rPr>
          <w:rFonts w:eastAsia="Calibri"/>
          <w:b/>
          <w:bCs/>
          <w:iCs/>
          <w:lang w:val="en"/>
        </w:rPr>
        <w:t>Copper enrichment process</w:t>
      </w:r>
      <w:r w:rsidRPr="00F13D43">
        <w:rPr>
          <w:rFonts w:eastAsia="Calibri"/>
          <w:bCs/>
          <w:iCs/>
          <w:lang w:val="en"/>
        </w:rPr>
        <w:t xml:space="preserve"> is carried out by KAZ Minerals Group and Aktobe Copper Company LLP.</w:t>
      </w:r>
    </w:p>
    <w:p w14:paraId="366DD878" w14:textId="376B3A44" w:rsidR="0059338B" w:rsidRPr="00A57506" w:rsidRDefault="004C4BA9" w:rsidP="0059338B">
      <w:pPr>
        <w:rPr>
          <w:rFonts w:eastAsia="Calibri"/>
          <w:bCs/>
          <w:iCs/>
          <w:lang w:val="en-US"/>
        </w:rPr>
      </w:pPr>
      <w:r w:rsidRPr="001529C7">
        <w:rPr>
          <w:rFonts w:eastAsia="Calibri"/>
          <w:b/>
          <w:bCs/>
          <w:iCs/>
          <w:lang w:val="en"/>
        </w:rPr>
        <w:t>Production and sale of copper</w:t>
      </w:r>
      <w:r w:rsidRPr="00F13D43">
        <w:rPr>
          <w:rFonts w:eastAsia="Calibri"/>
          <w:bCs/>
          <w:iCs/>
          <w:lang w:val="en"/>
        </w:rPr>
        <w:t>: Kazakhmys Corporation LLP, KAZ Minerals Group, Kazzinc LLP, Eurasia Copper Operating LLP, Casting LLP, Kounrad Copper Company LLP.</w:t>
      </w:r>
    </w:p>
    <w:p w14:paraId="2F165287" w14:textId="77777777" w:rsidR="0059338B" w:rsidRPr="00A57506" w:rsidRDefault="004C4BA9" w:rsidP="0059338B">
      <w:pPr>
        <w:rPr>
          <w:rFonts w:eastAsia="Calibri"/>
          <w:bCs/>
          <w:iCs/>
          <w:lang w:val="en-US"/>
        </w:rPr>
      </w:pPr>
      <w:r w:rsidRPr="001529C7">
        <w:rPr>
          <w:rFonts w:eastAsia="Calibri"/>
          <w:b/>
          <w:bCs/>
          <w:iCs/>
          <w:lang w:val="en"/>
        </w:rPr>
        <w:t>Sale of cathode copper</w:t>
      </w:r>
      <w:r w:rsidRPr="00F13D43">
        <w:rPr>
          <w:rFonts w:eastAsia="Calibri"/>
          <w:bCs/>
          <w:iCs/>
          <w:lang w:val="en"/>
        </w:rPr>
        <w:t xml:space="preserve">, final product of technological conversion, is carried out by </w:t>
      </w:r>
      <w:r w:rsidRPr="001529C7">
        <w:rPr>
          <w:rFonts w:eastAsia="Calibri"/>
          <w:b/>
          <w:bCs/>
          <w:iCs/>
          <w:lang w:val="en"/>
        </w:rPr>
        <w:t>3</w:t>
      </w:r>
      <w:r w:rsidRPr="00F13D43">
        <w:rPr>
          <w:rFonts w:eastAsia="Calibri"/>
          <w:bCs/>
          <w:iCs/>
          <w:lang w:val="en"/>
        </w:rPr>
        <w:t xml:space="preserve"> entities: Kazzinc LLP, Kazakhmys Corporation LLP and Kounrad Copper Company LLP.</w:t>
      </w:r>
    </w:p>
    <w:p w14:paraId="0668E435" w14:textId="77777777" w:rsidR="0059338B" w:rsidRPr="00A57506" w:rsidRDefault="004C4BA9" w:rsidP="0059338B">
      <w:pPr>
        <w:rPr>
          <w:rFonts w:eastAsia="Calibri"/>
          <w:bCs/>
          <w:iCs/>
          <w:lang w:val="en-US"/>
        </w:rPr>
      </w:pPr>
      <w:r w:rsidRPr="001529C7">
        <w:rPr>
          <w:rFonts w:eastAsia="Calibri"/>
          <w:bCs/>
          <w:iCs/>
          <w:lang w:val="en"/>
        </w:rPr>
        <w:t xml:space="preserve">Main internal </w:t>
      </w:r>
      <w:r w:rsidRPr="001529C7">
        <w:rPr>
          <w:rFonts w:eastAsia="Calibri"/>
          <w:b/>
          <w:bCs/>
          <w:iCs/>
          <w:lang w:val="en"/>
        </w:rPr>
        <w:t>processors (consumers) of cathode copper</w:t>
      </w:r>
      <w:r w:rsidRPr="001529C7">
        <w:rPr>
          <w:rFonts w:eastAsia="Calibri"/>
          <w:bCs/>
          <w:iCs/>
          <w:lang w:val="en"/>
        </w:rPr>
        <w:t xml:space="preserve"> are Kazkaz LLP, ZOCM JSC, Casting LLP with total consumption about 35 thousand tons.</w:t>
      </w:r>
    </w:p>
    <w:p w14:paraId="01076C98" w14:textId="51AB4A68" w:rsidR="0059338B" w:rsidRPr="00A57506" w:rsidRDefault="004C4BA9" w:rsidP="0059338B">
      <w:pPr>
        <w:rPr>
          <w:rFonts w:eastAsia="Calibri"/>
          <w:bCs/>
          <w:iCs/>
          <w:lang w:val="en-US"/>
        </w:rPr>
      </w:pPr>
      <w:r w:rsidRPr="001529C7">
        <w:rPr>
          <w:rFonts w:eastAsia="Calibri"/>
          <w:b/>
          <w:bCs/>
          <w:iCs/>
          <w:lang w:val="en"/>
        </w:rPr>
        <w:t>Mining lead-zinc ore and its enrichment</w:t>
      </w:r>
      <w:r w:rsidRPr="00F13D43">
        <w:rPr>
          <w:rFonts w:eastAsia="Calibri"/>
          <w:bCs/>
          <w:iCs/>
          <w:lang w:val="en"/>
        </w:rPr>
        <w:t xml:space="preserve"> is carried out by "Zhairem GOK" JSC </w:t>
      </w:r>
      <w:r w:rsidRPr="00F13D43">
        <w:rPr>
          <w:rFonts w:eastAsia="Calibri"/>
          <w:bCs/>
          <w:i/>
          <w:iCs/>
          <w:sz w:val="24"/>
          <w:lang w:val="en"/>
        </w:rPr>
        <w:t>("Kazzinc" LLP)</w:t>
      </w:r>
      <w:r w:rsidRPr="00F13D43">
        <w:rPr>
          <w:rFonts w:eastAsia="Calibri"/>
          <w:bCs/>
          <w:iCs/>
          <w:lang w:val="en"/>
        </w:rPr>
        <w:t xml:space="preserve"> and "Er-Tai" LLP. The producer of refined lead is Kazzinc LLP. </w:t>
      </w:r>
    </w:p>
    <w:p w14:paraId="14DDC48F" w14:textId="77777777" w:rsidR="0059338B" w:rsidRPr="00A57506" w:rsidRDefault="004C4BA9" w:rsidP="0059338B">
      <w:pPr>
        <w:rPr>
          <w:rFonts w:eastAsia="Calibri"/>
          <w:bCs/>
          <w:iCs/>
          <w:lang w:val="en-US"/>
        </w:rPr>
      </w:pPr>
      <w:r w:rsidRPr="001529C7">
        <w:rPr>
          <w:rFonts w:eastAsia="Calibri"/>
          <w:b/>
          <w:bCs/>
          <w:iCs/>
          <w:lang w:val="en"/>
        </w:rPr>
        <w:t>Kazzinc LLP</w:t>
      </w:r>
      <w:r w:rsidRPr="001529C7">
        <w:rPr>
          <w:rFonts w:eastAsia="Calibri"/>
          <w:bCs/>
          <w:iCs/>
          <w:lang w:val="en"/>
        </w:rPr>
        <w:t xml:space="preserve"> also processes foreign feedstock with subsequent export of finished products </w:t>
      </w:r>
      <w:r w:rsidRPr="00F13D43">
        <w:rPr>
          <w:rFonts w:eastAsia="Calibri"/>
          <w:bCs/>
          <w:i/>
          <w:iCs/>
          <w:sz w:val="24"/>
          <w:lang w:val="en"/>
        </w:rPr>
        <w:t>(tolling)</w:t>
      </w:r>
      <w:r w:rsidRPr="001529C7">
        <w:rPr>
          <w:rFonts w:eastAsia="Calibri"/>
          <w:bCs/>
          <w:iCs/>
          <w:lang w:val="en"/>
        </w:rPr>
        <w:t xml:space="preserve">. </w:t>
      </w:r>
    </w:p>
    <w:p w14:paraId="1ACA646A" w14:textId="7B312E7A" w:rsidR="0059338B" w:rsidRPr="00A57506" w:rsidRDefault="004C4BA9" w:rsidP="0059338B">
      <w:pPr>
        <w:rPr>
          <w:rFonts w:eastAsia="Calibri"/>
          <w:bCs/>
          <w:iCs/>
          <w:lang w:val="en-US"/>
        </w:rPr>
      </w:pPr>
      <w:r w:rsidRPr="001529C7">
        <w:rPr>
          <w:rFonts w:eastAsia="Calibri"/>
          <w:b/>
          <w:bCs/>
          <w:iCs/>
          <w:lang w:val="en"/>
        </w:rPr>
        <w:t>Main</w:t>
      </w:r>
      <w:r w:rsidRPr="001529C7">
        <w:rPr>
          <w:rFonts w:eastAsia="Calibri"/>
          <w:bCs/>
          <w:iCs/>
          <w:lang w:val="en"/>
        </w:rPr>
        <w:t xml:space="preserve"> </w:t>
      </w:r>
      <w:r w:rsidRPr="001529C7">
        <w:rPr>
          <w:rFonts w:eastAsia="Calibri"/>
          <w:b/>
          <w:bCs/>
          <w:iCs/>
          <w:lang w:val="en"/>
        </w:rPr>
        <w:t>consumer of lead</w:t>
      </w:r>
      <w:r w:rsidRPr="001529C7">
        <w:rPr>
          <w:rFonts w:eastAsia="Calibri"/>
          <w:bCs/>
          <w:iCs/>
          <w:lang w:val="en"/>
        </w:rPr>
        <w:t xml:space="preserve"> at domestic market is Kainar AKB LLP.</w:t>
      </w:r>
    </w:p>
    <w:p w14:paraId="617AF9E7" w14:textId="33526674" w:rsidR="0059338B" w:rsidRPr="00A57506" w:rsidRDefault="004C4BA9" w:rsidP="0059338B">
      <w:pPr>
        <w:rPr>
          <w:rFonts w:eastAsia="Calibri"/>
          <w:bCs/>
          <w:iCs/>
          <w:lang w:val="en-US"/>
        </w:rPr>
      </w:pPr>
      <w:r w:rsidRPr="001529C7">
        <w:rPr>
          <w:rFonts w:eastAsia="Calibri"/>
          <w:b/>
          <w:bCs/>
          <w:iCs/>
          <w:lang w:val="en"/>
        </w:rPr>
        <w:t>Extraction and enrichment of zinc-containing ore</w:t>
      </w:r>
      <w:r w:rsidRPr="001529C7">
        <w:rPr>
          <w:rFonts w:eastAsia="Calibri"/>
          <w:bCs/>
          <w:iCs/>
          <w:lang w:val="en"/>
        </w:rPr>
        <w:t xml:space="preserve"> is carried out by: Kazzinc LLP, Er-Tai LLP, Nova Zinc LLP </w:t>
      </w:r>
      <w:r w:rsidRPr="00F13D43">
        <w:rPr>
          <w:rFonts w:eastAsia="Calibri"/>
          <w:bCs/>
          <w:i/>
          <w:iCs/>
          <w:sz w:val="24"/>
          <w:lang w:val="en"/>
        </w:rPr>
        <w:t>(Ural Mining and Metallurgical Company, Russian Federation)</w:t>
      </w:r>
      <w:r w:rsidRPr="001529C7">
        <w:rPr>
          <w:rFonts w:eastAsia="Calibri"/>
          <w:bCs/>
          <w:iCs/>
          <w:lang w:val="en"/>
        </w:rPr>
        <w:t>.</w:t>
      </w:r>
    </w:p>
    <w:p w14:paraId="45D20EBD" w14:textId="77777777" w:rsidR="0059338B" w:rsidRPr="00A57506" w:rsidRDefault="004C4BA9" w:rsidP="0059338B">
      <w:pPr>
        <w:rPr>
          <w:rFonts w:eastAsia="Calibri"/>
          <w:bCs/>
          <w:iCs/>
          <w:lang w:val="en-US"/>
        </w:rPr>
      </w:pPr>
      <w:r w:rsidRPr="001529C7">
        <w:rPr>
          <w:rFonts w:eastAsia="Calibri"/>
          <w:bCs/>
          <w:iCs/>
          <w:lang w:val="en"/>
        </w:rPr>
        <w:t xml:space="preserve">The only </w:t>
      </w:r>
      <w:r w:rsidRPr="001529C7">
        <w:rPr>
          <w:rFonts w:eastAsia="Calibri"/>
          <w:b/>
          <w:bCs/>
          <w:iCs/>
          <w:lang w:val="en"/>
        </w:rPr>
        <w:t>zinc producer</w:t>
      </w:r>
      <w:r w:rsidRPr="001529C7">
        <w:rPr>
          <w:rFonts w:eastAsia="Calibri"/>
          <w:bCs/>
          <w:iCs/>
          <w:lang w:val="en"/>
        </w:rPr>
        <w:t xml:space="preserve"> in the country is Kazzinc LLP. The main consumer of zinc is "ArcelorMittal Temirtau" JSC for production of hot-dip galvanized steel band.</w:t>
      </w:r>
    </w:p>
    <w:p w14:paraId="268C358A" w14:textId="77777777" w:rsidR="0059338B" w:rsidRPr="00A57506" w:rsidRDefault="004C4BA9" w:rsidP="0059338B">
      <w:pPr>
        <w:rPr>
          <w:rFonts w:eastAsia="Calibri"/>
          <w:bCs/>
          <w:iCs/>
          <w:lang w:val="en-US"/>
        </w:rPr>
      </w:pPr>
      <w:r w:rsidRPr="001529C7">
        <w:rPr>
          <w:rFonts w:eastAsia="Calibri"/>
          <w:bCs/>
          <w:iCs/>
          <w:lang w:val="en"/>
        </w:rPr>
        <w:t xml:space="preserve">At the territory of the Republic of Kazakhstan, </w:t>
      </w:r>
      <w:r w:rsidRPr="001529C7">
        <w:rPr>
          <w:rFonts w:eastAsia="Calibri"/>
          <w:b/>
          <w:bCs/>
          <w:iCs/>
          <w:lang w:val="en"/>
        </w:rPr>
        <w:t>bauxite mining and alumina production</w:t>
      </w:r>
      <w:r w:rsidRPr="001529C7">
        <w:rPr>
          <w:rFonts w:eastAsia="Calibri"/>
          <w:bCs/>
          <w:iCs/>
          <w:lang w:val="en"/>
        </w:rPr>
        <w:t xml:space="preserve"> is carried out by "Aluminum of Kazakhstan" JSC, and production and sale of primary aluminum is carried out by "Kazakhstan Electrolysis Plant" JSC. The entities belong to the same group.</w:t>
      </w:r>
    </w:p>
    <w:p w14:paraId="6BEEB08B" w14:textId="77777777" w:rsidR="0059338B" w:rsidRPr="00A57506" w:rsidRDefault="004C4BA9" w:rsidP="0059338B">
      <w:pPr>
        <w:rPr>
          <w:rFonts w:eastAsia="Calibri"/>
          <w:bCs/>
          <w:iCs/>
          <w:lang w:val="en-US"/>
        </w:rPr>
      </w:pPr>
      <w:r w:rsidRPr="001529C7">
        <w:rPr>
          <w:rFonts w:eastAsia="Calibri"/>
          <w:bCs/>
          <w:iCs/>
          <w:lang w:val="en"/>
        </w:rPr>
        <w:t>The main consumers of aluminum are "Kazenergokabel" JSC, "Alluminium of Kazakhstan", LLP "UPTK Asia-Electric" LLP, "Tsvetlit" LLP, "Giessenhaus" LLP.</w:t>
      </w:r>
    </w:p>
    <w:p w14:paraId="3EF7B44A" w14:textId="77777777" w:rsidR="0059338B" w:rsidRPr="00A57506" w:rsidRDefault="004C4BA9" w:rsidP="0059338B">
      <w:pPr>
        <w:rPr>
          <w:rFonts w:eastAsia="Calibri"/>
          <w:bCs/>
          <w:iCs/>
          <w:lang w:val="en-US"/>
        </w:rPr>
      </w:pPr>
      <w:r w:rsidRPr="00F13D43">
        <w:rPr>
          <w:rFonts w:eastAsia="Calibri"/>
          <w:b/>
          <w:bCs/>
          <w:iCs/>
          <w:lang w:val="en"/>
        </w:rPr>
        <w:lastRenderedPageBreak/>
        <w:t>The high level of concentration</w:t>
      </w:r>
      <w:r w:rsidRPr="001529C7">
        <w:rPr>
          <w:rFonts w:eastAsia="Calibri"/>
          <w:bCs/>
          <w:iCs/>
          <w:lang w:val="en"/>
        </w:rPr>
        <w:t xml:space="preserve"> corresponds to global practice, since entry to the market is complicated by high level of capital investment, complex regulatory framework for subsoil use and need for partial or full vertical integration.</w:t>
      </w:r>
    </w:p>
    <w:p w14:paraId="3FCC5506" w14:textId="77777777" w:rsidR="0059338B" w:rsidRPr="00A57506" w:rsidRDefault="004C4BA9" w:rsidP="0059338B">
      <w:pPr>
        <w:rPr>
          <w:bCs/>
          <w:lang w:val="en-US"/>
        </w:rPr>
      </w:pPr>
      <w:r w:rsidRPr="001529C7">
        <w:rPr>
          <w:bCs/>
          <w:lang w:val="en"/>
        </w:rPr>
        <w:t xml:space="preserve">In order to attract new players to the market, it is necessary to establish equal and transparent basic conditions for subsoil use. Business entities have repeatedly raised the issue of absence of open and transparent </w:t>
      </w:r>
      <w:r w:rsidRPr="00F13D43">
        <w:rPr>
          <w:b/>
          <w:bCs/>
          <w:lang w:val="en"/>
        </w:rPr>
        <w:t>access to geological information</w:t>
      </w:r>
      <w:r w:rsidRPr="001529C7">
        <w:rPr>
          <w:bCs/>
          <w:lang w:val="en"/>
        </w:rPr>
        <w:t>, which is a prerequisite for development of competition in metals markets and full disclosure of country's potential in the field of subsoil use.</w:t>
      </w:r>
    </w:p>
    <w:p w14:paraId="1CE68E5D" w14:textId="77777777" w:rsidR="0059338B" w:rsidRPr="00A57506" w:rsidRDefault="004C4BA9" w:rsidP="0059338B">
      <w:pPr>
        <w:rPr>
          <w:bCs/>
          <w:lang w:val="en-US"/>
        </w:rPr>
      </w:pPr>
      <w:r w:rsidRPr="001529C7">
        <w:rPr>
          <w:bCs/>
          <w:lang w:val="en"/>
        </w:rPr>
        <w:t xml:space="preserve">With that, it should be noted that enterprises of mining and metallurgical complex </w:t>
      </w:r>
      <w:r w:rsidRPr="00F13D43">
        <w:rPr>
          <w:rFonts w:eastAsia="Calibri"/>
          <w:bCs/>
          <w:i/>
          <w:iCs/>
          <w:sz w:val="24"/>
          <w:lang w:val="en"/>
        </w:rPr>
        <w:t>(hereinafter - MMC)</w:t>
      </w:r>
      <w:r w:rsidRPr="001529C7">
        <w:rPr>
          <w:bCs/>
          <w:lang w:val="en"/>
        </w:rPr>
        <w:t xml:space="preserve">, as a rule, compete with each other </w:t>
      </w:r>
      <w:r w:rsidRPr="001529C7">
        <w:rPr>
          <w:b/>
          <w:bCs/>
          <w:lang w:val="en"/>
        </w:rPr>
        <w:t>at inter–country level</w:t>
      </w:r>
      <w:r w:rsidRPr="001529C7">
        <w:rPr>
          <w:bCs/>
          <w:lang w:val="en"/>
        </w:rPr>
        <w:t>, and policy of states on protectionism of domestic enterprises is balanced taking into account the need to develop their own manufacturing industry.</w:t>
      </w:r>
    </w:p>
    <w:p w14:paraId="53F04EB1" w14:textId="77777777" w:rsidR="0059338B" w:rsidRPr="00A57506" w:rsidRDefault="004C4BA9" w:rsidP="0059338B">
      <w:pPr>
        <w:rPr>
          <w:b/>
          <w:bCs/>
          <w:lang w:val="en-US"/>
        </w:rPr>
      </w:pPr>
      <w:r w:rsidRPr="001529C7">
        <w:rPr>
          <w:bCs/>
          <w:lang w:val="en"/>
        </w:rPr>
        <w:t>In Kazakhstan, mining and metallurgical complex is the second largest sector after oil and gas industry</w:t>
      </w:r>
      <w:r>
        <w:rPr>
          <w:bCs/>
          <w:vertAlign w:val="superscript"/>
        </w:rPr>
        <w:footnoteReference w:id="24"/>
      </w:r>
      <w:r w:rsidRPr="001529C7">
        <w:rPr>
          <w:bCs/>
          <w:lang w:val="en"/>
        </w:rPr>
        <w:t xml:space="preserve">. MMC accounts for </w:t>
      </w:r>
      <w:r w:rsidRPr="001529C7">
        <w:rPr>
          <w:b/>
          <w:bCs/>
          <w:lang w:val="en"/>
        </w:rPr>
        <w:t>8.7% of GDP</w:t>
      </w:r>
      <w:r w:rsidRPr="001529C7">
        <w:rPr>
          <w:bCs/>
          <w:lang w:val="en"/>
        </w:rPr>
        <w:t xml:space="preserve">, of which </w:t>
      </w:r>
      <w:r w:rsidRPr="001529C7">
        <w:rPr>
          <w:b/>
          <w:bCs/>
          <w:lang w:val="en"/>
        </w:rPr>
        <w:t>5.8%</w:t>
      </w:r>
      <w:r w:rsidRPr="001529C7">
        <w:rPr>
          <w:bCs/>
          <w:lang w:val="en"/>
        </w:rPr>
        <w:t xml:space="preserve"> is accounted for by </w:t>
      </w:r>
      <w:r w:rsidRPr="001529C7">
        <w:rPr>
          <w:b/>
          <w:bCs/>
          <w:lang w:val="en"/>
        </w:rPr>
        <w:t>metallurgical industry.</w:t>
      </w:r>
    </w:p>
    <w:p w14:paraId="4507AC06" w14:textId="637CE11B" w:rsidR="0059338B" w:rsidRPr="00A57506" w:rsidRDefault="004C4BA9" w:rsidP="0059338B">
      <w:pPr>
        <w:rPr>
          <w:b/>
          <w:bCs/>
          <w:lang w:val="en-US"/>
        </w:rPr>
      </w:pPr>
      <w:r w:rsidRPr="001529C7">
        <w:rPr>
          <w:bCs/>
          <w:lang w:val="en"/>
        </w:rPr>
        <w:t xml:space="preserve">Despite significant contribution of the industry to domestic economy, today the low level of feedstock processing in the country is acute – </w:t>
      </w:r>
      <w:r w:rsidRPr="001529C7">
        <w:rPr>
          <w:b/>
          <w:bCs/>
          <w:lang w:val="en"/>
        </w:rPr>
        <w:t>major part of produced metal is exported</w:t>
      </w:r>
      <w:r w:rsidRPr="001529C7">
        <w:rPr>
          <w:bCs/>
          <w:lang w:val="en"/>
        </w:rPr>
        <w:t>.</w:t>
      </w:r>
    </w:p>
    <w:p w14:paraId="525F4635" w14:textId="77777777" w:rsidR="0059338B" w:rsidRPr="00A57506" w:rsidRDefault="004C4BA9" w:rsidP="0059338B">
      <w:pPr>
        <w:rPr>
          <w:bCs/>
          <w:lang w:val="en-US"/>
        </w:rPr>
      </w:pPr>
      <w:r w:rsidRPr="001529C7">
        <w:rPr>
          <w:bCs/>
          <w:lang w:val="en"/>
        </w:rPr>
        <w:t>Annual production of aluminum is 262 thousand tons with domestic consumption of 34 thousand tons, 87% is exported.</w:t>
      </w:r>
    </w:p>
    <w:p w14:paraId="2C154BE7" w14:textId="77777777" w:rsidR="0059338B" w:rsidRPr="00A57506" w:rsidRDefault="004C4BA9" w:rsidP="0059338B">
      <w:pPr>
        <w:rPr>
          <w:bCs/>
          <w:lang w:val="en-US"/>
        </w:rPr>
      </w:pPr>
      <w:r w:rsidRPr="001529C7">
        <w:rPr>
          <w:bCs/>
          <w:lang w:val="en"/>
        </w:rPr>
        <w:t>Copper production is 459 thousand tons, domestic consumption is 5.3 thousand tons, remaining 98.8% are exported.</w:t>
      </w:r>
    </w:p>
    <w:p w14:paraId="480D9EEE" w14:textId="77777777" w:rsidR="0059338B" w:rsidRPr="00A57506" w:rsidRDefault="004C4BA9" w:rsidP="0059338B">
      <w:pPr>
        <w:rPr>
          <w:bCs/>
          <w:lang w:val="en-US"/>
        </w:rPr>
      </w:pPr>
      <w:r w:rsidRPr="001529C7">
        <w:rPr>
          <w:bCs/>
          <w:lang w:val="en"/>
        </w:rPr>
        <w:t xml:space="preserve">Lead production is 108 thousand tons, domestic consumption is 24 thousand tons, 77% is exported </w:t>
      </w:r>
      <w:r w:rsidRPr="00F13D43">
        <w:rPr>
          <w:rFonts w:eastAsia="Calibri"/>
          <w:bCs/>
          <w:i/>
          <w:iCs/>
          <w:sz w:val="24"/>
          <w:lang w:val="en"/>
        </w:rPr>
        <w:t>(only one processor)</w:t>
      </w:r>
      <w:r w:rsidRPr="001529C7">
        <w:rPr>
          <w:bCs/>
          <w:lang w:val="en"/>
        </w:rPr>
        <w:t>.</w:t>
      </w:r>
    </w:p>
    <w:p w14:paraId="4D96EB46" w14:textId="77777777" w:rsidR="0059338B" w:rsidRPr="00A57506" w:rsidRDefault="004C4BA9" w:rsidP="0059338B">
      <w:pPr>
        <w:rPr>
          <w:b/>
          <w:bCs/>
          <w:lang w:val="en-US"/>
        </w:rPr>
      </w:pPr>
      <w:r w:rsidRPr="001529C7">
        <w:rPr>
          <w:bCs/>
          <w:lang w:val="en"/>
        </w:rPr>
        <w:t xml:space="preserve">In recent years, the growth rates of Kazakhstan's manufacturing industry have been provided mainly due to expansion of country's participation in world commodity markets </w:t>
      </w:r>
      <w:r w:rsidRPr="00F13D43">
        <w:rPr>
          <w:rFonts w:eastAsia="Calibri"/>
          <w:bCs/>
          <w:i/>
          <w:iCs/>
          <w:sz w:val="24"/>
          <w:lang w:val="en"/>
        </w:rPr>
        <w:t>(base metals and materials)</w:t>
      </w:r>
      <w:r w:rsidRPr="001529C7">
        <w:rPr>
          <w:bCs/>
          <w:lang w:val="en"/>
        </w:rPr>
        <w:t xml:space="preserve">. The international community, in the form of international institutions, representatives of business communities and experts, share opinion that </w:t>
      </w:r>
      <w:r w:rsidRPr="001529C7">
        <w:rPr>
          <w:b/>
          <w:bCs/>
          <w:lang w:val="en"/>
        </w:rPr>
        <w:t>commodity super-cycle is over and opportunities for economic growth due to sale of low-value goods have been exhausted.</w:t>
      </w:r>
    </w:p>
    <w:p w14:paraId="31CCBBF7" w14:textId="77777777" w:rsidR="0059338B" w:rsidRPr="00A57506" w:rsidRDefault="004C4BA9" w:rsidP="0059338B">
      <w:pPr>
        <w:rPr>
          <w:bCs/>
          <w:lang w:val="en-US"/>
        </w:rPr>
      </w:pPr>
      <w:r>
        <w:rPr>
          <w:bCs/>
          <w:lang w:val="en"/>
        </w:rPr>
        <w:t>In this regard, the issue of intensive development of manufacturing industry has matured due to organization of production of the most high-tech complexity, oriented to world trade, not subject to sudden changes in purchase prices for raw materials.</w:t>
      </w:r>
    </w:p>
    <w:p w14:paraId="1653BCEA" w14:textId="77777777" w:rsidR="0059338B" w:rsidRPr="00A57506" w:rsidRDefault="004C4BA9" w:rsidP="0059338B">
      <w:pPr>
        <w:rPr>
          <w:bCs/>
          <w:lang w:val="en-US"/>
        </w:rPr>
      </w:pPr>
      <w:r w:rsidRPr="001529C7">
        <w:rPr>
          <w:bCs/>
          <w:lang w:val="en"/>
        </w:rPr>
        <w:t>On behalf of the Head of State, a regulatory legal framework is being developed to ensure full loading of domestic processing enterprises with feedstock.</w:t>
      </w:r>
    </w:p>
    <w:p w14:paraId="258309BE" w14:textId="77777777" w:rsidR="0059338B" w:rsidRPr="00A57506" w:rsidRDefault="004C4BA9" w:rsidP="0059338B">
      <w:pPr>
        <w:rPr>
          <w:bCs/>
          <w:lang w:val="en-US"/>
        </w:rPr>
      </w:pPr>
      <w:r w:rsidRPr="001529C7">
        <w:rPr>
          <w:bCs/>
          <w:lang w:val="en"/>
        </w:rPr>
        <w:t xml:space="preserve">In particular, the Ministry of Industry and Infrastructure Development has adopted Rules for providing domestic raw materials to manufacturing enterprises, according to which the practice of concluding trilateral agreements between the Ministry, seller and buyer </w:t>
      </w:r>
      <w:r w:rsidRPr="00F13D43">
        <w:rPr>
          <w:rFonts w:eastAsia="Calibri"/>
          <w:bCs/>
          <w:i/>
          <w:iCs/>
          <w:sz w:val="24"/>
          <w:lang w:val="en"/>
        </w:rPr>
        <w:t>(taking into account demand requirements)</w:t>
      </w:r>
      <w:r w:rsidRPr="001529C7">
        <w:rPr>
          <w:bCs/>
          <w:lang w:val="en"/>
        </w:rPr>
        <w:t xml:space="preserve"> is applied, which contain </w:t>
      </w:r>
      <w:r w:rsidRPr="00417A2F">
        <w:rPr>
          <w:b/>
          <w:bCs/>
          <w:lang w:val="en"/>
        </w:rPr>
        <w:t xml:space="preserve">formula for sale </w:t>
      </w:r>
      <w:r w:rsidRPr="00417A2F">
        <w:rPr>
          <w:b/>
          <w:bCs/>
          <w:lang w:val="en"/>
        </w:rPr>
        <w:lastRenderedPageBreak/>
        <w:t>of metals in the country</w:t>
      </w:r>
      <w:r w:rsidRPr="001529C7">
        <w:rPr>
          <w:bCs/>
          <w:lang w:val="en"/>
        </w:rPr>
        <w:t xml:space="preserve"> with recommendatory nature – for copper, price of LME </w:t>
      </w:r>
      <w:r>
        <w:rPr>
          <w:bCs/>
          <w:vertAlign w:val="superscript"/>
        </w:rPr>
        <w:footnoteReference w:id="25"/>
      </w:r>
      <w:r w:rsidRPr="001529C7">
        <w:rPr>
          <w:bCs/>
          <w:lang w:val="en"/>
        </w:rPr>
        <w:t xml:space="preserve">minus 5%, for lead, price of LME minus 2%, for aluminum, price of LME minus 5%. The Agency believes that establishment of pricing formula is </w:t>
      </w:r>
      <w:r w:rsidRPr="00417A2F">
        <w:rPr>
          <w:b/>
          <w:bCs/>
          <w:lang w:val="en"/>
        </w:rPr>
        <w:t>deterrent to growth of metal prices</w:t>
      </w:r>
      <w:r w:rsidRPr="001529C7">
        <w:rPr>
          <w:bCs/>
          <w:lang w:val="en"/>
        </w:rPr>
        <w:t xml:space="preserve"> at domestic market, but not an incentive for domestic processing enterprises to manufacture products with high added value.</w:t>
      </w:r>
    </w:p>
    <w:p w14:paraId="2F19825C" w14:textId="77777777" w:rsidR="0059338B" w:rsidRPr="00A57506" w:rsidRDefault="004C4BA9" w:rsidP="0059338B">
      <w:pPr>
        <w:rPr>
          <w:rFonts w:eastAsia="Calibri"/>
          <w:bCs/>
          <w:iCs/>
          <w:lang w:val="en-US"/>
        </w:rPr>
      </w:pPr>
      <w:r w:rsidRPr="001529C7">
        <w:rPr>
          <w:rFonts w:eastAsia="Calibri"/>
          <w:bCs/>
          <w:iCs/>
          <w:lang w:val="en"/>
        </w:rPr>
        <w:t xml:space="preserve">In this regard, in order to stimulate development of industrial and innovative industry and loading of domestic manufacturing production, it is proposed to apply existing instruments of </w:t>
      </w:r>
      <w:r w:rsidRPr="00F023B3">
        <w:rPr>
          <w:rFonts w:eastAsia="Calibri"/>
          <w:b/>
          <w:bCs/>
          <w:iCs/>
          <w:lang w:val="en"/>
        </w:rPr>
        <w:t>tariff and non-tariff regulation</w:t>
      </w:r>
      <w:r w:rsidRPr="001529C7">
        <w:rPr>
          <w:rFonts w:eastAsia="Calibri"/>
          <w:bCs/>
          <w:iCs/>
          <w:lang w:val="en"/>
        </w:rPr>
        <w:t>, including introduction of export customs duties and quotas on non-ferrous metals, as well as on subsequent products of their processing.</w:t>
      </w:r>
    </w:p>
    <w:p w14:paraId="00AAD014" w14:textId="77777777" w:rsidR="0059338B" w:rsidRPr="00A57506" w:rsidRDefault="004C4BA9" w:rsidP="0059338B">
      <w:pPr>
        <w:rPr>
          <w:bCs/>
          <w:lang w:val="en-US"/>
        </w:rPr>
      </w:pPr>
      <w:r w:rsidRPr="001529C7">
        <w:rPr>
          <w:rFonts w:eastAsia="Calibri"/>
          <w:bCs/>
          <w:iCs/>
          <w:lang w:val="en"/>
        </w:rPr>
        <w:t>With that , in order to increase investment attractiveness, it is necessary to reorient state support measures for value-added products, including financing working capital and modernization of capacities, ensuring volume of sales at domestic market.</w:t>
      </w:r>
    </w:p>
    <w:p w14:paraId="33FD3BC6" w14:textId="77777777" w:rsidR="0059338B" w:rsidRPr="00A57506" w:rsidRDefault="004C4BA9" w:rsidP="0059338B">
      <w:pPr>
        <w:rPr>
          <w:rFonts w:eastAsia="Calibri"/>
          <w:bCs/>
          <w:iCs/>
          <w:lang w:val="en-US"/>
        </w:rPr>
      </w:pPr>
      <w:r w:rsidRPr="001529C7">
        <w:rPr>
          <w:rFonts w:eastAsia="Calibri"/>
          <w:bCs/>
          <w:iCs/>
          <w:lang w:val="en"/>
        </w:rPr>
        <w:t>In order to increase potential of manufacturing industry, the Agency has proposed the following mechanisms:</w:t>
      </w:r>
    </w:p>
    <w:p w14:paraId="14EAF0BA" w14:textId="77777777" w:rsidR="00F023B3" w:rsidRPr="00A57506" w:rsidRDefault="004C4BA9" w:rsidP="00F023B3">
      <w:pPr>
        <w:tabs>
          <w:tab w:val="clear" w:pos="567"/>
          <w:tab w:val="left" w:pos="1134"/>
        </w:tabs>
        <w:contextualSpacing/>
        <w:rPr>
          <w:rFonts w:eastAsia="Calibri"/>
          <w:bCs/>
          <w:iCs/>
          <w:lang w:val="en-US"/>
        </w:rPr>
      </w:pPr>
      <w:r>
        <w:rPr>
          <w:rFonts w:eastAsia="Calibri"/>
          <w:bCs/>
          <w:iCs/>
          <w:lang w:val="en"/>
        </w:rPr>
        <w:t>1) provide open and transparent access to geological information and subsoil areas;</w:t>
      </w:r>
      <w:bookmarkStart w:id="54" w:name="_Hlk135737844"/>
    </w:p>
    <w:p w14:paraId="1421CDBA" w14:textId="77777777" w:rsidR="00F023B3" w:rsidRPr="00A57506" w:rsidRDefault="004C4BA9" w:rsidP="00F023B3">
      <w:pPr>
        <w:tabs>
          <w:tab w:val="clear" w:pos="567"/>
          <w:tab w:val="left" w:pos="1134"/>
        </w:tabs>
        <w:contextualSpacing/>
        <w:rPr>
          <w:rFonts w:eastAsia="Calibri"/>
          <w:bCs/>
          <w:iCs/>
          <w:lang w:val="en-US"/>
        </w:rPr>
      </w:pPr>
      <w:r>
        <w:rPr>
          <w:rFonts w:eastAsia="Calibri"/>
          <w:bCs/>
          <w:iCs/>
          <w:lang w:val="en"/>
        </w:rPr>
        <w:t>2) refocus provision of state support measures on manufacture of value-added products</w:t>
      </w:r>
      <w:bookmarkEnd w:id="54"/>
      <w:r>
        <w:rPr>
          <w:rFonts w:eastAsia="Calibri"/>
          <w:bCs/>
          <w:iCs/>
          <w:lang w:val="en"/>
        </w:rPr>
        <w:t>;</w:t>
      </w:r>
    </w:p>
    <w:p w14:paraId="6FDE129A" w14:textId="77777777" w:rsidR="0059338B" w:rsidRPr="00A57506" w:rsidRDefault="004C4BA9" w:rsidP="00F023B3">
      <w:pPr>
        <w:tabs>
          <w:tab w:val="clear" w:pos="567"/>
          <w:tab w:val="left" w:pos="1134"/>
        </w:tabs>
        <w:contextualSpacing/>
        <w:rPr>
          <w:rFonts w:eastAsia="Calibri"/>
          <w:bCs/>
          <w:iCs/>
          <w:lang w:val="en-US"/>
        </w:rPr>
      </w:pPr>
      <w:r>
        <w:rPr>
          <w:rFonts w:eastAsia="Calibri"/>
          <w:bCs/>
          <w:iCs/>
          <w:lang w:val="en"/>
        </w:rPr>
        <w:t>3) consider use of tariff and non-tariff regulation tools.</w:t>
      </w:r>
    </w:p>
    <w:p w14:paraId="357C7EB7" w14:textId="28D10352" w:rsidR="0059338B" w:rsidRPr="00A57506" w:rsidRDefault="004C4BA9" w:rsidP="0059338B">
      <w:pPr>
        <w:rPr>
          <w:b/>
          <w:iCs/>
          <w:lang w:val="en-US"/>
        </w:rPr>
      </w:pPr>
      <w:r>
        <w:rPr>
          <w:rFonts w:eastAsia="Calibri"/>
          <w:iCs/>
          <w:lang w:val="en"/>
        </w:rPr>
        <w:t xml:space="preserve">Relevant initiatives to ensure availability of commodity prices </w:t>
      </w:r>
      <w:r w:rsidRPr="00F13D43">
        <w:rPr>
          <w:rFonts w:eastAsia="Calibri"/>
          <w:bCs/>
          <w:i/>
          <w:iCs/>
          <w:sz w:val="24"/>
          <w:lang w:val="en"/>
        </w:rPr>
        <w:t>(including intermediate ones)</w:t>
      </w:r>
      <w:r>
        <w:rPr>
          <w:rFonts w:eastAsia="Calibri"/>
          <w:iCs/>
          <w:lang w:val="en"/>
        </w:rPr>
        <w:t xml:space="preserve"> for domestic industry and their sufficiency for full provision of domestic processors will be further worked out jointly with the Government as part of executing paragraph of the National Action Plan for implementation of the President's Address to the People of Kazakhstan dated September 1, 2021 "Unity of the people and systemic reforms – solid foundation for country's prosperity".</w:t>
      </w:r>
    </w:p>
    <w:p w14:paraId="04160FC5" w14:textId="7599FF92" w:rsidR="007C5A6C" w:rsidRPr="001529C7" w:rsidRDefault="004C4BA9" w:rsidP="00901D92">
      <w:pPr>
        <w:pStyle w:val="Heading2"/>
        <w:numPr>
          <w:ilvl w:val="1"/>
          <w:numId w:val="8"/>
        </w:numPr>
        <w:tabs>
          <w:tab w:val="left" w:pos="0"/>
          <w:tab w:val="left" w:pos="1134"/>
        </w:tabs>
        <w:spacing w:before="240" w:after="240"/>
        <w:ind w:left="0" w:firstLine="567"/>
        <w:rPr>
          <w:rFonts w:cs="Times New Roman"/>
          <w:szCs w:val="28"/>
        </w:rPr>
      </w:pPr>
      <w:r>
        <w:rPr>
          <w:rFonts w:cs="Times New Roman"/>
          <w:szCs w:val="28"/>
          <w:lang w:val="en"/>
        </w:rPr>
        <w:t xml:space="preserve"> </w:t>
      </w:r>
      <w:bookmarkStart w:id="55" w:name="_Toc142467917"/>
      <w:r>
        <w:rPr>
          <w:rFonts w:cs="Times New Roman"/>
          <w:szCs w:val="28"/>
          <w:lang w:val="en"/>
        </w:rPr>
        <w:t>Pesticides</w:t>
      </w:r>
      <w:r w:rsidR="00AF59F7">
        <w:rPr>
          <w:rFonts w:cs="Times New Roman"/>
          <w:szCs w:val="28"/>
          <w:lang w:val="en"/>
        </w:rPr>
        <w:t>’</w:t>
      </w:r>
      <w:r>
        <w:rPr>
          <w:rFonts w:cs="Times New Roman"/>
          <w:szCs w:val="28"/>
          <w:lang w:val="en"/>
        </w:rPr>
        <w:t xml:space="preserve"> sales market</w:t>
      </w:r>
      <w:bookmarkEnd w:id="55"/>
    </w:p>
    <w:p w14:paraId="5D67B183" w14:textId="77777777" w:rsidR="0059338B" w:rsidRPr="00A57506" w:rsidRDefault="004C4BA9" w:rsidP="0059338B">
      <w:pPr>
        <w:rPr>
          <w:color w:val="000000" w:themeColor="text1"/>
          <w:lang w:val="en-US"/>
        </w:rPr>
      </w:pPr>
      <w:r w:rsidRPr="001529C7">
        <w:rPr>
          <w:color w:val="000000" w:themeColor="text1"/>
          <w:lang w:val="en"/>
        </w:rPr>
        <w:t>Analysis of pesticides sales market was carried out within the framework of determining factors influencing growth of prices for food staples.</w:t>
      </w:r>
    </w:p>
    <w:p w14:paraId="6E11CA3A" w14:textId="77777777" w:rsidR="0059338B" w:rsidRPr="00A57506" w:rsidRDefault="004C4BA9" w:rsidP="0059338B">
      <w:pPr>
        <w:rPr>
          <w:color w:val="000000" w:themeColor="text1"/>
          <w:lang w:val="en-US"/>
        </w:rPr>
      </w:pPr>
      <w:r w:rsidRPr="001529C7">
        <w:rPr>
          <w:color w:val="000000" w:themeColor="text1"/>
          <w:lang w:val="en"/>
        </w:rPr>
        <w:t xml:space="preserve">One of the key factors affecting cost of agricultural products is the </w:t>
      </w:r>
      <w:r w:rsidRPr="00A42338">
        <w:rPr>
          <w:b/>
          <w:color w:val="000000" w:themeColor="text1"/>
          <w:lang w:val="en"/>
        </w:rPr>
        <w:t>cost of pesticides</w:t>
      </w:r>
      <w:r w:rsidRPr="001529C7">
        <w:rPr>
          <w:color w:val="000000" w:themeColor="text1"/>
          <w:lang w:val="en"/>
        </w:rPr>
        <w:t xml:space="preserve">. According to authorized bodies, share of pesticide costs in the cost of major crops is </w:t>
      </w:r>
      <w:r w:rsidRPr="00A42338">
        <w:rPr>
          <w:b/>
          <w:color w:val="000000" w:themeColor="text1"/>
          <w:lang w:val="en"/>
        </w:rPr>
        <w:t>18%</w:t>
      </w:r>
      <w:r w:rsidRPr="001529C7">
        <w:rPr>
          <w:color w:val="000000" w:themeColor="text1"/>
          <w:lang w:val="en"/>
        </w:rPr>
        <w:t xml:space="preserve">, while the share of imports in Kazakhstan exceeds </w:t>
      </w:r>
      <w:r w:rsidRPr="00A42338">
        <w:rPr>
          <w:b/>
          <w:color w:val="000000" w:themeColor="text1"/>
          <w:lang w:val="en"/>
        </w:rPr>
        <w:t>69%</w:t>
      </w:r>
      <w:r w:rsidRPr="001529C7">
        <w:rPr>
          <w:color w:val="000000" w:themeColor="text1"/>
          <w:lang w:val="en"/>
        </w:rPr>
        <w:t>.</w:t>
      </w:r>
    </w:p>
    <w:p w14:paraId="3B87F288" w14:textId="77777777" w:rsidR="0059338B" w:rsidRPr="00A57506" w:rsidRDefault="004C4BA9" w:rsidP="0059338B">
      <w:pPr>
        <w:rPr>
          <w:color w:val="000000" w:themeColor="text1"/>
          <w:lang w:val="en-US"/>
        </w:rPr>
      </w:pPr>
      <w:r w:rsidRPr="001529C7">
        <w:rPr>
          <w:color w:val="000000" w:themeColor="text1"/>
          <w:lang w:val="en"/>
        </w:rPr>
        <w:t xml:space="preserve">Pesticides include 7 types, such as: insecticides, rodenticides, fungicides, herbicides, plant growth regulators </w:t>
      </w:r>
      <w:r w:rsidRPr="00A42338">
        <w:rPr>
          <w:i/>
          <w:color w:val="000000" w:themeColor="text1"/>
          <w:sz w:val="24"/>
          <w:lang w:val="en"/>
        </w:rPr>
        <w:t>(stimulants)</w:t>
      </w:r>
      <w:r w:rsidRPr="001529C7">
        <w:rPr>
          <w:color w:val="000000" w:themeColor="text1"/>
          <w:lang w:val="en"/>
        </w:rPr>
        <w:t>, defoliants, desiccants.</w:t>
      </w:r>
    </w:p>
    <w:p w14:paraId="69700EC4" w14:textId="75792426" w:rsidR="0059338B" w:rsidRPr="00A57506" w:rsidRDefault="004C4BA9" w:rsidP="0059338B">
      <w:pPr>
        <w:rPr>
          <w:color w:val="000000" w:themeColor="text1"/>
          <w:lang w:val="en-US"/>
        </w:rPr>
      </w:pPr>
      <w:r w:rsidRPr="001529C7">
        <w:rPr>
          <w:color w:val="000000" w:themeColor="text1"/>
          <w:lang w:val="en"/>
        </w:rPr>
        <w:t>Results of the consumer survey showed that types of pesticides are not interchangeable with each other since they have different properties and scope of application.</w:t>
      </w:r>
    </w:p>
    <w:p w14:paraId="0AF35A5C" w14:textId="77777777" w:rsidR="0059338B" w:rsidRPr="00A57506" w:rsidRDefault="004C4BA9" w:rsidP="0059338B">
      <w:pPr>
        <w:rPr>
          <w:color w:val="000000" w:themeColor="text1"/>
          <w:lang w:val="en-US"/>
        </w:rPr>
      </w:pPr>
      <w:r w:rsidRPr="001529C7">
        <w:rPr>
          <w:color w:val="000000" w:themeColor="text1"/>
          <w:lang w:val="en"/>
        </w:rPr>
        <w:lastRenderedPageBreak/>
        <w:t xml:space="preserve">As part of the analysis, it was found that there are 24 entities on the market, of which there are 20 importers, 4 domestic producers, and one of them is an enterprise with state participation, CHEM-Plus LLP </w:t>
      </w:r>
      <w:r w:rsidRPr="00A42338">
        <w:rPr>
          <w:i/>
          <w:color w:val="000000" w:themeColor="text1"/>
          <w:sz w:val="24"/>
          <w:lang w:val="en"/>
        </w:rPr>
        <w:t>(included in the Privatization Plan)</w:t>
      </w:r>
      <w:r w:rsidRPr="001529C7">
        <w:rPr>
          <w:color w:val="000000" w:themeColor="text1"/>
          <w:lang w:val="en"/>
        </w:rPr>
        <w:t>.</w:t>
      </w:r>
    </w:p>
    <w:p w14:paraId="34DE3724" w14:textId="77777777" w:rsidR="00CA50F2" w:rsidRPr="00A57506" w:rsidRDefault="004C4BA9" w:rsidP="0059338B">
      <w:pPr>
        <w:rPr>
          <w:color w:val="000000" w:themeColor="text1"/>
          <w:lang w:val="en-US"/>
        </w:rPr>
      </w:pPr>
      <w:r w:rsidRPr="001529C7">
        <w:rPr>
          <w:noProof/>
        </w:rPr>
        <mc:AlternateContent>
          <mc:Choice Requires="wpg">
            <w:drawing>
              <wp:anchor distT="0" distB="0" distL="114300" distR="114300" simplePos="0" relativeHeight="251659264" behindDoc="0" locked="0" layoutInCell="1" allowOverlap="1" wp14:anchorId="41D8C8FA" wp14:editId="34A2E46E">
                <wp:simplePos x="0" y="0"/>
                <wp:positionH relativeFrom="margin">
                  <wp:align>center</wp:align>
                </wp:positionH>
                <wp:positionV relativeFrom="paragraph">
                  <wp:posOffset>131582</wp:posOffset>
                </wp:positionV>
                <wp:extent cx="4695825" cy="2487930"/>
                <wp:effectExtent l="0" t="0" r="9525" b="26670"/>
                <wp:wrapNone/>
                <wp:docPr id="110" name="Группа 2"/>
                <wp:cNvGraphicFramePr/>
                <a:graphic xmlns:a="http://schemas.openxmlformats.org/drawingml/2006/main">
                  <a:graphicData uri="http://schemas.microsoft.com/office/word/2010/wordprocessingGroup">
                    <wpg:wgp>
                      <wpg:cNvGrpSpPr/>
                      <wpg:grpSpPr>
                        <a:xfrm>
                          <a:off x="0" y="0"/>
                          <a:ext cx="4695825" cy="2487930"/>
                          <a:chOff x="0" y="-2137"/>
                          <a:chExt cx="4484394" cy="2488729"/>
                        </a:xfrm>
                      </wpg:grpSpPr>
                      <wpg:grpSp>
                        <wpg:cNvPr id="111" name="Группа 111"/>
                        <wpg:cNvGrpSpPr/>
                        <wpg:grpSpPr>
                          <a:xfrm>
                            <a:off x="0" y="329313"/>
                            <a:ext cx="4484394" cy="2157279"/>
                            <a:chOff x="0" y="329315"/>
                            <a:chExt cx="8067534" cy="4525963"/>
                          </a:xfrm>
                        </wpg:grpSpPr>
                        <wps:wsp>
                          <wps:cNvPr id="112" name="AutoShape 2"/>
                          <wps:cNvSpPr>
                            <a:spLocks noChangeAspect="1" noChangeArrowheads="1" noTextEdit="1"/>
                          </wps:cNvSpPr>
                          <wps:spPr bwMode="auto">
                            <a:xfrm>
                              <a:off x="1966913" y="530928"/>
                              <a:ext cx="3687762"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113" name="Freeform 4"/>
                          <wps:cNvSpPr/>
                          <wps:spPr bwMode="auto">
                            <a:xfrm>
                              <a:off x="2536638" y="2540703"/>
                              <a:ext cx="1879462" cy="1636713"/>
                            </a:xfrm>
                            <a:custGeom>
                              <a:avLst/>
                              <a:gdLst>
                                <a:gd name="T0" fmla="*/ 32 w 609"/>
                                <a:gd name="T1" fmla="*/ 157 h 530"/>
                                <a:gd name="T2" fmla="*/ 31 w 609"/>
                                <a:gd name="T3" fmla="*/ 165 h 530"/>
                                <a:gd name="T4" fmla="*/ 16 w 609"/>
                                <a:gd name="T5" fmla="*/ 170 h 530"/>
                                <a:gd name="T6" fmla="*/ 26 w 609"/>
                                <a:gd name="T7" fmla="*/ 184 h 530"/>
                                <a:gd name="T8" fmla="*/ 52 w 609"/>
                                <a:gd name="T9" fmla="*/ 177 h 530"/>
                                <a:gd name="T10" fmla="*/ 63 w 609"/>
                                <a:gd name="T11" fmla="*/ 155 h 530"/>
                                <a:gd name="T12" fmla="*/ 58 w 609"/>
                                <a:gd name="T13" fmla="*/ 141 h 530"/>
                                <a:gd name="T14" fmla="*/ 69 w 609"/>
                                <a:gd name="T15" fmla="*/ 129 h 530"/>
                                <a:gd name="T16" fmla="*/ 69 w 609"/>
                                <a:gd name="T17" fmla="*/ 154 h 530"/>
                                <a:gd name="T18" fmla="*/ 92 w 609"/>
                                <a:gd name="T19" fmla="*/ 159 h 530"/>
                                <a:gd name="T20" fmla="*/ 112 w 609"/>
                                <a:gd name="T21" fmla="*/ 159 h 530"/>
                                <a:gd name="T22" fmla="*/ 112 w 609"/>
                                <a:gd name="T23" fmla="*/ 168 h 530"/>
                                <a:gd name="T24" fmla="*/ 94 w 609"/>
                                <a:gd name="T25" fmla="*/ 171 h 530"/>
                                <a:gd name="T26" fmla="*/ 70 w 609"/>
                                <a:gd name="T27" fmla="*/ 166 h 530"/>
                                <a:gd name="T28" fmla="*/ 64 w 609"/>
                                <a:gd name="T29" fmla="*/ 183 h 530"/>
                                <a:gd name="T30" fmla="*/ 59 w 609"/>
                                <a:gd name="T31" fmla="*/ 200 h 530"/>
                                <a:gd name="T32" fmla="*/ 71 w 609"/>
                                <a:gd name="T33" fmla="*/ 197 h 530"/>
                                <a:gd name="T34" fmla="*/ 81 w 609"/>
                                <a:gd name="T35" fmla="*/ 234 h 530"/>
                                <a:gd name="T36" fmla="*/ 77 w 609"/>
                                <a:gd name="T37" fmla="*/ 268 h 530"/>
                                <a:gd name="T38" fmla="*/ 141 w 609"/>
                                <a:gd name="T39" fmla="*/ 337 h 530"/>
                                <a:gd name="T40" fmla="*/ 278 w 609"/>
                                <a:gd name="T41" fmla="*/ 398 h 530"/>
                                <a:gd name="T42" fmla="*/ 322 w 609"/>
                                <a:gd name="T43" fmla="*/ 407 h 530"/>
                                <a:gd name="T44" fmla="*/ 395 w 609"/>
                                <a:gd name="T45" fmla="*/ 393 h 530"/>
                                <a:gd name="T46" fmla="*/ 437 w 609"/>
                                <a:gd name="T47" fmla="*/ 434 h 530"/>
                                <a:gd name="T48" fmla="*/ 456 w 609"/>
                                <a:gd name="T49" fmla="*/ 479 h 530"/>
                                <a:gd name="T50" fmla="*/ 480 w 609"/>
                                <a:gd name="T51" fmla="*/ 465 h 530"/>
                                <a:gd name="T52" fmla="*/ 490 w 609"/>
                                <a:gd name="T53" fmla="*/ 520 h 530"/>
                                <a:gd name="T54" fmla="*/ 522 w 609"/>
                                <a:gd name="T55" fmla="*/ 493 h 530"/>
                                <a:gd name="T56" fmla="*/ 541 w 609"/>
                                <a:gd name="T57" fmla="*/ 480 h 530"/>
                                <a:gd name="T58" fmla="*/ 561 w 609"/>
                                <a:gd name="T59" fmla="*/ 473 h 530"/>
                                <a:gd name="T60" fmla="*/ 596 w 609"/>
                                <a:gd name="T61" fmla="*/ 449 h 530"/>
                                <a:gd name="T62" fmla="*/ 584 w 609"/>
                                <a:gd name="T63" fmla="*/ 428 h 530"/>
                                <a:gd name="T64" fmla="*/ 604 w 609"/>
                                <a:gd name="T65" fmla="*/ 405 h 530"/>
                                <a:gd name="T66" fmla="*/ 604 w 609"/>
                                <a:gd name="T67" fmla="*/ 385 h 530"/>
                                <a:gd name="T68" fmla="*/ 609 w 609"/>
                                <a:gd name="T69" fmla="*/ 368 h 530"/>
                                <a:gd name="T70" fmla="*/ 578 w 609"/>
                                <a:gd name="T71" fmla="*/ 341 h 530"/>
                                <a:gd name="T72" fmla="*/ 576 w 609"/>
                                <a:gd name="T73" fmla="*/ 273 h 530"/>
                                <a:gd name="T74" fmla="*/ 554 w 609"/>
                                <a:gd name="T75" fmla="*/ 245 h 530"/>
                                <a:gd name="T76" fmla="*/ 560 w 609"/>
                                <a:gd name="T77" fmla="*/ 234 h 530"/>
                                <a:gd name="T78" fmla="*/ 548 w 609"/>
                                <a:gd name="T79" fmla="*/ 173 h 530"/>
                                <a:gd name="T80" fmla="*/ 517 w 609"/>
                                <a:gd name="T81" fmla="*/ 178 h 530"/>
                                <a:gd name="T82" fmla="*/ 516 w 609"/>
                                <a:gd name="T83" fmla="*/ 179 h 530"/>
                                <a:gd name="T84" fmla="*/ 451 w 609"/>
                                <a:gd name="T85" fmla="*/ 177 h 530"/>
                                <a:gd name="T86" fmla="*/ 415 w 609"/>
                                <a:gd name="T87" fmla="*/ 149 h 530"/>
                                <a:gd name="T88" fmla="*/ 312 w 609"/>
                                <a:gd name="T89" fmla="*/ 100 h 530"/>
                                <a:gd name="T90" fmla="*/ 292 w 609"/>
                                <a:gd name="T91" fmla="*/ 80 h 530"/>
                                <a:gd name="T92" fmla="*/ 278 w 609"/>
                                <a:gd name="T93" fmla="*/ 78 h 530"/>
                                <a:gd name="T94" fmla="*/ 269 w 609"/>
                                <a:gd name="T95" fmla="*/ 66 h 530"/>
                                <a:gd name="T96" fmla="*/ 255 w 609"/>
                                <a:gd name="T97" fmla="*/ 56 h 530"/>
                                <a:gd name="T98" fmla="*/ 253 w 609"/>
                                <a:gd name="T99" fmla="*/ 45 h 530"/>
                                <a:gd name="T100" fmla="*/ 179 w 609"/>
                                <a:gd name="T101" fmla="*/ 0 h 530"/>
                                <a:gd name="T102" fmla="*/ 147 w 609"/>
                                <a:gd name="T103" fmla="*/ 58 h 530"/>
                                <a:gd name="T104" fmla="*/ 109 w 609"/>
                                <a:gd name="T105" fmla="*/ 58 h 530"/>
                                <a:gd name="T106" fmla="*/ 104 w 609"/>
                                <a:gd name="T107" fmla="*/ 82 h 530"/>
                                <a:gd name="T108" fmla="*/ 93 w 609"/>
                                <a:gd name="T109" fmla="*/ 78 h 530"/>
                                <a:gd name="T110" fmla="*/ 23 w 609"/>
                                <a:gd name="T111" fmla="*/ 150 h 530"/>
                                <a:gd name="T112" fmla="*/ 21 w 609"/>
                                <a:gd name="T113" fmla="*/ 151 h 530"/>
                                <a:gd name="T114" fmla="*/ 0 w 609"/>
                                <a:gd name="T115" fmla="*/ 160 h 53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09"/>
                                <a:gd name="T175" fmla="*/ 0 h 530"/>
                                <a:gd name="T176" fmla="*/ 609 w 609"/>
                                <a:gd name="T177" fmla="*/ 530 h 53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09" h="530">
                                  <a:moveTo>
                                    <a:pt x="27" y="159"/>
                                  </a:moveTo>
                                  <a:cubicBezTo>
                                    <a:pt x="32" y="157"/>
                                    <a:pt x="32" y="157"/>
                                    <a:pt x="32" y="157"/>
                                  </a:cubicBezTo>
                                  <a:cubicBezTo>
                                    <a:pt x="34" y="160"/>
                                    <a:pt x="34" y="160"/>
                                    <a:pt x="34" y="160"/>
                                  </a:cubicBezTo>
                                  <a:cubicBezTo>
                                    <a:pt x="31" y="165"/>
                                    <a:pt x="31" y="165"/>
                                    <a:pt x="31" y="165"/>
                                  </a:cubicBezTo>
                                  <a:cubicBezTo>
                                    <a:pt x="27" y="170"/>
                                    <a:pt x="27" y="170"/>
                                    <a:pt x="27" y="170"/>
                                  </a:cubicBezTo>
                                  <a:cubicBezTo>
                                    <a:pt x="16" y="170"/>
                                    <a:pt x="16" y="170"/>
                                    <a:pt x="16" y="170"/>
                                  </a:cubicBezTo>
                                  <a:cubicBezTo>
                                    <a:pt x="26" y="175"/>
                                    <a:pt x="26" y="175"/>
                                    <a:pt x="26" y="175"/>
                                  </a:cubicBezTo>
                                  <a:cubicBezTo>
                                    <a:pt x="26" y="184"/>
                                    <a:pt x="26" y="184"/>
                                    <a:pt x="26" y="184"/>
                                  </a:cubicBezTo>
                                  <a:cubicBezTo>
                                    <a:pt x="37" y="184"/>
                                    <a:pt x="37" y="184"/>
                                    <a:pt x="37" y="184"/>
                                  </a:cubicBezTo>
                                  <a:cubicBezTo>
                                    <a:pt x="52" y="177"/>
                                    <a:pt x="52" y="177"/>
                                    <a:pt x="52" y="177"/>
                                  </a:cubicBezTo>
                                  <a:cubicBezTo>
                                    <a:pt x="56" y="164"/>
                                    <a:pt x="56" y="164"/>
                                    <a:pt x="56" y="164"/>
                                  </a:cubicBezTo>
                                  <a:cubicBezTo>
                                    <a:pt x="63" y="155"/>
                                    <a:pt x="63" y="155"/>
                                    <a:pt x="63" y="155"/>
                                  </a:cubicBezTo>
                                  <a:cubicBezTo>
                                    <a:pt x="63" y="151"/>
                                    <a:pt x="63" y="151"/>
                                    <a:pt x="63" y="151"/>
                                  </a:cubicBezTo>
                                  <a:cubicBezTo>
                                    <a:pt x="58" y="141"/>
                                    <a:pt x="58" y="141"/>
                                    <a:pt x="58" y="141"/>
                                  </a:cubicBezTo>
                                  <a:cubicBezTo>
                                    <a:pt x="52" y="128"/>
                                    <a:pt x="52" y="128"/>
                                    <a:pt x="52" y="128"/>
                                  </a:cubicBezTo>
                                  <a:cubicBezTo>
                                    <a:pt x="69" y="129"/>
                                    <a:pt x="69" y="129"/>
                                    <a:pt x="69" y="129"/>
                                  </a:cubicBezTo>
                                  <a:cubicBezTo>
                                    <a:pt x="69" y="145"/>
                                    <a:pt x="69" y="145"/>
                                    <a:pt x="69" y="145"/>
                                  </a:cubicBezTo>
                                  <a:cubicBezTo>
                                    <a:pt x="69" y="154"/>
                                    <a:pt x="69" y="154"/>
                                    <a:pt x="69" y="154"/>
                                  </a:cubicBezTo>
                                  <a:cubicBezTo>
                                    <a:pt x="83" y="154"/>
                                    <a:pt x="83" y="154"/>
                                    <a:pt x="83" y="154"/>
                                  </a:cubicBezTo>
                                  <a:cubicBezTo>
                                    <a:pt x="92" y="159"/>
                                    <a:pt x="92" y="159"/>
                                    <a:pt x="92" y="159"/>
                                  </a:cubicBezTo>
                                  <a:cubicBezTo>
                                    <a:pt x="107" y="157"/>
                                    <a:pt x="107" y="157"/>
                                    <a:pt x="107" y="157"/>
                                  </a:cubicBezTo>
                                  <a:cubicBezTo>
                                    <a:pt x="112" y="159"/>
                                    <a:pt x="112" y="159"/>
                                    <a:pt x="112" y="159"/>
                                  </a:cubicBezTo>
                                  <a:cubicBezTo>
                                    <a:pt x="121" y="161"/>
                                    <a:pt x="121" y="161"/>
                                    <a:pt x="121" y="161"/>
                                  </a:cubicBezTo>
                                  <a:cubicBezTo>
                                    <a:pt x="112" y="168"/>
                                    <a:pt x="112" y="168"/>
                                    <a:pt x="112" y="168"/>
                                  </a:cubicBezTo>
                                  <a:cubicBezTo>
                                    <a:pt x="107" y="175"/>
                                    <a:pt x="107" y="175"/>
                                    <a:pt x="107" y="175"/>
                                  </a:cubicBezTo>
                                  <a:cubicBezTo>
                                    <a:pt x="94" y="171"/>
                                    <a:pt x="94" y="171"/>
                                    <a:pt x="94" y="171"/>
                                  </a:cubicBezTo>
                                  <a:cubicBezTo>
                                    <a:pt x="81" y="166"/>
                                    <a:pt x="81" y="166"/>
                                    <a:pt x="81" y="166"/>
                                  </a:cubicBezTo>
                                  <a:cubicBezTo>
                                    <a:pt x="70" y="166"/>
                                    <a:pt x="70" y="166"/>
                                    <a:pt x="70" y="166"/>
                                  </a:cubicBezTo>
                                  <a:cubicBezTo>
                                    <a:pt x="65" y="176"/>
                                    <a:pt x="65" y="176"/>
                                    <a:pt x="65" y="176"/>
                                  </a:cubicBezTo>
                                  <a:cubicBezTo>
                                    <a:pt x="64" y="183"/>
                                    <a:pt x="64" y="183"/>
                                    <a:pt x="64" y="183"/>
                                  </a:cubicBezTo>
                                  <a:cubicBezTo>
                                    <a:pt x="58" y="186"/>
                                    <a:pt x="58" y="186"/>
                                    <a:pt x="58" y="186"/>
                                  </a:cubicBezTo>
                                  <a:cubicBezTo>
                                    <a:pt x="59" y="200"/>
                                    <a:pt x="59" y="200"/>
                                    <a:pt x="59" y="200"/>
                                  </a:cubicBezTo>
                                  <a:cubicBezTo>
                                    <a:pt x="68" y="201"/>
                                    <a:pt x="68" y="201"/>
                                    <a:pt x="68" y="201"/>
                                  </a:cubicBezTo>
                                  <a:cubicBezTo>
                                    <a:pt x="71" y="197"/>
                                    <a:pt x="71" y="197"/>
                                    <a:pt x="71" y="197"/>
                                  </a:cubicBezTo>
                                  <a:cubicBezTo>
                                    <a:pt x="81" y="203"/>
                                    <a:pt x="81" y="203"/>
                                    <a:pt x="81" y="203"/>
                                  </a:cubicBezTo>
                                  <a:cubicBezTo>
                                    <a:pt x="81" y="234"/>
                                    <a:pt x="81" y="234"/>
                                    <a:pt x="81" y="234"/>
                                  </a:cubicBezTo>
                                  <a:cubicBezTo>
                                    <a:pt x="78" y="237"/>
                                    <a:pt x="78" y="237"/>
                                    <a:pt x="78" y="237"/>
                                  </a:cubicBezTo>
                                  <a:cubicBezTo>
                                    <a:pt x="77" y="268"/>
                                    <a:pt x="77" y="268"/>
                                    <a:pt x="77" y="268"/>
                                  </a:cubicBezTo>
                                  <a:cubicBezTo>
                                    <a:pt x="139" y="318"/>
                                    <a:pt x="139" y="318"/>
                                    <a:pt x="139" y="318"/>
                                  </a:cubicBezTo>
                                  <a:cubicBezTo>
                                    <a:pt x="141" y="337"/>
                                    <a:pt x="141" y="337"/>
                                    <a:pt x="141" y="337"/>
                                  </a:cubicBezTo>
                                  <a:cubicBezTo>
                                    <a:pt x="195" y="411"/>
                                    <a:pt x="195" y="411"/>
                                    <a:pt x="195" y="411"/>
                                  </a:cubicBezTo>
                                  <a:cubicBezTo>
                                    <a:pt x="278" y="398"/>
                                    <a:pt x="278" y="398"/>
                                    <a:pt x="278" y="398"/>
                                  </a:cubicBezTo>
                                  <a:cubicBezTo>
                                    <a:pt x="298" y="407"/>
                                    <a:pt x="298" y="407"/>
                                    <a:pt x="298" y="407"/>
                                  </a:cubicBezTo>
                                  <a:cubicBezTo>
                                    <a:pt x="322" y="407"/>
                                    <a:pt x="322" y="407"/>
                                    <a:pt x="322" y="407"/>
                                  </a:cubicBezTo>
                                  <a:cubicBezTo>
                                    <a:pt x="366" y="413"/>
                                    <a:pt x="366" y="413"/>
                                    <a:pt x="366" y="413"/>
                                  </a:cubicBezTo>
                                  <a:cubicBezTo>
                                    <a:pt x="395" y="393"/>
                                    <a:pt x="395" y="393"/>
                                    <a:pt x="395" y="393"/>
                                  </a:cubicBezTo>
                                  <a:cubicBezTo>
                                    <a:pt x="418" y="424"/>
                                    <a:pt x="418" y="424"/>
                                    <a:pt x="418" y="424"/>
                                  </a:cubicBezTo>
                                  <a:cubicBezTo>
                                    <a:pt x="437" y="434"/>
                                    <a:pt x="437" y="434"/>
                                    <a:pt x="437" y="434"/>
                                  </a:cubicBezTo>
                                  <a:cubicBezTo>
                                    <a:pt x="444" y="446"/>
                                    <a:pt x="444" y="446"/>
                                    <a:pt x="444" y="446"/>
                                  </a:cubicBezTo>
                                  <a:cubicBezTo>
                                    <a:pt x="456" y="479"/>
                                    <a:pt x="456" y="479"/>
                                    <a:pt x="456" y="479"/>
                                  </a:cubicBezTo>
                                  <a:cubicBezTo>
                                    <a:pt x="467" y="473"/>
                                    <a:pt x="467" y="473"/>
                                    <a:pt x="467" y="473"/>
                                  </a:cubicBezTo>
                                  <a:cubicBezTo>
                                    <a:pt x="480" y="465"/>
                                    <a:pt x="480" y="465"/>
                                    <a:pt x="480" y="465"/>
                                  </a:cubicBezTo>
                                  <a:cubicBezTo>
                                    <a:pt x="475" y="530"/>
                                    <a:pt x="475" y="530"/>
                                    <a:pt x="475" y="530"/>
                                  </a:cubicBezTo>
                                  <a:cubicBezTo>
                                    <a:pt x="490" y="520"/>
                                    <a:pt x="490" y="520"/>
                                    <a:pt x="490" y="520"/>
                                  </a:cubicBezTo>
                                  <a:cubicBezTo>
                                    <a:pt x="499" y="512"/>
                                    <a:pt x="499" y="512"/>
                                    <a:pt x="499" y="512"/>
                                  </a:cubicBezTo>
                                  <a:cubicBezTo>
                                    <a:pt x="522" y="493"/>
                                    <a:pt x="522" y="493"/>
                                    <a:pt x="522" y="493"/>
                                  </a:cubicBezTo>
                                  <a:cubicBezTo>
                                    <a:pt x="541" y="480"/>
                                    <a:pt x="541" y="480"/>
                                    <a:pt x="541" y="480"/>
                                  </a:cubicBezTo>
                                  <a:cubicBezTo>
                                    <a:pt x="541" y="480"/>
                                    <a:pt x="541" y="480"/>
                                    <a:pt x="541" y="480"/>
                                  </a:cubicBezTo>
                                  <a:cubicBezTo>
                                    <a:pt x="541" y="480"/>
                                    <a:pt x="541" y="480"/>
                                    <a:pt x="541" y="480"/>
                                  </a:cubicBezTo>
                                  <a:cubicBezTo>
                                    <a:pt x="561" y="473"/>
                                    <a:pt x="561" y="473"/>
                                    <a:pt x="561" y="473"/>
                                  </a:cubicBezTo>
                                  <a:cubicBezTo>
                                    <a:pt x="563" y="473"/>
                                    <a:pt x="576" y="462"/>
                                    <a:pt x="577" y="462"/>
                                  </a:cubicBezTo>
                                  <a:cubicBezTo>
                                    <a:pt x="596" y="449"/>
                                    <a:pt x="596" y="449"/>
                                    <a:pt x="596" y="449"/>
                                  </a:cubicBezTo>
                                  <a:cubicBezTo>
                                    <a:pt x="585" y="429"/>
                                    <a:pt x="585" y="429"/>
                                    <a:pt x="585" y="429"/>
                                  </a:cubicBezTo>
                                  <a:cubicBezTo>
                                    <a:pt x="584" y="428"/>
                                    <a:pt x="584" y="428"/>
                                    <a:pt x="584" y="428"/>
                                  </a:cubicBezTo>
                                  <a:cubicBezTo>
                                    <a:pt x="585" y="427"/>
                                    <a:pt x="585" y="427"/>
                                    <a:pt x="585" y="427"/>
                                  </a:cubicBezTo>
                                  <a:cubicBezTo>
                                    <a:pt x="604" y="405"/>
                                    <a:pt x="604" y="405"/>
                                    <a:pt x="604" y="405"/>
                                  </a:cubicBezTo>
                                  <a:cubicBezTo>
                                    <a:pt x="604" y="385"/>
                                    <a:pt x="604" y="385"/>
                                    <a:pt x="604" y="385"/>
                                  </a:cubicBezTo>
                                  <a:cubicBezTo>
                                    <a:pt x="604" y="385"/>
                                    <a:pt x="604" y="385"/>
                                    <a:pt x="604" y="385"/>
                                  </a:cubicBezTo>
                                  <a:cubicBezTo>
                                    <a:pt x="604" y="384"/>
                                    <a:pt x="604" y="384"/>
                                    <a:pt x="604" y="384"/>
                                  </a:cubicBezTo>
                                  <a:cubicBezTo>
                                    <a:pt x="609" y="368"/>
                                    <a:pt x="609" y="368"/>
                                    <a:pt x="609" y="368"/>
                                  </a:cubicBezTo>
                                  <a:cubicBezTo>
                                    <a:pt x="578" y="341"/>
                                    <a:pt x="578" y="341"/>
                                    <a:pt x="578" y="341"/>
                                  </a:cubicBezTo>
                                  <a:cubicBezTo>
                                    <a:pt x="578" y="341"/>
                                    <a:pt x="578" y="341"/>
                                    <a:pt x="578" y="341"/>
                                  </a:cubicBezTo>
                                  <a:cubicBezTo>
                                    <a:pt x="578" y="340"/>
                                    <a:pt x="578" y="340"/>
                                    <a:pt x="578" y="340"/>
                                  </a:cubicBezTo>
                                  <a:cubicBezTo>
                                    <a:pt x="576" y="273"/>
                                    <a:pt x="576" y="273"/>
                                    <a:pt x="576" y="273"/>
                                  </a:cubicBezTo>
                                  <a:cubicBezTo>
                                    <a:pt x="555" y="246"/>
                                    <a:pt x="555" y="246"/>
                                    <a:pt x="555" y="246"/>
                                  </a:cubicBezTo>
                                  <a:cubicBezTo>
                                    <a:pt x="554" y="245"/>
                                    <a:pt x="554" y="245"/>
                                    <a:pt x="554" y="245"/>
                                  </a:cubicBezTo>
                                  <a:cubicBezTo>
                                    <a:pt x="555" y="244"/>
                                    <a:pt x="555" y="244"/>
                                    <a:pt x="555" y="244"/>
                                  </a:cubicBezTo>
                                  <a:cubicBezTo>
                                    <a:pt x="560" y="234"/>
                                    <a:pt x="560" y="234"/>
                                    <a:pt x="560" y="234"/>
                                  </a:cubicBezTo>
                                  <a:cubicBezTo>
                                    <a:pt x="565" y="189"/>
                                    <a:pt x="565" y="189"/>
                                    <a:pt x="565" y="189"/>
                                  </a:cubicBezTo>
                                  <a:cubicBezTo>
                                    <a:pt x="548" y="173"/>
                                    <a:pt x="548" y="173"/>
                                    <a:pt x="548" y="173"/>
                                  </a:cubicBezTo>
                                  <a:cubicBezTo>
                                    <a:pt x="522" y="174"/>
                                    <a:pt x="522" y="174"/>
                                    <a:pt x="522" y="174"/>
                                  </a:cubicBezTo>
                                  <a:cubicBezTo>
                                    <a:pt x="517" y="178"/>
                                    <a:pt x="517" y="178"/>
                                    <a:pt x="517" y="178"/>
                                  </a:cubicBezTo>
                                  <a:cubicBezTo>
                                    <a:pt x="517" y="179"/>
                                    <a:pt x="517" y="179"/>
                                    <a:pt x="517" y="179"/>
                                  </a:cubicBezTo>
                                  <a:cubicBezTo>
                                    <a:pt x="516" y="179"/>
                                    <a:pt x="516" y="179"/>
                                    <a:pt x="516" y="179"/>
                                  </a:cubicBezTo>
                                  <a:cubicBezTo>
                                    <a:pt x="451" y="177"/>
                                    <a:pt x="451" y="177"/>
                                    <a:pt x="451" y="177"/>
                                  </a:cubicBezTo>
                                  <a:cubicBezTo>
                                    <a:pt x="451" y="177"/>
                                    <a:pt x="451" y="177"/>
                                    <a:pt x="451" y="177"/>
                                  </a:cubicBezTo>
                                  <a:cubicBezTo>
                                    <a:pt x="450" y="177"/>
                                    <a:pt x="450" y="177"/>
                                    <a:pt x="450" y="177"/>
                                  </a:cubicBezTo>
                                  <a:cubicBezTo>
                                    <a:pt x="415" y="149"/>
                                    <a:pt x="415" y="149"/>
                                    <a:pt x="415" y="149"/>
                                  </a:cubicBezTo>
                                  <a:cubicBezTo>
                                    <a:pt x="312" y="100"/>
                                    <a:pt x="312" y="100"/>
                                    <a:pt x="312" y="100"/>
                                  </a:cubicBezTo>
                                  <a:cubicBezTo>
                                    <a:pt x="312" y="100"/>
                                    <a:pt x="312" y="100"/>
                                    <a:pt x="312" y="100"/>
                                  </a:cubicBezTo>
                                  <a:cubicBezTo>
                                    <a:pt x="311" y="100"/>
                                    <a:pt x="311" y="100"/>
                                    <a:pt x="311" y="100"/>
                                  </a:cubicBezTo>
                                  <a:cubicBezTo>
                                    <a:pt x="292" y="80"/>
                                    <a:pt x="292" y="80"/>
                                    <a:pt x="292" y="80"/>
                                  </a:cubicBezTo>
                                  <a:cubicBezTo>
                                    <a:pt x="279" y="79"/>
                                    <a:pt x="279" y="79"/>
                                    <a:pt x="279" y="79"/>
                                  </a:cubicBezTo>
                                  <a:cubicBezTo>
                                    <a:pt x="278" y="78"/>
                                    <a:pt x="278" y="78"/>
                                    <a:pt x="278" y="78"/>
                                  </a:cubicBezTo>
                                  <a:cubicBezTo>
                                    <a:pt x="277" y="78"/>
                                    <a:pt x="277" y="78"/>
                                    <a:pt x="277" y="78"/>
                                  </a:cubicBezTo>
                                  <a:cubicBezTo>
                                    <a:pt x="269" y="66"/>
                                    <a:pt x="269" y="66"/>
                                    <a:pt x="269" y="66"/>
                                  </a:cubicBezTo>
                                  <a:cubicBezTo>
                                    <a:pt x="256" y="57"/>
                                    <a:pt x="256" y="57"/>
                                    <a:pt x="256" y="57"/>
                                  </a:cubicBezTo>
                                  <a:cubicBezTo>
                                    <a:pt x="255" y="56"/>
                                    <a:pt x="255" y="56"/>
                                    <a:pt x="255" y="56"/>
                                  </a:cubicBezTo>
                                  <a:cubicBezTo>
                                    <a:pt x="255" y="55"/>
                                    <a:pt x="255" y="55"/>
                                    <a:pt x="255" y="55"/>
                                  </a:cubicBezTo>
                                  <a:cubicBezTo>
                                    <a:pt x="253" y="45"/>
                                    <a:pt x="253" y="45"/>
                                    <a:pt x="253" y="45"/>
                                  </a:cubicBezTo>
                                  <a:cubicBezTo>
                                    <a:pt x="211" y="1"/>
                                    <a:pt x="211" y="1"/>
                                    <a:pt x="211" y="1"/>
                                  </a:cubicBezTo>
                                  <a:cubicBezTo>
                                    <a:pt x="179" y="0"/>
                                    <a:pt x="179" y="0"/>
                                    <a:pt x="179" y="0"/>
                                  </a:cubicBezTo>
                                  <a:cubicBezTo>
                                    <a:pt x="147" y="57"/>
                                    <a:pt x="147" y="57"/>
                                    <a:pt x="147" y="57"/>
                                  </a:cubicBezTo>
                                  <a:cubicBezTo>
                                    <a:pt x="147" y="58"/>
                                    <a:pt x="147" y="58"/>
                                    <a:pt x="147" y="58"/>
                                  </a:cubicBezTo>
                                  <a:cubicBezTo>
                                    <a:pt x="145" y="58"/>
                                    <a:pt x="145" y="58"/>
                                    <a:pt x="145" y="58"/>
                                  </a:cubicBezTo>
                                  <a:cubicBezTo>
                                    <a:pt x="109" y="58"/>
                                    <a:pt x="109" y="58"/>
                                    <a:pt x="109" y="58"/>
                                  </a:cubicBezTo>
                                  <a:cubicBezTo>
                                    <a:pt x="105" y="80"/>
                                    <a:pt x="105" y="80"/>
                                    <a:pt x="105" y="80"/>
                                  </a:cubicBezTo>
                                  <a:cubicBezTo>
                                    <a:pt x="104" y="82"/>
                                    <a:pt x="104" y="82"/>
                                    <a:pt x="104" y="82"/>
                                  </a:cubicBezTo>
                                  <a:cubicBezTo>
                                    <a:pt x="102" y="81"/>
                                    <a:pt x="102" y="81"/>
                                    <a:pt x="102" y="81"/>
                                  </a:cubicBezTo>
                                  <a:cubicBezTo>
                                    <a:pt x="93" y="78"/>
                                    <a:pt x="93" y="78"/>
                                    <a:pt x="93" y="78"/>
                                  </a:cubicBezTo>
                                  <a:cubicBezTo>
                                    <a:pt x="29" y="138"/>
                                    <a:pt x="29" y="138"/>
                                    <a:pt x="29" y="138"/>
                                  </a:cubicBezTo>
                                  <a:cubicBezTo>
                                    <a:pt x="23" y="150"/>
                                    <a:pt x="23" y="150"/>
                                    <a:pt x="23" y="150"/>
                                  </a:cubicBezTo>
                                  <a:cubicBezTo>
                                    <a:pt x="22" y="151"/>
                                    <a:pt x="22" y="151"/>
                                    <a:pt x="22" y="151"/>
                                  </a:cubicBezTo>
                                  <a:cubicBezTo>
                                    <a:pt x="21" y="151"/>
                                    <a:pt x="21" y="151"/>
                                    <a:pt x="21" y="151"/>
                                  </a:cubicBezTo>
                                  <a:cubicBezTo>
                                    <a:pt x="0" y="152"/>
                                    <a:pt x="0" y="152"/>
                                    <a:pt x="0" y="152"/>
                                  </a:cubicBezTo>
                                  <a:cubicBezTo>
                                    <a:pt x="0" y="160"/>
                                    <a:pt x="0" y="160"/>
                                    <a:pt x="0" y="160"/>
                                  </a:cubicBezTo>
                                  <a:cubicBezTo>
                                    <a:pt x="27" y="159"/>
                                    <a:pt x="27" y="159"/>
                                    <a:pt x="27" y="159"/>
                                  </a:cubicBezTo>
                                  <a:close/>
                                </a:path>
                              </a:pathLst>
                            </a:custGeom>
                            <a:solidFill>
                              <a:srgbClr val="44546A">
                                <a:lumMod val="20000"/>
                                <a:lumOff val="80000"/>
                              </a:srgbClr>
                            </a:solidFill>
                            <a:ln w="9525">
                              <a:noFill/>
                              <a:prstDash val="solid"/>
                              <a:round/>
                              <a:headEnd/>
                              <a:tailEnd/>
                            </a:ln>
                          </wps:spPr>
                          <wps:bodyPr/>
                        </wps:wsp>
                        <wps:wsp>
                          <wps:cNvPr id="114" name="Freeform 5"/>
                          <wps:cNvSpPr/>
                          <wps:spPr bwMode="auto">
                            <a:xfrm>
                              <a:off x="3406524" y="1537403"/>
                              <a:ext cx="2904911" cy="1592263"/>
                            </a:xfrm>
                            <a:custGeom>
                              <a:avLst/>
                              <a:gdLst>
                                <a:gd name="T0" fmla="*/ 910 w 941"/>
                                <a:gd name="T1" fmla="*/ 367 h 516"/>
                                <a:gd name="T2" fmla="*/ 904 w 941"/>
                                <a:gd name="T3" fmla="*/ 367 h 516"/>
                                <a:gd name="T4" fmla="*/ 889 w 941"/>
                                <a:gd name="T5" fmla="*/ 337 h 516"/>
                                <a:gd name="T6" fmla="*/ 900 w 941"/>
                                <a:gd name="T7" fmla="*/ 287 h 516"/>
                                <a:gd name="T8" fmla="*/ 898 w 941"/>
                                <a:gd name="T9" fmla="*/ 261 h 516"/>
                                <a:gd name="T10" fmla="*/ 882 w 941"/>
                                <a:gd name="T11" fmla="*/ 229 h 516"/>
                                <a:gd name="T12" fmla="*/ 893 w 941"/>
                                <a:gd name="T13" fmla="*/ 194 h 516"/>
                                <a:gd name="T14" fmla="*/ 887 w 941"/>
                                <a:gd name="T15" fmla="*/ 181 h 516"/>
                                <a:gd name="T16" fmla="*/ 883 w 941"/>
                                <a:gd name="T17" fmla="*/ 135 h 516"/>
                                <a:gd name="T18" fmla="*/ 878 w 941"/>
                                <a:gd name="T19" fmla="*/ 116 h 516"/>
                                <a:gd name="T20" fmla="*/ 900 w 941"/>
                                <a:gd name="T21" fmla="*/ 52 h 516"/>
                                <a:gd name="T22" fmla="*/ 874 w 941"/>
                                <a:gd name="T23" fmla="*/ 30 h 516"/>
                                <a:gd name="T24" fmla="*/ 842 w 941"/>
                                <a:gd name="T25" fmla="*/ 58 h 516"/>
                                <a:gd name="T26" fmla="*/ 813 w 941"/>
                                <a:gd name="T27" fmla="*/ 74 h 516"/>
                                <a:gd name="T28" fmla="*/ 769 w 941"/>
                                <a:gd name="T29" fmla="*/ 82 h 516"/>
                                <a:gd name="T30" fmla="*/ 738 w 941"/>
                                <a:gd name="T31" fmla="*/ 98 h 516"/>
                                <a:gd name="T32" fmla="*/ 720 w 941"/>
                                <a:gd name="T33" fmla="*/ 58 h 516"/>
                                <a:gd name="T34" fmla="*/ 675 w 941"/>
                                <a:gd name="T35" fmla="*/ 46 h 516"/>
                                <a:gd name="T36" fmla="*/ 667 w 941"/>
                                <a:gd name="T37" fmla="*/ 24 h 516"/>
                                <a:gd name="T38" fmla="*/ 662 w 941"/>
                                <a:gd name="T39" fmla="*/ 0 h 516"/>
                                <a:gd name="T40" fmla="*/ 628 w 941"/>
                                <a:gd name="T41" fmla="*/ 15 h 516"/>
                                <a:gd name="T42" fmla="*/ 596 w 941"/>
                                <a:gd name="T43" fmla="*/ 46 h 516"/>
                                <a:gd name="T44" fmla="*/ 565 w 941"/>
                                <a:gd name="T45" fmla="*/ 76 h 516"/>
                                <a:gd name="T46" fmla="*/ 542 w 941"/>
                                <a:gd name="T47" fmla="*/ 48 h 516"/>
                                <a:gd name="T48" fmla="*/ 486 w 941"/>
                                <a:gd name="T49" fmla="*/ 99 h 516"/>
                                <a:gd name="T50" fmla="*/ 453 w 941"/>
                                <a:gd name="T51" fmla="*/ 109 h 516"/>
                                <a:gd name="T52" fmla="*/ 432 w 941"/>
                                <a:gd name="T53" fmla="*/ 101 h 516"/>
                                <a:gd name="T54" fmla="*/ 417 w 941"/>
                                <a:gd name="T55" fmla="*/ 101 h 516"/>
                                <a:gd name="T56" fmla="*/ 365 w 941"/>
                                <a:gd name="T57" fmla="*/ 51 h 516"/>
                                <a:gd name="T58" fmla="*/ 338 w 941"/>
                                <a:gd name="T59" fmla="*/ 68 h 516"/>
                                <a:gd name="T60" fmla="*/ 328 w 941"/>
                                <a:gd name="T61" fmla="*/ 89 h 516"/>
                                <a:gd name="T62" fmla="*/ 278 w 941"/>
                                <a:gd name="T63" fmla="*/ 146 h 516"/>
                                <a:gd name="T64" fmla="*/ 232 w 941"/>
                                <a:gd name="T65" fmla="*/ 203 h 516"/>
                                <a:gd name="T66" fmla="*/ 205 w 941"/>
                                <a:gd name="T67" fmla="*/ 235 h 516"/>
                                <a:gd name="T68" fmla="*/ 141 w 941"/>
                                <a:gd name="T69" fmla="*/ 241 h 516"/>
                                <a:gd name="T70" fmla="*/ 122 w 941"/>
                                <a:gd name="T71" fmla="*/ 242 h 516"/>
                                <a:gd name="T72" fmla="*/ 107 w 941"/>
                                <a:gd name="T73" fmla="*/ 272 h 516"/>
                                <a:gd name="T74" fmla="*/ 92 w 941"/>
                                <a:gd name="T75" fmla="*/ 297 h 516"/>
                                <a:gd name="T76" fmla="*/ 91 w 941"/>
                                <a:gd name="T77" fmla="*/ 325 h 516"/>
                                <a:gd name="T78" fmla="*/ 92 w 941"/>
                                <a:gd name="T79" fmla="*/ 338 h 516"/>
                                <a:gd name="T80" fmla="*/ 32 w 941"/>
                                <a:gd name="T81" fmla="*/ 382 h 516"/>
                                <a:gd name="T82" fmla="*/ 15 w 941"/>
                                <a:gd name="T83" fmla="*/ 406 h 516"/>
                                <a:gd name="T84" fmla="*/ 139 w 941"/>
                                <a:gd name="T85" fmla="*/ 475 h 516"/>
                                <a:gd name="T86" fmla="*/ 243 w 941"/>
                                <a:gd name="T87" fmla="*/ 499 h 516"/>
                                <a:gd name="T88" fmla="*/ 288 w 941"/>
                                <a:gd name="T89" fmla="*/ 516 h 516"/>
                                <a:gd name="T90" fmla="*/ 427 w 941"/>
                                <a:gd name="T91" fmla="*/ 509 h 516"/>
                                <a:gd name="T92" fmla="*/ 700 w 941"/>
                                <a:gd name="T93" fmla="*/ 496 h 516"/>
                                <a:gd name="T94" fmla="*/ 723 w 941"/>
                                <a:gd name="T95" fmla="*/ 454 h 516"/>
                                <a:gd name="T96" fmla="*/ 772 w 941"/>
                                <a:gd name="T97" fmla="*/ 408 h 516"/>
                                <a:gd name="T98" fmla="*/ 831 w 941"/>
                                <a:gd name="T99" fmla="*/ 399 h 516"/>
                                <a:gd name="T100" fmla="*/ 890 w 941"/>
                                <a:gd name="T101" fmla="*/ 399 h 516"/>
                                <a:gd name="T102" fmla="*/ 941 w 941"/>
                                <a:gd name="T103" fmla="*/ 403 h 516"/>
                                <a:gd name="T104" fmla="*/ 933 w 941"/>
                                <a:gd name="T105" fmla="*/ 367 h 516"/>
                                <a:gd name="T106" fmla="*/ 936 w 941"/>
                                <a:gd name="T107" fmla="*/ 349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solidFill>
                              <a:srgbClr val="44546A">
                                <a:lumMod val="20000"/>
                                <a:lumOff val="80000"/>
                              </a:srgbClr>
                            </a:solidFill>
                            <a:ln w="9525">
                              <a:noFill/>
                              <a:prstDash val="solid"/>
                              <a:round/>
                              <a:headEnd/>
                              <a:tailEnd/>
                            </a:ln>
                          </wps:spPr>
                          <wps:bodyPr/>
                        </wps:wsp>
                        <wps:wsp>
                          <wps:cNvPr id="115" name="Freeform 6"/>
                          <wps:cNvSpPr/>
                          <wps:spPr bwMode="auto">
                            <a:xfrm>
                              <a:off x="3397250" y="1526290"/>
                              <a:ext cx="2905125" cy="1592263"/>
                            </a:xfrm>
                            <a:custGeom>
                              <a:avLst/>
                              <a:gdLst>
                                <a:gd name="T0" fmla="*/ 2147483646 w 941"/>
                                <a:gd name="T1" fmla="*/ 2147483646 h 516"/>
                                <a:gd name="T2" fmla="*/ 2147483646 w 941"/>
                                <a:gd name="T3" fmla="*/ 2147483646 h 516"/>
                                <a:gd name="T4" fmla="*/ 2147483646 w 941"/>
                                <a:gd name="T5" fmla="*/ 2147483646 h 516"/>
                                <a:gd name="T6" fmla="*/ 2147483646 w 941"/>
                                <a:gd name="T7" fmla="*/ 2147483646 h 516"/>
                                <a:gd name="T8" fmla="*/ 2147483646 w 941"/>
                                <a:gd name="T9" fmla="*/ 2147483646 h 516"/>
                                <a:gd name="T10" fmla="*/ 2147483646 w 941"/>
                                <a:gd name="T11" fmla="*/ 2147483646 h 516"/>
                                <a:gd name="T12" fmla="*/ 2147483646 w 941"/>
                                <a:gd name="T13" fmla="*/ 2147483646 h 516"/>
                                <a:gd name="T14" fmla="*/ 2147483646 w 941"/>
                                <a:gd name="T15" fmla="*/ 2147483646 h 516"/>
                                <a:gd name="T16" fmla="*/ 2147483646 w 941"/>
                                <a:gd name="T17" fmla="*/ 2147483646 h 516"/>
                                <a:gd name="T18" fmla="*/ 2147483646 w 941"/>
                                <a:gd name="T19" fmla="*/ 2147483646 h 516"/>
                                <a:gd name="T20" fmla="*/ 2147483646 w 941"/>
                                <a:gd name="T21" fmla="*/ 2147483646 h 516"/>
                                <a:gd name="T22" fmla="*/ 2147483646 w 941"/>
                                <a:gd name="T23" fmla="*/ 2147483646 h 516"/>
                                <a:gd name="T24" fmla="*/ 2147483646 w 941"/>
                                <a:gd name="T25" fmla="*/ 2147483646 h 516"/>
                                <a:gd name="T26" fmla="*/ 2147483646 w 941"/>
                                <a:gd name="T27" fmla="*/ 2147483646 h 516"/>
                                <a:gd name="T28" fmla="*/ 2147483646 w 941"/>
                                <a:gd name="T29" fmla="*/ 2147483646 h 516"/>
                                <a:gd name="T30" fmla="*/ 2147483646 w 941"/>
                                <a:gd name="T31" fmla="*/ 2147483646 h 516"/>
                                <a:gd name="T32" fmla="*/ 2147483646 w 941"/>
                                <a:gd name="T33" fmla="*/ 2147483646 h 516"/>
                                <a:gd name="T34" fmla="*/ 2147483646 w 941"/>
                                <a:gd name="T35" fmla="*/ 2147483646 h 516"/>
                                <a:gd name="T36" fmla="*/ 2147483646 w 941"/>
                                <a:gd name="T37" fmla="*/ 2147483646 h 516"/>
                                <a:gd name="T38" fmla="*/ 2147483646 w 941"/>
                                <a:gd name="T39" fmla="*/ 0 h 516"/>
                                <a:gd name="T40" fmla="*/ 2147483646 w 941"/>
                                <a:gd name="T41" fmla="*/ 2147483646 h 516"/>
                                <a:gd name="T42" fmla="*/ 2147483646 w 941"/>
                                <a:gd name="T43" fmla="*/ 2147483646 h 516"/>
                                <a:gd name="T44" fmla="*/ 2147483646 w 941"/>
                                <a:gd name="T45" fmla="*/ 2147483646 h 516"/>
                                <a:gd name="T46" fmla="*/ 2147483646 w 941"/>
                                <a:gd name="T47" fmla="*/ 2147483646 h 516"/>
                                <a:gd name="T48" fmla="*/ 2147483646 w 941"/>
                                <a:gd name="T49" fmla="*/ 2147483646 h 516"/>
                                <a:gd name="T50" fmla="*/ 2147483646 w 941"/>
                                <a:gd name="T51" fmla="*/ 2147483646 h 516"/>
                                <a:gd name="T52" fmla="*/ 2147483646 w 941"/>
                                <a:gd name="T53" fmla="*/ 2147483646 h 516"/>
                                <a:gd name="T54" fmla="*/ 2147483646 w 941"/>
                                <a:gd name="T55" fmla="*/ 2147483646 h 516"/>
                                <a:gd name="T56" fmla="*/ 2147483646 w 941"/>
                                <a:gd name="T57" fmla="*/ 2147483646 h 516"/>
                                <a:gd name="T58" fmla="*/ 2147483646 w 941"/>
                                <a:gd name="T59" fmla="*/ 2147483646 h 516"/>
                                <a:gd name="T60" fmla="*/ 2147483646 w 941"/>
                                <a:gd name="T61" fmla="*/ 2147483646 h 516"/>
                                <a:gd name="T62" fmla="*/ 2147483646 w 941"/>
                                <a:gd name="T63" fmla="*/ 2147483646 h 516"/>
                                <a:gd name="T64" fmla="*/ 2147483646 w 941"/>
                                <a:gd name="T65" fmla="*/ 2147483646 h 516"/>
                                <a:gd name="T66" fmla="*/ 2147483646 w 941"/>
                                <a:gd name="T67" fmla="*/ 2147483646 h 516"/>
                                <a:gd name="T68" fmla="*/ 2147483646 w 941"/>
                                <a:gd name="T69" fmla="*/ 2147483646 h 516"/>
                                <a:gd name="T70" fmla="*/ 2147483646 w 941"/>
                                <a:gd name="T71" fmla="*/ 2147483646 h 516"/>
                                <a:gd name="T72" fmla="*/ 2147483646 w 941"/>
                                <a:gd name="T73" fmla="*/ 2147483646 h 516"/>
                                <a:gd name="T74" fmla="*/ 2147483646 w 941"/>
                                <a:gd name="T75" fmla="*/ 2147483646 h 516"/>
                                <a:gd name="T76" fmla="*/ 2147483646 w 941"/>
                                <a:gd name="T77" fmla="*/ 2147483646 h 516"/>
                                <a:gd name="T78" fmla="*/ 2147483646 w 941"/>
                                <a:gd name="T79" fmla="*/ 2147483646 h 516"/>
                                <a:gd name="T80" fmla="*/ 2147483646 w 941"/>
                                <a:gd name="T81" fmla="*/ 2147483646 h 516"/>
                                <a:gd name="T82" fmla="*/ 2147483646 w 941"/>
                                <a:gd name="T83" fmla="*/ 2147483646 h 516"/>
                                <a:gd name="T84" fmla="*/ 2147483646 w 941"/>
                                <a:gd name="T85" fmla="*/ 2147483646 h 516"/>
                                <a:gd name="T86" fmla="*/ 2147483646 w 941"/>
                                <a:gd name="T87" fmla="*/ 2147483646 h 516"/>
                                <a:gd name="T88" fmla="*/ 2147483646 w 941"/>
                                <a:gd name="T89" fmla="*/ 2147483646 h 516"/>
                                <a:gd name="T90" fmla="*/ 2147483646 w 941"/>
                                <a:gd name="T91" fmla="*/ 2147483646 h 516"/>
                                <a:gd name="T92" fmla="*/ 2147483646 w 941"/>
                                <a:gd name="T93" fmla="*/ 2147483646 h 516"/>
                                <a:gd name="T94" fmla="*/ 2147483646 w 941"/>
                                <a:gd name="T95" fmla="*/ 2147483646 h 516"/>
                                <a:gd name="T96" fmla="*/ 2147483646 w 941"/>
                                <a:gd name="T97" fmla="*/ 2147483646 h 516"/>
                                <a:gd name="T98" fmla="*/ 2147483646 w 941"/>
                                <a:gd name="T99" fmla="*/ 2147483646 h 516"/>
                                <a:gd name="T100" fmla="*/ 2147483646 w 941"/>
                                <a:gd name="T101" fmla="*/ 2147483646 h 516"/>
                                <a:gd name="T102" fmla="*/ 2147483646 w 941"/>
                                <a:gd name="T103" fmla="*/ 2147483646 h 516"/>
                                <a:gd name="T104" fmla="*/ 2147483646 w 941"/>
                                <a:gd name="T105" fmla="*/ 2147483646 h 516"/>
                                <a:gd name="T106" fmla="*/ 2147483646 w 941"/>
                                <a:gd name="T107" fmla="*/ 2147483646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16" name="Freeform 7"/>
                          <wps:cNvSpPr/>
                          <wps:spPr bwMode="auto">
                            <a:xfrm>
                              <a:off x="348886" y="1938161"/>
                              <a:ext cx="1715961" cy="1008063"/>
                            </a:xfrm>
                            <a:custGeom>
                              <a:avLst/>
                              <a:gdLst>
                                <a:gd name="T0" fmla="*/ 393 w 556"/>
                                <a:gd name="T1" fmla="*/ 280 h 327"/>
                                <a:gd name="T2" fmla="*/ 422 w 556"/>
                                <a:gd name="T3" fmla="*/ 281 h 327"/>
                                <a:gd name="T4" fmla="*/ 448 w 556"/>
                                <a:gd name="T5" fmla="*/ 277 h 327"/>
                                <a:gd name="T6" fmla="*/ 457 w 556"/>
                                <a:gd name="T7" fmla="*/ 286 h 327"/>
                                <a:gd name="T8" fmla="*/ 477 w 556"/>
                                <a:gd name="T9" fmla="*/ 285 h 327"/>
                                <a:gd name="T10" fmla="*/ 485 w 556"/>
                                <a:gd name="T11" fmla="*/ 275 h 327"/>
                                <a:gd name="T12" fmla="*/ 523 w 556"/>
                                <a:gd name="T13" fmla="*/ 309 h 327"/>
                                <a:gd name="T14" fmla="*/ 556 w 556"/>
                                <a:gd name="T15" fmla="*/ 325 h 327"/>
                                <a:gd name="T16" fmla="*/ 508 w 556"/>
                                <a:gd name="T17" fmla="*/ 260 h 327"/>
                                <a:gd name="T18" fmla="*/ 490 w 556"/>
                                <a:gd name="T19" fmla="*/ 242 h 327"/>
                                <a:gd name="T20" fmla="*/ 489 w 556"/>
                                <a:gd name="T21" fmla="*/ 216 h 327"/>
                                <a:gd name="T22" fmla="*/ 481 w 556"/>
                                <a:gd name="T23" fmla="*/ 201 h 327"/>
                                <a:gd name="T24" fmla="*/ 485 w 556"/>
                                <a:gd name="T25" fmla="*/ 183 h 327"/>
                                <a:gd name="T26" fmla="*/ 504 w 556"/>
                                <a:gd name="T27" fmla="*/ 142 h 327"/>
                                <a:gd name="T28" fmla="*/ 496 w 556"/>
                                <a:gd name="T29" fmla="*/ 128 h 327"/>
                                <a:gd name="T30" fmla="*/ 495 w 556"/>
                                <a:gd name="T31" fmla="*/ 79 h 327"/>
                                <a:gd name="T32" fmla="*/ 475 w 556"/>
                                <a:gd name="T33" fmla="*/ 60 h 327"/>
                                <a:gd name="T34" fmla="*/ 452 w 556"/>
                                <a:gd name="T35" fmla="*/ 51 h 327"/>
                                <a:gd name="T36" fmla="*/ 450 w 556"/>
                                <a:gd name="T37" fmla="*/ 25 h 327"/>
                                <a:gd name="T38" fmla="*/ 458 w 556"/>
                                <a:gd name="T39" fmla="*/ 17 h 327"/>
                                <a:gd name="T40" fmla="*/ 421 w 556"/>
                                <a:gd name="T41" fmla="*/ 9 h 327"/>
                                <a:gd name="T42" fmla="*/ 399 w 556"/>
                                <a:gd name="T43" fmla="*/ 10 h 327"/>
                                <a:gd name="T44" fmla="*/ 391 w 556"/>
                                <a:gd name="T45" fmla="*/ 5 h 327"/>
                                <a:gd name="T46" fmla="*/ 375 w 556"/>
                                <a:gd name="T47" fmla="*/ 32 h 327"/>
                                <a:gd name="T48" fmla="*/ 348 w 556"/>
                                <a:gd name="T49" fmla="*/ 56 h 327"/>
                                <a:gd name="T50" fmla="*/ 330 w 556"/>
                                <a:gd name="T51" fmla="*/ 42 h 327"/>
                                <a:gd name="T52" fmla="*/ 279 w 556"/>
                                <a:gd name="T53" fmla="*/ 13 h 327"/>
                                <a:gd name="T54" fmla="*/ 255 w 556"/>
                                <a:gd name="T55" fmla="*/ 33 h 327"/>
                                <a:gd name="T56" fmla="*/ 179 w 556"/>
                                <a:gd name="T57" fmla="*/ 54 h 327"/>
                                <a:gd name="T58" fmla="*/ 151 w 556"/>
                                <a:gd name="T59" fmla="*/ 56 h 327"/>
                                <a:gd name="T60" fmla="*/ 95 w 556"/>
                                <a:gd name="T61" fmla="*/ 22 h 327"/>
                                <a:gd name="T62" fmla="*/ 0 w 556"/>
                                <a:gd name="T63" fmla="*/ 26 h 327"/>
                                <a:gd name="T64" fmla="*/ 12 w 556"/>
                                <a:gd name="T65" fmla="*/ 58 h 327"/>
                                <a:gd name="T66" fmla="*/ 35 w 556"/>
                                <a:gd name="T67" fmla="*/ 59 h 327"/>
                                <a:gd name="T68" fmla="*/ 68 w 556"/>
                                <a:gd name="T69" fmla="*/ 75 h 327"/>
                                <a:gd name="T70" fmla="*/ 83 w 556"/>
                                <a:gd name="T71" fmla="*/ 136 h 327"/>
                                <a:gd name="T72" fmla="*/ 97 w 556"/>
                                <a:gd name="T73" fmla="*/ 170 h 327"/>
                                <a:gd name="T74" fmla="*/ 70 w 556"/>
                                <a:gd name="T75" fmla="*/ 163 h 327"/>
                                <a:gd name="T76" fmla="*/ 60 w 556"/>
                                <a:gd name="T77" fmla="*/ 179 h 327"/>
                                <a:gd name="T78" fmla="*/ 102 w 556"/>
                                <a:gd name="T79" fmla="*/ 198 h 327"/>
                                <a:gd name="T80" fmla="*/ 149 w 556"/>
                                <a:gd name="T81" fmla="*/ 194 h 327"/>
                                <a:gd name="T82" fmla="*/ 213 w 556"/>
                                <a:gd name="T83" fmla="*/ 171 h 327"/>
                                <a:gd name="T84" fmla="*/ 252 w 556"/>
                                <a:gd name="T85" fmla="*/ 171 h 327"/>
                                <a:gd name="T86" fmla="*/ 291 w 556"/>
                                <a:gd name="T87" fmla="*/ 202 h 327"/>
                                <a:gd name="T88" fmla="*/ 311 w 556"/>
                                <a:gd name="T89" fmla="*/ 197 h 327"/>
                                <a:gd name="T90" fmla="*/ 339 w 556"/>
                                <a:gd name="T91" fmla="*/ 201 h 327"/>
                                <a:gd name="T92" fmla="*/ 356 w 556"/>
                                <a:gd name="T93" fmla="*/ 240 h 327"/>
                                <a:gd name="T94" fmla="*/ 350 w 556"/>
                                <a:gd name="T95" fmla="*/ 290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solidFill>
                              <a:srgbClr val="44546A">
                                <a:lumMod val="20000"/>
                                <a:lumOff val="80000"/>
                              </a:srgbClr>
                            </a:solidFill>
                            <a:ln w="9525">
                              <a:noFill/>
                              <a:prstDash val="solid"/>
                              <a:round/>
                              <a:headEnd/>
                              <a:tailEnd/>
                            </a:ln>
                          </wps:spPr>
                          <wps:bodyPr/>
                        </wps:wsp>
                        <wps:wsp>
                          <wps:cNvPr id="117" name="Freeform 8"/>
                          <wps:cNvSpPr/>
                          <wps:spPr bwMode="auto">
                            <a:xfrm>
                              <a:off x="336550" y="1931103"/>
                              <a:ext cx="1716088" cy="1008062"/>
                            </a:xfrm>
                            <a:custGeom>
                              <a:avLst/>
                              <a:gdLst>
                                <a:gd name="T0" fmla="*/ 2147483646 w 556"/>
                                <a:gd name="T1" fmla="*/ 2147483646 h 327"/>
                                <a:gd name="T2" fmla="*/ 2147483646 w 556"/>
                                <a:gd name="T3" fmla="*/ 2147483646 h 327"/>
                                <a:gd name="T4" fmla="*/ 2147483646 w 556"/>
                                <a:gd name="T5" fmla="*/ 2147483646 h 327"/>
                                <a:gd name="T6" fmla="*/ 2147483646 w 556"/>
                                <a:gd name="T7" fmla="*/ 2147483646 h 327"/>
                                <a:gd name="T8" fmla="*/ 2147483646 w 556"/>
                                <a:gd name="T9" fmla="*/ 2147483646 h 327"/>
                                <a:gd name="T10" fmla="*/ 2147483646 w 556"/>
                                <a:gd name="T11" fmla="*/ 2147483646 h 327"/>
                                <a:gd name="T12" fmla="*/ 2147483646 w 556"/>
                                <a:gd name="T13" fmla="*/ 2147483646 h 327"/>
                                <a:gd name="T14" fmla="*/ 2147483646 w 556"/>
                                <a:gd name="T15" fmla="*/ 2147483646 h 327"/>
                                <a:gd name="T16" fmla="*/ 2147483646 w 556"/>
                                <a:gd name="T17" fmla="*/ 2147483646 h 327"/>
                                <a:gd name="T18" fmla="*/ 2147483646 w 556"/>
                                <a:gd name="T19" fmla="*/ 2147483646 h 327"/>
                                <a:gd name="T20" fmla="*/ 2147483646 w 556"/>
                                <a:gd name="T21" fmla="*/ 2147483646 h 327"/>
                                <a:gd name="T22" fmla="*/ 2147483646 w 556"/>
                                <a:gd name="T23" fmla="*/ 2147483646 h 327"/>
                                <a:gd name="T24" fmla="*/ 2147483646 w 556"/>
                                <a:gd name="T25" fmla="*/ 2147483646 h 327"/>
                                <a:gd name="T26" fmla="*/ 2147483646 w 556"/>
                                <a:gd name="T27" fmla="*/ 2147483646 h 327"/>
                                <a:gd name="T28" fmla="*/ 2147483646 w 556"/>
                                <a:gd name="T29" fmla="*/ 2147483646 h 327"/>
                                <a:gd name="T30" fmla="*/ 2147483646 w 556"/>
                                <a:gd name="T31" fmla="*/ 2147483646 h 327"/>
                                <a:gd name="T32" fmla="*/ 2147483646 w 556"/>
                                <a:gd name="T33" fmla="*/ 2147483646 h 327"/>
                                <a:gd name="T34" fmla="*/ 2147483646 w 556"/>
                                <a:gd name="T35" fmla="*/ 2147483646 h 327"/>
                                <a:gd name="T36" fmla="*/ 2147483646 w 556"/>
                                <a:gd name="T37" fmla="*/ 2147483646 h 327"/>
                                <a:gd name="T38" fmla="*/ 2147483646 w 556"/>
                                <a:gd name="T39" fmla="*/ 2147483646 h 327"/>
                                <a:gd name="T40" fmla="*/ 2147483646 w 556"/>
                                <a:gd name="T41" fmla="*/ 2147483646 h 327"/>
                                <a:gd name="T42" fmla="*/ 2147483646 w 556"/>
                                <a:gd name="T43" fmla="*/ 2147483646 h 327"/>
                                <a:gd name="T44" fmla="*/ 2147483646 w 556"/>
                                <a:gd name="T45" fmla="*/ 2147483646 h 327"/>
                                <a:gd name="T46" fmla="*/ 2147483646 w 556"/>
                                <a:gd name="T47" fmla="*/ 2147483646 h 327"/>
                                <a:gd name="T48" fmla="*/ 2147483646 w 556"/>
                                <a:gd name="T49" fmla="*/ 2147483646 h 327"/>
                                <a:gd name="T50" fmla="*/ 2147483646 w 556"/>
                                <a:gd name="T51" fmla="*/ 2147483646 h 327"/>
                                <a:gd name="T52" fmla="*/ 2147483646 w 556"/>
                                <a:gd name="T53" fmla="*/ 2147483646 h 327"/>
                                <a:gd name="T54" fmla="*/ 2147483646 w 556"/>
                                <a:gd name="T55" fmla="*/ 2147483646 h 327"/>
                                <a:gd name="T56" fmla="*/ 2147483646 w 556"/>
                                <a:gd name="T57" fmla="*/ 2147483646 h 327"/>
                                <a:gd name="T58" fmla="*/ 2147483646 w 556"/>
                                <a:gd name="T59" fmla="*/ 2147483646 h 327"/>
                                <a:gd name="T60" fmla="*/ 2147483646 w 556"/>
                                <a:gd name="T61" fmla="*/ 2147483646 h 327"/>
                                <a:gd name="T62" fmla="*/ 0 w 556"/>
                                <a:gd name="T63" fmla="*/ 2147483646 h 327"/>
                                <a:gd name="T64" fmla="*/ 2147483646 w 556"/>
                                <a:gd name="T65" fmla="*/ 2147483646 h 327"/>
                                <a:gd name="T66" fmla="*/ 2147483646 w 556"/>
                                <a:gd name="T67" fmla="*/ 2147483646 h 327"/>
                                <a:gd name="T68" fmla="*/ 2147483646 w 556"/>
                                <a:gd name="T69" fmla="*/ 2147483646 h 327"/>
                                <a:gd name="T70" fmla="*/ 2147483646 w 556"/>
                                <a:gd name="T71" fmla="*/ 2147483646 h 327"/>
                                <a:gd name="T72" fmla="*/ 2147483646 w 556"/>
                                <a:gd name="T73" fmla="*/ 2147483646 h 327"/>
                                <a:gd name="T74" fmla="*/ 2147483646 w 556"/>
                                <a:gd name="T75" fmla="*/ 2147483646 h 327"/>
                                <a:gd name="T76" fmla="*/ 2147483646 w 556"/>
                                <a:gd name="T77" fmla="*/ 2147483646 h 327"/>
                                <a:gd name="T78" fmla="*/ 2147483646 w 556"/>
                                <a:gd name="T79" fmla="*/ 2147483646 h 327"/>
                                <a:gd name="T80" fmla="*/ 2147483646 w 556"/>
                                <a:gd name="T81" fmla="*/ 2147483646 h 327"/>
                                <a:gd name="T82" fmla="*/ 2147483646 w 556"/>
                                <a:gd name="T83" fmla="*/ 2147483646 h 327"/>
                                <a:gd name="T84" fmla="*/ 2147483646 w 556"/>
                                <a:gd name="T85" fmla="*/ 2147483646 h 327"/>
                                <a:gd name="T86" fmla="*/ 2147483646 w 556"/>
                                <a:gd name="T87" fmla="*/ 2147483646 h 327"/>
                                <a:gd name="T88" fmla="*/ 2147483646 w 556"/>
                                <a:gd name="T89" fmla="*/ 2147483646 h 327"/>
                                <a:gd name="T90" fmla="*/ 2147483646 w 556"/>
                                <a:gd name="T91" fmla="*/ 2147483646 h 327"/>
                                <a:gd name="T92" fmla="*/ 2147483646 w 556"/>
                                <a:gd name="T93" fmla="*/ 2147483646 h 327"/>
                                <a:gd name="T94" fmla="*/ 2147483646 w 556"/>
                                <a:gd name="T95" fmla="*/ 2147483646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18" name="Freeform 9"/>
                          <wps:cNvSpPr/>
                          <wps:spPr bwMode="auto">
                            <a:xfrm>
                              <a:off x="271443" y="1121478"/>
                              <a:ext cx="1644529" cy="984250"/>
                            </a:xfrm>
                            <a:custGeom>
                              <a:avLst/>
                              <a:gdLst>
                                <a:gd name="T0" fmla="*/ 233 w 1036"/>
                                <a:gd name="T1" fmla="*/ 554 h 620"/>
                                <a:gd name="T2" fmla="*/ 340 w 1036"/>
                                <a:gd name="T3" fmla="*/ 620 h 620"/>
                                <a:gd name="T4" fmla="*/ 363 w 1036"/>
                                <a:gd name="T5" fmla="*/ 607 h 620"/>
                                <a:gd name="T6" fmla="*/ 393 w 1036"/>
                                <a:gd name="T7" fmla="*/ 615 h 620"/>
                                <a:gd name="T8" fmla="*/ 466 w 1036"/>
                                <a:gd name="T9" fmla="*/ 572 h 620"/>
                                <a:gd name="T10" fmla="*/ 585 w 1036"/>
                                <a:gd name="T11" fmla="*/ 537 h 620"/>
                                <a:gd name="T12" fmla="*/ 589 w 1036"/>
                                <a:gd name="T13" fmla="*/ 537 h 620"/>
                                <a:gd name="T14" fmla="*/ 649 w 1036"/>
                                <a:gd name="T15" fmla="*/ 543 h 620"/>
                                <a:gd name="T16" fmla="*/ 725 w 1036"/>
                                <a:gd name="T17" fmla="*/ 618 h 620"/>
                                <a:gd name="T18" fmla="*/ 776 w 1036"/>
                                <a:gd name="T19" fmla="*/ 558 h 620"/>
                                <a:gd name="T20" fmla="*/ 805 w 1036"/>
                                <a:gd name="T21" fmla="*/ 521 h 620"/>
                                <a:gd name="T22" fmla="*/ 811 w 1036"/>
                                <a:gd name="T23" fmla="*/ 521 h 620"/>
                                <a:gd name="T24" fmla="*/ 861 w 1036"/>
                                <a:gd name="T25" fmla="*/ 529 h 620"/>
                                <a:gd name="T26" fmla="*/ 912 w 1036"/>
                                <a:gd name="T27" fmla="*/ 457 h 620"/>
                                <a:gd name="T28" fmla="*/ 916 w 1036"/>
                                <a:gd name="T29" fmla="*/ 455 h 620"/>
                                <a:gd name="T30" fmla="*/ 1036 w 1036"/>
                                <a:gd name="T31" fmla="*/ 401 h 620"/>
                                <a:gd name="T32" fmla="*/ 1021 w 1036"/>
                                <a:gd name="T33" fmla="*/ 331 h 620"/>
                                <a:gd name="T34" fmla="*/ 1021 w 1036"/>
                                <a:gd name="T35" fmla="*/ 327 h 620"/>
                                <a:gd name="T36" fmla="*/ 1019 w 1036"/>
                                <a:gd name="T37" fmla="*/ 300 h 620"/>
                                <a:gd name="T38" fmla="*/ 1026 w 1036"/>
                                <a:gd name="T39" fmla="*/ 241 h 620"/>
                                <a:gd name="T40" fmla="*/ 997 w 1036"/>
                                <a:gd name="T41" fmla="*/ 201 h 620"/>
                                <a:gd name="T42" fmla="*/ 947 w 1036"/>
                                <a:gd name="T43" fmla="*/ 160 h 620"/>
                                <a:gd name="T44" fmla="*/ 931 w 1036"/>
                                <a:gd name="T45" fmla="*/ 107 h 620"/>
                                <a:gd name="T46" fmla="*/ 830 w 1036"/>
                                <a:gd name="T47" fmla="*/ 92 h 620"/>
                                <a:gd name="T48" fmla="*/ 770 w 1036"/>
                                <a:gd name="T49" fmla="*/ 43 h 620"/>
                                <a:gd name="T50" fmla="*/ 704 w 1036"/>
                                <a:gd name="T51" fmla="*/ 65 h 620"/>
                                <a:gd name="T52" fmla="*/ 643 w 1036"/>
                                <a:gd name="T53" fmla="*/ 18 h 620"/>
                                <a:gd name="T54" fmla="*/ 626 w 1036"/>
                                <a:gd name="T55" fmla="*/ 24 h 620"/>
                                <a:gd name="T56" fmla="*/ 585 w 1036"/>
                                <a:gd name="T57" fmla="*/ 51 h 620"/>
                                <a:gd name="T58" fmla="*/ 531 w 1036"/>
                                <a:gd name="T59" fmla="*/ 76 h 620"/>
                                <a:gd name="T60" fmla="*/ 474 w 1036"/>
                                <a:gd name="T61" fmla="*/ 86 h 620"/>
                                <a:gd name="T62" fmla="*/ 451 w 1036"/>
                                <a:gd name="T63" fmla="*/ 131 h 620"/>
                                <a:gd name="T64" fmla="*/ 381 w 1036"/>
                                <a:gd name="T65" fmla="*/ 154 h 620"/>
                                <a:gd name="T66" fmla="*/ 348 w 1036"/>
                                <a:gd name="T67" fmla="*/ 222 h 620"/>
                                <a:gd name="T68" fmla="*/ 360 w 1036"/>
                                <a:gd name="T69" fmla="*/ 278 h 620"/>
                                <a:gd name="T70" fmla="*/ 293 w 1036"/>
                                <a:gd name="T71" fmla="*/ 286 h 620"/>
                                <a:gd name="T72" fmla="*/ 266 w 1036"/>
                                <a:gd name="T73" fmla="*/ 220 h 620"/>
                                <a:gd name="T74" fmla="*/ 222 w 1036"/>
                                <a:gd name="T75" fmla="*/ 148 h 620"/>
                                <a:gd name="T76" fmla="*/ 179 w 1036"/>
                                <a:gd name="T77" fmla="*/ 179 h 620"/>
                                <a:gd name="T78" fmla="*/ 157 w 1036"/>
                                <a:gd name="T79" fmla="*/ 232 h 620"/>
                                <a:gd name="T80" fmla="*/ 83 w 1036"/>
                                <a:gd name="T81" fmla="*/ 325 h 620"/>
                                <a:gd name="T82" fmla="*/ 107 w 1036"/>
                                <a:gd name="T83" fmla="*/ 358 h 620"/>
                                <a:gd name="T84" fmla="*/ 60 w 1036"/>
                                <a:gd name="T85" fmla="*/ 393 h 620"/>
                                <a:gd name="T86" fmla="*/ 62 w 1036"/>
                                <a:gd name="T87" fmla="*/ 523 h 620"/>
                                <a:gd name="T88" fmla="*/ 62 w 1036"/>
                                <a:gd name="T89" fmla="*/ 548 h 620"/>
                                <a:gd name="T90" fmla="*/ 231 w 1036"/>
                                <a:gd name="T91" fmla="*/ 554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solidFill>
                              <a:srgbClr val="44546A">
                                <a:lumMod val="20000"/>
                                <a:lumOff val="80000"/>
                              </a:srgbClr>
                            </a:solidFill>
                            <a:ln w="9525">
                              <a:noFill/>
                              <a:prstDash val="solid"/>
                              <a:round/>
                              <a:headEnd/>
                              <a:tailEnd/>
                            </a:ln>
                          </wps:spPr>
                          <wps:bodyPr/>
                        </wps:wsp>
                        <wps:wsp>
                          <wps:cNvPr id="119" name="Freeform 10"/>
                          <wps:cNvSpPr/>
                          <wps:spPr bwMode="auto">
                            <a:xfrm>
                              <a:off x="271463" y="1121478"/>
                              <a:ext cx="1644650" cy="984250"/>
                            </a:xfrm>
                            <a:custGeom>
                              <a:avLst/>
                              <a:gdLst>
                                <a:gd name="T0" fmla="*/ 2147483646 w 1036"/>
                                <a:gd name="T1" fmla="*/ 2147483646 h 620"/>
                                <a:gd name="T2" fmla="*/ 2147483646 w 1036"/>
                                <a:gd name="T3" fmla="*/ 2147483646 h 620"/>
                                <a:gd name="T4" fmla="*/ 2147483646 w 1036"/>
                                <a:gd name="T5" fmla="*/ 2147483646 h 620"/>
                                <a:gd name="T6" fmla="*/ 2147483646 w 1036"/>
                                <a:gd name="T7" fmla="*/ 2147483646 h 620"/>
                                <a:gd name="T8" fmla="*/ 2147483646 w 1036"/>
                                <a:gd name="T9" fmla="*/ 2147483646 h 620"/>
                                <a:gd name="T10" fmla="*/ 2147483646 w 1036"/>
                                <a:gd name="T11" fmla="*/ 2147483646 h 620"/>
                                <a:gd name="T12" fmla="*/ 2147483646 w 1036"/>
                                <a:gd name="T13" fmla="*/ 2147483646 h 620"/>
                                <a:gd name="T14" fmla="*/ 2147483646 w 1036"/>
                                <a:gd name="T15" fmla="*/ 2147483646 h 620"/>
                                <a:gd name="T16" fmla="*/ 2147483646 w 1036"/>
                                <a:gd name="T17" fmla="*/ 2147483646 h 620"/>
                                <a:gd name="T18" fmla="*/ 2147483646 w 1036"/>
                                <a:gd name="T19" fmla="*/ 2147483646 h 620"/>
                                <a:gd name="T20" fmla="*/ 2147483646 w 1036"/>
                                <a:gd name="T21" fmla="*/ 2147483646 h 620"/>
                                <a:gd name="T22" fmla="*/ 2147483646 w 1036"/>
                                <a:gd name="T23" fmla="*/ 2147483646 h 620"/>
                                <a:gd name="T24" fmla="*/ 2147483646 w 1036"/>
                                <a:gd name="T25" fmla="*/ 2147483646 h 620"/>
                                <a:gd name="T26" fmla="*/ 2147483646 w 1036"/>
                                <a:gd name="T27" fmla="*/ 2147483646 h 620"/>
                                <a:gd name="T28" fmla="*/ 2147483646 w 1036"/>
                                <a:gd name="T29" fmla="*/ 2147483646 h 620"/>
                                <a:gd name="T30" fmla="*/ 2147483646 w 1036"/>
                                <a:gd name="T31" fmla="*/ 2147483646 h 620"/>
                                <a:gd name="T32" fmla="*/ 2147483646 w 1036"/>
                                <a:gd name="T33" fmla="*/ 2147483646 h 620"/>
                                <a:gd name="T34" fmla="*/ 2147483646 w 1036"/>
                                <a:gd name="T35" fmla="*/ 2147483646 h 620"/>
                                <a:gd name="T36" fmla="*/ 2147483646 w 1036"/>
                                <a:gd name="T37" fmla="*/ 2147483646 h 620"/>
                                <a:gd name="T38" fmla="*/ 2147483646 w 1036"/>
                                <a:gd name="T39" fmla="*/ 2147483646 h 620"/>
                                <a:gd name="T40" fmla="*/ 2147483646 w 1036"/>
                                <a:gd name="T41" fmla="*/ 2147483646 h 620"/>
                                <a:gd name="T42" fmla="*/ 2147483646 w 1036"/>
                                <a:gd name="T43" fmla="*/ 2147483646 h 620"/>
                                <a:gd name="T44" fmla="*/ 2147483646 w 1036"/>
                                <a:gd name="T45" fmla="*/ 2147483646 h 620"/>
                                <a:gd name="T46" fmla="*/ 2147483646 w 1036"/>
                                <a:gd name="T47" fmla="*/ 2147483646 h 620"/>
                                <a:gd name="T48" fmla="*/ 2147483646 w 1036"/>
                                <a:gd name="T49" fmla="*/ 2147483646 h 620"/>
                                <a:gd name="T50" fmla="*/ 2147483646 w 1036"/>
                                <a:gd name="T51" fmla="*/ 2147483646 h 620"/>
                                <a:gd name="T52" fmla="*/ 2147483646 w 1036"/>
                                <a:gd name="T53" fmla="*/ 2147483646 h 620"/>
                                <a:gd name="T54" fmla="*/ 2147483646 w 1036"/>
                                <a:gd name="T55" fmla="*/ 2147483646 h 620"/>
                                <a:gd name="T56" fmla="*/ 2147483646 w 1036"/>
                                <a:gd name="T57" fmla="*/ 2147483646 h 620"/>
                                <a:gd name="T58" fmla="*/ 2147483646 w 1036"/>
                                <a:gd name="T59" fmla="*/ 2147483646 h 620"/>
                                <a:gd name="T60" fmla="*/ 2147483646 w 1036"/>
                                <a:gd name="T61" fmla="*/ 2147483646 h 620"/>
                                <a:gd name="T62" fmla="*/ 2147483646 w 1036"/>
                                <a:gd name="T63" fmla="*/ 2147483646 h 620"/>
                                <a:gd name="T64" fmla="*/ 2147483646 w 1036"/>
                                <a:gd name="T65" fmla="*/ 2147483646 h 620"/>
                                <a:gd name="T66" fmla="*/ 2147483646 w 1036"/>
                                <a:gd name="T67" fmla="*/ 2147483646 h 620"/>
                                <a:gd name="T68" fmla="*/ 2147483646 w 1036"/>
                                <a:gd name="T69" fmla="*/ 2147483646 h 620"/>
                                <a:gd name="T70" fmla="*/ 2147483646 w 1036"/>
                                <a:gd name="T71" fmla="*/ 2147483646 h 620"/>
                                <a:gd name="T72" fmla="*/ 2147483646 w 1036"/>
                                <a:gd name="T73" fmla="*/ 2147483646 h 620"/>
                                <a:gd name="T74" fmla="*/ 2147483646 w 1036"/>
                                <a:gd name="T75" fmla="*/ 2147483646 h 620"/>
                                <a:gd name="T76" fmla="*/ 2147483646 w 1036"/>
                                <a:gd name="T77" fmla="*/ 2147483646 h 620"/>
                                <a:gd name="T78" fmla="*/ 2147483646 w 1036"/>
                                <a:gd name="T79" fmla="*/ 2147483646 h 620"/>
                                <a:gd name="T80" fmla="*/ 2147483646 w 1036"/>
                                <a:gd name="T81" fmla="*/ 2147483646 h 620"/>
                                <a:gd name="T82" fmla="*/ 2147483646 w 1036"/>
                                <a:gd name="T83" fmla="*/ 2147483646 h 620"/>
                                <a:gd name="T84" fmla="*/ 2147483646 w 1036"/>
                                <a:gd name="T85" fmla="*/ 2147483646 h 620"/>
                                <a:gd name="T86" fmla="*/ 2147483646 w 1036"/>
                                <a:gd name="T87" fmla="*/ 2147483646 h 620"/>
                                <a:gd name="T88" fmla="*/ 2147483646 w 1036"/>
                                <a:gd name="T89" fmla="*/ 2147483646 h 620"/>
                                <a:gd name="T90" fmla="*/ 2147483646 w 1036"/>
                                <a:gd name="T91" fmla="*/ 2147483646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0" name="Freeform 11"/>
                          <wps:cNvSpPr/>
                          <wps:spPr bwMode="auto">
                            <a:xfrm>
                              <a:off x="724064" y="2798187"/>
                              <a:ext cx="1373086" cy="1508125"/>
                            </a:xfrm>
                            <a:custGeom>
                              <a:avLst/>
                              <a:gdLst>
                                <a:gd name="T0" fmla="*/ 428 w 445"/>
                                <a:gd name="T1" fmla="*/ 52 h 489"/>
                                <a:gd name="T2" fmla="*/ 411 w 445"/>
                                <a:gd name="T3" fmla="*/ 41 h 489"/>
                                <a:gd name="T4" fmla="*/ 398 w 445"/>
                                <a:gd name="T5" fmla="*/ 33 h 489"/>
                                <a:gd name="T6" fmla="*/ 363 w 445"/>
                                <a:gd name="T7" fmla="*/ 0 h 489"/>
                                <a:gd name="T8" fmla="*/ 359 w 445"/>
                                <a:gd name="T9" fmla="*/ 8 h 489"/>
                                <a:gd name="T10" fmla="*/ 347 w 445"/>
                                <a:gd name="T11" fmla="*/ 18 h 489"/>
                                <a:gd name="T12" fmla="*/ 339 w 445"/>
                                <a:gd name="T13" fmla="*/ 15 h 489"/>
                                <a:gd name="T14" fmla="*/ 304 w 445"/>
                                <a:gd name="T15" fmla="*/ 3 h 489"/>
                                <a:gd name="T16" fmla="*/ 299 w 445"/>
                                <a:gd name="T17" fmla="*/ 10 h 489"/>
                                <a:gd name="T18" fmla="*/ 281 w 445"/>
                                <a:gd name="T19" fmla="*/ 10 h 489"/>
                                <a:gd name="T20" fmla="*/ 259 w 445"/>
                                <a:gd name="T21" fmla="*/ 12 h 489"/>
                                <a:gd name="T22" fmla="*/ 227 w 445"/>
                                <a:gd name="T23" fmla="*/ 12 h 489"/>
                                <a:gd name="T24" fmla="*/ 211 w 445"/>
                                <a:gd name="T25" fmla="*/ 39 h 489"/>
                                <a:gd name="T26" fmla="*/ 214 w 445"/>
                                <a:gd name="T27" fmla="*/ 72 h 489"/>
                                <a:gd name="T28" fmla="*/ 242 w 445"/>
                                <a:gd name="T29" fmla="*/ 84 h 489"/>
                                <a:gd name="T30" fmla="*/ 279 w 445"/>
                                <a:gd name="T31" fmla="*/ 75 h 489"/>
                                <a:gd name="T32" fmla="*/ 276 w 445"/>
                                <a:gd name="T33" fmla="*/ 98 h 489"/>
                                <a:gd name="T34" fmla="*/ 279 w 445"/>
                                <a:gd name="T35" fmla="*/ 124 h 489"/>
                                <a:gd name="T36" fmla="*/ 252 w 445"/>
                                <a:gd name="T37" fmla="*/ 122 h 489"/>
                                <a:gd name="T38" fmla="*/ 261 w 445"/>
                                <a:gd name="T39" fmla="*/ 109 h 489"/>
                                <a:gd name="T40" fmla="*/ 244 w 445"/>
                                <a:gd name="T41" fmla="*/ 92 h 489"/>
                                <a:gd name="T42" fmla="*/ 214 w 445"/>
                                <a:gd name="T43" fmla="*/ 89 h 489"/>
                                <a:gd name="T44" fmla="*/ 110 w 445"/>
                                <a:gd name="T45" fmla="*/ 54 h 489"/>
                                <a:gd name="T46" fmla="*/ 88 w 445"/>
                                <a:gd name="T47" fmla="*/ 59 h 489"/>
                                <a:gd name="T48" fmla="*/ 59 w 445"/>
                                <a:gd name="T49" fmla="*/ 81 h 489"/>
                                <a:gd name="T50" fmla="*/ 93 w 445"/>
                                <a:gd name="T51" fmla="*/ 132 h 489"/>
                                <a:gd name="T52" fmla="*/ 68 w 445"/>
                                <a:gd name="T53" fmla="*/ 128 h 489"/>
                                <a:gd name="T54" fmla="*/ 35 w 445"/>
                                <a:gd name="T55" fmla="*/ 111 h 489"/>
                                <a:gd name="T56" fmla="*/ 1 w 445"/>
                                <a:gd name="T57" fmla="*/ 111 h 489"/>
                                <a:gd name="T58" fmla="*/ 33 w 445"/>
                                <a:gd name="T59" fmla="*/ 147 h 489"/>
                                <a:gd name="T60" fmla="*/ 41 w 445"/>
                                <a:gd name="T61" fmla="*/ 186 h 489"/>
                                <a:gd name="T62" fmla="*/ 51 w 445"/>
                                <a:gd name="T63" fmla="*/ 240 h 489"/>
                                <a:gd name="T64" fmla="*/ 72 w 445"/>
                                <a:gd name="T65" fmla="*/ 259 h 489"/>
                                <a:gd name="T66" fmla="*/ 99 w 445"/>
                                <a:gd name="T67" fmla="*/ 293 h 489"/>
                                <a:gd name="T68" fmla="*/ 121 w 445"/>
                                <a:gd name="T69" fmla="*/ 304 h 489"/>
                                <a:gd name="T70" fmla="*/ 131 w 445"/>
                                <a:gd name="T71" fmla="*/ 333 h 489"/>
                                <a:gd name="T72" fmla="*/ 102 w 445"/>
                                <a:gd name="T73" fmla="*/ 368 h 489"/>
                                <a:gd name="T74" fmla="*/ 96 w 445"/>
                                <a:gd name="T75" fmla="*/ 402 h 489"/>
                                <a:gd name="T76" fmla="*/ 108 w 445"/>
                                <a:gd name="T77" fmla="*/ 401 h 489"/>
                                <a:gd name="T78" fmla="*/ 153 w 445"/>
                                <a:gd name="T79" fmla="*/ 374 h 489"/>
                                <a:gd name="T80" fmla="*/ 277 w 445"/>
                                <a:gd name="T81" fmla="*/ 415 h 489"/>
                                <a:gd name="T82" fmla="*/ 305 w 445"/>
                                <a:gd name="T83" fmla="*/ 489 h 489"/>
                                <a:gd name="T84" fmla="*/ 445 w 445"/>
                                <a:gd name="T85" fmla="*/ 133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solidFill>
                              <a:srgbClr val="44546A">
                                <a:lumMod val="20000"/>
                                <a:lumOff val="80000"/>
                              </a:srgbClr>
                            </a:solidFill>
                            <a:ln w="9525">
                              <a:noFill/>
                              <a:prstDash val="solid"/>
                              <a:round/>
                              <a:headEnd/>
                              <a:tailEnd/>
                            </a:ln>
                          </wps:spPr>
                          <wps:bodyPr/>
                        </wps:wsp>
                        <wps:wsp>
                          <wps:cNvPr id="121" name="Freeform 12"/>
                          <wps:cNvSpPr/>
                          <wps:spPr bwMode="auto">
                            <a:xfrm>
                              <a:off x="712788" y="2791528"/>
                              <a:ext cx="1373187" cy="1508125"/>
                            </a:xfrm>
                            <a:custGeom>
                              <a:avLst/>
                              <a:gdLst>
                                <a:gd name="T0" fmla="*/ 2147483646 w 445"/>
                                <a:gd name="T1" fmla="*/ 2147483646 h 489"/>
                                <a:gd name="T2" fmla="*/ 2147483646 w 445"/>
                                <a:gd name="T3" fmla="*/ 2147483646 h 489"/>
                                <a:gd name="T4" fmla="*/ 2147483646 w 445"/>
                                <a:gd name="T5" fmla="*/ 2147483646 h 489"/>
                                <a:gd name="T6" fmla="*/ 2147483646 w 445"/>
                                <a:gd name="T7" fmla="*/ 0 h 489"/>
                                <a:gd name="T8" fmla="*/ 2147483646 w 445"/>
                                <a:gd name="T9" fmla="*/ 2147483646 h 489"/>
                                <a:gd name="T10" fmla="*/ 2147483646 w 445"/>
                                <a:gd name="T11" fmla="*/ 2147483646 h 489"/>
                                <a:gd name="T12" fmla="*/ 2147483646 w 445"/>
                                <a:gd name="T13" fmla="*/ 2147483646 h 489"/>
                                <a:gd name="T14" fmla="*/ 2147483646 w 445"/>
                                <a:gd name="T15" fmla="*/ 2147483646 h 489"/>
                                <a:gd name="T16" fmla="*/ 2147483646 w 445"/>
                                <a:gd name="T17" fmla="*/ 2147483646 h 489"/>
                                <a:gd name="T18" fmla="*/ 2147483646 w 445"/>
                                <a:gd name="T19" fmla="*/ 2147483646 h 489"/>
                                <a:gd name="T20" fmla="*/ 2147483646 w 445"/>
                                <a:gd name="T21" fmla="*/ 2147483646 h 489"/>
                                <a:gd name="T22" fmla="*/ 2147483646 w 445"/>
                                <a:gd name="T23" fmla="*/ 2147483646 h 489"/>
                                <a:gd name="T24" fmla="*/ 2147483646 w 445"/>
                                <a:gd name="T25" fmla="*/ 2147483646 h 489"/>
                                <a:gd name="T26" fmla="*/ 2147483646 w 445"/>
                                <a:gd name="T27" fmla="*/ 2147483646 h 489"/>
                                <a:gd name="T28" fmla="*/ 2147483646 w 445"/>
                                <a:gd name="T29" fmla="*/ 2147483646 h 489"/>
                                <a:gd name="T30" fmla="*/ 2147483646 w 445"/>
                                <a:gd name="T31" fmla="*/ 2147483646 h 489"/>
                                <a:gd name="T32" fmla="*/ 2147483646 w 445"/>
                                <a:gd name="T33" fmla="*/ 2147483646 h 489"/>
                                <a:gd name="T34" fmla="*/ 2147483646 w 445"/>
                                <a:gd name="T35" fmla="*/ 2147483646 h 489"/>
                                <a:gd name="T36" fmla="*/ 2147483646 w 445"/>
                                <a:gd name="T37" fmla="*/ 2147483646 h 489"/>
                                <a:gd name="T38" fmla="*/ 2147483646 w 445"/>
                                <a:gd name="T39" fmla="*/ 2147483646 h 489"/>
                                <a:gd name="T40" fmla="*/ 2147483646 w 445"/>
                                <a:gd name="T41" fmla="*/ 2147483646 h 489"/>
                                <a:gd name="T42" fmla="*/ 2147483646 w 445"/>
                                <a:gd name="T43" fmla="*/ 2147483646 h 489"/>
                                <a:gd name="T44" fmla="*/ 2147483646 w 445"/>
                                <a:gd name="T45" fmla="*/ 2147483646 h 489"/>
                                <a:gd name="T46" fmla="*/ 2147483646 w 445"/>
                                <a:gd name="T47" fmla="*/ 2147483646 h 489"/>
                                <a:gd name="T48" fmla="*/ 2147483646 w 445"/>
                                <a:gd name="T49" fmla="*/ 2147483646 h 489"/>
                                <a:gd name="T50" fmla="*/ 2147483646 w 445"/>
                                <a:gd name="T51" fmla="*/ 2147483646 h 489"/>
                                <a:gd name="T52" fmla="*/ 2147483646 w 445"/>
                                <a:gd name="T53" fmla="*/ 2147483646 h 489"/>
                                <a:gd name="T54" fmla="*/ 2147483646 w 445"/>
                                <a:gd name="T55" fmla="*/ 2147483646 h 489"/>
                                <a:gd name="T56" fmla="*/ 2147483646 w 445"/>
                                <a:gd name="T57" fmla="*/ 2147483646 h 489"/>
                                <a:gd name="T58" fmla="*/ 2147483646 w 445"/>
                                <a:gd name="T59" fmla="*/ 2147483646 h 489"/>
                                <a:gd name="T60" fmla="*/ 2147483646 w 445"/>
                                <a:gd name="T61" fmla="*/ 2147483646 h 489"/>
                                <a:gd name="T62" fmla="*/ 2147483646 w 445"/>
                                <a:gd name="T63" fmla="*/ 2147483646 h 489"/>
                                <a:gd name="T64" fmla="*/ 2147483646 w 445"/>
                                <a:gd name="T65" fmla="*/ 2147483646 h 489"/>
                                <a:gd name="T66" fmla="*/ 2147483646 w 445"/>
                                <a:gd name="T67" fmla="*/ 2147483646 h 489"/>
                                <a:gd name="T68" fmla="*/ 2147483646 w 445"/>
                                <a:gd name="T69" fmla="*/ 2147483646 h 489"/>
                                <a:gd name="T70" fmla="*/ 2147483646 w 445"/>
                                <a:gd name="T71" fmla="*/ 2147483646 h 489"/>
                                <a:gd name="T72" fmla="*/ 2147483646 w 445"/>
                                <a:gd name="T73" fmla="*/ 2147483646 h 489"/>
                                <a:gd name="T74" fmla="*/ 2147483646 w 445"/>
                                <a:gd name="T75" fmla="*/ 2147483646 h 489"/>
                                <a:gd name="T76" fmla="*/ 2147483646 w 445"/>
                                <a:gd name="T77" fmla="*/ 2147483646 h 489"/>
                                <a:gd name="T78" fmla="*/ 2147483646 w 445"/>
                                <a:gd name="T79" fmla="*/ 2147483646 h 489"/>
                                <a:gd name="T80" fmla="*/ 2147483646 w 445"/>
                                <a:gd name="T81" fmla="*/ 2147483646 h 489"/>
                                <a:gd name="T82" fmla="*/ 2147483646 w 445"/>
                                <a:gd name="T83" fmla="*/ 2147483646 h 489"/>
                                <a:gd name="T84" fmla="*/ 2147483646 w 445"/>
                                <a:gd name="T85" fmla="*/ 2147483646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2" name="Freeform 13"/>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solidFill>
                              <a:srgbClr val="EBD9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14"/>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4" name="Freeform 16"/>
                          <wps:cNvSpPr/>
                          <wps:spPr bwMode="auto">
                            <a:xfrm>
                              <a:off x="0" y="2442278"/>
                              <a:ext cx="1595438" cy="2413000"/>
                            </a:xfrm>
                            <a:custGeom>
                              <a:avLst/>
                              <a:gdLst>
                                <a:gd name="T0" fmla="*/ 2147483646 w 1005"/>
                                <a:gd name="T1" fmla="*/ 2147483646 h 1520"/>
                                <a:gd name="T2" fmla="*/ 2147483646 w 1005"/>
                                <a:gd name="T3" fmla="*/ 2147483646 h 1520"/>
                                <a:gd name="T4" fmla="*/ 2147483646 w 1005"/>
                                <a:gd name="T5" fmla="*/ 2147483646 h 1520"/>
                                <a:gd name="T6" fmla="*/ 2147483646 w 1005"/>
                                <a:gd name="T7" fmla="*/ 2147483646 h 1520"/>
                                <a:gd name="T8" fmla="*/ 2147483646 w 1005"/>
                                <a:gd name="T9" fmla="*/ 2147483646 h 1520"/>
                                <a:gd name="T10" fmla="*/ 2147483646 w 1005"/>
                                <a:gd name="T11" fmla="*/ 2147483646 h 1520"/>
                                <a:gd name="T12" fmla="*/ 2147483646 w 1005"/>
                                <a:gd name="T13" fmla="*/ 2147483646 h 1520"/>
                                <a:gd name="T14" fmla="*/ 2147483646 w 1005"/>
                                <a:gd name="T15" fmla="*/ 2147483646 h 1520"/>
                                <a:gd name="T16" fmla="*/ 2147483646 w 1005"/>
                                <a:gd name="T17" fmla="*/ 2147483646 h 1520"/>
                                <a:gd name="T18" fmla="*/ 2147483646 w 1005"/>
                                <a:gd name="T19" fmla="*/ 2147483646 h 1520"/>
                                <a:gd name="T20" fmla="*/ 2147483646 w 1005"/>
                                <a:gd name="T21" fmla="*/ 2147483646 h 1520"/>
                                <a:gd name="T22" fmla="*/ 2147483646 w 1005"/>
                                <a:gd name="T23" fmla="*/ 2147483646 h 1520"/>
                                <a:gd name="T24" fmla="*/ 2147483646 w 1005"/>
                                <a:gd name="T25" fmla="*/ 2147483646 h 1520"/>
                                <a:gd name="T26" fmla="*/ 2147483646 w 1005"/>
                                <a:gd name="T27" fmla="*/ 2147483646 h 1520"/>
                                <a:gd name="T28" fmla="*/ 2147483646 w 1005"/>
                                <a:gd name="T29" fmla="*/ 2147483646 h 1520"/>
                                <a:gd name="T30" fmla="*/ 2147483646 w 1005"/>
                                <a:gd name="T31" fmla="*/ 2147483646 h 1520"/>
                                <a:gd name="T32" fmla="*/ 2147483646 w 1005"/>
                                <a:gd name="T33" fmla="*/ 2147483646 h 1520"/>
                                <a:gd name="T34" fmla="*/ 2147483646 w 1005"/>
                                <a:gd name="T35" fmla="*/ 2147483646 h 1520"/>
                                <a:gd name="T36" fmla="*/ 2147483646 w 1005"/>
                                <a:gd name="T37" fmla="*/ 2147483646 h 1520"/>
                                <a:gd name="T38" fmla="*/ 2147483646 w 1005"/>
                                <a:gd name="T39" fmla="*/ 2147483646 h 1520"/>
                                <a:gd name="T40" fmla="*/ 2147483646 w 1005"/>
                                <a:gd name="T41" fmla="*/ 2147483646 h 1520"/>
                                <a:gd name="T42" fmla="*/ 2147483646 w 1005"/>
                                <a:gd name="T43" fmla="*/ 2147483646 h 1520"/>
                                <a:gd name="T44" fmla="*/ 2147483646 w 1005"/>
                                <a:gd name="T45" fmla="*/ 2147483646 h 1520"/>
                                <a:gd name="T46" fmla="*/ 2147483646 w 1005"/>
                                <a:gd name="T47" fmla="*/ 2147483646 h 1520"/>
                                <a:gd name="T48" fmla="*/ 2147483646 w 1005"/>
                                <a:gd name="T49" fmla="*/ 2147483646 h 1520"/>
                                <a:gd name="T50" fmla="*/ 2147483646 w 1005"/>
                                <a:gd name="T51" fmla="*/ 2147483646 h 1520"/>
                                <a:gd name="T52" fmla="*/ 2147483646 w 1005"/>
                                <a:gd name="T53" fmla="*/ 2147483646 h 1520"/>
                                <a:gd name="T54" fmla="*/ 2147483646 w 1005"/>
                                <a:gd name="T55" fmla="*/ 2147483646 h 1520"/>
                                <a:gd name="T56" fmla="*/ 2147483646 w 1005"/>
                                <a:gd name="T57" fmla="*/ 2147483646 h 1520"/>
                                <a:gd name="T58" fmla="*/ 2147483646 w 1005"/>
                                <a:gd name="T59" fmla="*/ 2147483646 h 1520"/>
                                <a:gd name="T60" fmla="*/ 2147483646 w 1005"/>
                                <a:gd name="T61" fmla="*/ 2147483646 h 1520"/>
                                <a:gd name="T62" fmla="*/ 2147483646 w 1005"/>
                                <a:gd name="T63" fmla="*/ 2147483646 h 1520"/>
                                <a:gd name="T64" fmla="*/ 2147483646 w 1005"/>
                                <a:gd name="T65" fmla="*/ 2147483646 h 1520"/>
                                <a:gd name="T66" fmla="*/ 2147483646 w 1005"/>
                                <a:gd name="T67" fmla="*/ 2147483646 h 1520"/>
                                <a:gd name="T68" fmla="*/ 2147483646 w 1005"/>
                                <a:gd name="T69" fmla="*/ 2147483646 h 1520"/>
                                <a:gd name="T70" fmla="*/ 2147483646 w 1005"/>
                                <a:gd name="T71" fmla="*/ 2147483646 h 1520"/>
                                <a:gd name="T72" fmla="*/ 2147483646 w 1005"/>
                                <a:gd name="T73" fmla="*/ 2147483646 h 1520"/>
                                <a:gd name="T74" fmla="*/ 2147483646 w 1005"/>
                                <a:gd name="T75" fmla="*/ 2147483646 h 1520"/>
                                <a:gd name="T76" fmla="*/ 2147483646 w 1005"/>
                                <a:gd name="T77" fmla="*/ 2147483646 h 1520"/>
                                <a:gd name="T78" fmla="*/ 2147483646 w 1005"/>
                                <a:gd name="T79" fmla="*/ 2147483646 h 1520"/>
                                <a:gd name="T80" fmla="*/ 2147483646 w 1005"/>
                                <a:gd name="T81" fmla="*/ 2147483646 h 1520"/>
                                <a:gd name="T82" fmla="*/ 2147483646 w 1005"/>
                                <a:gd name="T83" fmla="*/ 2147483646 h 1520"/>
                                <a:gd name="T84" fmla="*/ 2147483646 w 1005"/>
                                <a:gd name="T85" fmla="*/ 2147483646 h 1520"/>
                                <a:gd name="T86" fmla="*/ 2147483646 w 1005"/>
                                <a:gd name="T87" fmla="*/ 2147483646 h 1520"/>
                                <a:gd name="T88" fmla="*/ 2147483646 w 1005"/>
                                <a:gd name="T89" fmla="*/ 2147483646 h 1520"/>
                                <a:gd name="T90" fmla="*/ 2147483646 w 1005"/>
                                <a:gd name="T91" fmla="*/ 2147483646 h 1520"/>
                                <a:gd name="T92" fmla="*/ 2147483646 w 1005"/>
                                <a:gd name="T93" fmla="*/ 2147483646 h 1520"/>
                                <a:gd name="T94" fmla="*/ 2147483646 w 1005"/>
                                <a:gd name="T95" fmla="*/ 2147483646 h 1520"/>
                                <a:gd name="T96" fmla="*/ 2147483646 w 1005"/>
                                <a:gd name="T97" fmla="*/ 2147483646 h 1520"/>
                                <a:gd name="T98" fmla="*/ 2147483646 w 1005"/>
                                <a:gd name="T99" fmla="*/ 2147483646 h 1520"/>
                                <a:gd name="T100" fmla="*/ 2147483646 w 1005"/>
                                <a:gd name="T101" fmla="*/ 2147483646 h 1520"/>
                                <a:gd name="T102" fmla="*/ 2147483646 w 1005"/>
                                <a:gd name="T103" fmla="*/ 2147483646 h 1520"/>
                                <a:gd name="T104" fmla="*/ 2147483646 w 1005"/>
                                <a:gd name="T105" fmla="*/ 2147483646 h 1520"/>
                                <a:gd name="T106" fmla="*/ 2147483646 w 1005"/>
                                <a:gd name="T107" fmla="*/ 2147483646 h 152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05"/>
                                <a:gd name="T163" fmla="*/ 0 h 1520"/>
                                <a:gd name="T164" fmla="*/ 1005 w 1005"/>
                                <a:gd name="T165" fmla="*/ 1520 h 152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05" h="1520">
                                  <a:moveTo>
                                    <a:pt x="993" y="426"/>
                                  </a:moveTo>
                                  <a:lnTo>
                                    <a:pt x="985" y="410"/>
                                  </a:lnTo>
                                  <a:lnTo>
                                    <a:pt x="985" y="383"/>
                                  </a:lnTo>
                                  <a:lnTo>
                                    <a:pt x="997" y="377"/>
                                  </a:lnTo>
                                  <a:lnTo>
                                    <a:pt x="991" y="366"/>
                                  </a:lnTo>
                                  <a:lnTo>
                                    <a:pt x="974" y="352"/>
                                  </a:lnTo>
                                  <a:lnTo>
                                    <a:pt x="952" y="375"/>
                                  </a:lnTo>
                                  <a:lnTo>
                                    <a:pt x="919" y="383"/>
                                  </a:lnTo>
                                  <a:lnTo>
                                    <a:pt x="898" y="381"/>
                                  </a:lnTo>
                                  <a:lnTo>
                                    <a:pt x="882" y="360"/>
                                  </a:lnTo>
                                  <a:lnTo>
                                    <a:pt x="865" y="360"/>
                                  </a:lnTo>
                                  <a:lnTo>
                                    <a:pt x="855" y="329"/>
                                  </a:lnTo>
                                  <a:lnTo>
                                    <a:pt x="849" y="309"/>
                                  </a:lnTo>
                                  <a:lnTo>
                                    <a:pt x="859" y="298"/>
                                  </a:lnTo>
                                  <a:lnTo>
                                    <a:pt x="857" y="286"/>
                                  </a:lnTo>
                                  <a:lnTo>
                                    <a:pt x="888" y="245"/>
                                  </a:lnTo>
                                  <a:lnTo>
                                    <a:pt x="900" y="218"/>
                                  </a:lnTo>
                                  <a:lnTo>
                                    <a:pt x="906" y="210"/>
                                  </a:lnTo>
                                  <a:lnTo>
                                    <a:pt x="904" y="144"/>
                                  </a:lnTo>
                                  <a:lnTo>
                                    <a:pt x="894" y="138"/>
                                  </a:lnTo>
                                  <a:lnTo>
                                    <a:pt x="898" y="88"/>
                                  </a:lnTo>
                                  <a:lnTo>
                                    <a:pt x="871" y="68"/>
                                  </a:lnTo>
                                  <a:lnTo>
                                    <a:pt x="849" y="59"/>
                                  </a:lnTo>
                                  <a:lnTo>
                                    <a:pt x="832" y="51"/>
                                  </a:lnTo>
                                  <a:lnTo>
                                    <a:pt x="818" y="61"/>
                                  </a:lnTo>
                                  <a:lnTo>
                                    <a:pt x="799" y="72"/>
                                  </a:lnTo>
                                  <a:lnTo>
                                    <a:pt x="787" y="80"/>
                                  </a:lnTo>
                                  <a:lnTo>
                                    <a:pt x="776" y="70"/>
                                  </a:lnTo>
                                  <a:lnTo>
                                    <a:pt x="744" y="51"/>
                                  </a:lnTo>
                                  <a:lnTo>
                                    <a:pt x="725" y="31"/>
                                  </a:lnTo>
                                  <a:lnTo>
                                    <a:pt x="702" y="10"/>
                                  </a:lnTo>
                                  <a:lnTo>
                                    <a:pt x="684" y="6"/>
                                  </a:lnTo>
                                  <a:lnTo>
                                    <a:pt x="671" y="0"/>
                                  </a:lnTo>
                                  <a:lnTo>
                                    <a:pt x="626" y="10"/>
                                  </a:lnTo>
                                  <a:lnTo>
                                    <a:pt x="604" y="18"/>
                                  </a:lnTo>
                                  <a:lnTo>
                                    <a:pt x="583" y="26"/>
                                  </a:lnTo>
                                  <a:lnTo>
                                    <a:pt x="501" y="55"/>
                                  </a:lnTo>
                                  <a:lnTo>
                                    <a:pt x="486" y="66"/>
                                  </a:lnTo>
                                  <a:lnTo>
                                    <a:pt x="437" y="61"/>
                                  </a:lnTo>
                                  <a:lnTo>
                                    <a:pt x="408" y="62"/>
                                  </a:lnTo>
                                  <a:lnTo>
                                    <a:pt x="394" y="84"/>
                                  </a:lnTo>
                                  <a:lnTo>
                                    <a:pt x="381" y="97"/>
                                  </a:lnTo>
                                  <a:lnTo>
                                    <a:pt x="358" y="119"/>
                                  </a:lnTo>
                                  <a:lnTo>
                                    <a:pt x="326" y="117"/>
                                  </a:lnTo>
                                  <a:lnTo>
                                    <a:pt x="315" y="132"/>
                                  </a:lnTo>
                                  <a:lnTo>
                                    <a:pt x="270" y="144"/>
                                  </a:lnTo>
                                  <a:lnTo>
                                    <a:pt x="245" y="158"/>
                                  </a:lnTo>
                                  <a:lnTo>
                                    <a:pt x="200" y="158"/>
                                  </a:lnTo>
                                  <a:lnTo>
                                    <a:pt x="163" y="169"/>
                                  </a:lnTo>
                                  <a:lnTo>
                                    <a:pt x="134" y="199"/>
                                  </a:lnTo>
                                  <a:lnTo>
                                    <a:pt x="114" y="230"/>
                                  </a:lnTo>
                                  <a:lnTo>
                                    <a:pt x="97" y="243"/>
                                  </a:lnTo>
                                  <a:lnTo>
                                    <a:pt x="72" y="272"/>
                                  </a:lnTo>
                                  <a:lnTo>
                                    <a:pt x="46" y="288"/>
                                  </a:lnTo>
                                  <a:lnTo>
                                    <a:pt x="13" y="303"/>
                                  </a:lnTo>
                                  <a:lnTo>
                                    <a:pt x="0" y="329"/>
                                  </a:lnTo>
                                  <a:lnTo>
                                    <a:pt x="0" y="352"/>
                                  </a:lnTo>
                                  <a:lnTo>
                                    <a:pt x="31" y="368"/>
                                  </a:lnTo>
                                  <a:lnTo>
                                    <a:pt x="37" y="393"/>
                                  </a:lnTo>
                                  <a:lnTo>
                                    <a:pt x="48" y="403"/>
                                  </a:lnTo>
                                  <a:lnTo>
                                    <a:pt x="52" y="428"/>
                                  </a:lnTo>
                                  <a:lnTo>
                                    <a:pt x="62" y="443"/>
                                  </a:lnTo>
                                  <a:lnTo>
                                    <a:pt x="66" y="473"/>
                                  </a:lnTo>
                                  <a:lnTo>
                                    <a:pt x="70" y="490"/>
                                  </a:lnTo>
                                  <a:lnTo>
                                    <a:pt x="70" y="502"/>
                                  </a:lnTo>
                                  <a:lnTo>
                                    <a:pt x="56" y="502"/>
                                  </a:lnTo>
                                  <a:lnTo>
                                    <a:pt x="52" y="517"/>
                                  </a:lnTo>
                                  <a:lnTo>
                                    <a:pt x="48" y="537"/>
                                  </a:lnTo>
                                  <a:lnTo>
                                    <a:pt x="46" y="576"/>
                                  </a:lnTo>
                                  <a:lnTo>
                                    <a:pt x="33" y="587"/>
                                  </a:lnTo>
                                  <a:lnTo>
                                    <a:pt x="33" y="611"/>
                                  </a:lnTo>
                                  <a:lnTo>
                                    <a:pt x="25" y="618"/>
                                  </a:lnTo>
                                  <a:lnTo>
                                    <a:pt x="25" y="630"/>
                                  </a:lnTo>
                                  <a:lnTo>
                                    <a:pt x="48" y="661"/>
                                  </a:lnTo>
                                  <a:lnTo>
                                    <a:pt x="46" y="677"/>
                                  </a:lnTo>
                                  <a:lnTo>
                                    <a:pt x="48" y="700"/>
                                  </a:lnTo>
                                  <a:lnTo>
                                    <a:pt x="64" y="710"/>
                                  </a:lnTo>
                                  <a:lnTo>
                                    <a:pt x="64" y="745"/>
                                  </a:lnTo>
                                  <a:lnTo>
                                    <a:pt x="81" y="760"/>
                                  </a:lnTo>
                                  <a:lnTo>
                                    <a:pt x="91" y="801"/>
                                  </a:lnTo>
                                  <a:lnTo>
                                    <a:pt x="101" y="846"/>
                                  </a:lnTo>
                                  <a:lnTo>
                                    <a:pt x="126" y="871"/>
                                  </a:lnTo>
                                  <a:lnTo>
                                    <a:pt x="155" y="943"/>
                                  </a:lnTo>
                                  <a:lnTo>
                                    <a:pt x="173" y="986"/>
                                  </a:lnTo>
                                  <a:lnTo>
                                    <a:pt x="175" y="1046"/>
                                  </a:lnTo>
                                  <a:lnTo>
                                    <a:pt x="212" y="1093"/>
                                  </a:lnTo>
                                  <a:lnTo>
                                    <a:pt x="202" y="1104"/>
                                  </a:lnTo>
                                  <a:lnTo>
                                    <a:pt x="202" y="1120"/>
                                  </a:lnTo>
                                  <a:lnTo>
                                    <a:pt x="233" y="1141"/>
                                  </a:lnTo>
                                  <a:lnTo>
                                    <a:pt x="270" y="1143"/>
                                  </a:lnTo>
                                  <a:lnTo>
                                    <a:pt x="307" y="1188"/>
                                  </a:lnTo>
                                  <a:lnTo>
                                    <a:pt x="301" y="1211"/>
                                  </a:lnTo>
                                  <a:lnTo>
                                    <a:pt x="272" y="1190"/>
                                  </a:lnTo>
                                  <a:lnTo>
                                    <a:pt x="253" y="1188"/>
                                  </a:lnTo>
                                  <a:lnTo>
                                    <a:pt x="239" y="1178"/>
                                  </a:lnTo>
                                  <a:lnTo>
                                    <a:pt x="216" y="1194"/>
                                  </a:lnTo>
                                  <a:lnTo>
                                    <a:pt x="184" y="1198"/>
                                  </a:lnTo>
                                  <a:lnTo>
                                    <a:pt x="165" y="1219"/>
                                  </a:lnTo>
                                  <a:lnTo>
                                    <a:pt x="163" y="1242"/>
                                  </a:lnTo>
                                  <a:lnTo>
                                    <a:pt x="153" y="1252"/>
                                  </a:lnTo>
                                  <a:lnTo>
                                    <a:pt x="148" y="1269"/>
                                  </a:lnTo>
                                  <a:lnTo>
                                    <a:pt x="148" y="1289"/>
                                  </a:lnTo>
                                  <a:lnTo>
                                    <a:pt x="124" y="1299"/>
                                  </a:lnTo>
                                  <a:lnTo>
                                    <a:pt x="114" y="1312"/>
                                  </a:lnTo>
                                  <a:lnTo>
                                    <a:pt x="120" y="1334"/>
                                  </a:lnTo>
                                  <a:lnTo>
                                    <a:pt x="128" y="1351"/>
                                  </a:lnTo>
                                  <a:lnTo>
                                    <a:pt x="111" y="1351"/>
                                  </a:lnTo>
                                  <a:lnTo>
                                    <a:pt x="99" y="1374"/>
                                  </a:lnTo>
                                  <a:lnTo>
                                    <a:pt x="87" y="1394"/>
                                  </a:lnTo>
                                  <a:lnTo>
                                    <a:pt x="74" y="1405"/>
                                  </a:lnTo>
                                  <a:lnTo>
                                    <a:pt x="74" y="1369"/>
                                  </a:lnTo>
                                  <a:lnTo>
                                    <a:pt x="58" y="1357"/>
                                  </a:lnTo>
                                  <a:lnTo>
                                    <a:pt x="56" y="1376"/>
                                  </a:lnTo>
                                  <a:lnTo>
                                    <a:pt x="46" y="1394"/>
                                  </a:lnTo>
                                  <a:lnTo>
                                    <a:pt x="43" y="1405"/>
                                  </a:lnTo>
                                  <a:lnTo>
                                    <a:pt x="31" y="1419"/>
                                  </a:lnTo>
                                  <a:lnTo>
                                    <a:pt x="17" y="1468"/>
                                  </a:lnTo>
                                  <a:lnTo>
                                    <a:pt x="10" y="1520"/>
                                  </a:lnTo>
                                  <a:lnTo>
                                    <a:pt x="733" y="1520"/>
                                  </a:lnTo>
                                  <a:lnTo>
                                    <a:pt x="715" y="1495"/>
                                  </a:lnTo>
                                  <a:lnTo>
                                    <a:pt x="707" y="1475"/>
                                  </a:lnTo>
                                  <a:lnTo>
                                    <a:pt x="694" y="1462"/>
                                  </a:lnTo>
                                  <a:lnTo>
                                    <a:pt x="678" y="1458"/>
                                  </a:lnTo>
                                  <a:lnTo>
                                    <a:pt x="663" y="1458"/>
                                  </a:lnTo>
                                  <a:lnTo>
                                    <a:pt x="653" y="1444"/>
                                  </a:lnTo>
                                  <a:lnTo>
                                    <a:pt x="659" y="1431"/>
                                  </a:lnTo>
                                  <a:lnTo>
                                    <a:pt x="665" y="1421"/>
                                  </a:lnTo>
                                  <a:lnTo>
                                    <a:pt x="682" y="1405"/>
                                  </a:lnTo>
                                  <a:lnTo>
                                    <a:pt x="684" y="1425"/>
                                  </a:lnTo>
                                  <a:lnTo>
                                    <a:pt x="704" y="1425"/>
                                  </a:lnTo>
                                  <a:lnTo>
                                    <a:pt x="707" y="1425"/>
                                  </a:lnTo>
                                  <a:lnTo>
                                    <a:pt x="715" y="1431"/>
                                  </a:lnTo>
                                  <a:lnTo>
                                    <a:pt x="727" y="1427"/>
                                  </a:lnTo>
                                  <a:lnTo>
                                    <a:pt x="733" y="1421"/>
                                  </a:lnTo>
                                  <a:lnTo>
                                    <a:pt x="727" y="1415"/>
                                  </a:lnTo>
                                  <a:lnTo>
                                    <a:pt x="715" y="1402"/>
                                  </a:lnTo>
                                  <a:lnTo>
                                    <a:pt x="704" y="1394"/>
                                  </a:lnTo>
                                  <a:lnTo>
                                    <a:pt x="709" y="1376"/>
                                  </a:lnTo>
                                  <a:lnTo>
                                    <a:pt x="725" y="1369"/>
                                  </a:lnTo>
                                  <a:lnTo>
                                    <a:pt x="725" y="1357"/>
                                  </a:lnTo>
                                  <a:lnTo>
                                    <a:pt x="702" y="1351"/>
                                  </a:lnTo>
                                  <a:lnTo>
                                    <a:pt x="682" y="1339"/>
                                  </a:lnTo>
                                  <a:lnTo>
                                    <a:pt x="659" y="1339"/>
                                  </a:lnTo>
                                  <a:lnTo>
                                    <a:pt x="647" y="1334"/>
                                  </a:lnTo>
                                  <a:lnTo>
                                    <a:pt x="637" y="1334"/>
                                  </a:lnTo>
                                  <a:lnTo>
                                    <a:pt x="647" y="1363"/>
                                  </a:lnTo>
                                  <a:lnTo>
                                    <a:pt x="630" y="1334"/>
                                  </a:lnTo>
                                  <a:lnTo>
                                    <a:pt x="624" y="1308"/>
                                  </a:lnTo>
                                  <a:lnTo>
                                    <a:pt x="630" y="1302"/>
                                  </a:lnTo>
                                  <a:lnTo>
                                    <a:pt x="628" y="1271"/>
                                  </a:lnTo>
                                  <a:lnTo>
                                    <a:pt x="632" y="1246"/>
                                  </a:lnTo>
                                  <a:lnTo>
                                    <a:pt x="641" y="1229"/>
                                  </a:lnTo>
                                  <a:lnTo>
                                    <a:pt x="653" y="1219"/>
                                  </a:lnTo>
                                  <a:lnTo>
                                    <a:pt x="657" y="1194"/>
                                  </a:lnTo>
                                  <a:lnTo>
                                    <a:pt x="669" y="1188"/>
                                  </a:lnTo>
                                  <a:lnTo>
                                    <a:pt x="676" y="1168"/>
                                  </a:lnTo>
                                  <a:lnTo>
                                    <a:pt x="676" y="1128"/>
                                  </a:lnTo>
                                  <a:lnTo>
                                    <a:pt x="684" y="1128"/>
                                  </a:lnTo>
                                  <a:lnTo>
                                    <a:pt x="696" y="1164"/>
                                  </a:lnTo>
                                  <a:lnTo>
                                    <a:pt x="702" y="1190"/>
                                  </a:lnTo>
                                  <a:lnTo>
                                    <a:pt x="731" y="1205"/>
                                  </a:lnTo>
                                  <a:lnTo>
                                    <a:pt x="744" y="1215"/>
                                  </a:lnTo>
                                  <a:lnTo>
                                    <a:pt x="758" y="1203"/>
                                  </a:lnTo>
                                  <a:lnTo>
                                    <a:pt x="770" y="1192"/>
                                  </a:lnTo>
                                  <a:lnTo>
                                    <a:pt x="781" y="1192"/>
                                  </a:lnTo>
                                  <a:lnTo>
                                    <a:pt x="776" y="1227"/>
                                  </a:lnTo>
                                  <a:lnTo>
                                    <a:pt x="787" y="1242"/>
                                  </a:lnTo>
                                  <a:lnTo>
                                    <a:pt x="824" y="1242"/>
                                  </a:lnTo>
                                  <a:lnTo>
                                    <a:pt x="834" y="1233"/>
                                  </a:lnTo>
                                  <a:lnTo>
                                    <a:pt x="851" y="1233"/>
                                  </a:lnTo>
                                  <a:lnTo>
                                    <a:pt x="859" y="1244"/>
                                  </a:lnTo>
                                  <a:lnTo>
                                    <a:pt x="869" y="1242"/>
                                  </a:lnTo>
                                  <a:lnTo>
                                    <a:pt x="859" y="1225"/>
                                  </a:lnTo>
                                  <a:lnTo>
                                    <a:pt x="857" y="1205"/>
                                  </a:lnTo>
                                  <a:lnTo>
                                    <a:pt x="884" y="1203"/>
                                  </a:lnTo>
                                  <a:lnTo>
                                    <a:pt x="898" y="1223"/>
                                  </a:lnTo>
                                  <a:lnTo>
                                    <a:pt x="917" y="1223"/>
                                  </a:lnTo>
                                  <a:lnTo>
                                    <a:pt x="927" y="1217"/>
                                  </a:lnTo>
                                  <a:lnTo>
                                    <a:pt x="933" y="1207"/>
                                  </a:lnTo>
                                  <a:lnTo>
                                    <a:pt x="933" y="1174"/>
                                  </a:lnTo>
                                  <a:lnTo>
                                    <a:pt x="855" y="1087"/>
                                  </a:lnTo>
                                  <a:lnTo>
                                    <a:pt x="849" y="1061"/>
                                  </a:lnTo>
                                  <a:lnTo>
                                    <a:pt x="857" y="1050"/>
                                  </a:lnTo>
                                  <a:lnTo>
                                    <a:pt x="859" y="1036"/>
                                  </a:lnTo>
                                  <a:lnTo>
                                    <a:pt x="849" y="1025"/>
                                  </a:lnTo>
                                  <a:lnTo>
                                    <a:pt x="846" y="1007"/>
                                  </a:lnTo>
                                  <a:lnTo>
                                    <a:pt x="849" y="976"/>
                                  </a:lnTo>
                                  <a:lnTo>
                                    <a:pt x="842" y="968"/>
                                  </a:lnTo>
                                  <a:lnTo>
                                    <a:pt x="828" y="968"/>
                                  </a:lnTo>
                                  <a:lnTo>
                                    <a:pt x="812" y="957"/>
                                  </a:lnTo>
                                  <a:lnTo>
                                    <a:pt x="783" y="957"/>
                                  </a:lnTo>
                                  <a:lnTo>
                                    <a:pt x="766" y="966"/>
                                  </a:lnTo>
                                  <a:lnTo>
                                    <a:pt x="750" y="960"/>
                                  </a:lnTo>
                                  <a:lnTo>
                                    <a:pt x="733" y="968"/>
                                  </a:lnTo>
                                  <a:lnTo>
                                    <a:pt x="715" y="982"/>
                                  </a:lnTo>
                                  <a:lnTo>
                                    <a:pt x="704" y="999"/>
                                  </a:lnTo>
                                  <a:lnTo>
                                    <a:pt x="690" y="1019"/>
                                  </a:lnTo>
                                  <a:lnTo>
                                    <a:pt x="702" y="1030"/>
                                  </a:lnTo>
                                  <a:lnTo>
                                    <a:pt x="696" y="1050"/>
                                  </a:lnTo>
                                  <a:lnTo>
                                    <a:pt x="690" y="1061"/>
                                  </a:lnTo>
                                  <a:lnTo>
                                    <a:pt x="682" y="1079"/>
                                  </a:lnTo>
                                  <a:lnTo>
                                    <a:pt x="678" y="1093"/>
                                  </a:lnTo>
                                  <a:lnTo>
                                    <a:pt x="667" y="1073"/>
                                  </a:lnTo>
                                  <a:lnTo>
                                    <a:pt x="653" y="1056"/>
                                  </a:lnTo>
                                  <a:lnTo>
                                    <a:pt x="647" y="1038"/>
                                  </a:lnTo>
                                  <a:lnTo>
                                    <a:pt x="657" y="1032"/>
                                  </a:lnTo>
                                  <a:lnTo>
                                    <a:pt x="659" y="1019"/>
                                  </a:lnTo>
                                  <a:lnTo>
                                    <a:pt x="647" y="1011"/>
                                  </a:lnTo>
                                  <a:lnTo>
                                    <a:pt x="636" y="1001"/>
                                  </a:lnTo>
                                  <a:lnTo>
                                    <a:pt x="651" y="986"/>
                                  </a:lnTo>
                                  <a:lnTo>
                                    <a:pt x="653" y="970"/>
                                  </a:lnTo>
                                  <a:lnTo>
                                    <a:pt x="647" y="935"/>
                                  </a:lnTo>
                                  <a:lnTo>
                                    <a:pt x="671" y="912"/>
                                  </a:lnTo>
                                  <a:lnTo>
                                    <a:pt x="688" y="887"/>
                                  </a:lnTo>
                                  <a:lnTo>
                                    <a:pt x="702" y="867"/>
                                  </a:lnTo>
                                  <a:lnTo>
                                    <a:pt x="707" y="840"/>
                                  </a:lnTo>
                                  <a:lnTo>
                                    <a:pt x="700" y="822"/>
                                  </a:lnTo>
                                  <a:lnTo>
                                    <a:pt x="684" y="811"/>
                                  </a:lnTo>
                                  <a:lnTo>
                                    <a:pt x="678" y="801"/>
                                  </a:lnTo>
                                  <a:lnTo>
                                    <a:pt x="653" y="799"/>
                                  </a:lnTo>
                                  <a:lnTo>
                                    <a:pt x="641" y="789"/>
                                  </a:lnTo>
                                  <a:lnTo>
                                    <a:pt x="604" y="785"/>
                                  </a:lnTo>
                                  <a:lnTo>
                                    <a:pt x="597" y="750"/>
                                  </a:lnTo>
                                  <a:lnTo>
                                    <a:pt x="589" y="723"/>
                                  </a:lnTo>
                                  <a:lnTo>
                                    <a:pt x="531" y="719"/>
                                  </a:lnTo>
                                  <a:lnTo>
                                    <a:pt x="540" y="700"/>
                                  </a:lnTo>
                                  <a:lnTo>
                                    <a:pt x="548" y="686"/>
                                  </a:lnTo>
                                  <a:lnTo>
                                    <a:pt x="546" y="644"/>
                                  </a:lnTo>
                                  <a:lnTo>
                                    <a:pt x="531" y="616"/>
                                  </a:lnTo>
                                  <a:lnTo>
                                    <a:pt x="529" y="581"/>
                                  </a:lnTo>
                                  <a:lnTo>
                                    <a:pt x="521" y="558"/>
                                  </a:lnTo>
                                  <a:lnTo>
                                    <a:pt x="513" y="539"/>
                                  </a:lnTo>
                                  <a:lnTo>
                                    <a:pt x="513" y="506"/>
                                  </a:lnTo>
                                  <a:lnTo>
                                    <a:pt x="480" y="490"/>
                                  </a:lnTo>
                                  <a:lnTo>
                                    <a:pt x="449" y="475"/>
                                  </a:lnTo>
                                  <a:lnTo>
                                    <a:pt x="451" y="436"/>
                                  </a:lnTo>
                                  <a:lnTo>
                                    <a:pt x="466" y="418"/>
                                  </a:lnTo>
                                  <a:lnTo>
                                    <a:pt x="496" y="426"/>
                                  </a:lnTo>
                                  <a:lnTo>
                                    <a:pt x="517" y="436"/>
                                  </a:lnTo>
                                  <a:lnTo>
                                    <a:pt x="540" y="438"/>
                                  </a:lnTo>
                                  <a:lnTo>
                                    <a:pt x="567" y="469"/>
                                  </a:lnTo>
                                  <a:lnTo>
                                    <a:pt x="581" y="469"/>
                                  </a:lnTo>
                                  <a:lnTo>
                                    <a:pt x="589" y="463"/>
                                  </a:lnTo>
                                  <a:lnTo>
                                    <a:pt x="610" y="478"/>
                                  </a:lnTo>
                                  <a:lnTo>
                                    <a:pt x="630" y="476"/>
                                  </a:lnTo>
                                  <a:lnTo>
                                    <a:pt x="601" y="449"/>
                                  </a:lnTo>
                                  <a:lnTo>
                                    <a:pt x="560" y="399"/>
                                  </a:lnTo>
                                  <a:lnTo>
                                    <a:pt x="564" y="377"/>
                                  </a:lnTo>
                                  <a:lnTo>
                                    <a:pt x="579" y="371"/>
                                  </a:lnTo>
                                  <a:lnTo>
                                    <a:pt x="602" y="370"/>
                                  </a:lnTo>
                                  <a:lnTo>
                                    <a:pt x="620" y="335"/>
                                  </a:lnTo>
                                  <a:lnTo>
                                    <a:pt x="632" y="319"/>
                                  </a:lnTo>
                                  <a:lnTo>
                                    <a:pt x="639" y="325"/>
                                  </a:lnTo>
                                  <a:lnTo>
                                    <a:pt x="663" y="325"/>
                                  </a:lnTo>
                                  <a:lnTo>
                                    <a:pt x="678" y="315"/>
                                  </a:lnTo>
                                  <a:lnTo>
                                    <a:pt x="696" y="323"/>
                                  </a:lnTo>
                                  <a:lnTo>
                                    <a:pt x="865" y="393"/>
                                  </a:lnTo>
                                  <a:lnTo>
                                    <a:pt x="892" y="389"/>
                                  </a:lnTo>
                                  <a:lnTo>
                                    <a:pt x="902" y="405"/>
                                  </a:lnTo>
                                  <a:lnTo>
                                    <a:pt x="923" y="399"/>
                                  </a:lnTo>
                                  <a:lnTo>
                                    <a:pt x="968" y="401"/>
                                  </a:lnTo>
                                  <a:lnTo>
                                    <a:pt x="972" y="424"/>
                                  </a:lnTo>
                                  <a:lnTo>
                                    <a:pt x="956" y="432"/>
                                  </a:lnTo>
                                  <a:lnTo>
                                    <a:pt x="931" y="438"/>
                                  </a:lnTo>
                                  <a:lnTo>
                                    <a:pt x="933" y="447"/>
                                  </a:lnTo>
                                  <a:lnTo>
                                    <a:pt x="939" y="457"/>
                                  </a:lnTo>
                                  <a:lnTo>
                                    <a:pt x="952" y="459"/>
                                  </a:lnTo>
                                  <a:lnTo>
                                    <a:pt x="982" y="453"/>
                                  </a:lnTo>
                                  <a:lnTo>
                                    <a:pt x="991" y="461"/>
                                  </a:lnTo>
                                  <a:lnTo>
                                    <a:pt x="1005" y="451"/>
                                  </a:lnTo>
                                  <a:lnTo>
                                    <a:pt x="993" y="42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5" name="Freeform 17"/>
                          <wps:cNvSpPr/>
                          <wps:spPr bwMode="auto">
                            <a:xfrm>
                              <a:off x="4665320" y="3099503"/>
                              <a:ext cx="1374674" cy="1081088"/>
                            </a:xfrm>
                            <a:custGeom>
                              <a:avLst/>
                              <a:gdLst>
                                <a:gd name="T0" fmla="*/ 418 w 445"/>
                                <a:gd name="T1" fmla="*/ 190 h 350"/>
                                <a:gd name="T2" fmla="*/ 418 w 445"/>
                                <a:gd name="T3" fmla="*/ 190 h 350"/>
                                <a:gd name="T4" fmla="*/ 358 w 445"/>
                                <a:gd name="T5" fmla="*/ 120 h 350"/>
                                <a:gd name="T6" fmla="*/ 357 w 445"/>
                                <a:gd name="T7" fmla="*/ 119 h 350"/>
                                <a:gd name="T8" fmla="*/ 330 w 445"/>
                                <a:gd name="T9" fmla="*/ 80 h 350"/>
                                <a:gd name="T10" fmla="*/ 329 w 445"/>
                                <a:gd name="T11" fmla="*/ 79 h 350"/>
                                <a:gd name="T12" fmla="*/ 327 w 445"/>
                                <a:gd name="T13" fmla="*/ 69 h 350"/>
                                <a:gd name="T14" fmla="*/ 308 w 445"/>
                                <a:gd name="T15" fmla="*/ 47 h 350"/>
                                <a:gd name="T16" fmla="*/ 289 w 445"/>
                                <a:gd name="T17" fmla="*/ 22 h 350"/>
                                <a:gd name="T18" fmla="*/ 283 w 445"/>
                                <a:gd name="T19" fmla="*/ 5 h 350"/>
                                <a:gd name="T20" fmla="*/ 281 w 445"/>
                                <a:gd name="T21" fmla="*/ 2 h 350"/>
                                <a:gd name="T22" fmla="*/ 17 w 445"/>
                                <a:gd name="T23" fmla="*/ 3 h 350"/>
                                <a:gd name="T24" fmla="*/ 2 w 445"/>
                                <a:gd name="T25" fmla="*/ 23 h 350"/>
                                <a:gd name="T26" fmla="*/ 43 w 445"/>
                                <a:gd name="T27" fmla="*/ 125 h 350"/>
                                <a:gd name="T28" fmla="*/ 43 w 445"/>
                                <a:gd name="T29" fmla="*/ 126 h 350"/>
                                <a:gd name="T30" fmla="*/ 44 w 445"/>
                                <a:gd name="T31" fmla="*/ 186 h 350"/>
                                <a:gd name="T32" fmla="*/ 37 w 445"/>
                                <a:gd name="T33" fmla="*/ 194 h 350"/>
                                <a:gd name="T34" fmla="*/ 26 w 445"/>
                                <a:gd name="T35" fmla="*/ 241 h 350"/>
                                <a:gd name="T36" fmla="*/ 55 w 445"/>
                                <a:gd name="T37" fmla="*/ 257 h 350"/>
                                <a:gd name="T38" fmla="*/ 57 w 445"/>
                                <a:gd name="T39" fmla="*/ 258 h 350"/>
                                <a:gd name="T40" fmla="*/ 76 w 445"/>
                                <a:gd name="T41" fmla="*/ 288 h 350"/>
                                <a:gd name="T42" fmla="*/ 75 w 445"/>
                                <a:gd name="T43" fmla="*/ 306 h 350"/>
                                <a:gd name="T44" fmla="*/ 130 w 445"/>
                                <a:gd name="T45" fmla="*/ 350 h 350"/>
                                <a:gd name="T46" fmla="*/ 130 w 445"/>
                                <a:gd name="T47" fmla="*/ 328 h 350"/>
                                <a:gd name="T48" fmla="*/ 144 w 445"/>
                                <a:gd name="T49" fmla="*/ 299 h 350"/>
                                <a:gd name="T50" fmla="*/ 187 w 445"/>
                                <a:gd name="T51" fmla="*/ 292 h 350"/>
                                <a:gd name="T52" fmla="*/ 233 w 445"/>
                                <a:gd name="T53" fmla="*/ 300 h 350"/>
                                <a:gd name="T54" fmla="*/ 267 w 445"/>
                                <a:gd name="T55" fmla="*/ 311 h 350"/>
                                <a:gd name="T56" fmla="*/ 299 w 445"/>
                                <a:gd name="T57" fmla="*/ 323 h 350"/>
                                <a:gd name="T58" fmla="*/ 302 w 445"/>
                                <a:gd name="T59" fmla="*/ 302 h 350"/>
                                <a:gd name="T60" fmla="*/ 313 w 445"/>
                                <a:gd name="T61" fmla="*/ 258 h 350"/>
                                <a:gd name="T62" fmla="*/ 346 w 445"/>
                                <a:gd name="T63" fmla="*/ 239 h 350"/>
                                <a:gd name="T64" fmla="*/ 374 w 445"/>
                                <a:gd name="T65" fmla="*/ 247 h 350"/>
                                <a:gd name="T66" fmla="*/ 413 w 445"/>
                                <a:gd name="T67" fmla="*/ 268 h 350"/>
                                <a:gd name="T68" fmla="*/ 445 w 445"/>
                                <a:gd name="T69" fmla="*/ 241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solidFill>
                              <a:srgbClr val="44546A">
                                <a:lumMod val="20000"/>
                                <a:lumOff val="80000"/>
                              </a:srgbClr>
                            </a:solidFill>
                            <a:ln w="9525">
                              <a:noFill/>
                              <a:prstDash val="solid"/>
                              <a:round/>
                              <a:headEnd/>
                              <a:tailEnd/>
                            </a:ln>
                          </wps:spPr>
                          <wps:bodyPr/>
                        </wps:wsp>
                        <wps:wsp>
                          <wps:cNvPr id="126" name="Freeform 18"/>
                          <wps:cNvSpPr/>
                          <wps:spPr bwMode="auto">
                            <a:xfrm>
                              <a:off x="4665663" y="3099503"/>
                              <a:ext cx="1374775" cy="1081087"/>
                            </a:xfrm>
                            <a:custGeom>
                              <a:avLst/>
                              <a:gdLst>
                                <a:gd name="T0" fmla="*/ 2147483646 w 445"/>
                                <a:gd name="T1" fmla="*/ 2147483646 h 350"/>
                                <a:gd name="T2" fmla="*/ 2147483646 w 445"/>
                                <a:gd name="T3" fmla="*/ 2147483646 h 350"/>
                                <a:gd name="T4" fmla="*/ 2147483646 w 445"/>
                                <a:gd name="T5" fmla="*/ 2147483646 h 350"/>
                                <a:gd name="T6" fmla="*/ 2147483646 w 445"/>
                                <a:gd name="T7" fmla="*/ 2147483646 h 350"/>
                                <a:gd name="T8" fmla="*/ 2147483646 w 445"/>
                                <a:gd name="T9" fmla="*/ 2147483646 h 350"/>
                                <a:gd name="T10" fmla="*/ 2147483646 w 445"/>
                                <a:gd name="T11" fmla="*/ 2147483646 h 350"/>
                                <a:gd name="T12" fmla="*/ 2147483646 w 445"/>
                                <a:gd name="T13" fmla="*/ 2147483646 h 350"/>
                                <a:gd name="T14" fmla="*/ 2147483646 w 445"/>
                                <a:gd name="T15" fmla="*/ 2147483646 h 350"/>
                                <a:gd name="T16" fmla="*/ 2147483646 w 445"/>
                                <a:gd name="T17" fmla="*/ 2147483646 h 350"/>
                                <a:gd name="T18" fmla="*/ 2147483646 w 445"/>
                                <a:gd name="T19" fmla="*/ 2147483646 h 350"/>
                                <a:gd name="T20" fmla="*/ 2147483646 w 445"/>
                                <a:gd name="T21" fmla="*/ 2147483646 h 350"/>
                                <a:gd name="T22" fmla="*/ 2147483646 w 445"/>
                                <a:gd name="T23" fmla="*/ 2147483646 h 350"/>
                                <a:gd name="T24" fmla="*/ 2147483646 w 445"/>
                                <a:gd name="T25" fmla="*/ 2147483646 h 350"/>
                                <a:gd name="T26" fmla="*/ 2147483646 w 445"/>
                                <a:gd name="T27" fmla="*/ 2147483646 h 350"/>
                                <a:gd name="T28" fmla="*/ 2147483646 w 445"/>
                                <a:gd name="T29" fmla="*/ 2147483646 h 350"/>
                                <a:gd name="T30" fmla="*/ 2147483646 w 445"/>
                                <a:gd name="T31" fmla="*/ 2147483646 h 350"/>
                                <a:gd name="T32" fmla="*/ 2147483646 w 445"/>
                                <a:gd name="T33" fmla="*/ 2147483646 h 350"/>
                                <a:gd name="T34" fmla="*/ 2147483646 w 445"/>
                                <a:gd name="T35" fmla="*/ 2147483646 h 350"/>
                                <a:gd name="T36" fmla="*/ 2147483646 w 445"/>
                                <a:gd name="T37" fmla="*/ 2147483646 h 350"/>
                                <a:gd name="T38" fmla="*/ 2147483646 w 445"/>
                                <a:gd name="T39" fmla="*/ 2147483646 h 350"/>
                                <a:gd name="T40" fmla="*/ 2147483646 w 445"/>
                                <a:gd name="T41" fmla="*/ 2147483646 h 350"/>
                                <a:gd name="T42" fmla="*/ 2147483646 w 445"/>
                                <a:gd name="T43" fmla="*/ 2147483646 h 350"/>
                                <a:gd name="T44" fmla="*/ 2147483646 w 445"/>
                                <a:gd name="T45" fmla="*/ 2147483646 h 350"/>
                                <a:gd name="T46" fmla="*/ 2147483646 w 445"/>
                                <a:gd name="T47" fmla="*/ 2147483646 h 350"/>
                                <a:gd name="T48" fmla="*/ 2147483646 w 445"/>
                                <a:gd name="T49" fmla="*/ 2147483646 h 350"/>
                                <a:gd name="T50" fmla="*/ 2147483646 w 445"/>
                                <a:gd name="T51" fmla="*/ 2147483646 h 350"/>
                                <a:gd name="T52" fmla="*/ 2147483646 w 445"/>
                                <a:gd name="T53" fmla="*/ 2147483646 h 350"/>
                                <a:gd name="T54" fmla="*/ 2147483646 w 445"/>
                                <a:gd name="T55" fmla="*/ 2147483646 h 350"/>
                                <a:gd name="T56" fmla="*/ 2147483646 w 445"/>
                                <a:gd name="T57" fmla="*/ 2147483646 h 350"/>
                                <a:gd name="T58" fmla="*/ 2147483646 w 445"/>
                                <a:gd name="T59" fmla="*/ 2147483646 h 350"/>
                                <a:gd name="T60" fmla="*/ 2147483646 w 445"/>
                                <a:gd name="T61" fmla="*/ 2147483646 h 350"/>
                                <a:gd name="T62" fmla="*/ 2147483646 w 445"/>
                                <a:gd name="T63" fmla="*/ 2147483646 h 350"/>
                                <a:gd name="T64" fmla="*/ 2147483646 w 445"/>
                                <a:gd name="T65" fmla="*/ 2147483646 h 350"/>
                                <a:gd name="T66" fmla="*/ 2147483646 w 445"/>
                                <a:gd name="T67" fmla="*/ 2147483646 h 350"/>
                                <a:gd name="T68" fmla="*/ 2147483646 w 445"/>
                                <a:gd name="T69" fmla="*/ 2147483646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7" name="Freeform 19"/>
                          <wps:cNvSpPr/>
                          <wps:spPr bwMode="auto">
                            <a:xfrm>
                              <a:off x="5665371" y="2566103"/>
                              <a:ext cx="1754058" cy="1366838"/>
                            </a:xfrm>
                            <a:custGeom>
                              <a:avLst/>
                              <a:gdLst>
                                <a:gd name="T0" fmla="*/ 543 w 568"/>
                                <a:gd name="T1" fmla="*/ 106 h 443"/>
                                <a:gd name="T2" fmla="*/ 526 w 568"/>
                                <a:gd name="T3" fmla="*/ 103 h 443"/>
                                <a:gd name="T4" fmla="*/ 488 w 568"/>
                                <a:gd name="T5" fmla="*/ 63 h 443"/>
                                <a:gd name="T6" fmla="*/ 471 w 568"/>
                                <a:gd name="T7" fmla="*/ 18 h 443"/>
                                <a:gd name="T8" fmla="*/ 451 w 568"/>
                                <a:gd name="T9" fmla="*/ 23 h 443"/>
                                <a:gd name="T10" fmla="*/ 394 w 568"/>
                                <a:gd name="T11" fmla="*/ 24 h 443"/>
                                <a:gd name="T12" fmla="*/ 365 w 568"/>
                                <a:gd name="T13" fmla="*/ 5 h 443"/>
                                <a:gd name="T14" fmla="*/ 355 w 568"/>
                                <a:gd name="T15" fmla="*/ 16 h 443"/>
                                <a:gd name="T16" fmla="*/ 340 w 568"/>
                                <a:gd name="T17" fmla="*/ 24 h 443"/>
                                <a:gd name="T18" fmla="*/ 321 w 568"/>
                                <a:gd name="T19" fmla="*/ 24 h 443"/>
                                <a:gd name="T20" fmla="*/ 297 w 568"/>
                                <a:gd name="T21" fmla="*/ 12 h 443"/>
                                <a:gd name="T22" fmla="*/ 284 w 568"/>
                                <a:gd name="T23" fmla="*/ 14 h 443"/>
                                <a:gd name="T24" fmla="*/ 270 w 568"/>
                                <a:gd name="T25" fmla="*/ 6 h 443"/>
                                <a:gd name="T26" fmla="*/ 233 w 568"/>
                                <a:gd name="T27" fmla="*/ 6 h 443"/>
                                <a:gd name="T28" fmla="*/ 214 w 568"/>
                                <a:gd name="T29" fmla="*/ 16 h 443"/>
                                <a:gd name="T30" fmla="*/ 206 w 568"/>
                                <a:gd name="T31" fmla="*/ 32 h 443"/>
                                <a:gd name="T32" fmla="*/ 207 w 568"/>
                                <a:gd name="T33" fmla="*/ 57 h 443"/>
                                <a:gd name="T34" fmla="*/ 247 w 568"/>
                                <a:gd name="T35" fmla="*/ 60 h 443"/>
                                <a:gd name="T36" fmla="*/ 272 w 568"/>
                                <a:gd name="T37" fmla="*/ 49 h 443"/>
                                <a:gd name="T38" fmla="*/ 294 w 568"/>
                                <a:gd name="T39" fmla="*/ 36 h 443"/>
                                <a:gd name="T40" fmla="*/ 326 w 568"/>
                                <a:gd name="T41" fmla="*/ 47 h 443"/>
                                <a:gd name="T42" fmla="*/ 304 w 568"/>
                                <a:gd name="T43" fmla="*/ 76 h 443"/>
                                <a:gd name="T44" fmla="*/ 256 w 568"/>
                                <a:gd name="T45" fmla="*/ 86 h 443"/>
                                <a:gd name="T46" fmla="*/ 215 w 568"/>
                                <a:gd name="T47" fmla="*/ 82 h 443"/>
                                <a:gd name="T48" fmla="*/ 180 w 568"/>
                                <a:gd name="T49" fmla="*/ 85 h 443"/>
                                <a:gd name="T50" fmla="*/ 116 w 568"/>
                                <a:gd name="T51" fmla="*/ 87 h 443"/>
                                <a:gd name="T52" fmla="*/ 84 w 568"/>
                                <a:gd name="T53" fmla="*/ 87 h 443"/>
                                <a:gd name="T54" fmla="*/ 53 w 568"/>
                                <a:gd name="T55" fmla="*/ 103 h 443"/>
                                <a:gd name="T56" fmla="*/ 28 w 568"/>
                                <a:gd name="T57" fmla="*/ 145 h 443"/>
                                <a:gd name="T58" fmla="*/ 5 w 568"/>
                                <a:gd name="T59" fmla="*/ 156 h 443"/>
                                <a:gd name="T60" fmla="*/ 0 w 568"/>
                                <a:gd name="T61" fmla="*/ 196 h 443"/>
                                <a:gd name="T62" fmla="*/ 5 w 568"/>
                                <a:gd name="T63" fmla="*/ 242 h 443"/>
                                <a:gd name="T64" fmla="*/ 33 w 568"/>
                                <a:gd name="T65" fmla="*/ 271 h 443"/>
                                <a:gd name="T66" fmla="*/ 87 w 568"/>
                                <a:gd name="T67" fmla="*/ 315 h 443"/>
                                <a:gd name="T68" fmla="*/ 98 w 568"/>
                                <a:gd name="T69" fmla="*/ 362 h 443"/>
                                <a:gd name="T70" fmla="*/ 125 w 568"/>
                                <a:gd name="T71" fmla="*/ 413 h 443"/>
                                <a:gd name="T72" fmla="*/ 132 w 568"/>
                                <a:gd name="T73" fmla="*/ 440 h 443"/>
                                <a:gd name="T74" fmla="*/ 207 w 568"/>
                                <a:gd name="T75" fmla="*/ 418 h 443"/>
                                <a:gd name="T76" fmla="*/ 255 w 568"/>
                                <a:gd name="T77" fmla="*/ 418 h 443"/>
                                <a:gd name="T78" fmla="*/ 338 w 568"/>
                                <a:gd name="T79" fmla="*/ 415 h 443"/>
                                <a:gd name="T80" fmla="*/ 393 w 568"/>
                                <a:gd name="T81" fmla="*/ 433 h 443"/>
                                <a:gd name="T82" fmla="*/ 441 w 568"/>
                                <a:gd name="T83" fmla="*/ 439 h 443"/>
                                <a:gd name="T84" fmla="*/ 461 w 568"/>
                                <a:gd name="T85" fmla="*/ 440 h 443"/>
                                <a:gd name="T86" fmla="*/ 448 w 568"/>
                                <a:gd name="T87" fmla="*/ 399 h 443"/>
                                <a:gd name="T88" fmla="*/ 463 w 568"/>
                                <a:gd name="T89" fmla="*/ 381 h 443"/>
                                <a:gd name="T90" fmla="*/ 484 w 568"/>
                                <a:gd name="T91" fmla="*/ 365 h 443"/>
                                <a:gd name="T92" fmla="*/ 477 w 568"/>
                                <a:gd name="T93" fmla="*/ 332 h 443"/>
                                <a:gd name="T94" fmla="*/ 436 w 568"/>
                                <a:gd name="T95" fmla="*/ 211 h 443"/>
                                <a:gd name="T96" fmla="*/ 395 w 568"/>
                                <a:gd name="T97" fmla="*/ 205 h 443"/>
                                <a:gd name="T98" fmla="*/ 506 w 568"/>
                                <a:gd name="T99" fmla="*/ 140 h 443"/>
                                <a:gd name="T100" fmla="*/ 543 w 568"/>
                                <a:gd name="T101" fmla="*/ 142 h 443"/>
                                <a:gd name="T102" fmla="*/ 540 w 568"/>
                                <a:gd name="T103" fmla="*/ 121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solidFill>
                              <a:srgbClr val="44546A">
                                <a:lumMod val="20000"/>
                                <a:lumOff val="80000"/>
                              </a:srgbClr>
                            </a:solidFill>
                            <a:ln w="9525">
                              <a:noFill/>
                              <a:prstDash val="solid"/>
                              <a:round/>
                              <a:headEnd/>
                              <a:tailEnd/>
                            </a:ln>
                          </wps:spPr>
                          <wps:bodyPr/>
                        </wps:wsp>
                        <wps:wsp>
                          <wps:cNvPr id="318" name="Freeform 20"/>
                          <wps:cNvSpPr/>
                          <wps:spPr bwMode="auto">
                            <a:xfrm>
                              <a:off x="5665788" y="2566103"/>
                              <a:ext cx="1754187" cy="1366837"/>
                            </a:xfrm>
                            <a:custGeom>
                              <a:avLst/>
                              <a:gdLst>
                                <a:gd name="T0" fmla="*/ 2147483646 w 568"/>
                                <a:gd name="T1" fmla="*/ 2147483646 h 443"/>
                                <a:gd name="T2" fmla="*/ 2147483646 w 568"/>
                                <a:gd name="T3" fmla="*/ 2147483646 h 443"/>
                                <a:gd name="T4" fmla="*/ 2147483646 w 568"/>
                                <a:gd name="T5" fmla="*/ 2147483646 h 443"/>
                                <a:gd name="T6" fmla="*/ 2147483646 w 568"/>
                                <a:gd name="T7" fmla="*/ 2147483646 h 443"/>
                                <a:gd name="T8" fmla="*/ 2147483646 w 568"/>
                                <a:gd name="T9" fmla="*/ 2147483646 h 443"/>
                                <a:gd name="T10" fmla="*/ 2147483646 w 568"/>
                                <a:gd name="T11" fmla="*/ 2147483646 h 443"/>
                                <a:gd name="T12" fmla="*/ 2147483646 w 568"/>
                                <a:gd name="T13" fmla="*/ 2147483646 h 443"/>
                                <a:gd name="T14" fmla="*/ 2147483646 w 568"/>
                                <a:gd name="T15" fmla="*/ 2147483646 h 443"/>
                                <a:gd name="T16" fmla="*/ 2147483646 w 568"/>
                                <a:gd name="T17" fmla="*/ 2147483646 h 443"/>
                                <a:gd name="T18" fmla="*/ 2147483646 w 568"/>
                                <a:gd name="T19" fmla="*/ 2147483646 h 443"/>
                                <a:gd name="T20" fmla="*/ 2147483646 w 568"/>
                                <a:gd name="T21" fmla="*/ 2147483646 h 443"/>
                                <a:gd name="T22" fmla="*/ 2147483646 w 568"/>
                                <a:gd name="T23" fmla="*/ 2147483646 h 443"/>
                                <a:gd name="T24" fmla="*/ 2147483646 w 568"/>
                                <a:gd name="T25" fmla="*/ 2147483646 h 443"/>
                                <a:gd name="T26" fmla="*/ 2147483646 w 568"/>
                                <a:gd name="T27" fmla="*/ 2147483646 h 443"/>
                                <a:gd name="T28" fmla="*/ 2147483646 w 568"/>
                                <a:gd name="T29" fmla="*/ 2147483646 h 443"/>
                                <a:gd name="T30" fmla="*/ 2147483646 w 568"/>
                                <a:gd name="T31" fmla="*/ 2147483646 h 443"/>
                                <a:gd name="T32" fmla="*/ 2147483646 w 568"/>
                                <a:gd name="T33" fmla="*/ 2147483646 h 443"/>
                                <a:gd name="T34" fmla="*/ 2147483646 w 568"/>
                                <a:gd name="T35" fmla="*/ 2147483646 h 443"/>
                                <a:gd name="T36" fmla="*/ 2147483646 w 568"/>
                                <a:gd name="T37" fmla="*/ 2147483646 h 443"/>
                                <a:gd name="T38" fmla="*/ 2147483646 w 568"/>
                                <a:gd name="T39" fmla="*/ 2147483646 h 443"/>
                                <a:gd name="T40" fmla="*/ 2147483646 w 568"/>
                                <a:gd name="T41" fmla="*/ 2147483646 h 443"/>
                                <a:gd name="T42" fmla="*/ 2147483646 w 568"/>
                                <a:gd name="T43" fmla="*/ 2147483646 h 443"/>
                                <a:gd name="T44" fmla="*/ 2147483646 w 568"/>
                                <a:gd name="T45" fmla="*/ 2147483646 h 443"/>
                                <a:gd name="T46" fmla="*/ 2147483646 w 568"/>
                                <a:gd name="T47" fmla="*/ 2147483646 h 443"/>
                                <a:gd name="T48" fmla="*/ 2147483646 w 568"/>
                                <a:gd name="T49" fmla="*/ 2147483646 h 443"/>
                                <a:gd name="T50" fmla="*/ 2147483646 w 568"/>
                                <a:gd name="T51" fmla="*/ 2147483646 h 443"/>
                                <a:gd name="T52" fmla="*/ 2147483646 w 568"/>
                                <a:gd name="T53" fmla="*/ 2147483646 h 443"/>
                                <a:gd name="T54" fmla="*/ 2147483646 w 568"/>
                                <a:gd name="T55" fmla="*/ 2147483646 h 443"/>
                                <a:gd name="T56" fmla="*/ 2147483646 w 568"/>
                                <a:gd name="T57" fmla="*/ 2147483646 h 443"/>
                                <a:gd name="T58" fmla="*/ 2147483646 w 568"/>
                                <a:gd name="T59" fmla="*/ 2147483646 h 443"/>
                                <a:gd name="T60" fmla="*/ 0 w 568"/>
                                <a:gd name="T61" fmla="*/ 2147483646 h 443"/>
                                <a:gd name="T62" fmla="*/ 2147483646 w 568"/>
                                <a:gd name="T63" fmla="*/ 2147483646 h 443"/>
                                <a:gd name="T64" fmla="*/ 2147483646 w 568"/>
                                <a:gd name="T65" fmla="*/ 2147483646 h 443"/>
                                <a:gd name="T66" fmla="*/ 2147483646 w 568"/>
                                <a:gd name="T67" fmla="*/ 2147483646 h 443"/>
                                <a:gd name="T68" fmla="*/ 2147483646 w 568"/>
                                <a:gd name="T69" fmla="*/ 2147483646 h 443"/>
                                <a:gd name="T70" fmla="*/ 2147483646 w 568"/>
                                <a:gd name="T71" fmla="*/ 2147483646 h 443"/>
                                <a:gd name="T72" fmla="*/ 2147483646 w 568"/>
                                <a:gd name="T73" fmla="*/ 2147483646 h 443"/>
                                <a:gd name="T74" fmla="*/ 2147483646 w 568"/>
                                <a:gd name="T75" fmla="*/ 2147483646 h 443"/>
                                <a:gd name="T76" fmla="*/ 2147483646 w 568"/>
                                <a:gd name="T77" fmla="*/ 2147483646 h 443"/>
                                <a:gd name="T78" fmla="*/ 2147483646 w 568"/>
                                <a:gd name="T79" fmla="*/ 2147483646 h 443"/>
                                <a:gd name="T80" fmla="*/ 2147483646 w 568"/>
                                <a:gd name="T81" fmla="*/ 2147483646 h 443"/>
                                <a:gd name="T82" fmla="*/ 2147483646 w 568"/>
                                <a:gd name="T83" fmla="*/ 2147483646 h 443"/>
                                <a:gd name="T84" fmla="*/ 2147483646 w 568"/>
                                <a:gd name="T85" fmla="*/ 2147483646 h 443"/>
                                <a:gd name="T86" fmla="*/ 2147483646 w 568"/>
                                <a:gd name="T87" fmla="*/ 2147483646 h 443"/>
                                <a:gd name="T88" fmla="*/ 2147483646 w 568"/>
                                <a:gd name="T89" fmla="*/ 2147483646 h 443"/>
                                <a:gd name="T90" fmla="*/ 2147483646 w 568"/>
                                <a:gd name="T91" fmla="*/ 2147483646 h 443"/>
                                <a:gd name="T92" fmla="*/ 2147483646 w 568"/>
                                <a:gd name="T93" fmla="*/ 2147483646 h 443"/>
                                <a:gd name="T94" fmla="*/ 2147483646 w 568"/>
                                <a:gd name="T95" fmla="*/ 2147483646 h 443"/>
                                <a:gd name="T96" fmla="*/ 2147483646 w 568"/>
                                <a:gd name="T97" fmla="*/ 2147483646 h 443"/>
                                <a:gd name="T98" fmla="*/ 2147483646 w 568"/>
                                <a:gd name="T99" fmla="*/ 2147483646 h 443"/>
                                <a:gd name="T100" fmla="*/ 2147483646 w 568"/>
                                <a:gd name="T101" fmla="*/ 2147483646 h 443"/>
                                <a:gd name="T102" fmla="*/ 2147483646 w 568"/>
                                <a:gd name="T103" fmla="*/ 2147483646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19" name="Line 21"/>
                          <wps:cNvCnPr/>
                          <wps:spPr bwMode="auto">
                            <a:xfrm>
                              <a:off x="5595938" y="3053465"/>
                              <a:ext cx="3175" cy="3175"/>
                            </a:xfrm>
                            <a:prstGeom prst="line">
                              <a:avLst/>
                            </a:prstGeom>
                            <a:noFill/>
                            <a:ln w="12700" cap="rnd">
                              <a:solidFill>
                                <a:srgbClr val="725F00"/>
                              </a:solidFill>
                              <a:round/>
                              <a:headEnd/>
                              <a:tailEnd/>
                            </a:ln>
                            <a:extLst>
                              <a:ext uri="{909E8E84-426E-40DD-AFC4-6F175D3DCCD1}">
                                <a14:hiddenFill xmlns:a14="http://schemas.microsoft.com/office/drawing/2010/main">
                                  <a:noFill/>
                                </a14:hiddenFill>
                              </a:ext>
                            </a:extLst>
                          </wps:spPr>
                          <wps:bodyPr/>
                        </wps:wsp>
                        <wps:wsp>
                          <wps:cNvPr id="320" name="Freeform 22"/>
                          <wps:cNvSpPr/>
                          <wps:spPr bwMode="auto">
                            <a:xfrm>
                              <a:off x="2968407" y="554741"/>
                              <a:ext cx="1428645" cy="1884362"/>
                            </a:xfrm>
                            <a:custGeom>
                              <a:avLst/>
                              <a:gdLst>
                                <a:gd name="T0" fmla="*/ 106 w 463"/>
                                <a:gd name="T1" fmla="*/ 333 h 611"/>
                                <a:gd name="T2" fmla="*/ 123 w 463"/>
                                <a:gd name="T3" fmla="*/ 331 h 611"/>
                                <a:gd name="T4" fmla="*/ 134 w 463"/>
                                <a:gd name="T5" fmla="*/ 349 h 611"/>
                                <a:gd name="T6" fmla="*/ 127 w 463"/>
                                <a:gd name="T7" fmla="*/ 370 h 611"/>
                                <a:gd name="T8" fmla="*/ 144 w 463"/>
                                <a:gd name="T9" fmla="*/ 390 h 611"/>
                                <a:gd name="T10" fmla="*/ 149 w 463"/>
                                <a:gd name="T11" fmla="*/ 416 h 611"/>
                                <a:gd name="T12" fmla="*/ 158 w 463"/>
                                <a:gd name="T13" fmla="*/ 445 h 611"/>
                                <a:gd name="T14" fmla="*/ 151 w 463"/>
                                <a:gd name="T15" fmla="*/ 452 h 611"/>
                                <a:gd name="T16" fmla="*/ 123 w 463"/>
                                <a:gd name="T17" fmla="*/ 480 h 611"/>
                                <a:gd name="T18" fmla="*/ 122 w 463"/>
                                <a:gd name="T19" fmla="*/ 494 h 611"/>
                                <a:gd name="T20" fmla="*/ 122 w 463"/>
                                <a:gd name="T21" fmla="*/ 507 h 611"/>
                                <a:gd name="T22" fmla="*/ 145 w 463"/>
                                <a:gd name="T23" fmla="*/ 540 h 611"/>
                                <a:gd name="T24" fmla="*/ 152 w 463"/>
                                <a:gd name="T25" fmla="*/ 538 h 611"/>
                                <a:gd name="T26" fmla="*/ 161 w 463"/>
                                <a:gd name="T27" fmla="*/ 547 h 611"/>
                                <a:gd name="T28" fmla="*/ 203 w 463"/>
                                <a:gd name="T29" fmla="*/ 583 h 611"/>
                                <a:gd name="T30" fmla="*/ 219 w 463"/>
                                <a:gd name="T31" fmla="*/ 611 h 611"/>
                                <a:gd name="T32" fmla="*/ 232 w 463"/>
                                <a:gd name="T33" fmla="*/ 591 h 611"/>
                                <a:gd name="T34" fmla="*/ 248 w 463"/>
                                <a:gd name="T35" fmla="*/ 573 h 611"/>
                                <a:gd name="T36" fmla="*/ 257 w 463"/>
                                <a:gd name="T37" fmla="*/ 556 h 611"/>
                                <a:gd name="T38" fmla="*/ 264 w 463"/>
                                <a:gd name="T39" fmla="*/ 544 h 611"/>
                                <a:gd name="T40" fmla="*/ 281 w 463"/>
                                <a:gd name="T41" fmla="*/ 552 h 611"/>
                                <a:gd name="T42" fmla="*/ 331 w 463"/>
                                <a:gd name="T43" fmla="*/ 546 h 611"/>
                                <a:gd name="T44" fmla="*/ 352 w 463"/>
                                <a:gd name="T45" fmla="*/ 530 h 611"/>
                                <a:gd name="T46" fmla="*/ 370 w 463"/>
                                <a:gd name="T47" fmla="*/ 497 h 611"/>
                                <a:gd name="T48" fmla="*/ 431 w 463"/>
                                <a:gd name="T49" fmla="*/ 424 h 611"/>
                                <a:gd name="T50" fmla="*/ 463 w 463"/>
                                <a:gd name="T51" fmla="*/ 388 h 611"/>
                                <a:gd name="T52" fmla="*/ 398 w 463"/>
                                <a:gd name="T53" fmla="*/ 374 h 611"/>
                                <a:gd name="T54" fmla="*/ 364 w 463"/>
                                <a:gd name="T55" fmla="*/ 361 h 611"/>
                                <a:gd name="T56" fmla="*/ 317 w 463"/>
                                <a:gd name="T57" fmla="*/ 340 h 611"/>
                                <a:gd name="T58" fmla="*/ 303 w 463"/>
                                <a:gd name="T59" fmla="*/ 279 h 611"/>
                                <a:gd name="T60" fmla="*/ 347 w 463"/>
                                <a:gd name="T61" fmla="*/ 212 h 611"/>
                                <a:gd name="T62" fmla="*/ 354 w 463"/>
                                <a:gd name="T63" fmla="*/ 142 h 611"/>
                                <a:gd name="T64" fmla="*/ 366 w 463"/>
                                <a:gd name="T65" fmla="*/ 137 h 611"/>
                                <a:gd name="T66" fmla="*/ 361 w 463"/>
                                <a:gd name="T67" fmla="*/ 122 h 611"/>
                                <a:gd name="T68" fmla="*/ 360 w 463"/>
                                <a:gd name="T69" fmla="*/ 111 h 611"/>
                                <a:gd name="T70" fmla="*/ 359 w 463"/>
                                <a:gd name="T71" fmla="*/ 100 h 611"/>
                                <a:gd name="T72" fmla="*/ 366 w 463"/>
                                <a:gd name="T73" fmla="*/ 85 h 611"/>
                                <a:gd name="T74" fmla="*/ 351 w 463"/>
                                <a:gd name="T75" fmla="*/ 72 h 611"/>
                                <a:gd name="T76" fmla="*/ 371 w 463"/>
                                <a:gd name="T77" fmla="*/ 51 h 611"/>
                                <a:gd name="T78" fmla="*/ 356 w 463"/>
                                <a:gd name="T79" fmla="*/ 39 h 611"/>
                                <a:gd name="T80" fmla="*/ 362 w 463"/>
                                <a:gd name="T81" fmla="*/ 27 h 611"/>
                                <a:gd name="T82" fmla="*/ 359 w 463"/>
                                <a:gd name="T83" fmla="*/ 3 h 611"/>
                                <a:gd name="T84" fmla="*/ 303 w 463"/>
                                <a:gd name="T85" fmla="*/ 32 h 611"/>
                                <a:gd name="T86" fmla="*/ 198 w 463"/>
                                <a:gd name="T87" fmla="*/ 45 h 611"/>
                                <a:gd name="T88" fmla="*/ 115 w 463"/>
                                <a:gd name="T89" fmla="*/ 55 h 611"/>
                                <a:gd name="T90" fmla="*/ 64 w 463"/>
                                <a:gd name="T91" fmla="*/ 60 h 611"/>
                                <a:gd name="T92" fmla="*/ 74 w 463"/>
                                <a:gd name="T93" fmla="*/ 92 h 611"/>
                                <a:gd name="T94" fmla="*/ 67 w 463"/>
                                <a:gd name="T95" fmla="*/ 110 h 611"/>
                                <a:gd name="T96" fmla="*/ 123 w 463"/>
                                <a:gd name="T97" fmla="*/ 138 h 611"/>
                                <a:gd name="T98" fmla="*/ 76 w 463"/>
                                <a:gd name="T99" fmla="*/ 149 h 611"/>
                                <a:gd name="T100" fmla="*/ 52 w 463"/>
                                <a:gd name="T101" fmla="*/ 192 h 611"/>
                                <a:gd name="T102" fmla="*/ 0 w 463"/>
                                <a:gd name="T103" fmla="*/ 242 h 611"/>
                                <a:gd name="T104" fmla="*/ 16 w 463"/>
                                <a:gd name="T105" fmla="*/ 279 h 611"/>
                                <a:gd name="T106" fmla="*/ 79 w 463"/>
                                <a:gd name="T107" fmla="*/ 305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solidFill>
                              <a:srgbClr val="44546A">
                                <a:lumMod val="20000"/>
                                <a:lumOff val="80000"/>
                              </a:srgbClr>
                            </a:solidFill>
                            <a:ln w="9525">
                              <a:noFill/>
                              <a:prstDash val="solid"/>
                              <a:round/>
                              <a:headEnd/>
                              <a:tailEnd/>
                            </a:ln>
                          </wps:spPr>
                          <wps:bodyPr/>
                        </wps:wsp>
                        <wps:wsp>
                          <wps:cNvPr id="321" name="Freeform 23"/>
                          <wps:cNvSpPr/>
                          <wps:spPr bwMode="auto">
                            <a:xfrm>
                              <a:off x="2968625" y="554740"/>
                              <a:ext cx="1428750" cy="1884363"/>
                            </a:xfrm>
                            <a:custGeom>
                              <a:avLst/>
                              <a:gdLst>
                                <a:gd name="T0" fmla="*/ 2147483646 w 463"/>
                                <a:gd name="T1" fmla="*/ 2147483646 h 611"/>
                                <a:gd name="T2" fmla="*/ 2147483646 w 463"/>
                                <a:gd name="T3" fmla="*/ 2147483646 h 611"/>
                                <a:gd name="T4" fmla="*/ 2147483646 w 463"/>
                                <a:gd name="T5" fmla="*/ 2147483646 h 611"/>
                                <a:gd name="T6" fmla="*/ 2147483646 w 463"/>
                                <a:gd name="T7" fmla="*/ 2147483646 h 611"/>
                                <a:gd name="T8" fmla="*/ 2147483646 w 463"/>
                                <a:gd name="T9" fmla="*/ 2147483646 h 611"/>
                                <a:gd name="T10" fmla="*/ 2147483646 w 463"/>
                                <a:gd name="T11" fmla="*/ 2147483646 h 611"/>
                                <a:gd name="T12" fmla="*/ 2147483646 w 463"/>
                                <a:gd name="T13" fmla="*/ 2147483646 h 611"/>
                                <a:gd name="T14" fmla="*/ 2147483646 w 463"/>
                                <a:gd name="T15" fmla="*/ 2147483646 h 611"/>
                                <a:gd name="T16" fmla="*/ 2147483646 w 463"/>
                                <a:gd name="T17" fmla="*/ 2147483646 h 611"/>
                                <a:gd name="T18" fmla="*/ 2147483646 w 463"/>
                                <a:gd name="T19" fmla="*/ 2147483646 h 611"/>
                                <a:gd name="T20" fmla="*/ 2147483646 w 463"/>
                                <a:gd name="T21" fmla="*/ 2147483646 h 611"/>
                                <a:gd name="T22" fmla="*/ 2147483646 w 463"/>
                                <a:gd name="T23" fmla="*/ 2147483646 h 611"/>
                                <a:gd name="T24" fmla="*/ 2147483646 w 463"/>
                                <a:gd name="T25" fmla="*/ 2147483646 h 611"/>
                                <a:gd name="T26" fmla="*/ 2147483646 w 463"/>
                                <a:gd name="T27" fmla="*/ 2147483646 h 611"/>
                                <a:gd name="T28" fmla="*/ 2147483646 w 463"/>
                                <a:gd name="T29" fmla="*/ 2147483646 h 611"/>
                                <a:gd name="T30" fmla="*/ 2147483646 w 463"/>
                                <a:gd name="T31" fmla="*/ 2147483646 h 611"/>
                                <a:gd name="T32" fmla="*/ 2147483646 w 463"/>
                                <a:gd name="T33" fmla="*/ 2147483646 h 611"/>
                                <a:gd name="T34" fmla="*/ 2147483646 w 463"/>
                                <a:gd name="T35" fmla="*/ 2147483646 h 611"/>
                                <a:gd name="T36" fmla="*/ 2147483646 w 463"/>
                                <a:gd name="T37" fmla="*/ 2147483646 h 611"/>
                                <a:gd name="T38" fmla="*/ 2147483646 w 463"/>
                                <a:gd name="T39" fmla="*/ 2147483646 h 611"/>
                                <a:gd name="T40" fmla="*/ 2147483646 w 463"/>
                                <a:gd name="T41" fmla="*/ 2147483646 h 611"/>
                                <a:gd name="T42" fmla="*/ 2147483646 w 463"/>
                                <a:gd name="T43" fmla="*/ 2147483646 h 611"/>
                                <a:gd name="T44" fmla="*/ 2147483646 w 463"/>
                                <a:gd name="T45" fmla="*/ 2147483646 h 611"/>
                                <a:gd name="T46" fmla="*/ 2147483646 w 463"/>
                                <a:gd name="T47" fmla="*/ 2147483646 h 611"/>
                                <a:gd name="T48" fmla="*/ 2147483646 w 463"/>
                                <a:gd name="T49" fmla="*/ 2147483646 h 611"/>
                                <a:gd name="T50" fmla="*/ 2147483646 w 463"/>
                                <a:gd name="T51" fmla="*/ 2147483646 h 611"/>
                                <a:gd name="T52" fmla="*/ 2147483646 w 463"/>
                                <a:gd name="T53" fmla="*/ 2147483646 h 611"/>
                                <a:gd name="T54" fmla="*/ 2147483646 w 463"/>
                                <a:gd name="T55" fmla="*/ 2147483646 h 611"/>
                                <a:gd name="T56" fmla="*/ 2147483646 w 463"/>
                                <a:gd name="T57" fmla="*/ 2147483646 h 611"/>
                                <a:gd name="T58" fmla="*/ 2147483646 w 463"/>
                                <a:gd name="T59" fmla="*/ 2147483646 h 611"/>
                                <a:gd name="T60" fmla="*/ 2147483646 w 463"/>
                                <a:gd name="T61" fmla="*/ 2147483646 h 611"/>
                                <a:gd name="T62" fmla="*/ 2147483646 w 463"/>
                                <a:gd name="T63" fmla="*/ 2147483646 h 611"/>
                                <a:gd name="T64" fmla="*/ 2147483646 w 463"/>
                                <a:gd name="T65" fmla="*/ 2147483646 h 611"/>
                                <a:gd name="T66" fmla="*/ 2147483646 w 463"/>
                                <a:gd name="T67" fmla="*/ 2147483646 h 611"/>
                                <a:gd name="T68" fmla="*/ 2147483646 w 463"/>
                                <a:gd name="T69" fmla="*/ 2147483646 h 611"/>
                                <a:gd name="T70" fmla="*/ 2147483646 w 463"/>
                                <a:gd name="T71" fmla="*/ 2147483646 h 611"/>
                                <a:gd name="T72" fmla="*/ 2147483646 w 463"/>
                                <a:gd name="T73" fmla="*/ 2147483646 h 611"/>
                                <a:gd name="T74" fmla="*/ 2147483646 w 463"/>
                                <a:gd name="T75" fmla="*/ 2147483646 h 611"/>
                                <a:gd name="T76" fmla="*/ 2147483646 w 463"/>
                                <a:gd name="T77" fmla="*/ 2147483646 h 611"/>
                                <a:gd name="T78" fmla="*/ 2147483646 w 463"/>
                                <a:gd name="T79" fmla="*/ 2147483646 h 611"/>
                                <a:gd name="T80" fmla="*/ 2147483646 w 463"/>
                                <a:gd name="T81" fmla="*/ 2147483646 h 611"/>
                                <a:gd name="T82" fmla="*/ 2147483646 w 463"/>
                                <a:gd name="T83" fmla="*/ 2147483646 h 611"/>
                                <a:gd name="T84" fmla="*/ 2147483646 w 463"/>
                                <a:gd name="T85" fmla="*/ 2147483646 h 611"/>
                                <a:gd name="T86" fmla="*/ 2147483646 w 463"/>
                                <a:gd name="T87" fmla="*/ 2147483646 h 611"/>
                                <a:gd name="T88" fmla="*/ 2147483646 w 463"/>
                                <a:gd name="T89" fmla="*/ 2147483646 h 611"/>
                                <a:gd name="T90" fmla="*/ 2147483646 w 463"/>
                                <a:gd name="T91" fmla="*/ 2147483646 h 611"/>
                                <a:gd name="T92" fmla="*/ 2147483646 w 463"/>
                                <a:gd name="T93" fmla="*/ 2147483646 h 611"/>
                                <a:gd name="T94" fmla="*/ 2147483646 w 463"/>
                                <a:gd name="T95" fmla="*/ 2147483646 h 611"/>
                                <a:gd name="T96" fmla="*/ 2147483646 w 463"/>
                                <a:gd name="T97" fmla="*/ 2147483646 h 611"/>
                                <a:gd name="T98" fmla="*/ 2147483646 w 463"/>
                                <a:gd name="T99" fmla="*/ 2147483646 h 611"/>
                                <a:gd name="T100" fmla="*/ 2147483646 w 463"/>
                                <a:gd name="T101" fmla="*/ 2147483646 h 611"/>
                                <a:gd name="T102" fmla="*/ 0 w 463"/>
                                <a:gd name="T103" fmla="*/ 2147483646 h 611"/>
                                <a:gd name="T104" fmla="*/ 2147483646 w 463"/>
                                <a:gd name="T105" fmla="*/ 2147483646 h 611"/>
                                <a:gd name="T106" fmla="*/ 2147483646 w 463"/>
                                <a:gd name="T107" fmla="*/ 2147483646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2" name="Freeform 24"/>
                          <wps:cNvSpPr/>
                          <wps:spPr bwMode="auto">
                            <a:xfrm>
                              <a:off x="5317734" y="519816"/>
                              <a:ext cx="1082595" cy="1306512"/>
                            </a:xfrm>
                            <a:custGeom>
                              <a:avLst/>
                              <a:gdLst>
                                <a:gd name="T0" fmla="*/ 14 w 351"/>
                                <a:gd name="T1" fmla="*/ 118 h 423"/>
                                <a:gd name="T2" fmla="*/ 21 w 351"/>
                                <a:gd name="T3" fmla="*/ 126 h 423"/>
                                <a:gd name="T4" fmla="*/ 13 w 351"/>
                                <a:gd name="T5" fmla="*/ 135 h 423"/>
                                <a:gd name="T6" fmla="*/ 17 w 351"/>
                                <a:gd name="T7" fmla="*/ 148 h 423"/>
                                <a:gd name="T8" fmla="*/ 26 w 351"/>
                                <a:gd name="T9" fmla="*/ 147 h 423"/>
                                <a:gd name="T10" fmla="*/ 34 w 351"/>
                                <a:gd name="T11" fmla="*/ 153 h 423"/>
                                <a:gd name="T12" fmla="*/ 32 w 351"/>
                                <a:gd name="T13" fmla="*/ 164 h 423"/>
                                <a:gd name="T14" fmla="*/ 29 w 351"/>
                                <a:gd name="T15" fmla="*/ 172 h 423"/>
                                <a:gd name="T16" fmla="*/ 32 w 351"/>
                                <a:gd name="T17" fmla="*/ 178 h 423"/>
                                <a:gd name="T18" fmla="*/ 45 w 351"/>
                                <a:gd name="T19" fmla="*/ 210 h 423"/>
                                <a:gd name="T20" fmla="*/ 45 w 351"/>
                                <a:gd name="T21" fmla="*/ 244 h 423"/>
                                <a:gd name="T22" fmla="*/ 37 w 351"/>
                                <a:gd name="T23" fmla="*/ 257 h 423"/>
                                <a:gd name="T24" fmla="*/ 51 w 351"/>
                                <a:gd name="T25" fmla="*/ 281 h 423"/>
                                <a:gd name="T26" fmla="*/ 29 w 351"/>
                                <a:gd name="T27" fmla="*/ 308 h 423"/>
                                <a:gd name="T28" fmla="*/ 38 w 351"/>
                                <a:gd name="T29" fmla="*/ 311 h 423"/>
                                <a:gd name="T30" fmla="*/ 60 w 351"/>
                                <a:gd name="T31" fmla="*/ 341 h 423"/>
                                <a:gd name="T32" fmla="*/ 50 w 351"/>
                                <a:gd name="T33" fmla="*/ 351 h 423"/>
                                <a:gd name="T34" fmla="*/ 90 w 351"/>
                                <a:gd name="T35" fmla="*/ 370 h 423"/>
                                <a:gd name="T36" fmla="*/ 99 w 351"/>
                                <a:gd name="T37" fmla="*/ 380 h 423"/>
                                <a:gd name="T38" fmla="*/ 110 w 351"/>
                                <a:gd name="T39" fmla="*/ 380 h 423"/>
                                <a:gd name="T40" fmla="*/ 126 w 351"/>
                                <a:gd name="T41" fmla="*/ 391 h 423"/>
                                <a:gd name="T42" fmla="*/ 128 w 351"/>
                                <a:gd name="T43" fmla="*/ 410 h 423"/>
                                <a:gd name="T44" fmla="*/ 145 w 351"/>
                                <a:gd name="T45" fmla="*/ 405 h 423"/>
                                <a:gd name="T46" fmla="*/ 160 w 351"/>
                                <a:gd name="T47" fmla="*/ 401 h 423"/>
                                <a:gd name="T48" fmla="*/ 175 w 351"/>
                                <a:gd name="T49" fmla="*/ 394 h 423"/>
                                <a:gd name="T50" fmla="*/ 231 w 351"/>
                                <a:gd name="T51" fmla="*/ 349 h 423"/>
                                <a:gd name="T52" fmla="*/ 248 w 351"/>
                                <a:gd name="T53" fmla="*/ 348 h 423"/>
                                <a:gd name="T54" fmla="*/ 254 w 351"/>
                                <a:gd name="T55" fmla="*/ 353 h 423"/>
                                <a:gd name="T56" fmla="*/ 274 w 351"/>
                                <a:gd name="T57" fmla="*/ 355 h 423"/>
                                <a:gd name="T58" fmla="*/ 284 w 351"/>
                                <a:gd name="T59" fmla="*/ 362 h 423"/>
                                <a:gd name="T60" fmla="*/ 290 w 351"/>
                                <a:gd name="T61" fmla="*/ 392 h 423"/>
                                <a:gd name="T62" fmla="*/ 340 w 351"/>
                                <a:gd name="T63" fmla="*/ 373 h 423"/>
                                <a:gd name="T64" fmla="*/ 343 w 351"/>
                                <a:gd name="T65" fmla="*/ 368 h 423"/>
                                <a:gd name="T66" fmla="*/ 338 w 351"/>
                                <a:gd name="T67" fmla="*/ 352 h 423"/>
                                <a:gd name="T68" fmla="*/ 305 w 351"/>
                                <a:gd name="T69" fmla="*/ 308 h 423"/>
                                <a:gd name="T70" fmla="*/ 305 w 351"/>
                                <a:gd name="T71" fmla="*/ 289 h 423"/>
                                <a:gd name="T72" fmla="*/ 328 w 351"/>
                                <a:gd name="T73" fmla="*/ 268 h 423"/>
                                <a:gd name="T74" fmla="*/ 351 w 351"/>
                                <a:gd name="T75" fmla="*/ 222 h 423"/>
                                <a:gd name="T76" fmla="*/ 229 w 351"/>
                                <a:gd name="T77" fmla="*/ 78 h 423"/>
                                <a:gd name="T78" fmla="*/ 172 w 351"/>
                                <a:gd name="T79" fmla="*/ 30 h 423"/>
                                <a:gd name="T80" fmla="*/ 189 w 351"/>
                                <a:gd name="T81" fmla="*/ 0 h 423"/>
                                <a:gd name="T82" fmla="*/ 151 w 351"/>
                                <a:gd name="T83" fmla="*/ 15 h 423"/>
                                <a:gd name="T84" fmla="*/ 115 w 351"/>
                                <a:gd name="T85" fmla="*/ 42 h 423"/>
                                <a:gd name="T86" fmla="*/ 65 w 351"/>
                                <a:gd name="T87" fmla="*/ 85 h 423"/>
                                <a:gd name="T88" fmla="*/ 35 w 351"/>
                                <a:gd name="T89" fmla="*/ 93 h 423"/>
                                <a:gd name="T90" fmla="*/ 0 w 351"/>
                                <a:gd name="T91" fmla="*/ 108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solidFill>
                              <a:srgbClr val="44546A">
                                <a:lumMod val="20000"/>
                                <a:lumOff val="80000"/>
                              </a:srgbClr>
                            </a:solidFill>
                            <a:ln w="9525">
                              <a:noFill/>
                              <a:prstDash val="solid"/>
                              <a:round/>
                              <a:headEnd/>
                              <a:tailEnd/>
                            </a:ln>
                          </wps:spPr>
                          <wps:bodyPr/>
                        </wps:wsp>
                        <wps:wsp>
                          <wps:cNvPr id="323" name="Freeform 25"/>
                          <wps:cNvSpPr/>
                          <wps:spPr bwMode="auto">
                            <a:xfrm>
                              <a:off x="5318125" y="519815"/>
                              <a:ext cx="1082675" cy="1306513"/>
                            </a:xfrm>
                            <a:custGeom>
                              <a:avLst/>
                              <a:gdLst>
                                <a:gd name="T0" fmla="*/ 2147483646 w 351"/>
                                <a:gd name="T1" fmla="*/ 2147483646 h 423"/>
                                <a:gd name="T2" fmla="*/ 2147483646 w 351"/>
                                <a:gd name="T3" fmla="*/ 2147483646 h 423"/>
                                <a:gd name="T4" fmla="*/ 2147483646 w 351"/>
                                <a:gd name="T5" fmla="*/ 2147483646 h 423"/>
                                <a:gd name="T6" fmla="*/ 2147483646 w 351"/>
                                <a:gd name="T7" fmla="*/ 2147483646 h 423"/>
                                <a:gd name="T8" fmla="*/ 2147483646 w 351"/>
                                <a:gd name="T9" fmla="*/ 2147483646 h 423"/>
                                <a:gd name="T10" fmla="*/ 2147483646 w 351"/>
                                <a:gd name="T11" fmla="*/ 2147483646 h 423"/>
                                <a:gd name="T12" fmla="*/ 2147483646 w 351"/>
                                <a:gd name="T13" fmla="*/ 2147483646 h 423"/>
                                <a:gd name="T14" fmla="*/ 2147483646 w 351"/>
                                <a:gd name="T15" fmla="*/ 2147483646 h 423"/>
                                <a:gd name="T16" fmla="*/ 2147483646 w 351"/>
                                <a:gd name="T17" fmla="*/ 2147483646 h 423"/>
                                <a:gd name="T18" fmla="*/ 2147483646 w 351"/>
                                <a:gd name="T19" fmla="*/ 2147483646 h 423"/>
                                <a:gd name="T20" fmla="*/ 2147483646 w 351"/>
                                <a:gd name="T21" fmla="*/ 2147483646 h 423"/>
                                <a:gd name="T22" fmla="*/ 2147483646 w 351"/>
                                <a:gd name="T23" fmla="*/ 2147483646 h 423"/>
                                <a:gd name="T24" fmla="*/ 2147483646 w 351"/>
                                <a:gd name="T25" fmla="*/ 2147483646 h 423"/>
                                <a:gd name="T26" fmla="*/ 2147483646 w 351"/>
                                <a:gd name="T27" fmla="*/ 2147483646 h 423"/>
                                <a:gd name="T28" fmla="*/ 2147483646 w 351"/>
                                <a:gd name="T29" fmla="*/ 2147483646 h 423"/>
                                <a:gd name="T30" fmla="*/ 2147483646 w 351"/>
                                <a:gd name="T31" fmla="*/ 2147483646 h 423"/>
                                <a:gd name="T32" fmla="*/ 2147483646 w 351"/>
                                <a:gd name="T33" fmla="*/ 2147483646 h 423"/>
                                <a:gd name="T34" fmla="*/ 2147483646 w 351"/>
                                <a:gd name="T35" fmla="*/ 2147483646 h 423"/>
                                <a:gd name="T36" fmla="*/ 2147483646 w 351"/>
                                <a:gd name="T37" fmla="*/ 2147483646 h 423"/>
                                <a:gd name="T38" fmla="*/ 2147483646 w 351"/>
                                <a:gd name="T39" fmla="*/ 2147483646 h 423"/>
                                <a:gd name="T40" fmla="*/ 2147483646 w 351"/>
                                <a:gd name="T41" fmla="*/ 2147483646 h 423"/>
                                <a:gd name="T42" fmla="*/ 2147483646 w 351"/>
                                <a:gd name="T43" fmla="*/ 2147483646 h 423"/>
                                <a:gd name="T44" fmla="*/ 2147483646 w 351"/>
                                <a:gd name="T45" fmla="*/ 2147483646 h 423"/>
                                <a:gd name="T46" fmla="*/ 2147483646 w 351"/>
                                <a:gd name="T47" fmla="*/ 2147483646 h 423"/>
                                <a:gd name="T48" fmla="*/ 2147483646 w 351"/>
                                <a:gd name="T49" fmla="*/ 2147483646 h 423"/>
                                <a:gd name="T50" fmla="*/ 2147483646 w 351"/>
                                <a:gd name="T51" fmla="*/ 2147483646 h 423"/>
                                <a:gd name="T52" fmla="*/ 2147483646 w 351"/>
                                <a:gd name="T53" fmla="*/ 2147483646 h 423"/>
                                <a:gd name="T54" fmla="*/ 2147483646 w 351"/>
                                <a:gd name="T55" fmla="*/ 2147483646 h 423"/>
                                <a:gd name="T56" fmla="*/ 2147483646 w 351"/>
                                <a:gd name="T57" fmla="*/ 2147483646 h 423"/>
                                <a:gd name="T58" fmla="*/ 2147483646 w 351"/>
                                <a:gd name="T59" fmla="*/ 2147483646 h 423"/>
                                <a:gd name="T60" fmla="*/ 2147483646 w 351"/>
                                <a:gd name="T61" fmla="*/ 2147483646 h 423"/>
                                <a:gd name="T62" fmla="*/ 2147483646 w 351"/>
                                <a:gd name="T63" fmla="*/ 2147483646 h 423"/>
                                <a:gd name="T64" fmla="*/ 2147483646 w 351"/>
                                <a:gd name="T65" fmla="*/ 2147483646 h 423"/>
                                <a:gd name="T66" fmla="*/ 2147483646 w 351"/>
                                <a:gd name="T67" fmla="*/ 2147483646 h 423"/>
                                <a:gd name="T68" fmla="*/ 2147483646 w 351"/>
                                <a:gd name="T69" fmla="*/ 2147483646 h 423"/>
                                <a:gd name="T70" fmla="*/ 2147483646 w 351"/>
                                <a:gd name="T71" fmla="*/ 2147483646 h 423"/>
                                <a:gd name="T72" fmla="*/ 2147483646 w 351"/>
                                <a:gd name="T73" fmla="*/ 2147483646 h 423"/>
                                <a:gd name="T74" fmla="*/ 2147483646 w 351"/>
                                <a:gd name="T75" fmla="*/ 2147483646 h 423"/>
                                <a:gd name="T76" fmla="*/ 2147483646 w 351"/>
                                <a:gd name="T77" fmla="*/ 2147483646 h 423"/>
                                <a:gd name="T78" fmla="*/ 2147483646 w 351"/>
                                <a:gd name="T79" fmla="*/ 2147483646 h 423"/>
                                <a:gd name="T80" fmla="*/ 2147483646 w 351"/>
                                <a:gd name="T81" fmla="*/ 0 h 423"/>
                                <a:gd name="T82" fmla="*/ 2147483646 w 351"/>
                                <a:gd name="T83" fmla="*/ 2147483646 h 423"/>
                                <a:gd name="T84" fmla="*/ 2147483646 w 351"/>
                                <a:gd name="T85" fmla="*/ 2147483646 h 423"/>
                                <a:gd name="T86" fmla="*/ 2147483646 w 351"/>
                                <a:gd name="T87" fmla="*/ 2147483646 h 423"/>
                                <a:gd name="T88" fmla="*/ 2147483646 w 351"/>
                                <a:gd name="T89" fmla="*/ 2147483646 h 423"/>
                                <a:gd name="T90" fmla="*/ 0 w 351"/>
                                <a:gd name="T91" fmla="*/ 2147483646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4" name="Freeform 26"/>
                          <wps:cNvSpPr>
                            <a:spLocks noEditPoints="1"/>
                          </wps:cNvSpPr>
                          <wps:spPr bwMode="auto">
                            <a:xfrm>
                              <a:off x="6122989" y="1225204"/>
                              <a:ext cx="1944545" cy="1662113"/>
                            </a:xfrm>
                            <a:custGeom>
                              <a:avLst/>
                              <a:gdLst>
                                <a:gd name="T0" fmla="*/ 587 w 630"/>
                                <a:gd name="T1" fmla="*/ 120 h 539"/>
                                <a:gd name="T2" fmla="*/ 566 w 630"/>
                                <a:gd name="T3" fmla="*/ 116 h 539"/>
                                <a:gd name="T4" fmla="*/ 495 w 630"/>
                                <a:gd name="T5" fmla="*/ 131 h 539"/>
                                <a:gd name="T6" fmla="*/ 425 w 630"/>
                                <a:gd name="T7" fmla="*/ 90 h 539"/>
                                <a:gd name="T8" fmla="*/ 366 w 630"/>
                                <a:gd name="T9" fmla="*/ 32 h 539"/>
                                <a:gd name="T10" fmla="*/ 319 w 630"/>
                                <a:gd name="T11" fmla="*/ 47 h 539"/>
                                <a:gd name="T12" fmla="*/ 266 w 630"/>
                                <a:gd name="T13" fmla="*/ 77 h 539"/>
                                <a:gd name="T14" fmla="*/ 224 w 630"/>
                                <a:gd name="T15" fmla="*/ 60 h 539"/>
                                <a:gd name="T16" fmla="*/ 194 w 630"/>
                                <a:gd name="T17" fmla="*/ 35 h 539"/>
                                <a:gd name="T18" fmla="*/ 184 w 630"/>
                                <a:gd name="T19" fmla="*/ 67 h 539"/>
                                <a:gd name="T20" fmla="*/ 93 w 630"/>
                                <a:gd name="T21" fmla="*/ 0 h 539"/>
                                <a:gd name="T22" fmla="*/ 88 w 630"/>
                                <a:gd name="T23" fmla="*/ 24 h 539"/>
                                <a:gd name="T24" fmla="*/ 70 w 630"/>
                                <a:gd name="T25" fmla="*/ 45 h 539"/>
                                <a:gd name="T26" fmla="*/ 81 w 630"/>
                                <a:gd name="T27" fmla="*/ 113 h 539"/>
                                <a:gd name="T28" fmla="*/ 82 w 630"/>
                                <a:gd name="T29" fmla="*/ 124 h 539"/>
                                <a:gd name="T30" fmla="*/ 86 w 630"/>
                                <a:gd name="T31" fmla="*/ 129 h 539"/>
                                <a:gd name="T32" fmla="*/ 87 w 630"/>
                                <a:gd name="T33" fmla="*/ 144 h 539"/>
                                <a:gd name="T34" fmla="*/ 72 w 630"/>
                                <a:gd name="T35" fmla="*/ 172 h 539"/>
                                <a:gd name="T36" fmla="*/ 37 w 630"/>
                                <a:gd name="T37" fmla="*/ 175 h 539"/>
                                <a:gd name="T38" fmla="*/ 1 w 630"/>
                                <a:gd name="T39" fmla="*/ 196 h 539"/>
                                <a:gd name="T40" fmla="*/ 19 w 630"/>
                                <a:gd name="T41" fmla="*/ 249 h 539"/>
                                <a:gd name="T42" fmla="*/ 8 w 630"/>
                                <a:gd name="T43" fmla="*/ 266 h 539"/>
                                <a:gd name="T44" fmla="*/ 28 w 630"/>
                                <a:gd name="T45" fmla="*/ 306 h 539"/>
                                <a:gd name="T46" fmla="*/ 22 w 630"/>
                                <a:gd name="T47" fmla="*/ 321 h 539"/>
                                <a:gd name="T48" fmla="*/ 14 w 630"/>
                                <a:gd name="T49" fmla="*/ 329 h 539"/>
                                <a:gd name="T50" fmla="*/ 5 w 630"/>
                                <a:gd name="T51" fmla="*/ 332 h 539"/>
                                <a:gd name="T52" fmla="*/ 35 w 630"/>
                                <a:gd name="T53" fmla="*/ 371 h 539"/>
                                <a:gd name="T54" fmla="*/ 29 w 630"/>
                                <a:gd name="T55" fmla="*/ 381 h 539"/>
                                <a:gd name="T56" fmla="*/ 21 w 630"/>
                                <a:gd name="T57" fmla="*/ 435 h 539"/>
                                <a:gd name="T58" fmla="*/ 11 w 630"/>
                                <a:gd name="T59" fmla="*/ 452 h 539"/>
                                <a:gd name="T60" fmla="*/ 35 w 630"/>
                                <a:gd name="T61" fmla="*/ 455 h 539"/>
                                <a:gd name="T62" fmla="*/ 44 w 630"/>
                                <a:gd name="T63" fmla="*/ 452 h 539"/>
                                <a:gd name="T64" fmla="*/ 55 w 630"/>
                                <a:gd name="T65" fmla="*/ 444 h 539"/>
                                <a:gd name="T66" fmla="*/ 66 w 630"/>
                                <a:gd name="T67" fmla="*/ 449 h 539"/>
                                <a:gd name="T68" fmla="*/ 84 w 630"/>
                                <a:gd name="T69" fmla="*/ 439 h 539"/>
                                <a:gd name="T70" fmla="*/ 102 w 630"/>
                                <a:gd name="T71" fmla="*/ 433 h 539"/>
                                <a:gd name="T72" fmla="*/ 111 w 630"/>
                                <a:gd name="T73" fmla="*/ 433 h 539"/>
                                <a:gd name="T74" fmla="*/ 148 w 630"/>
                                <a:gd name="T75" fmla="*/ 445 h 539"/>
                                <a:gd name="T76" fmla="*/ 159 w 630"/>
                                <a:gd name="T77" fmla="*/ 439 h 539"/>
                                <a:gd name="T78" fmla="*/ 197 w 630"/>
                                <a:gd name="T79" fmla="*/ 452 h 539"/>
                                <a:gd name="T80" fmla="*/ 207 w 630"/>
                                <a:gd name="T81" fmla="*/ 449 h 539"/>
                                <a:gd name="T82" fmla="*/ 217 w 630"/>
                                <a:gd name="T83" fmla="*/ 438 h 539"/>
                                <a:gd name="T84" fmla="*/ 232 w 630"/>
                                <a:gd name="T85" fmla="*/ 440 h 539"/>
                                <a:gd name="T86" fmla="*/ 314 w 630"/>
                                <a:gd name="T87" fmla="*/ 450 h 539"/>
                                <a:gd name="T88" fmla="*/ 325 w 630"/>
                                <a:gd name="T89" fmla="*/ 451 h 539"/>
                                <a:gd name="T90" fmla="*/ 340 w 630"/>
                                <a:gd name="T91" fmla="*/ 488 h 539"/>
                                <a:gd name="T92" fmla="*/ 376 w 630"/>
                                <a:gd name="T93" fmla="*/ 521 h 539"/>
                                <a:gd name="T94" fmla="*/ 396 w 630"/>
                                <a:gd name="T95" fmla="*/ 539 h 539"/>
                                <a:gd name="T96" fmla="*/ 442 w 630"/>
                                <a:gd name="T97" fmla="*/ 394 h 539"/>
                                <a:gd name="T98" fmla="*/ 511 w 630"/>
                                <a:gd name="T99" fmla="*/ 383 h 539"/>
                                <a:gd name="T100" fmla="*/ 540 w 630"/>
                                <a:gd name="T101" fmla="*/ 385 h 539"/>
                                <a:gd name="T102" fmla="*/ 570 w 630"/>
                                <a:gd name="T103" fmla="*/ 359 h 539"/>
                                <a:gd name="T104" fmla="*/ 550 w 630"/>
                                <a:gd name="T105" fmla="*/ 278 h 539"/>
                                <a:gd name="T106" fmla="*/ 582 w 630"/>
                                <a:gd name="T107" fmla="*/ 225 h 539"/>
                                <a:gd name="T108" fmla="*/ 607 w 630"/>
                                <a:gd name="T109" fmla="*/ 184 h 539"/>
                                <a:gd name="T110" fmla="*/ 613 w 630"/>
                                <a:gd name="T111" fmla="*/ 152 h 539"/>
                                <a:gd name="T112" fmla="*/ 609 w 630"/>
                                <a:gd name="T113" fmla="*/ 138 h 539"/>
                                <a:gd name="T114" fmla="*/ 446 w 630"/>
                                <a:gd name="T115" fmla="*/ 311 h 539"/>
                                <a:gd name="T116" fmla="*/ 393 w 630"/>
                                <a:gd name="T117" fmla="*/ 297 h 539"/>
                                <a:gd name="T118" fmla="*/ 398 w 630"/>
                                <a:gd name="T119" fmla="*/ 284 h 539"/>
                                <a:gd name="T120" fmla="*/ 456 w 630"/>
                                <a:gd name="T121" fmla="*/ 291 h 539"/>
                                <a:gd name="T122" fmla="*/ 477 w 630"/>
                                <a:gd name="T123" fmla="*/ 31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solidFill>
                              <a:srgbClr val="44546A">
                                <a:lumMod val="20000"/>
                                <a:lumOff val="80000"/>
                              </a:srgbClr>
                            </a:solidFill>
                            <a:ln w="9525">
                              <a:noFill/>
                              <a:prstDash val="solid"/>
                              <a:round/>
                              <a:headEnd/>
                              <a:tailEnd/>
                            </a:ln>
                          </wps:spPr>
                          <wps:bodyPr/>
                        </wps:wsp>
                        <wps:wsp>
                          <wps:cNvPr id="325" name="Freeform 27"/>
                          <wps:cNvSpPr>
                            <a:spLocks noEditPoints="1"/>
                          </wps:cNvSpPr>
                          <wps:spPr bwMode="auto">
                            <a:xfrm>
                              <a:off x="6119813" y="1218315"/>
                              <a:ext cx="1944687" cy="1662113"/>
                            </a:xfrm>
                            <a:custGeom>
                              <a:avLst/>
                              <a:gdLst>
                                <a:gd name="T0" fmla="*/ 2147483646 w 630"/>
                                <a:gd name="T1" fmla="*/ 2147483646 h 539"/>
                                <a:gd name="T2" fmla="*/ 2147483646 w 630"/>
                                <a:gd name="T3" fmla="*/ 2147483646 h 539"/>
                                <a:gd name="T4" fmla="*/ 2147483646 w 630"/>
                                <a:gd name="T5" fmla="*/ 2147483646 h 539"/>
                                <a:gd name="T6" fmla="*/ 2147483646 w 630"/>
                                <a:gd name="T7" fmla="*/ 2147483646 h 539"/>
                                <a:gd name="T8" fmla="*/ 2147483646 w 630"/>
                                <a:gd name="T9" fmla="*/ 2147483646 h 539"/>
                                <a:gd name="T10" fmla="*/ 2147483646 w 630"/>
                                <a:gd name="T11" fmla="*/ 2147483646 h 539"/>
                                <a:gd name="T12" fmla="*/ 2147483646 w 630"/>
                                <a:gd name="T13" fmla="*/ 2147483646 h 539"/>
                                <a:gd name="T14" fmla="*/ 2147483646 w 630"/>
                                <a:gd name="T15" fmla="*/ 2147483646 h 539"/>
                                <a:gd name="T16" fmla="*/ 2147483646 w 630"/>
                                <a:gd name="T17" fmla="*/ 2147483646 h 539"/>
                                <a:gd name="T18" fmla="*/ 2147483646 w 630"/>
                                <a:gd name="T19" fmla="*/ 2147483646 h 539"/>
                                <a:gd name="T20" fmla="*/ 2147483646 w 630"/>
                                <a:gd name="T21" fmla="*/ 0 h 539"/>
                                <a:gd name="T22" fmla="*/ 2147483646 w 630"/>
                                <a:gd name="T23" fmla="*/ 2147483646 h 539"/>
                                <a:gd name="T24" fmla="*/ 2147483646 w 630"/>
                                <a:gd name="T25" fmla="*/ 2147483646 h 539"/>
                                <a:gd name="T26" fmla="*/ 2147483646 w 630"/>
                                <a:gd name="T27" fmla="*/ 2147483646 h 539"/>
                                <a:gd name="T28" fmla="*/ 2147483646 w 630"/>
                                <a:gd name="T29" fmla="*/ 2147483646 h 539"/>
                                <a:gd name="T30" fmla="*/ 2147483646 w 630"/>
                                <a:gd name="T31" fmla="*/ 2147483646 h 539"/>
                                <a:gd name="T32" fmla="*/ 2147483646 w 630"/>
                                <a:gd name="T33" fmla="*/ 2147483646 h 539"/>
                                <a:gd name="T34" fmla="*/ 2147483646 w 630"/>
                                <a:gd name="T35" fmla="*/ 2147483646 h 539"/>
                                <a:gd name="T36" fmla="*/ 2147483646 w 630"/>
                                <a:gd name="T37" fmla="*/ 2147483646 h 539"/>
                                <a:gd name="T38" fmla="*/ 2147483646 w 630"/>
                                <a:gd name="T39" fmla="*/ 2147483646 h 539"/>
                                <a:gd name="T40" fmla="*/ 2147483646 w 630"/>
                                <a:gd name="T41" fmla="*/ 2147483646 h 539"/>
                                <a:gd name="T42" fmla="*/ 2147483646 w 630"/>
                                <a:gd name="T43" fmla="*/ 2147483646 h 539"/>
                                <a:gd name="T44" fmla="*/ 2147483646 w 630"/>
                                <a:gd name="T45" fmla="*/ 2147483646 h 539"/>
                                <a:gd name="T46" fmla="*/ 2147483646 w 630"/>
                                <a:gd name="T47" fmla="*/ 2147483646 h 539"/>
                                <a:gd name="T48" fmla="*/ 2147483646 w 630"/>
                                <a:gd name="T49" fmla="*/ 2147483646 h 539"/>
                                <a:gd name="T50" fmla="*/ 2147483646 w 630"/>
                                <a:gd name="T51" fmla="*/ 2147483646 h 539"/>
                                <a:gd name="T52" fmla="*/ 2147483646 w 630"/>
                                <a:gd name="T53" fmla="*/ 2147483646 h 539"/>
                                <a:gd name="T54" fmla="*/ 2147483646 w 630"/>
                                <a:gd name="T55" fmla="*/ 2147483646 h 539"/>
                                <a:gd name="T56" fmla="*/ 2147483646 w 630"/>
                                <a:gd name="T57" fmla="*/ 2147483646 h 539"/>
                                <a:gd name="T58" fmla="*/ 2147483646 w 630"/>
                                <a:gd name="T59" fmla="*/ 2147483646 h 539"/>
                                <a:gd name="T60" fmla="*/ 2147483646 w 630"/>
                                <a:gd name="T61" fmla="*/ 2147483646 h 539"/>
                                <a:gd name="T62" fmla="*/ 2147483646 w 630"/>
                                <a:gd name="T63" fmla="*/ 2147483646 h 539"/>
                                <a:gd name="T64" fmla="*/ 2147483646 w 630"/>
                                <a:gd name="T65" fmla="*/ 2147483646 h 539"/>
                                <a:gd name="T66" fmla="*/ 2147483646 w 630"/>
                                <a:gd name="T67" fmla="*/ 2147483646 h 539"/>
                                <a:gd name="T68" fmla="*/ 2147483646 w 630"/>
                                <a:gd name="T69" fmla="*/ 2147483646 h 539"/>
                                <a:gd name="T70" fmla="*/ 2147483646 w 630"/>
                                <a:gd name="T71" fmla="*/ 2147483646 h 539"/>
                                <a:gd name="T72" fmla="*/ 2147483646 w 630"/>
                                <a:gd name="T73" fmla="*/ 2147483646 h 539"/>
                                <a:gd name="T74" fmla="*/ 2147483646 w 630"/>
                                <a:gd name="T75" fmla="*/ 2147483646 h 539"/>
                                <a:gd name="T76" fmla="*/ 2147483646 w 630"/>
                                <a:gd name="T77" fmla="*/ 2147483646 h 539"/>
                                <a:gd name="T78" fmla="*/ 2147483646 w 630"/>
                                <a:gd name="T79" fmla="*/ 2147483646 h 539"/>
                                <a:gd name="T80" fmla="*/ 2147483646 w 630"/>
                                <a:gd name="T81" fmla="*/ 2147483646 h 539"/>
                                <a:gd name="T82" fmla="*/ 2147483646 w 630"/>
                                <a:gd name="T83" fmla="*/ 2147483646 h 539"/>
                                <a:gd name="T84" fmla="*/ 2147483646 w 630"/>
                                <a:gd name="T85" fmla="*/ 2147483646 h 539"/>
                                <a:gd name="T86" fmla="*/ 2147483646 w 630"/>
                                <a:gd name="T87" fmla="*/ 2147483646 h 539"/>
                                <a:gd name="T88" fmla="*/ 2147483646 w 630"/>
                                <a:gd name="T89" fmla="*/ 2147483646 h 539"/>
                                <a:gd name="T90" fmla="*/ 2147483646 w 630"/>
                                <a:gd name="T91" fmla="*/ 2147483646 h 539"/>
                                <a:gd name="T92" fmla="*/ 2147483646 w 630"/>
                                <a:gd name="T93" fmla="*/ 2147483646 h 539"/>
                                <a:gd name="T94" fmla="*/ 2147483646 w 630"/>
                                <a:gd name="T95" fmla="*/ 2147483646 h 539"/>
                                <a:gd name="T96" fmla="*/ 2147483646 w 630"/>
                                <a:gd name="T97" fmla="*/ 2147483646 h 539"/>
                                <a:gd name="T98" fmla="*/ 2147483646 w 630"/>
                                <a:gd name="T99" fmla="*/ 2147483646 h 539"/>
                                <a:gd name="T100" fmla="*/ 2147483646 w 630"/>
                                <a:gd name="T101" fmla="*/ 2147483646 h 539"/>
                                <a:gd name="T102" fmla="*/ 2147483646 w 630"/>
                                <a:gd name="T103" fmla="*/ 2147483646 h 539"/>
                                <a:gd name="T104" fmla="*/ 2147483646 w 630"/>
                                <a:gd name="T105" fmla="*/ 2147483646 h 539"/>
                                <a:gd name="T106" fmla="*/ 2147483646 w 630"/>
                                <a:gd name="T107" fmla="*/ 2147483646 h 539"/>
                                <a:gd name="T108" fmla="*/ 2147483646 w 630"/>
                                <a:gd name="T109" fmla="*/ 2147483646 h 539"/>
                                <a:gd name="T110" fmla="*/ 2147483646 w 630"/>
                                <a:gd name="T111" fmla="*/ 2147483646 h 539"/>
                                <a:gd name="T112" fmla="*/ 2147483646 w 630"/>
                                <a:gd name="T113" fmla="*/ 2147483646 h 539"/>
                                <a:gd name="T114" fmla="*/ 2147483646 w 630"/>
                                <a:gd name="T115" fmla="*/ 2147483646 h 539"/>
                                <a:gd name="T116" fmla="*/ 2147483646 w 630"/>
                                <a:gd name="T117" fmla="*/ 2147483646 h 539"/>
                                <a:gd name="T118" fmla="*/ 2147483646 w 630"/>
                                <a:gd name="T119" fmla="*/ 2147483646 h 539"/>
                                <a:gd name="T120" fmla="*/ 2147483646 w 630"/>
                                <a:gd name="T121" fmla="*/ 2147483646 h 539"/>
                                <a:gd name="T122" fmla="*/ 2147483646 w 630"/>
                                <a:gd name="T123" fmla="*/ 214748364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6" name="Freeform 28"/>
                          <wps:cNvSpPr/>
                          <wps:spPr bwMode="auto">
                            <a:xfrm>
                              <a:off x="4052590" y="329316"/>
                              <a:ext cx="1357212" cy="892175"/>
                            </a:xfrm>
                            <a:custGeom>
                              <a:avLst/>
                              <a:gdLst>
                                <a:gd name="T0" fmla="*/ 18 w 440"/>
                                <a:gd name="T1" fmla="*/ 106 h 289"/>
                                <a:gd name="T2" fmla="*/ 22 w 440"/>
                                <a:gd name="T3" fmla="*/ 120 h 289"/>
                                <a:gd name="T4" fmla="*/ 24 w 440"/>
                                <a:gd name="T5" fmla="*/ 129 h 289"/>
                                <a:gd name="T6" fmla="*/ 5 w 440"/>
                                <a:gd name="T7" fmla="*/ 144 h 289"/>
                                <a:gd name="T8" fmla="*/ 17 w 440"/>
                                <a:gd name="T9" fmla="*/ 154 h 289"/>
                                <a:gd name="T10" fmla="*/ 24 w 440"/>
                                <a:gd name="T11" fmla="*/ 162 h 289"/>
                                <a:gd name="T12" fmla="*/ 19 w 440"/>
                                <a:gd name="T13" fmla="*/ 171 h 289"/>
                                <a:gd name="T14" fmla="*/ 12 w 440"/>
                                <a:gd name="T15" fmla="*/ 181 h 289"/>
                                <a:gd name="T16" fmla="*/ 21 w 440"/>
                                <a:gd name="T17" fmla="*/ 190 h 289"/>
                                <a:gd name="T18" fmla="*/ 19 w 440"/>
                                <a:gd name="T19" fmla="*/ 208 h 289"/>
                                <a:gd name="T20" fmla="*/ 16 w 440"/>
                                <a:gd name="T21" fmla="*/ 214 h 289"/>
                                <a:gd name="T22" fmla="*/ 6 w 440"/>
                                <a:gd name="T23" fmla="*/ 217 h 289"/>
                                <a:gd name="T24" fmla="*/ 32 w 440"/>
                                <a:gd name="T25" fmla="*/ 285 h 289"/>
                                <a:gd name="T26" fmla="*/ 54 w 440"/>
                                <a:gd name="T27" fmla="*/ 289 h 289"/>
                                <a:gd name="T28" fmla="*/ 71 w 440"/>
                                <a:gd name="T29" fmla="*/ 269 h 289"/>
                                <a:gd name="T30" fmla="*/ 147 w 440"/>
                                <a:gd name="T31" fmla="*/ 239 h 289"/>
                                <a:gd name="T32" fmla="*/ 130 w 440"/>
                                <a:gd name="T33" fmla="*/ 189 h 289"/>
                                <a:gd name="T34" fmla="*/ 148 w 440"/>
                                <a:gd name="T35" fmla="*/ 169 h 289"/>
                                <a:gd name="T36" fmla="*/ 168 w 440"/>
                                <a:gd name="T37" fmla="*/ 164 h 289"/>
                                <a:gd name="T38" fmla="*/ 194 w 440"/>
                                <a:gd name="T39" fmla="*/ 159 h 289"/>
                                <a:gd name="T40" fmla="*/ 213 w 440"/>
                                <a:gd name="T41" fmla="*/ 162 h 289"/>
                                <a:gd name="T42" fmla="*/ 216 w 440"/>
                                <a:gd name="T43" fmla="*/ 176 h 289"/>
                                <a:gd name="T44" fmla="*/ 228 w 440"/>
                                <a:gd name="T45" fmla="*/ 181 h 289"/>
                                <a:gd name="T46" fmla="*/ 251 w 440"/>
                                <a:gd name="T47" fmla="*/ 185 h 289"/>
                                <a:gd name="T48" fmla="*/ 303 w 440"/>
                                <a:gd name="T49" fmla="*/ 190 h 289"/>
                                <a:gd name="T50" fmla="*/ 319 w 440"/>
                                <a:gd name="T51" fmla="*/ 206 h 289"/>
                                <a:gd name="T52" fmla="*/ 331 w 440"/>
                                <a:gd name="T53" fmla="*/ 223 h 289"/>
                                <a:gd name="T54" fmla="*/ 379 w 440"/>
                                <a:gd name="T55" fmla="*/ 213 h 289"/>
                                <a:gd name="T56" fmla="*/ 395 w 440"/>
                                <a:gd name="T57" fmla="*/ 233 h 289"/>
                                <a:gd name="T58" fmla="*/ 414 w 440"/>
                                <a:gd name="T59" fmla="*/ 238 h 289"/>
                                <a:gd name="T60" fmla="*/ 430 w 440"/>
                                <a:gd name="T61" fmla="*/ 227 h 289"/>
                                <a:gd name="T62" fmla="*/ 440 w 440"/>
                                <a:gd name="T63" fmla="*/ 222 h 289"/>
                                <a:gd name="T64" fmla="*/ 427 w 440"/>
                                <a:gd name="T65" fmla="*/ 214 h 289"/>
                                <a:gd name="T66" fmla="*/ 417 w 440"/>
                                <a:gd name="T67" fmla="*/ 207 h 289"/>
                                <a:gd name="T68" fmla="*/ 415 w 440"/>
                                <a:gd name="T69" fmla="*/ 202 h 289"/>
                                <a:gd name="T70" fmla="*/ 420 w 440"/>
                                <a:gd name="T71" fmla="*/ 194 h 289"/>
                                <a:gd name="T72" fmla="*/ 426 w 440"/>
                                <a:gd name="T73" fmla="*/ 189 h 289"/>
                                <a:gd name="T74" fmla="*/ 412 w 440"/>
                                <a:gd name="T75" fmla="*/ 189 h 289"/>
                                <a:gd name="T76" fmla="*/ 406 w 440"/>
                                <a:gd name="T77" fmla="*/ 169 h 289"/>
                                <a:gd name="T78" fmla="*/ 410 w 440"/>
                                <a:gd name="T79" fmla="*/ 151 h 289"/>
                                <a:gd name="T80" fmla="*/ 437 w 440"/>
                                <a:gd name="T81" fmla="*/ 127 h 289"/>
                                <a:gd name="T82" fmla="*/ 396 w 440"/>
                                <a:gd name="T83" fmla="*/ 125 h 289"/>
                                <a:gd name="T84" fmla="*/ 369 w 440"/>
                                <a:gd name="T85" fmla="*/ 123 h 289"/>
                                <a:gd name="T86" fmla="*/ 355 w 440"/>
                                <a:gd name="T87" fmla="*/ 113 h 289"/>
                                <a:gd name="T88" fmla="*/ 306 w 440"/>
                                <a:gd name="T89" fmla="*/ 121 h 289"/>
                                <a:gd name="T90" fmla="*/ 272 w 440"/>
                                <a:gd name="T91" fmla="*/ 105 h 289"/>
                                <a:gd name="T92" fmla="*/ 286 w 440"/>
                                <a:gd name="T93" fmla="*/ 68 h 289"/>
                                <a:gd name="T94" fmla="*/ 258 w 440"/>
                                <a:gd name="T95" fmla="*/ 6 h 289"/>
                                <a:gd name="T96" fmla="*/ 190 w 440"/>
                                <a:gd name="T97" fmla="*/ 7 h 289"/>
                                <a:gd name="T98" fmla="*/ 136 w 440"/>
                                <a:gd name="T99" fmla="*/ 17 h 289"/>
                                <a:gd name="T100" fmla="*/ 99 w 440"/>
                                <a:gd name="T101" fmla="*/ 44 h 289"/>
                                <a:gd name="T102" fmla="*/ 15 w 440"/>
                                <a:gd name="T103" fmla="*/ 98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solidFill>
                              <a:srgbClr val="44546A">
                                <a:lumMod val="20000"/>
                                <a:lumOff val="80000"/>
                              </a:srgbClr>
                            </a:solidFill>
                            <a:ln w="9525">
                              <a:noFill/>
                              <a:prstDash val="solid"/>
                              <a:round/>
                              <a:headEnd/>
                              <a:tailEnd/>
                            </a:ln>
                          </wps:spPr>
                          <wps:bodyPr/>
                        </wps:wsp>
                        <wps:wsp>
                          <wps:cNvPr id="327" name="Freeform 29"/>
                          <wps:cNvSpPr/>
                          <wps:spPr bwMode="auto">
                            <a:xfrm>
                              <a:off x="4052888" y="329315"/>
                              <a:ext cx="1357312" cy="892175"/>
                            </a:xfrm>
                            <a:custGeom>
                              <a:avLst/>
                              <a:gdLst>
                                <a:gd name="T0" fmla="*/ 2147483646 w 440"/>
                                <a:gd name="T1" fmla="*/ 2147483646 h 289"/>
                                <a:gd name="T2" fmla="*/ 2147483646 w 440"/>
                                <a:gd name="T3" fmla="*/ 2147483646 h 289"/>
                                <a:gd name="T4" fmla="*/ 2147483646 w 440"/>
                                <a:gd name="T5" fmla="*/ 2147483646 h 289"/>
                                <a:gd name="T6" fmla="*/ 2147483646 w 440"/>
                                <a:gd name="T7" fmla="*/ 2147483646 h 289"/>
                                <a:gd name="T8" fmla="*/ 2147483646 w 440"/>
                                <a:gd name="T9" fmla="*/ 2147483646 h 289"/>
                                <a:gd name="T10" fmla="*/ 2147483646 w 440"/>
                                <a:gd name="T11" fmla="*/ 2147483646 h 289"/>
                                <a:gd name="T12" fmla="*/ 2147483646 w 440"/>
                                <a:gd name="T13" fmla="*/ 2147483646 h 289"/>
                                <a:gd name="T14" fmla="*/ 2147483646 w 440"/>
                                <a:gd name="T15" fmla="*/ 2147483646 h 289"/>
                                <a:gd name="T16" fmla="*/ 2147483646 w 440"/>
                                <a:gd name="T17" fmla="*/ 2147483646 h 289"/>
                                <a:gd name="T18" fmla="*/ 2147483646 w 440"/>
                                <a:gd name="T19" fmla="*/ 2147483646 h 289"/>
                                <a:gd name="T20" fmla="*/ 2147483646 w 440"/>
                                <a:gd name="T21" fmla="*/ 2147483646 h 289"/>
                                <a:gd name="T22" fmla="*/ 2147483646 w 440"/>
                                <a:gd name="T23" fmla="*/ 2147483646 h 289"/>
                                <a:gd name="T24" fmla="*/ 2147483646 w 440"/>
                                <a:gd name="T25" fmla="*/ 2147483646 h 289"/>
                                <a:gd name="T26" fmla="*/ 2147483646 w 440"/>
                                <a:gd name="T27" fmla="*/ 2147483646 h 289"/>
                                <a:gd name="T28" fmla="*/ 2147483646 w 440"/>
                                <a:gd name="T29" fmla="*/ 2147483646 h 289"/>
                                <a:gd name="T30" fmla="*/ 2147483646 w 440"/>
                                <a:gd name="T31" fmla="*/ 2147483646 h 289"/>
                                <a:gd name="T32" fmla="*/ 2147483646 w 440"/>
                                <a:gd name="T33" fmla="*/ 2147483646 h 289"/>
                                <a:gd name="T34" fmla="*/ 2147483646 w 440"/>
                                <a:gd name="T35" fmla="*/ 2147483646 h 289"/>
                                <a:gd name="T36" fmla="*/ 2147483646 w 440"/>
                                <a:gd name="T37" fmla="*/ 2147483646 h 289"/>
                                <a:gd name="T38" fmla="*/ 2147483646 w 440"/>
                                <a:gd name="T39" fmla="*/ 2147483646 h 289"/>
                                <a:gd name="T40" fmla="*/ 2147483646 w 440"/>
                                <a:gd name="T41" fmla="*/ 2147483646 h 289"/>
                                <a:gd name="T42" fmla="*/ 2147483646 w 440"/>
                                <a:gd name="T43" fmla="*/ 2147483646 h 289"/>
                                <a:gd name="T44" fmla="*/ 2147483646 w 440"/>
                                <a:gd name="T45" fmla="*/ 2147483646 h 289"/>
                                <a:gd name="T46" fmla="*/ 2147483646 w 440"/>
                                <a:gd name="T47" fmla="*/ 2147483646 h 289"/>
                                <a:gd name="T48" fmla="*/ 2147483646 w 440"/>
                                <a:gd name="T49" fmla="*/ 2147483646 h 289"/>
                                <a:gd name="T50" fmla="*/ 2147483646 w 440"/>
                                <a:gd name="T51" fmla="*/ 2147483646 h 289"/>
                                <a:gd name="T52" fmla="*/ 2147483646 w 440"/>
                                <a:gd name="T53" fmla="*/ 2147483646 h 289"/>
                                <a:gd name="T54" fmla="*/ 2147483646 w 440"/>
                                <a:gd name="T55" fmla="*/ 2147483646 h 289"/>
                                <a:gd name="T56" fmla="*/ 2147483646 w 440"/>
                                <a:gd name="T57" fmla="*/ 2147483646 h 289"/>
                                <a:gd name="T58" fmla="*/ 2147483646 w 440"/>
                                <a:gd name="T59" fmla="*/ 2147483646 h 289"/>
                                <a:gd name="T60" fmla="*/ 2147483646 w 440"/>
                                <a:gd name="T61" fmla="*/ 2147483646 h 289"/>
                                <a:gd name="T62" fmla="*/ 2147483646 w 440"/>
                                <a:gd name="T63" fmla="*/ 2147483646 h 289"/>
                                <a:gd name="T64" fmla="*/ 2147483646 w 440"/>
                                <a:gd name="T65" fmla="*/ 2147483646 h 289"/>
                                <a:gd name="T66" fmla="*/ 2147483646 w 440"/>
                                <a:gd name="T67" fmla="*/ 2147483646 h 289"/>
                                <a:gd name="T68" fmla="*/ 2147483646 w 440"/>
                                <a:gd name="T69" fmla="*/ 2147483646 h 289"/>
                                <a:gd name="T70" fmla="*/ 2147483646 w 440"/>
                                <a:gd name="T71" fmla="*/ 2147483646 h 289"/>
                                <a:gd name="T72" fmla="*/ 2147483646 w 440"/>
                                <a:gd name="T73" fmla="*/ 2147483646 h 289"/>
                                <a:gd name="T74" fmla="*/ 2147483646 w 440"/>
                                <a:gd name="T75" fmla="*/ 2147483646 h 289"/>
                                <a:gd name="T76" fmla="*/ 2147483646 w 440"/>
                                <a:gd name="T77" fmla="*/ 2147483646 h 289"/>
                                <a:gd name="T78" fmla="*/ 2147483646 w 440"/>
                                <a:gd name="T79" fmla="*/ 2147483646 h 289"/>
                                <a:gd name="T80" fmla="*/ 2147483646 w 440"/>
                                <a:gd name="T81" fmla="*/ 2147483646 h 289"/>
                                <a:gd name="T82" fmla="*/ 2147483646 w 440"/>
                                <a:gd name="T83" fmla="*/ 2147483646 h 289"/>
                                <a:gd name="T84" fmla="*/ 2147483646 w 440"/>
                                <a:gd name="T85" fmla="*/ 2147483646 h 289"/>
                                <a:gd name="T86" fmla="*/ 2147483646 w 440"/>
                                <a:gd name="T87" fmla="*/ 2147483646 h 289"/>
                                <a:gd name="T88" fmla="*/ 2147483646 w 440"/>
                                <a:gd name="T89" fmla="*/ 2147483646 h 289"/>
                                <a:gd name="T90" fmla="*/ 2147483646 w 440"/>
                                <a:gd name="T91" fmla="*/ 2147483646 h 289"/>
                                <a:gd name="T92" fmla="*/ 2147483646 w 440"/>
                                <a:gd name="T93" fmla="*/ 2147483646 h 289"/>
                                <a:gd name="T94" fmla="*/ 2147483646 w 440"/>
                                <a:gd name="T95" fmla="*/ 2147483646 h 289"/>
                                <a:gd name="T96" fmla="*/ 2147483646 w 440"/>
                                <a:gd name="T97" fmla="*/ 2147483646 h 289"/>
                                <a:gd name="T98" fmla="*/ 2147483646 w 440"/>
                                <a:gd name="T99" fmla="*/ 2147483646 h 289"/>
                                <a:gd name="T100" fmla="*/ 2147483646 w 440"/>
                                <a:gd name="T101" fmla="*/ 2147483646 h 289"/>
                                <a:gd name="T102" fmla="*/ 2147483646 w 440"/>
                                <a:gd name="T103" fmla="*/ 2147483646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8" name="Freeform 30"/>
                          <wps:cNvSpPr/>
                          <wps:spPr bwMode="auto">
                            <a:xfrm>
                              <a:off x="3916075" y="832553"/>
                              <a:ext cx="1536587" cy="1017588"/>
                            </a:xfrm>
                            <a:custGeom>
                              <a:avLst/>
                              <a:gdLst>
                                <a:gd name="T0" fmla="*/ 179 w 498"/>
                                <a:gd name="T1" fmla="*/ 273 h 330"/>
                                <a:gd name="T2" fmla="*/ 198 w 498"/>
                                <a:gd name="T3" fmla="*/ 272 h 330"/>
                                <a:gd name="T4" fmla="*/ 218 w 498"/>
                                <a:gd name="T5" fmla="*/ 299 h 330"/>
                                <a:gd name="T6" fmla="*/ 248 w 498"/>
                                <a:gd name="T7" fmla="*/ 304 h 330"/>
                                <a:gd name="T8" fmla="*/ 260 w 498"/>
                                <a:gd name="T9" fmla="*/ 321 h 330"/>
                                <a:gd name="T10" fmla="*/ 275 w 498"/>
                                <a:gd name="T11" fmla="*/ 322 h 330"/>
                                <a:gd name="T12" fmla="*/ 286 w 498"/>
                                <a:gd name="T13" fmla="*/ 330 h 330"/>
                                <a:gd name="T14" fmla="*/ 314 w 498"/>
                                <a:gd name="T15" fmla="*/ 305 h 330"/>
                                <a:gd name="T16" fmla="*/ 335 w 498"/>
                                <a:gd name="T17" fmla="*/ 286 h 330"/>
                                <a:gd name="T18" fmla="*/ 364 w 498"/>
                                <a:gd name="T19" fmla="*/ 266 h 330"/>
                                <a:gd name="T20" fmla="*/ 378 w 498"/>
                                <a:gd name="T21" fmla="*/ 271 h 330"/>
                                <a:gd name="T22" fmla="*/ 407 w 498"/>
                                <a:gd name="T23" fmla="*/ 280 h 330"/>
                                <a:gd name="T24" fmla="*/ 425 w 498"/>
                                <a:gd name="T25" fmla="*/ 269 h 330"/>
                                <a:gd name="T26" fmla="*/ 432 w 498"/>
                                <a:gd name="T27" fmla="*/ 251 h 330"/>
                                <a:gd name="T28" fmla="*/ 457 w 498"/>
                                <a:gd name="T29" fmla="*/ 236 h 330"/>
                                <a:gd name="T30" fmla="*/ 471 w 498"/>
                                <a:gd name="T31" fmla="*/ 228 h 330"/>
                                <a:gd name="T32" fmla="*/ 491 w 498"/>
                                <a:gd name="T33" fmla="*/ 222 h 330"/>
                                <a:gd name="T34" fmla="*/ 489 w 498"/>
                                <a:gd name="T35" fmla="*/ 220 h 330"/>
                                <a:gd name="T36" fmla="*/ 475 w 498"/>
                                <a:gd name="T37" fmla="*/ 210 h 330"/>
                                <a:gd name="T38" fmla="*/ 492 w 498"/>
                                <a:gd name="T39" fmla="*/ 183 h 330"/>
                                <a:gd name="T40" fmla="*/ 488 w 498"/>
                                <a:gd name="T41" fmla="*/ 167 h 330"/>
                                <a:gd name="T42" fmla="*/ 486 w 498"/>
                                <a:gd name="T43" fmla="*/ 156 h 330"/>
                                <a:gd name="T44" fmla="*/ 494 w 498"/>
                                <a:gd name="T45" fmla="*/ 142 h 330"/>
                                <a:gd name="T46" fmla="*/ 482 w 498"/>
                                <a:gd name="T47" fmla="*/ 81 h 330"/>
                                <a:gd name="T48" fmla="*/ 457 w 498"/>
                                <a:gd name="T49" fmla="*/ 79 h 330"/>
                                <a:gd name="T50" fmla="*/ 457 w 498"/>
                                <a:gd name="T51" fmla="*/ 79 h 330"/>
                                <a:gd name="T52" fmla="*/ 429 w 498"/>
                                <a:gd name="T53" fmla="*/ 73 h 330"/>
                                <a:gd name="T54" fmla="*/ 400 w 498"/>
                                <a:gd name="T55" fmla="*/ 59 h 330"/>
                                <a:gd name="T56" fmla="*/ 372 w 498"/>
                                <a:gd name="T57" fmla="*/ 64 h 330"/>
                                <a:gd name="T58" fmla="*/ 322 w 498"/>
                                <a:gd name="T59" fmla="*/ 31 h 330"/>
                                <a:gd name="T60" fmla="*/ 284 w 498"/>
                                <a:gd name="T61" fmla="*/ 40 h 330"/>
                                <a:gd name="T62" fmla="*/ 258 w 498"/>
                                <a:gd name="T63" fmla="*/ 17 h 330"/>
                                <a:gd name="T64" fmla="*/ 255 w 498"/>
                                <a:gd name="T65" fmla="*/ 4 h 330"/>
                                <a:gd name="T66" fmla="*/ 227 w 498"/>
                                <a:gd name="T67" fmla="*/ 11 h 330"/>
                                <a:gd name="T68" fmla="*/ 194 w 498"/>
                                <a:gd name="T69" fmla="*/ 11 h 330"/>
                                <a:gd name="T70" fmla="*/ 195 w 498"/>
                                <a:gd name="T71" fmla="*/ 59 h 330"/>
                                <a:gd name="T72" fmla="*/ 195 w 498"/>
                                <a:gd name="T73" fmla="*/ 78 h 330"/>
                                <a:gd name="T74" fmla="*/ 136 w 498"/>
                                <a:gd name="T75" fmla="*/ 125 h 330"/>
                                <a:gd name="T76" fmla="*/ 109 w 498"/>
                                <a:gd name="T77" fmla="*/ 126 h 330"/>
                                <a:gd name="T78" fmla="*/ 99 w 498"/>
                                <a:gd name="T79" fmla="*/ 130 h 330"/>
                                <a:gd name="T80" fmla="*/ 76 w 498"/>
                                <a:gd name="T81" fmla="*/ 126 h 330"/>
                                <a:gd name="T82" fmla="*/ 28 w 498"/>
                                <a:gd name="T83" fmla="*/ 155 h 330"/>
                                <a:gd name="T84" fmla="*/ 12 w 498"/>
                                <a:gd name="T85" fmla="*/ 199 h 330"/>
                                <a:gd name="T86" fmla="*/ 12 w 498"/>
                                <a:gd name="T87" fmla="*/ 245 h 330"/>
                                <a:gd name="T88" fmla="*/ 43 w 498"/>
                                <a:gd name="T89" fmla="*/ 246 h 330"/>
                                <a:gd name="T90" fmla="*/ 86 w 498"/>
                                <a:gd name="T91" fmla="*/ 267 h 330"/>
                                <a:gd name="T92" fmla="*/ 116 w 498"/>
                                <a:gd name="T93" fmla="*/ 296 h 330"/>
                                <a:gd name="T94" fmla="*/ 167 w 498"/>
                                <a:gd name="T95" fmla="*/ 290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solidFill>
                              <a:srgbClr val="44546A">
                                <a:lumMod val="20000"/>
                                <a:lumOff val="80000"/>
                              </a:srgbClr>
                            </a:solidFill>
                            <a:ln w="9525">
                              <a:noFill/>
                              <a:prstDash val="solid"/>
                              <a:round/>
                              <a:headEnd/>
                              <a:tailEnd/>
                            </a:ln>
                          </wps:spPr>
                          <wps:bodyPr/>
                        </wps:wsp>
                        <wps:wsp>
                          <wps:cNvPr id="329" name="Freeform 31"/>
                          <wps:cNvSpPr/>
                          <wps:spPr bwMode="auto">
                            <a:xfrm>
                              <a:off x="3916363" y="832553"/>
                              <a:ext cx="1536700" cy="1017587"/>
                            </a:xfrm>
                            <a:custGeom>
                              <a:avLst/>
                              <a:gdLst>
                                <a:gd name="T0" fmla="*/ 2147483646 w 498"/>
                                <a:gd name="T1" fmla="*/ 2147483646 h 330"/>
                                <a:gd name="T2" fmla="*/ 2147483646 w 498"/>
                                <a:gd name="T3" fmla="*/ 2147483646 h 330"/>
                                <a:gd name="T4" fmla="*/ 2147483646 w 498"/>
                                <a:gd name="T5" fmla="*/ 2147483646 h 330"/>
                                <a:gd name="T6" fmla="*/ 2147483646 w 498"/>
                                <a:gd name="T7" fmla="*/ 2147483646 h 330"/>
                                <a:gd name="T8" fmla="*/ 2147483646 w 498"/>
                                <a:gd name="T9" fmla="*/ 2147483646 h 330"/>
                                <a:gd name="T10" fmla="*/ 2147483646 w 498"/>
                                <a:gd name="T11" fmla="*/ 2147483646 h 330"/>
                                <a:gd name="T12" fmla="*/ 2147483646 w 498"/>
                                <a:gd name="T13" fmla="*/ 2147483646 h 330"/>
                                <a:gd name="T14" fmla="*/ 2147483646 w 498"/>
                                <a:gd name="T15" fmla="*/ 2147483646 h 330"/>
                                <a:gd name="T16" fmla="*/ 2147483646 w 498"/>
                                <a:gd name="T17" fmla="*/ 2147483646 h 330"/>
                                <a:gd name="T18" fmla="*/ 2147483646 w 498"/>
                                <a:gd name="T19" fmla="*/ 2147483646 h 330"/>
                                <a:gd name="T20" fmla="*/ 2147483646 w 498"/>
                                <a:gd name="T21" fmla="*/ 2147483646 h 330"/>
                                <a:gd name="T22" fmla="*/ 2147483646 w 498"/>
                                <a:gd name="T23" fmla="*/ 2147483646 h 330"/>
                                <a:gd name="T24" fmla="*/ 2147483646 w 498"/>
                                <a:gd name="T25" fmla="*/ 2147483646 h 330"/>
                                <a:gd name="T26" fmla="*/ 2147483646 w 498"/>
                                <a:gd name="T27" fmla="*/ 2147483646 h 330"/>
                                <a:gd name="T28" fmla="*/ 2147483646 w 498"/>
                                <a:gd name="T29" fmla="*/ 2147483646 h 330"/>
                                <a:gd name="T30" fmla="*/ 2147483646 w 498"/>
                                <a:gd name="T31" fmla="*/ 2147483646 h 330"/>
                                <a:gd name="T32" fmla="*/ 2147483646 w 498"/>
                                <a:gd name="T33" fmla="*/ 2147483646 h 330"/>
                                <a:gd name="T34" fmla="*/ 2147483646 w 498"/>
                                <a:gd name="T35" fmla="*/ 2147483646 h 330"/>
                                <a:gd name="T36" fmla="*/ 2147483646 w 498"/>
                                <a:gd name="T37" fmla="*/ 2147483646 h 330"/>
                                <a:gd name="T38" fmla="*/ 2147483646 w 498"/>
                                <a:gd name="T39" fmla="*/ 2147483646 h 330"/>
                                <a:gd name="T40" fmla="*/ 2147483646 w 498"/>
                                <a:gd name="T41" fmla="*/ 2147483646 h 330"/>
                                <a:gd name="T42" fmla="*/ 2147483646 w 498"/>
                                <a:gd name="T43" fmla="*/ 2147483646 h 330"/>
                                <a:gd name="T44" fmla="*/ 2147483646 w 498"/>
                                <a:gd name="T45" fmla="*/ 2147483646 h 330"/>
                                <a:gd name="T46" fmla="*/ 2147483646 w 498"/>
                                <a:gd name="T47" fmla="*/ 2147483646 h 330"/>
                                <a:gd name="T48" fmla="*/ 2147483646 w 498"/>
                                <a:gd name="T49" fmla="*/ 2147483646 h 330"/>
                                <a:gd name="T50" fmla="*/ 2147483646 w 498"/>
                                <a:gd name="T51" fmla="*/ 2147483646 h 330"/>
                                <a:gd name="T52" fmla="*/ 2147483646 w 498"/>
                                <a:gd name="T53" fmla="*/ 2147483646 h 330"/>
                                <a:gd name="T54" fmla="*/ 2147483646 w 498"/>
                                <a:gd name="T55" fmla="*/ 2147483646 h 330"/>
                                <a:gd name="T56" fmla="*/ 2147483646 w 498"/>
                                <a:gd name="T57" fmla="*/ 2147483646 h 330"/>
                                <a:gd name="T58" fmla="*/ 2147483646 w 498"/>
                                <a:gd name="T59" fmla="*/ 2147483646 h 330"/>
                                <a:gd name="T60" fmla="*/ 2147483646 w 498"/>
                                <a:gd name="T61" fmla="*/ 2147483646 h 330"/>
                                <a:gd name="T62" fmla="*/ 2147483646 w 498"/>
                                <a:gd name="T63" fmla="*/ 2147483646 h 330"/>
                                <a:gd name="T64" fmla="*/ 2147483646 w 498"/>
                                <a:gd name="T65" fmla="*/ 2147483646 h 330"/>
                                <a:gd name="T66" fmla="*/ 2147483646 w 498"/>
                                <a:gd name="T67" fmla="*/ 2147483646 h 330"/>
                                <a:gd name="T68" fmla="*/ 2147483646 w 498"/>
                                <a:gd name="T69" fmla="*/ 2147483646 h 330"/>
                                <a:gd name="T70" fmla="*/ 2147483646 w 498"/>
                                <a:gd name="T71" fmla="*/ 2147483646 h 330"/>
                                <a:gd name="T72" fmla="*/ 2147483646 w 498"/>
                                <a:gd name="T73" fmla="*/ 2147483646 h 330"/>
                                <a:gd name="T74" fmla="*/ 2147483646 w 498"/>
                                <a:gd name="T75" fmla="*/ 2147483646 h 330"/>
                                <a:gd name="T76" fmla="*/ 2147483646 w 498"/>
                                <a:gd name="T77" fmla="*/ 2147483646 h 330"/>
                                <a:gd name="T78" fmla="*/ 2147483646 w 498"/>
                                <a:gd name="T79" fmla="*/ 2147483646 h 330"/>
                                <a:gd name="T80" fmla="*/ 2147483646 w 498"/>
                                <a:gd name="T81" fmla="*/ 2147483646 h 330"/>
                                <a:gd name="T82" fmla="*/ 2147483646 w 498"/>
                                <a:gd name="T83" fmla="*/ 2147483646 h 330"/>
                                <a:gd name="T84" fmla="*/ 2147483646 w 498"/>
                                <a:gd name="T85" fmla="*/ 2147483646 h 330"/>
                                <a:gd name="T86" fmla="*/ 2147483646 w 498"/>
                                <a:gd name="T87" fmla="*/ 2147483646 h 330"/>
                                <a:gd name="T88" fmla="*/ 2147483646 w 498"/>
                                <a:gd name="T89" fmla="*/ 2147483646 h 330"/>
                                <a:gd name="T90" fmla="*/ 2147483646 w 498"/>
                                <a:gd name="T91" fmla="*/ 2147483646 h 330"/>
                                <a:gd name="T92" fmla="*/ 2147483646 w 498"/>
                                <a:gd name="T93" fmla="*/ 2147483646 h 330"/>
                                <a:gd name="T94" fmla="*/ 2147483646 w 498"/>
                                <a:gd name="T95" fmla="*/ 2147483646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30" name="Freeform 32"/>
                          <wps:cNvSpPr/>
                          <wps:spPr bwMode="auto">
                            <a:xfrm>
                              <a:off x="3997031" y="3124903"/>
                              <a:ext cx="1069896" cy="1557338"/>
                            </a:xfrm>
                            <a:custGeom>
                              <a:avLst/>
                              <a:gdLst>
                                <a:gd name="T0" fmla="*/ 316 w 347"/>
                                <a:gd name="T1" fmla="*/ 328 h 505"/>
                                <a:gd name="T2" fmla="*/ 290 w 347"/>
                                <a:gd name="T3" fmla="*/ 301 h 505"/>
                                <a:gd name="T4" fmla="*/ 289 w 347"/>
                                <a:gd name="T5" fmla="*/ 299 h 505"/>
                                <a:gd name="T6" fmla="*/ 272 w 347"/>
                                <a:gd name="T7" fmla="*/ 254 h 505"/>
                                <a:gd name="T8" fmla="*/ 258 w 347"/>
                                <a:gd name="T9" fmla="*/ 255 h 505"/>
                                <a:gd name="T10" fmla="*/ 241 w 347"/>
                                <a:gd name="T11" fmla="*/ 235 h 505"/>
                                <a:gd name="T12" fmla="*/ 240 w 347"/>
                                <a:gd name="T13" fmla="*/ 233 h 505"/>
                                <a:gd name="T14" fmla="*/ 241 w 347"/>
                                <a:gd name="T15" fmla="*/ 224 h 505"/>
                                <a:gd name="T16" fmla="*/ 251 w 347"/>
                                <a:gd name="T17" fmla="*/ 185 h 505"/>
                                <a:gd name="T18" fmla="*/ 251 w 347"/>
                                <a:gd name="T19" fmla="*/ 184 h 505"/>
                                <a:gd name="T20" fmla="*/ 257 w 347"/>
                                <a:gd name="T21" fmla="*/ 119 h 505"/>
                                <a:gd name="T22" fmla="*/ 215 w 347"/>
                                <a:gd name="T23" fmla="*/ 17 h 505"/>
                                <a:gd name="T24" fmla="*/ 215 w 347"/>
                                <a:gd name="T25" fmla="*/ 16 h 505"/>
                                <a:gd name="T26" fmla="*/ 96 w 347"/>
                                <a:gd name="T27" fmla="*/ 2 h 505"/>
                                <a:gd name="T28" fmla="*/ 91 w 347"/>
                                <a:gd name="T29" fmla="*/ 46 h 505"/>
                                <a:gd name="T30" fmla="*/ 86 w 347"/>
                                <a:gd name="T31" fmla="*/ 56 h 505"/>
                                <a:gd name="T32" fmla="*/ 106 w 347"/>
                                <a:gd name="T33" fmla="*/ 84 h 505"/>
                                <a:gd name="T34" fmla="*/ 108 w 347"/>
                                <a:gd name="T35" fmla="*/ 150 h 505"/>
                                <a:gd name="T36" fmla="*/ 140 w 347"/>
                                <a:gd name="T37" fmla="*/ 177 h 505"/>
                                <a:gd name="T38" fmla="*/ 134 w 347"/>
                                <a:gd name="T39" fmla="*/ 196 h 505"/>
                                <a:gd name="T40" fmla="*/ 135 w 347"/>
                                <a:gd name="T41" fmla="*/ 218 h 505"/>
                                <a:gd name="T42" fmla="*/ 115 w 347"/>
                                <a:gd name="T43" fmla="*/ 240 h 505"/>
                                <a:gd name="T44" fmla="*/ 127 w 347"/>
                                <a:gd name="T45" fmla="*/ 261 h 505"/>
                                <a:gd name="T46" fmla="*/ 105 w 347"/>
                                <a:gd name="T47" fmla="*/ 276 h 505"/>
                                <a:gd name="T48" fmla="*/ 89 w 347"/>
                                <a:gd name="T49" fmla="*/ 289 h 505"/>
                                <a:gd name="T50" fmla="*/ 70 w 347"/>
                                <a:gd name="T51" fmla="*/ 296 h 505"/>
                                <a:gd name="T52" fmla="*/ 28 w 347"/>
                                <a:gd name="T53" fmla="*/ 326 h 505"/>
                                <a:gd name="T54" fmla="*/ 19 w 347"/>
                                <a:gd name="T55" fmla="*/ 334 h 505"/>
                                <a:gd name="T56" fmla="*/ 4 w 347"/>
                                <a:gd name="T57" fmla="*/ 345 h 505"/>
                                <a:gd name="T58" fmla="*/ 0 w 347"/>
                                <a:gd name="T59" fmla="*/ 372 h 505"/>
                                <a:gd name="T60" fmla="*/ 50 w 347"/>
                                <a:gd name="T61" fmla="*/ 455 h 505"/>
                                <a:gd name="T62" fmla="*/ 129 w 347"/>
                                <a:gd name="T63" fmla="*/ 449 h 505"/>
                                <a:gd name="T64" fmla="*/ 144 w 347"/>
                                <a:gd name="T65" fmla="*/ 485 h 505"/>
                                <a:gd name="T66" fmla="*/ 186 w 347"/>
                                <a:gd name="T67" fmla="*/ 505 h 505"/>
                                <a:gd name="T68" fmla="*/ 203 w 347"/>
                                <a:gd name="T69" fmla="*/ 458 h 505"/>
                                <a:gd name="T70" fmla="*/ 225 w 347"/>
                                <a:gd name="T71" fmla="*/ 429 h 505"/>
                                <a:gd name="T72" fmla="*/ 253 w 347"/>
                                <a:gd name="T73" fmla="*/ 406 h 505"/>
                                <a:gd name="T74" fmla="*/ 299 w 347"/>
                                <a:gd name="T75" fmla="*/ 375 h 505"/>
                                <a:gd name="T76" fmla="*/ 326 w 347"/>
                                <a:gd name="T77" fmla="*/ 372 h 505"/>
                                <a:gd name="T78" fmla="*/ 346 w 347"/>
                                <a:gd name="T79" fmla="*/ 351 h 505"/>
                                <a:gd name="T80" fmla="*/ 346 w 347"/>
                                <a:gd name="T81" fmla="*/ 346 h 50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7"/>
                                <a:gd name="T124" fmla="*/ 0 h 505"/>
                                <a:gd name="T125" fmla="*/ 347 w 347"/>
                                <a:gd name="T126" fmla="*/ 505 h 50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47" h="505">
                                  <a:moveTo>
                                    <a:pt x="316" y="328"/>
                                  </a:moveTo>
                                  <a:cubicBezTo>
                                    <a:pt x="316" y="328"/>
                                    <a:pt x="316" y="328"/>
                                    <a:pt x="316" y="328"/>
                                  </a:cubicBezTo>
                                  <a:cubicBezTo>
                                    <a:pt x="316" y="328"/>
                                    <a:pt x="316" y="328"/>
                                    <a:pt x="316" y="328"/>
                                  </a:cubicBezTo>
                                  <a:cubicBezTo>
                                    <a:pt x="290" y="301"/>
                                    <a:pt x="290" y="301"/>
                                    <a:pt x="290" y="301"/>
                                  </a:cubicBezTo>
                                  <a:cubicBezTo>
                                    <a:pt x="289" y="300"/>
                                    <a:pt x="289" y="300"/>
                                    <a:pt x="289" y="300"/>
                                  </a:cubicBezTo>
                                  <a:cubicBezTo>
                                    <a:pt x="289" y="299"/>
                                    <a:pt x="289" y="299"/>
                                    <a:pt x="289" y="299"/>
                                  </a:cubicBezTo>
                                  <a:cubicBezTo>
                                    <a:pt x="290" y="281"/>
                                    <a:pt x="290" y="281"/>
                                    <a:pt x="290" y="281"/>
                                  </a:cubicBezTo>
                                  <a:cubicBezTo>
                                    <a:pt x="272" y="254"/>
                                    <a:pt x="272" y="254"/>
                                    <a:pt x="272" y="254"/>
                                  </a:cubicBezTo>
                                  <a:cubicBezTo>
                                    <a:pt x="259" y="255"/>
                                    <a:pt x="259" y="255"/>
                                    <a:pt x="259" y="255"/>
                                  </a:cubicBezTo>
                                  <a:cubicBezTo>
                                    <a:pt x="258" y="255"/>
                                    <a:pt x="258" y="255"/>
                                    <a:pt x="258" y="255"/>
                                  </a:cubicBezTo>
                                  <a:cubicBezTo>
                                    <a:pt x="257" y="254"/>
                                    <a:pt x="257" y="254"/>
                                    <a:pt x="257" y="254"/>
                                  </a:cubicBezTo>
                                  <a:cubicBezTo>
                                    <a:pt x="241" y="235"/>
                                    <a:pt x="241" y="235"/>
                                    <a:pt x="241" y="235"/>
                                  </a:cubicBezTo>
                                  <a:cubicBezTo>
                                    <a:pt x="240" y="234"/>
                                    <a:pt x="240" y="234"/>
                                    <a:pt x="240" y="234"/>
                                  </a:cubicBezTo>
                                  <a:cubicBezTo>
                                    <a:pt x="240" y="233"/>
                                    <a:pt x="240" y="233"/>
                                    <a:pt x="240" y="233"/>
                                  </a:cubicBezTo>
                                  <a:cubicBezTo>
                                    <a:pt x="241" y="224"/>
                                    <a:pt x="241" y="224"/>
                                    <a:pt x="241" y="224"/>
                                  </a:cubicBezTo>
                                  <a:cubicBezTo>
                                    <a:pt x="241" y="224"/>
                                    <a:pt x="241" y="224"/>
                                    <a:pt x="241" y="224"/>
                                  </a:cubicBezTo>
                                  <a:cubicBezTo>
                                    <a:pt x="241" y="224"/>
                                    <a:pt x="241" y="224"/>
                                    <a:pt x="241" y="224"/>
                                  </a:cubicBezTo>
                                  <a:cubicBezTo>
                                    <a:pt x="251" y="185"/>
                                    <a:pt x="251" y="185"/>
                                    <a:pt x="251" y="185"/>
                                  </a:cubicBezTo>
                                  <a:cubicBezTo>
                                    <a:pt x="251" y="184"/>
                                    <a:pt x="251" y="184"/>
                                    <a:pt x="251" y="184"/>
                                  </a:cubicBezTo>
                                  <a:cubicBezTo>
                                    <a:pt x="251" y="184"/>
                                    <a:pt x="251" y="184"/>
                                    <a:pt x="251" y="184"/>
                                  </a:cubicBezTo>
                                  <a:cubicBezTo>
                                    <a:pt x="258" y="176"/>
                                    <a:pt x="258" y="176"/>
                                    <a:pt x="258" y="176"/>
                                  </a:cubicBezTo>
                                  <a:cubicBezTo>
                                    <a:pt x="257" y="119"/>
                                    <a:pt x="257" y="119"/>
                                    <a:pt x="257" y="119"/>
                                  </a:cubicBezTo>
                                  <a:cubicBezTo>
                                    <a:pt x="256" y="116"/>
                                    <a:pt x="247" y="89"/>
                                    <a:pt x="247" y="89"/>
                                  </a:cubicBezTo>
                                  <a:cubicBezTo>
                                    <a:pt x="215" y="17"/>
                                    <a:pt x="215" y="17"/>
                                    <a:pt x="215" y="17"/>
                                  </a:cubicBezTo>
                                  <a:cubicBezTo>
                                    <a:pt x="215" y="16"/>
                                    <a:pt x="215" y="16"/>
                                    <a:pt x="215" y="16"/>
                                  </a:cubicBezTo>
                                  <a:cubicBezTo>
                                    <a:pt x="215" y="16"/>
                                    <a:pt x="215" y="16"/>
                                    <a:pt x="215" y="16"/>
                                  </a:cubicBezTo>
                                  <a:cubicBezTo>
                                    <a:pt x="212" y="0"/>
                                    <a:pt x="212" y="0"/>
                                    <a:pt x="212" y="0"/>
                                  </a:cubicBezTo>
                                  <a:cubicBezTo>
                                    <a:pt x="96" y="2"/>
                                    <a:pt x="96" y="2"/>
                                    <a:pt x="96" y="2"/>
                                  </a:cubicBezTo>
                                  <a:cubicBezTo>
                                    <a:pt x="91" y="45"/>
                                    <a:pt x="91" y="45"/>
                                    <a:pt x="91" y="45"/>
                                  </a:cubicBezTo>
                                  <a:cubicBezTo>
                                    <a:pt x="91" y="46"/>
                                    <a:pt x="91" y="46"/>
                                    <a:pt x="91" y="46"/>
                                  </a:cubicBezTo>
                                  <a:cubicBezTo>
                                    <a:pt x="91" y="46"/>
                                    <a:pt x="91" y="46"/>
                                    <a:pt x="91" y="46"/>
                                  </a:cubicBezTo>
                                  <a:cubicBezTo>
                                    <a:pt x="86" y="56"/>
                                    <a:pt x="86" y="56"/>
                                    <a:pt x="86" y="56"/>
                                  </a:cubicBezTo>
                                  <a:cubicBezTo>
                                    <a:pt x="105" y="84"/>
                                    <a:pt x="105" y="84"/>
                                    <a:pt x="105" y="84"/>
                                  </a:cubicBezTo>
                                  <a:cubicBezTo>
                                    <a:pt x="106" y="84"/>
                                    <a:pt x="106" y="84"/>
                                    <a:pt x="106" y="84"/>
                                  </a:cubicBezTo>
                                  <a:cubicBezTo>
                                    <a:pt x="106" y="85"/>
                                    <a:pt x="106" y="85"/>
                                    <a:pt x="106" y="85"/>
                                  </a:cubicBezTo>
                                  <a:cubicBezTo>
                                    <a:pt x="108" y="150"/>
                                    <a:pt x="108" y="150"/>
                                    <a:pt x="108" y="150"/>
                                  </a:cubicBezTo>
                                  <a:cubicBezTo>
                                    <a:pt x="139" y="177"/>
                                    <a:pt x="139" y="177"/>
                                    <a:pt x="139" y="177"/>
                                  </a:cubicBezTo>
                                  <a:cubicBezTo>
                                    <a:pt x="140" y="177"/>
                                    <a:pt x="140" y="177"/>
                                    <a:pt x="140" y="177"/>
                                  </a:cubicBezTo>
                                  <a:cubicBezTo>
                                    <a:pt x="139" y="179"/>
                                    <a:pt x="139" y="179"/>
                                    <a:pt x="139" y="179"/>
                                  </a:cubicBezTo>
                                  <a:cubicBezTo>
                                    <a:pt x="134" y="196"/>
                                    <a:pt x="134" y="196"/>
                                    <a:pt x="134" y="196"/>
                                  </a:cubicBezTo>
                                  <a:cubicBezTo>
                                    <a:pt x="135" y="217"/>
                                    <a:pt x="135" y="217"/>
                                    <a:pt x="135" y="217"/>
                                  </a:cubicBezTo>
                                  <a:cubicBezTo>
                                    <a:pt x="135" y="218"/>
                                    <a:pt x="135" y="218"/>
                                    <a:pt x="135" y="218"/>
                                  </a:cubicBezTo>
                                  <a:cubicBezTo>
                                    <a:pt x="135" y="218"/>
                                    <a:pt x="135" y="218"/>
                                    <a:pt x="135" y="218"/>
                                  </a:cubicBezTo>
                                  <a:cubicBezTo>
                                    <a:pt x="115" y="240"/>
                                    <a:pt x="115" y="240"/>
                                    <a:pt x="115" y="240"/>
                                  </a:cubicBezTo>
                                  <a:cubicBezTo>
                                    <a:pt x="127" y="259"/>
                                    <a:pt x="127" y="259"/>
                                    <a:pt x="127" y="259"/>
                                  </a:cubicBezTo>
                                  <a:cubicBezTo>
                                    <a:pt x="127" y="261"/>
                                    <a:pt x="127" y="261"/>
                                    <a:pt x="127" y="261"/>
                                  </a:cubicBezTo>
                                  <a:cubicBezTo>
                                    <a:pt x="126" y="262"/>
                                    <a:pt x="126" y="262"/>
                                    <a:pt x="126" y="262"/>
                                  </a:cubicBezTo>
                                  <a:cubicBezTo>
                                    <a:pt x="105" y="276"/>
                                    <a:pt x="105" y="276"/>
                                    <a:pt x="105" y="276"/>
                                  </a:cubicBezTo>
                                  <a:cubicBezTo>
                                    <a:pt x="89" y="289"/>
                                    <a:pt x="89" y="289"/>
                                    <a:pt x="89" y="289"/>
                                  </a:cubicBezTo>
                                  <a:cubicBezTo>
                                    <a:pt x="89" y="289"/>
                                    <a:pt x="89" y="289"/>
                                    <a:pt x="89" y="289"/>
                                  </a:cubicBezTo>
                                  <a:cubicBezTo>
                                    <a:pt x="89" y="289"/>
                                    <a:pt x="89" y="289"/>
                                    <a:pt x="89" y="289"/>
                                  </a:cubicBezTo>
                                  <a:cubicBezTo>
                                    <a:pt x="70" y="296"/>
                                    <a:pt x="70" y="296"/>
                                    <a:pt x="70" y="296"/>
                                  </a:cubicBezTo>
                                  <a:cubicBezTo>
                                    <a:pt x="68" y="297"/>
                                    <a:pt x="51" y="309"/>
                                    <a:pt x="51" y="308"/>
                                  </a:cubicBezTo>
                                  <a:cubicBezTo>
                                    <a:pt x="28" y="326"/>
                                    <a:pt x="28" y="326"/>
                                    <a:pt x="28" y="326"/>
                                  </a:cubicBezTo>
                                  <a:cubicBezTo>
                                    <a:pt x="19" y="334"/>
                                    <a:pt x="19" y="334"/>
                                    <a:pt x="19" y="334"/>
                                  </a:cubicBezTo>
                                  <a:cubicBezTo>
                                    <a:pt x="19" y="334"/>
                                    <a:pt x="19" y="334"/>
                                    <a:pt x="19" y="334"/>
                                  </a:cubicBezTo>
                                  <a:cubicBezTo>
                                    <a:pt x="19" y="334"/>
                                    <a:pt x="19" y="334"/>
                                    <a:pt x="19" y="334"/>
                                  </a:cubicBezTo>
                                  <a:cubicBezTo>
                                    <a:pt x="4" y="345"/>
                                    <a:pt x="4" y="345"/>
                                    <a:pt x="4" y="345"/>
                                  </a:cubicBezTo>
                                  <a:cubicBezTo>
                                    <a:pt x="2" y="342"/>
                                    <a:pt x="2" y="342"/>
                                    <a:pt x="2" y="342"/>
                                  </a:cubicBezTo>
                                  <a:cubicBezTo>
                                    <a:pt x="0" y="372"/>
                                    <a:pt x="0" y="372"/>
                                    <a:pt x="0" y="372"/>
                                  </a:cubicBezTo>
                                  <a:cubicBezTo>
                                    <a:pt x="34" y="374"/>
                                    <a:pt x="34" y="374"/>
                                    <a:pt x="34" y="374"/>
                                  </a:cubicBezTo>
                                  <a:cubicBezTo>
                                    <a:pt x="50" y="455"/>
                                    <a:pt x="50" y="455"/>
                                    <a:pt x="50" y="455"/>
                                  </a:cubicBezTo>
                                  <a:cubicBezTo>
                                    <a:pt x="109" y="452"/>
                                    <a:pt x="109" y="452"/>
                                    <a:pt x="109" y="452"/>
                                  </a:cubicBezTo>
                                  <a:cubicBezTo>
                                    <a:pt x="129" y="449"/>
                                    <a:pt x="129" y="449"/>
                                    <a:pt x="129" y="449"/>
                                  </a:cubicBezTo>
                                  <a:cubicBezTo>
                                    <a:pt x="153" y="468"/>
                                    <a:pt x="153" y="468"/>
                                    <a:pt x="153" y="468"/>
                                  </a:cubicBezTo>
                                  <a:cubicBezTo>
                                    <a:pt x="144" y="485"/>
                                    <a:pt x="144" y="485"/>
                                    <a:pt x="144" y="485"/>
                                  </a:cubicBezTo>
                                  <a:cubicBezTo>
                                    <a:pt x="166" y="505"/>
                                    <a:pt x="166" y="505"/>
                                    <a:pt x="166" y="505"/>
                                  </a:cubicBezTo>
                                  <a:cubicBezTo>
                                    <a:pt x="186" y="505"/>
                                    <a:pt x="186" y="505"/>
                                    <a:pt x="186" y="505"/>
                                  </a:cubicBezTo>
                                  <a:cubicBezTo>
                                    <a:pt x="186" y="477"/>
                                    <a:pt x="186" y="477"/>
                                    <a:pt x="186" y="477"/>
                                  </a:cubicBezTo>
                                  <a:cubicBezTo>
                                    <a:pt x="203" y="458"/>
                                    <a:pt x="203" y="458"/>
                                    <a:pt x="203" y="458"/>
                                  </a:cubicBezTo>
                                  <a:cubicBezTo>
                                    <a:pt x="214" y="444"/>
                                    <a:pt x="214" y="444"/>
                                    <a:pt x="214" y="444"/>
                                  </a:cubicBezTo>
                                  <a:cubicBezTo>
                                    <a:pt x="225" y="429"/>
                                    <a:pt x="225" y="429"/>
                                    <a:pt x="225" y="429"/>
                                  </a:cubicBezTo>
                                  <a:cubicBezTo>
                                    <a:pt x="238" y="422"/>
                                    <a:pt x="238" y="422"/>
                                    <a:pt x="238" y="422"/>
                                  </a:cubicBezTo>
                                  <a:cubicBezTo>
                                    <a:pt x="253" y="406"/>
                                    <a:pt x="253" y="406"/>
                                    <a:pt x="253" y="406"/>
                                  </a:cubicBezTo>
                                  <a:cubicBezTo>
                                    <a:pt x="282" y="398"/>
                                    <a:pt x="282" y="398"/>
                                    <a:pt x="282" y="398"/>
                                  </a:cubicBezTo>
                                  <a:cubicBezTo>
                                    <a:pt x="299" y="375"/>
                                    <a:pt x="299" y="375"/>
                                    <a:pt x="299" y="375"/>
                                  </a:cubicBezTo>
                                  <a:cubicBezTo>
                                    <a:pt x="310" y="362"/>
                                    <a:pt x="310" y="362"/>
                                    <a:pt x="310" y="362"/>
                                  </a:cubicBezTo>
                                  <a:cubicBezTo>
                                    <a:pt x="326" y="372"/>
                                    <a:pt x="326" y="372"/>
                                    <a:pt x="326" y="372"/>
                                  </a:cubicBezTo>
                                  <a:cubicBezTo>
                                    <a:pt x="331" y="354"/>
                                    <a:pt x="331" y="354"/>
                                    <a:pt x="331" y="354"/>
                                  </a:cubicBezTo>
                                  <a:cubicBezTo>
                                    <a:pt x="346" y="351"/>
                                    <a:pt x="346" y="351"/>
                                    <a:pt x="346" y="351"/>
                                  </a:cubicBezTo>
                                  <a:cubicBezTo>
                                    <a:pt x="347" y="344"/>
                                    <a:pt x="347" y="344"/>
                                    <a:pt x="347" y="344"/>
                                  </a:cubicBezTo>
                                  <a:cubicBezTo>
                                    <a:pt x="346" y="346"/>
                                    <a:pt x="346" y="346"/>
                                    <a:pt x="346" y="346"/>
                                  </a:cubicBezTo>
                                  <a:cubicBezTo>
                                    <a:pt x="316" y="328"/>
                                    <a:pt x="316" y="328"/>
                                    <a:pt x="316" y="328"/>
                                  </a:cubicBezTo>
                                  <a:close/>
                                </a:path>
                              </a:pathLst>
                            </a:custGeom>
                            <a:solidFill>
                              <a:srgbClr val="44546A">
                                <a:lumMod val="20000"/>
                                <a:lumOff val="80000"/>
                              </a:srgbClr>
                            </a:solidFill>
                            <a:ln w="9525">
                              <a:noFill/>
                              <a:prstDash val="solid"/>
                              <a:round/>
                              <a:headEnd/>
                              <a:tailEnd/>
                            </a:ln>
                          </wps:spPr>
                          <wps:bodyPr/>
                        </wps:wsp>
                        <wps:wsp>
                          <wps:cNvPr id="331" name="Freeform 33"/>
                          <wps:cNvSpPr/>
                          <wps:spPr bwMode="auto">
                            <a:xfrm>
                              <a:off x="3997325" y="3124903"/>
                              <a:ext cx="1069975" cy="1557337"/>
                            </a:xfrm>
                            <a:custGeom>
                              <a:avLst/>
                              <a:gdLst>
                                <a:gd name="T0" fmla="*/ 2147483646 w 347"/>
                                <a:gd name="T1" fmla="*/ 2147483646 h 505"/>
                                <a:gd name="T2" fmla="*/ 2147483646 w 347"/>
                                <a:gd name="T3" fmla="*/ 2147483646 h 505"/>
                                <a:gd name="T4" fmla="*/ 2147483646 w 347"/>
                                <a:gd name="T5" fmla="*/ 2147483646 h 505"/>
                                <a:gd name="T6" fmla="*/ 2147483646 w 347"/>
                                <a:gd name="T7" fmla="*/ 2147483646 h 505"/>
                                <a:gd name="T8" fmla="*/ 2147483646 w 347"/>
                                <a:gd name="T9" fmla="*/ 2147483646 h 505"/>
                                <a:gd name="T10" fmla="*/ 2147483646 w 347"/>
                                <a:gd name="T11" fmla="*/ 2147483646 h 505"/>
                                <a:gd name="T12" fmla="*/ 2147483646 w 347"/>
                                <a:gd name="T13" fmla="*/ 2147483646 h 505"/>
                                <a:gd name="T14" fmla="*/ 2147483646 w 347"/>
                                <a:gd name="T15" fmla="*/ 2147483646 h 505"/>
                                <a:gd name="T16" fmla="*/ 2147483646 w 347"/>
                                <a:gd name="T17" fmla="*/ 2147483646 h 505"/>
                                <a:gd name="T18" fmla="*/ 2147483646 w 347"/>
                                <a:gd name="T19" fmla="*/ 2147483646 h 505"/>
                                <a:gd name="T20" fmla="*/ 2147483646 w 347"/>
                                <a:gd name="T21" fmla="*/ 2147483646 h 505"/>
                                <a:gd name="T22" fmla="*/ 2147483646 w 347"/>
                                <a:gd name="T23" fmla="*/ 2147483646 h 505"/>
                                <a:gd name="T24" fmla="*/ 2147483646 w 347"/>
                                <a:gd name="T25" fmla="*/ 2147483646 h 505"/>
                                <a:gd name="T26" fmla="*/ 2147483646 w 347"/>
                                <a:gd name="T27" fmla="*/ 2147483646 h 505"/>
                                <a:gd name="T28" fmla="*/ 2147483646 w 347"/>
                                <a:gd name="T29" fmla="*/ 2147483646 h 505"/>
                                <a:gd name="T30" fmla="*/ 2147483646 w 347"/>
                                <a:gd name="T31" fmla="*/ 2147483646 h 505"/>
                                <a:gd name="T32" fmla="*/ 2147483646 w 347"/>
                                <a:gd name="T33" fmla="*/ 2147483646 h 505"/>
                                <a:gd name="T34" fmla="*/ 2147483646 w 347"/>
                                <a:gd name="T35" fmla="*/ 2147483646 h 505"/>
                                <a:gd name="T36" fmla="*/ 2147483646 w 347"/>
                                <a:gd name="T37" fmla="*/ 2147483646 h 505"/>
                                <a:gd name="T38" fmla="*/ 2147483646 w 347"/>
                                <a:gd name="T39" fmla="*/ 2147483646 h 505"/>
                                <a:gd name="T40" fmla="*/ 2147483646 w 347"/>
                                <a:gd name="T41" fmla="*/ 2147483646 h 505"/>
                                <a:gd name="T42" fmla="*/ 2147483646 w 347"/>
                                <a:gd name="T43" fmla="*/ 2147483646 h 505"/>
                                <a:gd name="T44" fmla="*/ 2147483646 w 347"/>
                                <a:gd name="T45" fmla="*/ 2147483646 h 505"/>
                                <a:gd name="T46" fmla="*/ 2147483646 w 347"/>
                                <a:gd name="T47" fmla="*/ 2147483646 h 505"/>
                                <a:gd name="T48" fmla="*/ 2147483646 w 347"/>
                                <a:gd name="T49" fmla="*/ 2147483646 h 505"/>
                                <a:gd name="T50" fmla="*/ 2147483646 w 347"/>
                                <a:gd name="T51" fmla="*/ 2147483646 h 505"/>
                                <a:gd name="T52" fmla="*/ 2147483646 w 347"/>
                                <a:gd name="T53" fmla="*/ 2147483646 h 505"/>
                                <a:gd name="T54" fmla="*/ 2147483646 w 347"/>
                                <a:gd name="T55" fmla="*/ 2147483646 h 505"/>
                                <a:gd name="T56" fmla="*/ 2147483646 w 347"/>
                                <a:gd name="T57" fmla="*/ 2147483646 h 505"/>
                                <a:gd name="T58" fmla="*/ 0 w 347"/>
                                <a:gd name="T59" fmla="*/ 2147483646 h 505"/>
                                <a:gd name="T60" fmla="*/ 2147483646 w 347"/>
                                <a:gd name="T61" fmla="*/ 2147483646 h 505"/>
                                <a:gd name="T62" fmla="*/ 2147483646 w 347"/>
                                <a:gd name="T63" fmla="*/ 2147483646 h 505"/>
                                <a:gd name="T64" fmla="*/ 2147483646 w 347"/>
                                <a:gd name="T65" fmla="*/ 2147483646 h 505"/>
                                <a:gd name="T66" fmla="*/ 2147483646 w 347"/>
                                <a:gd name="T67" fmla="*/ 2147483646 h 505"/>
                                <a:gd name="T68" fmla="*/ 2147483646 w 347"/>
                                <a:gd name="T69" fmla="*/ 2147483646 h 505"/>
                                <a:gd name="T70" fmla="*/ 2147483646 w 347"/>
                                <a:gd name="T71" fmla="*/ 2147483646 h 505"/>
                                <a:gd name="T72" fmla="*/ 2147483646 w 347"/>
                                <a:gd name="T73" fmla="*/ 2147483646 h 505"/>
                                <a:gd name="T74" fmla="*/ 2147483646 w 347"/>
                                <a:gd name="T75" fmla="*/ 2147483646 h 505"/>
                                <a:gd name="T76" fmla="*/ 2147483646 w 347"/>
                                <a:gd name="T77" fmla="*/ 2147483646 h 505"/>
                                <a:gd name="T78" fmla="*/ 2147483646 w 347"/>
                                <a:gd name="T79" fmla="*/ 2147483646 h 505"/>
                                <a:gd name="T80" fmla="*/ 2147483646 w 347"/>
                                <a:gd name="T81" fmla="*/ 2147483646 h 50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7"/>
                                <a:gd name="T124" fmla="*/ 0 h 505"/>
                                <a:gd name="T125" fmla="*/ 347 w 347"/>
                                <a:gd name="T126" fmla="*/ 505 h 50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47" h="505">
                                  <a:moveTo>
                                    <a:pt x="316" y="328"/>
                                  </a:moveTo>
                                  <a:cubicBezTo>
                                    <a:pt x="316" y="328"/>
                                    <a:pt x="316" y="328"/>
                                    <a:pt x="316" y="328"/>
                                  </a:cubicBezTo>
                                  <a:cubicBezTo>
                                    <a:pt x="316" y="328"/>
                                    <a:pt x="316" y="328"/>
                                    <a:pt x="316" y="328"/>
                                  </a:cubicBezTo>
                                  <a:cubicBezTo>
                                    <a:pt x="290" y="301"/>
                                    <a:pt x="290" y="301"/>
                                    <a:pt x="290" y="301"/>
                                  </a:cubicBezTo>
                                  <a:cubicBezTo>
                                    <a:pt x="289" y="300"/>
                                    <a:pt x="289" y="300"/>
                                    <a:pt x="289" y="300"/>
                                  </a:cubicBezTo>
                                  <a:cubicBezTo>
                                    <a:pt x="289" y="299"/>
                                    <a:pt x="289" y="299"/>
                                    <a:pt x="289" y="299"/>
                                  </a:cubicBezTo>
                                  <a:cubicBezTo>
                                    <a:pt x="290" y="281"/>
                                    <a:pt x="290" y="281"/>
                                    <a:pt x="290" y="281"/>
                                  </a:cubicBezTo>
                                  <a:cubicBezTo>
                                    <a:pt x="272" y="254"/>
                                    <a:pt x="272" y="254"/>
                                    <a:pt x="272" y="254"/>
                                  </a:cubicBezTo>
                                  <a:cubicBezTo>
                                    <a:pt x="259" y="255"/>
                                    <a:pt x="259" y="255"/>
                                    <a:pt x="259" y="255"/>
                                  </a:cubicBezTo>
                                  <a:cubicBezTo>
                                    <a:pt x="258" y="255"/>
                                    <a:pt x="258" y="255"/>
                                    <a:pt x="258" y="255"/>
                                  </a:cubicBezTo>
                                  <a:cubicBezTo>
                                    <a:pt x="257" y="254"/>
                                    <a:pt x="257" y="254"/>
                                    <a:pt x="257" y="254"/>
                                  </a:cubicBezTo>
                                  <a:cubicBezTo>
                                    <a:pt x="241" y="235"/>
                                    <a:pt x="241" y="235"/>
                                    <a:pt x="241" y="235"/>
                                  </a:cubicBezTo>
                                  <a:cubicBezTo>
                                    <a:pt x="240" y="234"/>
                                    <a:pt x="240" y="234"/>
                                    <a:pt x="240" y="234"/>
                                  </a:cubicBezTo>
                                  <a:cubicBezTo>
                                    <a:pt x="240" y="233"/>
                                    <a:pt x="240" y="233"/>
                                    <a:pt x="240" y="233"/>
                                  </a:cubicBezTo>
                                  <a:cubicBezTo>
                                    <a:pt x="241" y="224"/>
                                    <a:pt x="241" y="224"/>
                                    <a:pt x="241" y="224"/>
                                  </a:cubicBezTo>
                                  <a:cubicBezTo>
                                    <a:pt x="241" y="224"/>
                                    <a:pt x="241" y="224"/>
                                    <a:pt x="241" y="224"/>
                                  </a:cubicBezTo>
                                  <a:cubicBezTo>
                                    <a:pt x="241" y="224"/>
                                    <a:pt x="241" y="224"/>
                                    <a:pt x="241" y="224"/>
                                  </a:cubicBezTo>
                                  <a:cubicBezTo>
                                    <a:pt x="251" y="185"/>
                                    <a:pt x="251" y="185"/>
                                    <a:pt x="251" y="185"/>
                                  </a:cubicBezTo>
                                  <a:cubicBezTo>
                                    <a:pt x="251" y="184"/>
                                    <a:pt x="251" y="184"/>
                                    <a:pt x="251" y="184"/>
                                  </a:cubicBezTo>
                                  <a:cubicBezTo>
                                    <a:pt x="251" y="184"/>
                                    <a:pt x="251" y="184"/>
                                    <a:pt x="251" y="184"/>
                                  </a:cubicBezTo>
                                  <a:cubicBezTo>
                                    <a:pt x="258" y="176"/>
                                    <a:pt x="258" y="176"/>
                                    <a:pt x="258" y="176"/>
                                  </a:cubicBezTo>
                                  <a:cubicBezTo>
                                    <a:pt x="257" y="119"/>
                                    <a:pt x="257" y="119"/>
                                    <a:pt x="257" y="119"/>
                                  </a:cubicBezTo>
                                  <a:cubicBezTo>
                                    <a:pt x="256" y="116"/>
                                    <a:pt x="247" y="89"/>
                                    <a:pt x="247" y="89"/>
                                  </a:cubicBezTo>
                                  <a:cubicBezTo>
                                    <a:pt x="215" y="17"/>
                                    <a:pt x="215" y="17"/>
                                    <a:pt x="215" y="17"/>
                                  </a:cubicBezTo>
                                  <a:cubicBezTo>
                                    <a:pt x="215" y="16"/>
                                    <a:pt x="215" y="16"/>
                                    <a:pt x="215" y="16"/>
                                  </a:cubicBezTo>
                                  <a:cubicBezTo>
                                    <a:pt x="215" y="16"/>
                                    <a:pt x="215" y="16"/>
                                    <a:pt x="215" y="16"/>
                                  </a:cubicBezTo>
                                  <a:cubicBezTo>
                                    <a:pt x="212" y="0"/>
                                    <a:pt x="212" y="0"/>
                                    <a:pt x="212" y="0"/>
                                  </a:cubicBezTo>
                                  <a:cubicBezTo>
                                    <a:pt x="96" y="2"/>
                                    <a:pt x="96" y="2"/>
                                    <a:pt x="96" y="2"/>
                                  </a:cubicBezTo>
                                  <a:cubicBezTo>
                                    <a:pt x="91" y="45"/>
                                    <a:pt x="91" y="45"/>
                                    <a:pt x="91" y="45"/>
                                  </a:cubicBezTo>
                                  <a:cubicBezTo>
                                    <a:pt x="91" y="46"/>
                                    <a:pt x="91" y="46"/>
                                    <a:pt x="91" y="46"/>
                                  </a:cubicBezTo>
                                  <a:cubicBezTo>
                                    <a:pt x="91" y="46"/>
                                    <a:pt x="91" y="46"/>
                                    <a:pt x="91" y="46"/>
                                  </a:cubicBezTo>
                                  <a:cubicBezTo>
                                    <a:pt x="86" y="56"/>
                                    <a:pt x="86" y="56"/>
                                    <a:pt x="86" y="56"/>
                                  </a:cubicBezTo>
                                  <a:cubicBezTo>
                                    <a:pt x="105" y="84"/>
                                    <a:pt x="105" y="84"/>
                                    <a:pt x="105" y="84"/>
                                  </a:cubicBezTo>
                                  <a:cubicBezTo>
                                    <a:pt x="106" y="84"/>
                                    <a:pt x="106" y="84"/>
                                    <a:pt x="106" y="84"/>
                                  </a:cubicBezTo>
                                  <a:cubicBezTo>
                                    <a:pt x="106" y="85"/>
                                    <a:pt x="106" y="85"/>
                                    <a:pt x="106" y="85"/>
                                  </a:cubicBezTo>
                                  <a:cubicBezTo>
                                    <a:pt x="108" y="150"/>
                                    <a:pt x="108" y="150"/>
                                    <a:pt x="108" y="150"/>
                                  </a:cubicBezTo>
                                  <a:cubicBezTo>
                                    <a:pt x="139" y="177"/>
                                    <a:pt x="139" y="177"/>
                                    <a:pt x="139" y="177"/>
                                  </a:cubicBezTo>
                                  <a:cubicBezTo>
                                    <a:pt x="140" y="177"/>
                                    <a:pt x="140" y="177"/>
                                    <a:pt x="140" y="177"/>
                                  </a:cubicBezTo>
                                  <a:cubicBezTo>
                                    <a:pt x="139" y="179"/>
                                    <a:pt x="139" y="179"/>
                                    <a:pt x="139" y="179"/>
                                  </a:cubicBezTo>
                                  <a:cubicBezTo>
                                    <a:pt x="134" y="196"/>
                                    <a:pt x="134" y="196"/>
                                    <a:pt x="134" y="196"/>
                                  </a:cubicBezTo>
                                  <a:cubicBezTo>
                                    <a:pt x="135" y="217"/>
                                    <a:pt x="135" y="217"/>
                                    <a:pt x="135" y="217"/>
                                  </a:cubicBezTo>
                                  <a:cubicBezTo>
                                    <a:pt x="135" y="218"/>
                                    <a:pt x="135" y="218"/>
                                    <a:pt x="135" y="218"/>
                                  </a:cubicBezTo>
                                  <a:cubicBezTo>
                                    <a:pt x="135" y="218"/>
                                    <a:pt x="135" y="218"/>
                                    <a:pt x="135" y="218"/>
                                  </a:cubicBezTo>
                                  <a:cubicBezTo>
                                    <a:pt x="115" y="240"/>
                                    <a:pt x="115" y="240"/>
                                    <a:pt x="115" y="240"/>
                                  </a:cubicBezTo>
                                  <a:cubicBezTo>
                                    <a:pt x="127" y="259"/>
                                    <a:pt x="127" y="259"/>
                                    <a:pt x="127" y="259"/>
                                  </a:cubicBezTo>
                                  <a:cubicBezTo>
                                    <a:pt x="127" y="261"/>
                                    <a:pt x="127" y="261"/>
                                    <a:pt x="127" y="261"/>
                                  </a:cubicBezTo>
                                  <a:cubicBezTo>
                                    <a:pt x="126" y="262"/>
                                    <a:pt x="126" y="262"/>
                                    <a:pt x="126" y="262"/>
                                  </a:cubicBezTo>
                                  <a:cubicBezTo>
                                    <a:pt x="105" y="276"/>
                                    <a:pt x="105" y="276"/>
                                    <a:pt x="105" y="276"/>
                                  </a:cubicBezTo>
                                  <a:cubicBezTo>
                                    <a:pt x="89" y="289"/>
                                    <a:pt x="89" y="289"/>
                                    <a:pt x="89" y="289"/>
                                  </a:cubicBezTo>
                                  <a:cubicBezTo>
                                    <a:pt x="89" y="289"/>
                                    <a:pt x="89" y="289"/>
                                    <a:pt x="89" y="289"/>
                                  </a:cubicBezTo>
                                  <a:cubicBezTo>
                                    <a:pt x="89" y="289"/>
                                    <a:pt x="89" y="289"/>
                                    <a:pt x="89" y="289"/>
                                  </a:cubicBezTo>
                                  <a:cubicBezTo>
                                    <a:pt x="70" y="296"/>
                                    <a:pt x="70" y="296"/>
                                    <a:pt x="70" y="296"/>
                                  </a:cubicBezTo>
                                  <a:cubicBezTo>
                                    <a:pt x="68" y="297"/>
                                    <a:pt x="51" y="309"/>
                                    <a:pt x="51" y="308"/>
                                  </a:cubicBezTo>
                                  <a:cubicBezTo>
                                    <a:pt x="28" y="326"/>
                                    <a:pt x="28" y="326"/>
                                    <a:pt x="28" y="326"/>
                                  </a:cubicBezTo>
                                  <a:cubicBezTo>
                                    <a:pt x="19" y="334"/>
                                    <a:pt x="19" y="334"/>
                                    <a:pt x="19" y="334"/>
                                  </a:cubicBezTo>
                                  <a:cubicBezTo>
                                    <a:pt x="19" y="334"/>
                                    <a:pt x="19" y="334"/>
                                    <a:pt x="19" y="334"/>
                                  </a:cubicBezTo>
                                  <a:cubicBezTo>
                                    <a:pt x="19" y="334"/>
                                    <a:pt x="19" y="334"/>
                                    <a:pt x="19" y="334"/>
                                  </a:cubicBezTo>
                                  <a:cubicBezTo>
                                    <a:pt x="4" y="345"/>
                                    <a:pt x="4" y="345"/>
                                    <a:pt x="4" y="345"/>
                                  </a:cubicBezTo>
                                  <a:cubicBezTo>
                                    <a:pt x="2" y="342"/>
                                    <a:pt x="2" y="342"/>
                                    <a:pt x="2" y="342"/>
                                  </a:cubicBezTo>
                                  <a:cubicBezTo>
                                    <a:pt x="0" y="372"/>
                                    <a:pt x="0" y="372"/>
                                    <a:pt x="0" y="372"/>
                                  </a:cubicBezTo>
                                  <a:cubicBezTo>
                                    <a:pt x="34" y="374"/>
                                    <a:pt x="34" y="374"/>
                                    <a:pt x="34" y="374"/>
                                  </a:cubicBezTo>
                                  <a:cubicBezTo>
                                    <a:pt x="50" y="455"/>
                                    <a:pt x="50" y="455"/>
                                    <a:pt x="50" y="455"/>
                                  </a:cubicBezTo>
                                  <a:cubicBezTo>
                                    <a:pt x="109" y="452"/>
                                    <a:pt x="109" y="452"/>
                                    <a:pt x="109" y="452"/>
                                  </a:cubicBezTo>
                                  <a:cubicBezTo>
                                    <a:pt x="129" y="449"/>
                                    <a:pt x="129" y="449"/>
                                    <a:pt x="129" y="449"/>
                                  </a:cubicBezTo>
                                  <a:cubicBezTo>
                                    <a:pt x="153" y="468"/>
                                    <a:pt x="153" y="468"/>
                                    <a:pt x="153" y="468"/>
                                  </a:cubicBezTo>
                                  <a:cubicBezTo>
                                    <a:pt x="144" y="485"/>
                                    <a:pt x="144" y="485"/>
                                    <a:pt x="144" y="485"/>
                                  </a:cubicBezTo>
                                  <a:cubicBezTo>
                                    <a:pt x="166" y="505"/>
                                    <a:pt x="166" y="505"/>
                                    <a:pt x="166" y="505"/>
                                  </a:cubicBezTo>
                                  <a:cubicBezTo>
                                    <a:pt x="186" y="505"/>
                                    <a:pt x="186" y="505"/>
                                    <a:pt x="186" y="505"/>
                                  </a:cubicBezTo>
                                  <a:cubicBezTo>
                                    <a:pt x="186" y="477"/>
                                    <a:pt x="186" y="477"/>
                                    <a:pt x="186" y="477"/>
                                  </a:cubicBezTo>
                                  <a:cubicBezTo>
                                    <a:pt x="203" y="458"/>
                                    <a:pt x="203" y="458"/>
                                    <a:pt x="203" y="458"/>
                                  </a:cubicBezTo>
                                  <a:cubicBezTo>
                                    <a:pt x="214" y="444"/>
                                    <a:pt x="214" y="444"/>
                                    <a:pt x="214" y="444"/>
                                  </a:cubicBezTo>
                                  <a:cubicBezTo>
                                    <a:pt x="225" y="429"/>
                                    <a:pt x="225" y="429"/>
                                    <a:pt x="225" y="429"/>
                                  </a:cubicBezTo>
                                  <a:cubicBezTo>
                                    <a:pt x="238" y="422"/>
                                    <a:pt x="238" y="422"/>
                                    <a:pt x="238" y="422"/>
                                  </a:cubicBezTo>
                                  <a:cubicBezTo>
                                    <a:pt x="253" y="406"/>
                                    <a:pt x="253" y="406"/>
                                    <a:pt x="253" y="406"/>
                                  </a:cubicBezTo>
                                  <a:cubicBezTo>
                                    <a:pt x="282" y="398"/>
                                    <a:pt x="282" y="398"/>
                                    <a:pt x="282" y="398"/>
                                  </a:cubicBezTo>
                                  <a:cubicBezTo>
                                    <a:pt x="299" y="375"/>
                                    <a:pt x="299" y="375"/>
                                    <a:pt x="299" y="375"/>
                                  </a:cubicBezTo>
                                  <a:cubicBezTo>
                                    <a:pt x="310" y="362"/>
                                    <a:pt x="310" y="362"/>
                                    <a:pt x="310" y="362"/>
                                  </a:cubicBezTo>
                                  <a:cubicBezTo>
                                    <a:pt x="326" y="372"/>
                                    <a:pt x="326" y="372"/>
                                    <a:pt x="326" y="372"/>
                                  </a:cubicBezTo>
                                  <a:cubicBezTo>
                                    <a:pt x="331" y="354"/>
                                    <a:pt x="331" y="354"/>
                                    <a:pt x="331" y="354"/>
                                  </a:cubicBezTo>
                                  <a:cubicBezTo>
                                    <a:pt x="346" y="351"/>
                                    <a:pt x="346" y="351"/>
                                    <a:pt x="346" y="351"/>
                                  </a:cubicBezTo>
                                  <a:cubicBezTo>
                                    <a:pt x="347" y="344"/>
                                    <a:pt x="347" y="344"/>
                                    <a:pt x="347" y="344"/>
                                  </a:cubicBezTo>
                                  <a:cubicBezTo>
                                    <a:pt x="346" y="346"/>
                                    <a:pt x="346" y="346"/>
                                    <a:pt x="346" y="346"/>
                                  </a:cubicBezTo>
                                  <a:cubicBezTo>
                                    <a:pt x="316" y="328"/>
                                    <a:pt x="316" y="328"/>
                                    <a:pt x="316" y="328"/>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32" name="Freeform 36"/>
                          <wps:cNvSpPr/>
                          <wps:spPr bwMode="auto">
                            <a:xfrm>
                              <a:off x="2625725" y="2967740"/>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3" name="Freeform 37"/>
                          <wps:cNvSpPr/>
                          <wps:spPr bwMode="auto">
                            <a:xfrm>
                              <a:off x="4749800" y="3818640"/>
                              <a:ext cx="3175" cy="1588"/>
                            </a:xfrm>
                            <a:custGeom>
                              <a:avLst/>
                              <a:gdLst>
                                <a:gd name="T0" fmla="*/ 0 w 2"/>
                                <a:gd name="T1" fmla="*/ 0 h 1587"/>
                                <a:gd name="T2" fmla="*/ 0 w 2"/>
                                <a:gd name="T3" fmla="*/ 0 h 1587"/>
                                <a:gd name="T4" fmla="*/ 2147483646 w 2"/>
                                <a:gd name="T5" fmla="*/ 0 h 1587"/>
                                <a:gd name="T6" fmla="*/ 2147483646 w 2"/>
                                <a:gd name="T7" fmla="*/ 0 h 1587"/>
                                <a:gd name="T8" fmla="*/ 0 w 2"/>
                                <a:gd name="T9" fmla="*/ 0 h 1587"/>
                                <a:gd name="T10" fmla="*/ 0 w 2"/>
                                <a:gd name="T11" fmla="*/ 0 h 1587"/>
                                <a:gd name="T12" fmla="*/ 0 60000 65536"/>
                                <a:gd name="T13" fmla="*/ 0 60000 65536"/>
                                <a:gd name="T14" fmla="*/ 0 60000 65536"/>
                                <a:gd name="T15" fmla="*/ 0 60000 65536"/>
                                <a:gd name="T16" fmla="*/ 0 60000 65536"/>
                                <a:gd name="T17" fmla="*/ 0 60000 65536"/>
                                <a:gd name="T18" fmla="*/ 0 w 2"/>
                                <a:gd name="T19" fmla="*/ 0 h 1587"/>
                                <a:gd name="T20" fmla="*/ 2 w 2"/>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2" h="1587">
                                  <a:moveTo>
                                    <a:pt x="0" y="0"/>
                                  </a:moveTo>
                                  <a:lnTo>
                                    <a:pt x="0" y="0"/>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4" name="Freeform 38"/>
                          <wps:cNvSpPr/>
                          <wps:spPr bwMode="auto">
                            <a:xfrm>
                              <a:off x="6119813" y="18834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5" name="Freeform 39"/>
                          <wps:cNvSpPr/>
                          <wps:spPr bwMode="auto">
                            <a:xfrm>
                              <a:off x="5394325" y="10579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6" name="Freeform 40"/>
                          <wps:cNvSpPr/>
                          <wps:spPr bwMode="auto">
                            <a:xfrm>
                              <a:off x="5443538" y="1402465"/>
                              <a:ext cx="1587" cy="3175"/>
                            </a:xfrm>
                            <a:custGeom>
                              <a:avLst/>
                              <a:gdLst>
                                <a:gd name="T0" fmla="*/ 0 w 1588"/>
                                <a:gd name="T1" fmla="*/ 2147483646 h 2"/>
                                <a:gd name="T2" fmla="*/ 0 w 1588"/>
                                <a:gd name="T3" fmla="*/ 0 h 2"/>
                                <a:gd name="T4" fmla="*/ 0 w 1588"/>
                                <a:gd name="T5" fmla="*/ 2147483646 h 2"/>
                                <a:gd name="T6" fmla="*/ 0 w 1588"/>
                                <a:gd name="T7" fmla="*/ 2147483646 h 2"/>
                                <a:gd name="T8" fmla="*/ 0 60000 65536"/>
                                <a:gd name="T9" fmla="*/ 0 60000 65536"/>
                                <a:gd name="T10" fmla="*/ 0 60000 65536"/>
                                <a:gd name="T11" fmla="*/ 0 60000 65536"/>
                                <a:gd name="T12" fmla="*/ 0 w 1588"/>
                                <a:gd name="T13" fmla="*/ 0 h 2"/>
                                <a:gd name="T14" fmla="*/ 1588 w 1588"/>
                                <a:gd name="T15" fmla="*/ 2 h 2"/>
                              </a:gdLst>
                              <a:ahLst/>
                              <a:cxnLst>
                                <a:cxn ang="T8">
                                  <a:pos x="T0" y="T1"/>
                                </a:cxn>
                                <a:cxn ang="T9">
                                  <a:pos x="T2" y="T3"/>
                                </a:cxn>
                                <a:cxn ang="T10">
                                  <a:pos x="T4" y="T5"/>
                                </a:cxn>
                                <a:cxn ang="T11">
                                  <a:pos x="T6" y="T7"/>
                                </a:cxn>
                              </a:cxnLst>
                              <a:rect l="T12" t="T13" r="T14" b="T15"/>
                              <a:pathLst>
                                <a:path w="1588" h="2">
                                  <a:moveTo>
                                    <a:pt x="0" y="2"/>
                                  </a:move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7" name="Freeform 41"/>
                          <wps:cNvSpPr/>
                          <wps:spPr bwMode="auto">
                            <a:xfrm>
                              <a:off x="5808663" y="1758065"/>
                              <a:ext cx="3175" cy="3175"/>
                            </a:xfrm>
                            <a:custGeom>
                              <a:avLst/>
                              <a:gdLst>
                                <a:gd name="T0" fmla="*/ 2147483646 w 2"/>
                                <a:gd name="T1" fmla="*/ 0 h 2"/>
                                <a:gd name="T2" fmla="*/ 2147483646 w 2"/>
                                <a:gd name="T3" fmla="*/ 0 h 2"/>
                                <a:gd name="T4" fmla="*/ 0 w 2"/>
                                <a:gd name="T5" fmla="*/ 2147483646 h 2"/>
                                <a:gd name="T6" fmla="*/ 2147483646 w 2"/>
                                <a:gd name="T7" fmla="*/ 0 h 2"/>
                                <a:gd name="T8" fmla="*/ 2147483646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2" y="0"/>
                                  </a:moveTo>
                                  <a:lnTo>
                                    <a:pt x="2" y="0"/>
                                  </a:lnTo>
                                  <a:lnTo>
                                    <a:pt x="0" y="2"/>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8" name="Freeform 42"/>
                          <wps:cNvSpPr/>
                          <wps:spPr bwMode="auto">
                            <a:xfrm>
                              <a:off x="4076700" y="564265"/>
                              <a:ext cx="6350" cy="3175"/>
                            </a:xfrm>
                            <a:custGeom>
                              <a:avLst/>
                              <a:gdLst>
                                <a:gd name="T0" fmla="*/ 2147483646 w 4"/>
                                <a:gd name="T1" fmla="*/ 0 h 2"/>
                                <a:gd name="T2" fmla="*/ 2147483646 w 4"/>
                                <a:gd name="T3" fmla="*/ 0 h 2"/>
                                <a:gd name="T4" fmla="*/ 0 w 4"/>
                                <a:gd name="T5" fmla="*/ 0 h 2"/>
                                <a:gd name="T6" fmla="*/ 2147483646 w 4"/>
                                <a:gd name="T7" fmla="*/ 2147483646 h 2"/>
                                <a:gd name="T8" fmla="*/ 2147483646 w 4"/>
                                <a:gd name="T9" fmla="*/ 0 h 2"/>
                                <a:gd name="T10" fmla="*/ 2147483646 w 4"/>
                                <a:gd name="T11" fmla="*/ 0 h 2"/>
                                <a:gd name="T12" fmla="*/ 0 60000 65536"/>
                                <a:gd name="T13" fmla="*/ 0 60000 65536"/>
                                <a:gd name="T14" fmla="*/ 0 60000 65536"/>
                                <a:gd name="T15" fmla="*/ 0 60000 65536"/>
                                <a:gd name="T16" fmla="*/ 0 60000 65536"/>
                                <a:gd name="T17" fmla="*/ 0 60000 65536"/>
                                <a:gd name="T18" fmla="*/ 0 w 4"/>
                                <a:gd name="T19" fmla="*/ 0 h 2"/>
                                <a:gd name="T20" fmla="*/ 4 w 4"/>
                                <a:gd name="T21" fmla="*/ 2 h 2"/>
                              </a:gdLst>
                              <a:ahLst/>
                              <a:cxnLst>
                                <a:cxn ang="T12">
                                  <a:pos x="T0" y="T1"/>
                                </a:cxn>
                                <a:cxn ang="T13">
                                  <a:pos x="T2" y="T3"/>
                                </a:cxn>
                                <a:cxn ang="T14">
                                  <a:pos x="T4" y="T5"/>
                                </a:cxn>
                                <a:cxn ang="T15">
                                  <a:pos x="T6" y="T7"/>
                                </a:cxn>
                                <a:cxn ang="T16">
                                  <a:pos x="T8" y="T9"/>
                                </a:cxn>
                                <a:cxn ang="T17">
                                  <a:pos x="T10" y="T11"/>
                                </a:cxn>
                              </a:cxnLst>
                              <a:rect l="T18" t="T19" r="T20" b="T21"/>
                              <a:pathLst>
                                <a:path w="4" h="2">
                                  <a:moveTo>
                                    <a:pt x="4" y="0"/>
                                  </a:moveTo>
                                  <a:lnTo>
                                    <a:pt x="4" y="0"/>
                                  </a:lnTo>
                                  <a:lnTo>
                                    <a:pt x="0" y="0"/>
                                  </a:lnTo>
                                  <a:lnTo>
                                    <a:pt x="2" y="2"/>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9" name="Freeform 43"/>
                          <wps:cNvSpPr/>
                          <wps:spPr bwMode="auto">
                            <a:xfrm>
                              <a:off x="4076700" y="675390"/>
                              <a:ext cx="3175" cy="4763"/>
                            </a:xfrm>
                            <a:custGeom>
                              <a:avLst/>
                              <a:gdLst>
                                <a:gd name="T0" fmla="*/ 0 w 2"/>
                                <a:gd name="T1" fmla="*/ 2147483646 h 3"/>
                                <a:gd name="T2" fmla="*/ 2147483646 w 2"/>
                                <a:gd name="T3" fmla="*/ 2147483646 h 3"/>
                                <a:gd name="T4" fmla="*/ 2147483646 w 2"/>
                                <a:gd name="T5" fmla="*/ 0 h 3"/>
                                <a:gd name="T6" fmla="*/ 0 w 2"/>
                                <a:gd name="T7" fmla="*/ 2147483646 h 3"/>
                                <a:gd name="T8" fmla="*/ 0 w 2"/>
                                <a:gd name="T9" fmla="*/ 2147483646 h 3"/>
                                <a:gd name="T10" fmla="*/ 0 60000 65536"/>
                                <a:gd name="T11" fmla="*/ 0 60000 65536"/>
                                <a:gd name="T12" fmla="*/ 0 60000 65536"/>
                                <a:gd name="T13" fmla="*/ 0 60000 65536"/>
                                <a:gd name="T14" fmla="*/ 0 60000 65536"/>
                                <a:gd name="T15" fmla="*/ 0 w 2"/>
                                <a:gd name="T16" fmla="*/ 0 h 3"/>
                                <a:gd name="T17" fmla="*/ 2 w 2"/>
                                <a:gd name="T18" fmla="*/ 3 h 3"/>
                              </a:gdLst>
                              <a:ahLst/>
                              <a:cxnLst>
                                <a:cxn ang="T10">
                                  <a:pos x="T0" y="T1"/>
                                </a:cxn>
                                <a:cxn ang="T11">
                                  <a:pos x="T2" y="T3"/>
                                </a:cxn>
                                <a:cxn ang="T12">
                                  <a:pos x="T4" y="T5"/>
                                </a:cxn>
                                <a:cxn ang="T13">
                                  <a:pos x="T6" y="T7"/>
                                </a:cxn>
                                <a:cxn ang="T14">
                                  <a:pos x="T8" y="T9"/>
                                </a:cxn>
                              </a:cxnLst>
                              <a:rect l="T15" t="T16" r="T17" b="T18"/>
                              <a:pathLst>
                                <a:path w="2" h="3">
                                  <a:moveTo>
                                    <a:pt x="0" y="3"/>
                                  </a:moveTo>
                                  <a:lnTo>
                                    <a:pt x="2" y="2"/>
                                  </a:lnTo>
                                  <a:lnTo>
                                    <a:pt x="2" y="0"/>
                                  </a:lnTo>
                                  <a:lnTo>
                                    <a:pt x="0" y="3"/>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0" name="Freeform 44"/>
                          <wps:cNvSpPr/>
                          <wps:spPr bwMode="auto">
                            <a:xfrm>
                              <a:off x="4095750" y="816678"/>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1" name="Freeform 45"/>
                          <wps:cNvSpPr/>
                          <wps:spPr bwMode="auto">
                            <a:xfrm>
                              <a:off x="4095750" y="97066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2" name="Freeform 46"/>
                          <wps:cNvSpPr/>
                          <wps:spPr bwMode="auto">
                            <a:xfrm>
                              <a:off x="4102100" y="843665"/>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3" name="Freeform 47"/>
                          <wps:cNvSpPr/>
                          <wps:spPr bwMode="auto">
                            <a:xfrm>
                              <a:off x="4102100" y="908753"/>
                              <a:ext cx="7938" cy="6350"/>
                            </a:xfrm>
                            <a:custGeom>
                              <a:avLst/>
                              <a:gdLst>
                                <a:gd name="T0" fmla="*/ 2147483646 w 5"/>
                                <a:gd name="T1" fmla="*/ 0 h 4"/>
                                <a:gd name="T2" fmla="*/ 0 w 5"/>
                                <a:gd name="T3" fmla="*/ 2147483646 h 4"/>
                                <a:gd name="T4" fmla="*/ 2147483646 w 5"/>
                                <a:gd name="T5" fmla="*/ 2147483646 h 4"/>
                                <a:gd name="T6" fmla="*/ 2147483646 w 5"/>
                                <a:gd name="T7" fmla="*/ 0 h 4"/>
                                <a:gd name="T8" fmla="*/ 2147483646 w 5"/>
                                <a:gd name="T9" fmla="*/ 0 h 4"/>
                                <a:gd name="T10" fmla="*/ 0 60000 65536"/>
                                <a:gd name="T11" fmla="*/ 0 60000 65536"/>
                                <a:gd name="T12" fmla="*/ 0 60000 65536"/>
                                <a:gd name="T13" fmla="*/ 0 60000 65536"/>
                                <a:gd name="T14" fmla="*/ 0 60000 65536"/>
                                <a:gd name="T15" fmla="*/ 0 w 5"/>
                                <a:gd name="T16" fmla="*/ 0 h 4"/>
                                <a:gd name="T17" fmla="*/ 5 w 5"/>
                                <a:gd name="T18" fmla="*/ 4 h 4"/>
                              </a:gdLst>
                              <a:ahLst/>
                              <a:cxnLst>
                                <a:cxn ang="T10">
                                  <a:pos x="T0" y="T1"/>
                                </a:cxn>
                                <a:cxn ang="T11">
                                  <a:pos x="T2" y="T3"/>
                                </a:cxn>
                                <a:cxn ang="T12">
                                  <a:pos x="T4" y="T5"/>
                                </a:cxn>
                                <a:cxn ang="T13">
                                  <a:pos x="T6" y="T7"/>
                                </a:cxn>
                                <a:cxn ang="T14">
                                  <a:pos x="T8" y="T9"/>
                                </a:cxn>
                              </a:cxnLst>
                              <a:rect l="T15" t="T16" r="T17" b="T18"/>
                              <a:pathLst>
                                <a:path w="5" h="4">
                                  <a:moveTo>
                                    <a:pt x="5" y="0"/>
                                  </a:moveTo>
                                  <a:lnTo>
                                    <a:pt x="0" y="2"/>
                                  </a:lnTo>
                                  <a:lnTo>
                                    <a:pt x="5" y="4"/>
                                  </a:lnTo>
                                  <a:lnTo>
                                    <a:pt x="5"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4" name="Freeform 48"/>
                          <wps:cNvSpPr/>
                          <wps:spPr bwMode="auto">
                            <a:xfrm>
                              <a:off x="4110038" y="826203"/>
                              <a:ext cx="3175" cy="9525"/>
                            </a:xfrm>
                            <a:custGeom>
                              <a:avLst/>
                              <a:gdLst>
                                <a:gd name="T0" fmla="*/ 2147483646 w 2"/>
                                <a:gd name="T1" fmla="*/ 0 h 6"/>
                                <a:gd name="T2" fmla="*/ 0 w 2"/>
                                <a:gd name="T3" fmla="*/ 2147483646 h 6"/>
                                <a:gd name="T4" fmla="*/ 2147483646 w 2"/>
                                <a:gd name="T5" fmla="*/ 2147483646 h 6"/>
                                <a:gd name="T6" fmla="*/ 2147483646 w 2"/>
                                <a:gd name="T7" fmla="*/ 0 h 6"/>
                                <a:gd name="T8" fmla="*/ 2147483646 w 2"/>
                                <a:gd name="T9" fmla="*/ 0 h 6"/>
                                <a:gd name="T10" fmla="*/ 0 60000 65536"/>
                                <a:gd name="T11" fmla="*/ 0 60000 65536"/>
                                <a:gd name="T12" fmla="*/ 0 60000 65536"/>
                                <a:gd name="T13" fmla="*/ 0 60000 65536"/>
                                <a:gd name="T14" fmla="*/ 0 60000 65536"/>
                                <a:gd name="T15" fmla="*/ 0 w 2"/>
                                <a:gd name="T16" fmla="*/ 0 h 6"/>
                                <a:gd name="T17" fmla="*/ 2 w 2"/>
                                <a:gd name="T18" fmla="*/ 6 h 6"/>
                              </a:gdLst>
                              <a:ahLst/>
                              <a:cxnLst>
                                <a:cxn ang="T10">
                                  <a:pos x="T0" y="T1"/>
                                </a:cxn>
                                <a:cxn ang="T11">
                                  <a:pos x="T2" y="T3"/>
                                </a:cxn>
                                <a:cxn ang="T12">
                                  <a:pos x="T4" y="T5"/>
                                </a:cxn>
                                <a:cxn ang="T13">
                                  <a:pos x="T6" y="T7"/>
                                </a:cxn>
                                <a:cxn ang="T14">
                                  <a:pos x="T8" y="T9"/>
                                </a:cxn>
                              </a:cxnLst>
                              <a:rect l="T15" t="T16" r="T17" b="T18"/>
                              <a:pathLst>
                                <a:path w="2" h="6">
                                  <a:moveTo>
                                    <a:pt x="2" y="0"/>
                                  </a:moveTo>
                                  <a:lnTo>
                                    <a:pt x="0" y="4"/>
                                  </a:lnTo>
                                  <a:lnTo>
                                    <a:pt x="2" y="6"/>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5" name="Freeform 49"/>
                          <wps:cNvSpPr/>
                          <wps:spPr bwMode="auto">
                            <a:xfrm>
                              <a:off x="4095750" y="6277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6" name="Freeform 50"/>
                          <wps:cNvSpPr/>
                          <wps:spPr bwMode="auto">
                            <a:xfrm>
                              <a:off x="4113213" y="705553"/>
                              <a:ext cx="3175" cy="6350"/>
                            </a:xfrm>
                            <a:custGeom>
                              <a:avLst/>
                              <a:gdLst>
                                <a:gd name="T0" fmla="*/ 0 w 2"/>
                                <a:gd name="T1" fmla="*/ 0 h 4"/>
                                <a:gd name="T2" fmla="*/ 0 w 2"/>
                                <a:gd name="T3" fmla="*/ 2147483646 h 4"/>
                                <a:gd name="T4" fmla="*/ 2147483646 w 2"/>
                                <a:gd name="T5" fmla="*/ 2147483646 h 4"/>
                                <a:gd name="T6" fmla="*/ 0 w 2"/>
                                <a:gd name="T7" fmla="*/ 0 h 4"/>
                                <a:gd name="T8" fmla="*/ 0 w 2"/>
                                <a:gd name="T9" fmla="*/ 0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0" y="0"/>
                                  </a:moveTo>
                                  <a:lnTo>
                                    <a:pt x="0" y="4"/>
                                  </a:lnTo>
                                  <a:lnTo>
                                    <a:pt x="2"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7" name="Freeform 51"/>
                          <wps:cNvSpPr/>
                          <wps:spPr bwMode="auto">
                            <a:xfrm>
                              <a:off x="4095750" y="64681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8" name="Freeform 52"/>
                          <wps:cNvSpPr/>
                          <wps:spPr bwMode="auto">
                            <a:xfrm>
                              <a:off x="4067175" y="996065"/>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9" name="Freeform 53"/>
                          <wps:cNvSpPr/>
                          <wps:spPr bwMode="auto">
                            <a:xfrm>
                              <a:off x="4086225" y="8690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0" name="Freeform 54"/>
                          <wps:cNvSpPr/>
                          <wps:spPr bwMode="auto">
                            <a:xfrm>
                              <a:off x="4086225" y="884940"/>
                              <a:ext cx="1588" cy="9525"/>
                            </a:xfrm>
                            <a:custGeom>
                              <a:avLst/>
                              <a:gdLst>
                                <a:gd name="T0" fmla="*/ 0 w 1587"/>
                                <a:gd name="T1" fmla="*/ 2147483646 h 6"/>
                                <a:gd name="T2" fmla="*/ 0 w 1587"/>
                                <a:gd name="T3" fmla="*/ 2147483646 h 6"/>
                                <a:gd name="T4" fmla="*/ 0 w 1587"/>
                                <a:gd name="T5" fmla="*/ 0 h 6"/>
                                <a:gd name="T6" fmla="*/ 0 w 1587"/>
                                <a:gd name="T7" fmla="*/ 2147483646 h 6"/>
                                <a:gd name="T8" fmla="*/ 0 w 1587"/>
                                <a:gd name="T9" fmla="*/ 2147483646 h 6"/>
                                <a:gd name="T10" fmla="*/ 0 60000 65536"/>
                                <a:gd name="T11" fmla="*/ 0 60000 65536"/>
                                <a:gd name="T12" fmla="*/ 0 60000 65536"/>
                                <a:gd name="T13" fmla="*/ 0 60000 65536"/>
                                <a:gd name="T14" fmla="*/ 0 60000 65536"/>
                                <a:gd name="T15" fmla="*/ 0 w 1587"/>
                                <a:gd name="T16" fmla="*/ 0 h 6"/>
                                <a:gd name="T17" fmla="*/ 1587 w 1587"/>
                                <a:gd name="T18" fmla="*/ 6 h 6"/>
                              </a:gdLst>
                              <a:ahLst/>
                              <a:cxnLst>
                                <a:cxn ang="T10">
                                  <a:pos x="T0" y="T1"/>
                                </a:cxn>
                                <a:cxn ang="T11">
                                  <a:pos x="T2" y="T3"/>
                                </a:cxn>
                                <a:cxn ang="T12">
                                  <a:pos x="T4" y="T5"/>
                                </a:cxn>
                                <a:cxn ang="T13">
                                  <a:pos x="T6" y="T7"/>
                                </a:cxn>
                                <a:cxn ang="T14">
                                  <a:pos x="T8" y="T9"/>
                                </a:cxn>
                              </a:cxnLst>
                              <a:rect l="T15" t="T16" r="T17" b="T18"/>
                              <a:pathLst>
                                <a:path w="1587" h="6">
                                  <a:moveTo>
                                    <a:pt x="0" y="6"/>
                                  </a:moveTo>
                                  <a:lnTo>
                                    <a:pt x="0" y="4"/>
                                  </a:lnTo>
                                  <a:lnTo>
                                    <a:pt x="0" y="0"/>
                                  </a:lnTo>
                                  <a:lnTo>
                                    <a:pt x="0" y="6"/>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1" name="Freeform 55"/>
                          <wps:cNvSpPr/>
                          <wps:spPr bwMode="auto">
                            <a:xfrm>
                              <a:off x="4073525" y="783340"/>
                              <a:ext cx="1588" cy="1588"/>
                            </a:xfrm>
                            <a:custGeom>
                              <a:avLst/>
                              <a:gdLst>
                                <a:gd name="T0" fmla="*/ 0 w 1587"/>
                                <a:gd name="T1" fmla="*/ 0 h 1587"/>
                                <a:gd name="T2" fmla="*/ 0 w 1587"/>
                                <a:gd name="T3" fmla="*/ 0 h 1587"/>
                                <a:gd name="T4" fmla="*/ 0 w 1587"/>
                                <a:gd name="T5" fmla="*/ 0 h 1587"/>
                                <a:gd name="T6" fmla="*/ 0 w 1587"/>
                                <a:gd name="T7" fmla="*/ 0 h 1587"/>
                                <a:gd name="T8" fmla="*/ 0 w 1587"/>
                                <a:gd name="T9" fmla="*/ 0 h 1587"/>
                                <a:gd name="T10" fmla="*/ 0 w 1587"/>
                                <a:gd name="T11" fmla="*/ 0 h 1587"/>
                                <a:gd name="T12" fmla="*/ 0 60000 65536"/>
                                <a:gd name="T13" fmla="*/ 0 60000 65536"/>
                                <a:gd name="T14" fmla="*/ 0 60000 65536"/>
                                <a:gd name="T15" fmla="*/ 0 60000 65536"/>
                                <a:gd name="T16" fmla="*/ 0 60000 65536"/>
                                <a:gd name="T17" fmla="*/ 0 60000 65536"/>
                                <a:gd name="T18" fmla="*/ 0 w 1587"/>
                                <a:gd name="T19" fmla="*/ 0 h 1587"/>
                                <a:gd name="T20" fmla="*/ 1587 w 1587"/>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7"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2" name="Freeform 56"/>
                          <wps:cNvSpPr/>
                          <wps:spPr bwMode="auto">
                            <a:xfrm>
                              <a:off x="4060825" y="770640"/>
                              <a:ext cx="6350" cy="6350"/>
                            </a:xfrm>
                            <a:custGeom>
                              <a:avLst/>
                              <a:gdLst>
                                <a:gd name="T0" fmla="*/ 0 w 4"/>
                                <a:gd name="T1" fmla="*/ 2147483646 h 4"/>
                                <a:gd name="T2" fmla="*/ 2147483646 w 4"/>
                                <a:gd name="T3" fmla="*/ 2147483646 h 4"/>
                                <a:gd name="T4" fmla="*/ 0 w 4"/>
                                <a:gd name="T5" fmla="*/ 0 h 4"/>
                                <a:gd name="T6" fmla="*/ 0 w 4"/>
                                <a:gd name="T7" fmla="*/ 2147483646 h 4"/>
                                <a:gd name="T8" fmla="*/ 0 w 4"/>
                                <a:gd name="T9" fmla="*/ 2147483646 h 4"/>
                                <a:gd name="T10" fmla="*/ 0 60000 65536"/>
                                <a:gd name="T11" fmla="*/ 0 60000 65536"/>
                                <a:gd name="T12" fmla="*/ 0 60000 65536"/>
                                <a:gd name="T13" fmla="*/ 0 60000 65536"/>
                                <a:gd name="T14" fmla="*/ 0 60000 65536"/>
                                <a:gd name="T15" fmla="*/ 0 w 4"/>
                                <a:gd name="T16" fmla="*/ 0 h 4"/>
                                <a:gd name="T17" fmla="*/ 4 w 4"/>
                                <a:gd name="T18" fmla="*/ 4 h 4"/>
                              </a:gdLst>
                              <a:ahLst/>
                              <a:cxnLst>
                                <a:cxn ang="T10">
                                  <a:pos x="T0" y="T1"/>
                                </a:cxn>
                                <a:cxn ang="T11">
                                  <a:pos x="T2" y="T3"/>
                                </a:cxn>
                                <a:cxn ang="T12">
                                  <a:pos x="T4" y="T5"/>
                                </a:cxn>
                                <a:cxn ang="T13">
                                  <a:pos x="T6" y="T7"/>
                                </a:cxn>
                                <a:cxn ang="T14">
                                  <a:pos x="T8" y="T9"/>
                                </a:cxn>
                              </a:cxnLst>
                              <a:rect l="T15" t="T16" r="T17" b="T18"/>
                              <a:pathLst>
                                <a:path w="4" h="4">
                                  <a:moveTo>
                                    <a:pt x="0" y="4"/>
                                  </a:moveTo>
                                  <a:lnTo>
                                    <a:pt x="4" y="2"/>
                                  </a:lnTo>
                                  <a:lnTo>
                                    <a:pt x="0" y="0"/>
                                  </a:lnTo>
                                  <a:lnTo>
                                    <a:pt x="0"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3" name="Freeform 57"/>
                          <wps:cNvSpPr/>
                          <wps:spPr bwMode="auto">
                            <a:xfrm>
                              <a:off x="4092575" y="930978"/>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4" name="Freeform 58"/>
                          <wps:cNvSpPr/>
                          <wps:spPr bwMode="auto">
                            <a:xfrm>
                              <a:off x="4076700" y="686503"/>
                              <a:ext cx="3175" cy="6350"/>
                            </a:xfrm>
                            <a:custGeom>
                              <a:avLst/>
                              <a:gdLst>
                                <a:gd name="T0" fmla="*/ 2147483646 w 2"/>
                                <a:gd name="T1" fmla="*/ 2147483646 h 4"/>
                                <a:gd name="T2" fmla="*/ 2147483646 w 2"/>
                                <a:gd name="T3" fmla="*/ 0 h 4"/>
                                <a:gd name="T4" fmla="*/ 0 w 2"/>
                                <a:gd name="T5" fmla="*/ 0 h 4"/>
                                <a:gd name="T6" fmla="*/ 2147483646 w 2"/>
                                <a:gd name="T7" fmla="*/ 2147483646 h 4"/>
                                <a:gd name="T8" fmla="*/ 2147483646 w 2"/>
                                <a:gd name="T9" fmla="*/ 2147483646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2" y="4"/>
                                  </a:moveTo>
                                  <a:lnTo>
                                    <a:pt x="2" y="0"/>
                                  </a:lnTo>
                                  <a:lnTo>
                                    <a:pt x="0" y="0"/>
                                  </a:lnTo>
                                  <a:lnTo>
                                    <a:pt x="2"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5" name="Freeform 59"/>
                          <wps:cNvSpPr/>
                          <wps:spPr bwMode="auto">
                            <a:xfrm>
                              <a:off x="4086225" y="950028"/>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6" name="Freeform 60"/>
                          <wps:cNvSpPr/>
                          <wps:spPr bwMode="auto">
                            <a:xfrm>
                              <a:off x="4151313" y="1221490"/>
                              <a:ext cx="1587" cy="1588"/>
                            </a:xfrm>
                            <a:custGeom>
                              <a:avLst/>
                              <a:gdLst>
                                <a:gd name="T0" fmla="*/ 0 w 1588"/>
                                <a:gd name="T1" fmla="*/ 0 h 1587"/>
                                <a:gd name="T2" fmla="*/ 0 w 1588"/>
                                <a:gd name="T3" fmla="*/ 0 h 1587"/>
                                <a:gd name="T4" fmla="*/ 0 w 1588"/>
                                <a:gd name="T5" fmla="*/ 0 h 1587"/>
                                <a:gd name="T6" fmla="*/ 0 w 1588"/>
                                <a:gd name="T7" fmla="*/ 0 h 1587"/>
                                <a:gd name="T8" fmla="*/ 0 w 1588"/>
                                <a:gd name="T9" fmla="*/ 0 h 1587"/>
                                <a:gd name="T10" fmla="*/ 0 w 1588"/>
                                <a:gd name="T11" fmla="*/ 0 h 1587"/>
                                <a:gd name="T12" fmla="*/ 0 60000 65536"/>
                                <a:gd name="T13" fmla="*/ 0 60000 65536"/>
                                <a:gd name="T14" fmla="*/ 0 60000 65536"/>
                                <a:gd name="T15" fmla="*/ 0 60000 65536"/>
                                <a:gd name="T16" fmla="*/ 0 60000 65536"/>
                                <a:gd name="T17" fmla="*/ 0 60000 65536"/>
                                <a:gd name="T18" fmla="*/ 0 w 1588"/>
                                <a:gd name="T19" fmla="*/ 0 h 1587"/>
                                <a:gd name="T20" fmla="*/ 1588 w 1588"/>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8"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7" name="Freeform 61"/>
                          <wps:cNvSpPr/>
                          <wps:spPr bwMode="auto">
                            <a:xfrm>
                              <a:off x="5024438" y="9706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8" name="Freeform 62"/>
                          <wps:cNvSpPr/>
                          <wps:spPr bwMode="auto">
                            <a:xfrm>
                              <a:off x="5270500" y="1061153"/>
                              <a:ext cx="3175" cy="1587"/>
                            </a:xfrm>
                            <a:custGeom>
                              <a:avLst/>
                              <a:gdLst>
                                <a:gd name="T0" fmla="*/ 0 w 2"/>
                                <a:gd name="T1" fmla="*/ 0 h 1"/>
                                <a:gd name="T2" fmla="*/ 0 w 2"/>
                                <a:gd name="T3" fmla="*/ 2147483646 h 1"/>
                                <a:gd name="T4" fmla="*/ 2147483646 w 2"/>
                                <a:gd name="T5" fmla="*/ 2147483646 h 1"/>
                                <a:gd name="T6" fmla="*/ 2147483646 w 2"/>
                                <a:gd name="T7" fmla="*/ 0 h 1"/>
                                <a:gd name="T8" fmla="*/ 0 w 2"/>
                                <a:gd name="T9" fmla="*/ 0 h 1"/>
                                <a:gd name="T10" fmla="*/ 0 w 2"/>
                                <a:gd name="T11" fmla="*/ 0 h 1"/>
                                <a:gd name="T12" fmla="*/ 0 60000 65536"/>
                                <a:gd name="T13" fmla="*/ 0 60000 65536"/>
                                <a:gd name="T14" fmla="*/ 0 60000 65536"/>
                                <a:gd name="T15" fmla="*/ 0 60000 65536"/>
                                <a:gd name="T16" fmla="*/ 0 60000 65536"/>
                                <a:gd name="T17" fmla="*/ 0 60000 65536"/>
                                <a:gd name="T18" fmla="*/ 0 w 2"/>
                                <a:gd name="T19" fmla="*/ 0 h 1"/>
                                <a:gd name="T20" fmla="*/ 2 w 2"/>
                                <a:gd name="T21" fmla="*/ 1 h 1"/>
                              </a:gdLst>
                              <a:ahLst/>
                              <a:cxnLst>
                                <a:cxn ang="T12">
                                  <a:pos x="T0" y="T1"/>
                                </a:cxn>
                                <a:cxn ang="T13">
                                  <a:pos x="T2" y="T3"/>
                                </a:cxn>
                                <a:cxn ang="T14">
                                  <a:pos x="T4" y="T5"/>
                                </a:cxn>
                                <a:cxn ang="T15">
                                  <a:pos x="T6" y="T7"/>
                                </a:cxn>
                                <a:cxn ang="T16">
                                  <a:pos x="T8" y="T9"/>
                                </a:cxn>
                                <a:cxn ang="T17">
                                  <a:pos x="T10" y="T11"/>
                                </a:cxn>
                              </a:cxnLst>
                              <a:rect l="T18" t="T19" r="T20" b="T21"/>
                              <a:pathLst>
                                <a:path w="2" h="1">
                                  <a:moveTo>
                                    <a:pt x="0" y="0"/>
                                  </a:moveTo>
                                  <a:lnTo>
                                    <a:pt x="0" y="1"/>
                                  </a:lnTo>
                                  <a:lnTo>
                                    <a:pt x="2" y="1"/>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9" name="Freeform 63"/>
                          <wps:cNvSpPr/>
                          <wps:spPr bwMode="auto">
                            <a:xfrm>
                              <a:off x="3429000" y="19390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0" name="Freeform 64"/>
                          <wps:cNvSpPr/>
                          <wps:spPr bwMode="auto">
                            <a:xfrm>
                              <a:off x="3389313" y="2229553"/>
                              <a:ext cx="1587"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1" name="Freeform 65"/>
                          <wps:cNvSpPr/>
                          <wps:spPr bwMode="auto">
                            <a:xfrm>
                              <a:off x="3449638" y="27200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2" name="Freeform 66"/>
                          <wps:cNvSpPr/>
                          <wps:spPr bwMode="auto">
                            <a:xfrm>
                              <a:off x="3775075" y="2272415"/>
                              <a:ext cx="1588"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3" name="Freeform 67"/>
                          <wps:cNvSpPr/>
                          <wps:spPr bwMode="auto">
                            <a:xfrm>
                              <a:off x="2085975" y="3197928"/>
                              <a:ext cx="6350" cy="3175"/>
                            </a:xfrm>
                            <a:custGeom>
                              <a:avLst/>
                              <a:gdLst>
                                <a:gd name="T0" fmla="*/ 2147483646 w 4"/>
                                <a:gd name="T1" fmla="*/ 2147483646 h 2"/>
                                <a:gd name="T2" fmla="*/ 2147483646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4"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4" name="Freeform 68"/>
                          <wps:cNvSpPr/>
                          <wps:spPr bwMode="auto">
                            <a:xfrm>
                              <a:off x="1947863" y="2886778"/>
                              <a:ext cx="3175" cy="1587"/>
                            </a:xfrm>
                            <a:custGeom>
                              <a:avLst/>
                              <a:gdLst>
                                <a:gd name="T0" fmla="*/ 2147483646 w 1"/>
                                <a:gd name="T1" fmla="*/ 0 h 1588"/>
                                <a:gd name="T2" fmla="*/ 2147483646 w 1"/>
                                <a:gd name="T3" fmla="*/ 0 h 1588"/>
                                <a:gd name="T4" fmla="*/ 0 w 1"/>
                                <a:gd name="T5" fmla="*/ 0 h 1588"/>
                                <a:gd name="T6" fmla="*/ 2147483646 w 1"/>
                                <a:gd name="T7" fmla="*/ 0 h 1588"/>
                                <a:gd name="T8" fmla="*/ 0 60000 65536"/>
                                <a:gd name="T9" fmla="*/ 0 60000 65536"/>
                                <a:gd name="T10" fmla="*/ 0 60000 65536"/>
                                <a:gd name="T11" fmla="*/ 0 60000 65536"/>
                                <a:gd name="T12" fmla="*/ 0 w 1"/>
                                <a:gd name="T13" fmla="*/ 0 h 1588"/>
                                <a:gd name="T14" fmla="*/ 1 w 1"/>
                                <a:gd name="T15" fmla="*/ 1588 h 1588"/>
                              </a:gdLst>
                              <a:ahLst/>
                              <a:cxnLst>
                                <a:cxn ang="T8">
                                  <a:pos x="T0" y="T1"/>
                                </a:cxn>
                                <a:cxn ang="T9">
                                  <a:pos x="T2" y="T3"/>
                                </a:cxn>
                                <a:cxn ang="T10">
                                  <a:pos x="T4" y="T5"/>
                                </a:cxn>
                                <a:cxn ang="T11">
                                  <a:pos x="T6" y="T7"/>
                                </a:cxn>
                              </a:cxnLst>
                              <a:rect l="T12" t="T13" r="T14" b="T15"/>
                              <a:pathLst>
                                <a:path w="1" h="1588">
                                  <a:moveTo>
                                    <a:pt x="1" y="0"/>
                                  </a:moveTo>
                                  <a:cubicBezTo>
                                    <a:pt x="1" y="0"/>
                                    <a:pt x="1" y="0"/>
                                    <a:pt x="1" y="0"/>
                                  </a:cubicBezTo>
                                  <a:cubicBezTo>
                                    <a:pt x="0" y="0"/>
                                    <a:pt x="0" y="0"/>
                                    <a:pt x="0" y="0"/>
                                  </a:cubicBezTo>
                                  <a:cubicBezTo>
                                    <a:pt x="1" y="0"/>
                                    <a:pt x="1" y="0"/>
                                    <a:pt x="1" y="0"/>
                                  </a:cubicBez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5" name="Freeform 69"/>
                          <wps:cNvSpPr/>
                          <wps:spPr bwMode="auto">
                            <a:xfrm>
                              <a:off x="2063750" y="29391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6" name="Freeform 70"/>
                          <wps:cNvSpPr/>
                          <wps:spPr bwMode="auto">
                            <a:xfrm>
                              <a:off x="1885950" y="2121603"/>
                              <a:ext cx="9525" cy="6350"/>
                            </a:xfrm>
                            <a:custGeom>
                              <a:avLst/>
                              <a:gdLst>
                                <a:gd name="T0" fmla="*/ 2147483646 w 6"/>
                                <a:gd name="T1" fmla="*/ 0 h 4"/>
                                <a:gd name="T2" fmla="*/ 0 w 6"/>
                                <a:gd name="T3" fmla="*/ 2147483646 h 4"/>
                                <a:gd name="T4" fmla="*/ 2147483646 w 6"/>
                                <a:gd name="T5" fmla="*/ 2147483646 h 4"/>
                                <a:gd name="T6" fmla="*/ 2147483646 w 6"/>
                                <a:gd name="T7" fmla="*/ 0 h 4"/>
                                <a:gd name="T8" fmla="*/ 2147483646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2" y="0"/>
                                  </a:moveTo>
                                  <a:lnTo>
                                    <a:pt x="0" y="2"/>
                                  </a:lnTo>
                                  <a:lnTo>
                                    <a:pt x="6" y="4"/>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7" name="Freeform 71"/>
                          <wps:cNvSpPr/>
                          <wps:spPr bwMode="auto">
                            <a:xfrm>
                              <a:off x="1830388" y="2550228"/>
                              <a:ext cx="6350" cy="3175"/>
                            </a:xfrm>
                            <a:custGeom>
                              <a:avLst/>
                              <a:gdLst>
                                <a:gd name="T0" fmla="*/ 0 w 4"/>
                                <a:gd name="T1" fmla="*/ 2147483646 h 2"/>
                                <a:gd name="T2" fmla="*/ 2147483646 w 4"/>
                                <a:gd name="T3" fmla="*/ 0 h 2"/>
                                <a:gd name="T4" fmla="*/ 0 w 4"/>
                                <a:gd name="T5" fmla="*/ 0 h 2"/>
                                <a:gd name="T6" fmla="*/ 0 w 4"/>
                                <a:gd name="T7" fmla="*/ 2147483646 h 2"/>
                                <a:gd name="T8" fmla="*/ 0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0" y="2"/>
                                  </a:moveTo>
                                  <a:lnTo>
                                    <a:pt x="4" y="0"/>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8" name="Freeform 72"/>
                          <wps:cNvSpPr/>
                          <wps:spPr bwMode="auto">
                            <a:xfrm>
                              <a:off x="1895475" y="2366078"/>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60000 65536"/>
                                <a:gd name="T11" fmla="*/ 0 60000 65536"/>
                                <a:gd name="T12" fmla="*/ 0 60000 65536"/>
                                <a:gd name="T13" fmla="*/ 0 60000 65536"/>
                                <a:gd name="T14" fmla="*/ 0 60000 65536"/>
                                <a:gd name="T15" fmla="*/ 0 w 1587"/>
                                <a:gd name="T16" fmla="*/ 0 h 4"/>
                                <a:gd name="T17" fmla="*/ 1587 w 1587"/>
                                <a:gd name="T18" fmla="*/ 4 h 4"/>
                              </a:gdLst>
                              <a:ahLst/>
                              <a:cxnLst>
                                <a:cxn ang="T10">
                                  <a:pos x="T0" y="T1"/>
                                </a:cxn>
                                <a:cxn ang="T11">
                                  <a:pos x="T2" y="T3"/>
                                </a:cxn>
                                <a:cxn ang="T12">
                                  <a:pos x="T4" y="T5"/>
                                </a:cxn>
                                <a:cxn ang="T13">
                                  <a:pos x="T6" y="T7"/>
                                </a:cxn>
                                <a:cxn ang="T14">
                                  <a:pos x="T8" y="T9"/>
                                </a:cxn>
                              </a:cxnLst>
                              <a:rect l="T15" t="T16" r="T17" b="T18"/>
                              <a:pathLst>
                                <a:path w="1587" h="4">
                                  <a:moveTo>
                                    <a:pt x="0" y="0"/>
                                  </a:moveTo>
                                  <a:lnTo>
                                    <a:pt x="0" y="2"/>
                                  </a:ln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9" name="Freeform 73"/>
                          <wps:cNvSpPr/>
                          <wps:spPr bwMode="auto">
                            <a:xfrm>
                              <a:off x="1363663" y="20469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0" name="Freeform 74"/>
                          <wps:cNvSpPr/>
                          <wps:spPr bwMode="auto">
                            <a:xfrm>
                              <a:off x="1876425" y="2173990"/>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1" name="Freeform 75"/>
                          <wps:cNvSpPr/>
                          <wps:spPr bwMode="auto">
                            <a:xfrm>
                              <a:off x="1798638" y="2102553"/>
                              <a:ext cx="6350" cy="3175"/>
                            </a:xfrm>
                            <a:custGeom>
                              <a:avLst/>
                              <a:gdLst>
                                <a:gd name="T0" fmla="*/ 2147483646 w 4"/>
                                <a:gd name="T1" fmla="*/ 2147483646 h 2"/>
                                <a:gd name="T2" fmla="*/ 0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0"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2" name="Freeform 76"/>
                          <wps:cNvSpPr/>
                          <wps:spPr bwMode="auto">
                            <a:xfrm>
                              <a:off x="1844675" y="2596265"/>
                              <a:ext cx="3175" cy="3175"/>
                            </a:xfrm>
                            <a:custGeom>
                              <a:avLst/>
                              <a:gdLst>
                                <a:gd name="T0" fmla="*/ 0 w 2"/>
                                <a:gd name="T1" fmla="*/ 0 h 2"/>
                                <a:gd name="T2" fmla="*/ 0 w 2"/>
                                <a:gd name="T3" fmla="*/ 0 h 2"/>
                                <a:gd name="T4" fmla="*/ 2147483646 w 2"/>
                                <a:gd name="T5" fmla="*/ 2147483646 h 2"/>
                                <a:gd name="T6" fmla="*/ 0 w 2"/>
                                <a:gd name="T7" fmla="*/ 0 h 2"/>
                                <a:gd name="T8" fmla="*/ 0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0"/>
                                  </a:moveTo>
                                  <a:lnTo>
                                    <a:pt x="0" y="0"/>
                                  </a:lnTo>
                                  <a:lnTo>
                                    <a:pt x="2"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3" name="Freeform 77"/>
                          <wps:cNvSpPr/>
                          <wps:spPr bwMode="auto">
                            <a:xfrm>
                              <a:off x="1844675" y="24978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4" name="Freeform 78"/>
                          <wps:cNvSpPr/>
                          <wps:spPr bwMode="auto">
                            <a:xfrm>
                              <a:off x="1895475" y="1673928"/>
                              <a:ext cx="1588" cy="1587"/>
                            </a:xfrm>
                            <a:custGeom>
                              <a:avLst/>
                              <a:gdLst>
                                <a:gd name="T0" fmla="*/ 0 w 1"/>
                                <a:gd name="T1" fmla="*/ 0 h 1588"/>
                                <a:gd name="T2" fmla="*/ 0 w 1"/>
                                <a:gd name="T3" fmla="*/ 0 h 1588"/>
                                <a:gd name="T4" fmla="*/ 2147483646 w 1"/>
                                <a:gd name="T5" fmla="*/ 0 h 1588"/>
                                <a:gd name="T6" fmla="*/ 2147483646 w 1"/>
                                <a:gd name="T7" fmla="*/ 0 h 1588"/>
                                <a:gd name="T8" fmla="*/ 0 w 1"/>
                                <a:gd name="T9" fmla="*/ 0 h 1588"/>
                                <a:gd name="T10" fmla="*/ 0 w 1"/>
                                <a:gd name="T11" fmla="*/ 0 h 1588"/>
                                <a:gd name="T12" fmla="*/ 0 60000 65536"/>
                                <a:gd name="T13" fmla="*/ 0 60000 65536"/>
                                <a:gd name="T14" fmla="*/ 0 60000 65536"/>
                                <a:gd name="T15" fmla="*/ 0 60000 65536"/>
                                <a:gd name="T16" fmla="*/ 0 60000 65536"/>
                                <a:gd name="T17" fmla="*/ 0 60000 65536"/>
                                <a:gd name="T18" fmla="*/ 0 w 1"/>
                                <a:gd name="T19" fmla="*/ 0 h 1588"/>
                                <a:gd name="T20" fmla="*/ 1 w 1"/>
                                <a:gd name="T21" fmla="*/ 1588 h 1588"/>
                              </a:gdLst>
                              <a:ahLst/>
                              <a:cxnLst>
                                <a:cxn ang="T12">
                                  <a:pos x="T0" y="T1"/>
                                </a:cxn>
                                <a:cxn ang="T13">
                                  <a:pos x="T2" y="T3"/>
                                </a:cxn>
                                <a:cxn ang="T14">
                                  <a:pos x="T4" y="T5"/>
                                </a:cxn>
                                <a:cxn ang="T15">
                                  <a:pos x="T6" y="T7"/>
                                </a:cxn>
                                <a:cxn ang="T16">
                                  <a:pos x="T8" y="T9"/>
                                </a:cxn>
                                <a:cxn ang="T17">
                                  <a:pos x="T10" y="T11"/>
                                </a:cxn>
                              </a:cxnLst>
                              <a:rect l="T18" t="T19" r="T20" b="T21"/>
                              <a:pathLst>
                                <a:path w="1" h="1588">
                                  <a:moveTo>
                                    <a:pt x="0" y="0"/>
                                  </a:moveTo>
                                  <a:lnTo>
                                    <a:pt x="0" y="0"/>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5" name="Freeform 79"/>
                          <wps:cNvSpPr/>
                          <wps:spPr bwMode="auto">
                            <a:xfrm>
                              <a:off x="1895475" y="1624715"/>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6" name="Freeform 81"/>
                          <wps:cNvSpPr/>
                          <wps:spPr bwMode="auto">
                            <a:xfrm>
                              <a:off x="5524500" y="2674053"/>
                              <a:ext cx="1147763" cy="638175"/>
                            </a:xfrm>
                            <a:custGeom>
                              <a:avLst/>
                              <a:gdLst>
                                <a:gd name="T0" fmla="*/ 2147483646 w 372"/>
                                <a:gd name="T1" fmla="*/ 2147483646 h 207"/>
                                <a:gd name="T2" fmla="*/ 2147483646 w 372"/>
                                <a:gd name="T3" fmla="*/ 2147483646 h 207"/>
                                <a:gd name="T4" fmla="*/ 2147483646 w 372"/>
                                <a:gd name="T5" fmla="*/ 2147483646 h 207"/>
                                <a:gd name="T6" fmla="*/ 2147483646 w 372"/>
                                <a:gd name="T7" fmla="*/ 2147483646 h 207"/>
                                <a:gd name="T8" fmla="*/ 2147483646 w 372"/>
                                <a:gd name="T9" fmla="*/ 2147483646 h 207"/>
                                <a:gd name="T10" fmla="*/ 2147483646 w 372"/>
                                <a:gd name="T11" fmla="*/ 2147483646 h 207"/>
                                <a:gd name="T12" fmla="*/ 2147483646 w 372"/>
                                <a:gd name="T13" fmla="*/ 2147483646 h 207"/>
                                <a:gd name="T14" fmla="*/ 2147483646 w 372"/>
                                <a:gd name="T15" fmla="*/ 2147483646 h 207"/>
                                <a:gd name="T16" fmla="*/ 2147483646 w 372"/>
                                <a:gd name="T17" fmla="*/ 2147483646 h 207"/>
                                <a:gd name="T18" fmla="*/ 2147483646 w 372"/>
                                <a:gd name="T19" fmla="*/ 2147483646 h 207"/>
                                <a:gd name="T20" fmla="*/ 2147483646 w 372"/>
                                <a:gd name="T21" fmla="*/ 2147483646 h 207"/>
                                <a:gd name="T22" fmla="*/ 2147483646 w 372"/>
                                <a:gd name="T23" fmla="*/ 2147483646 h 207"/>
                                <a:gd name="T24" fmla="*/ 2147483646 w 372"/>
                                <a:gd name="T25" fmla="*/ 2147483646 h 207"/>
                                <a:gd name="T26" fmla="*/ 2147483646 w 372"/>
                                <a:gd name="T27" fmla="*/ 2147483646 h 207"/>
                                <a:gd name="T28" fmla="*/ 2147483646 w 372"/>
                                <a:gd name="T29" fmla="*/ 2147483646 h 207"/>
                                <a:gd name="T30" fmla="*/ 2147483646 w 372"/>
                                <a:gd name="T31" fmla="*/ 2147483646 h 207"/>
                                <a:gd name="T32" fmla="*/ 2147483646 w 372"/>
                                <a:gd name="T33" fmla="*/ 2147483646 h 207"/>
                                <a:gd name="T34" fmla="*/ 2147483646 w 372"/>
                                <a:gd name="T35" fmla="*/ 2147483646 h 207"/>
                                <a:gd name="T36" fmla="*/ 2147483646 w 372"/>
                                <a:gd name="T37" fmla="*/ 2147483646 h 207"/>
                                <a:gd name="T38" fmla="*/ 2147483646 w 372"/>
                                <a:gd name="T39" fmla="*/ 2147483646 h 207"/>
                                <a:gd name="T40" fmla="*/ 2147483646 w 372"/>
                                <a:gd name="T41" fmla="*/ 2147483646 h 207"/>
                                <a:gd name="T42" fmla="*/ 2147483646 w 372"/>
                                <a:gd name="T43" fmla="*/ 2147483646 h 207"/>
                                <a:gd name="T44" fmla="*/ 2147483646 w 372"/>
                                <a:gd name="T45" fmla="*/ 2147483646 h 207"/>
                                <a:gd name="T46" fmla="*/ 2147483646 w 372"/>
                                <a:gd name="T47" fmla="*/ 2147483646 h 207"/>
                                <a:gd name="T48" fmla="*/ 2147483646 w 372"/>
                                <a:gd name="T49" fmla="*/ 2147483646 h 207"/>
                                <a:gd name="T50" fmla="*/ 2147483646 w 372"/>
                                <a:gd name="T51" fmla="*/ 2147483646 h 207"/>
                                <a:gd name="T52" fmla="*/ 2147483646 w 372"/>
                                <a:gd name="T53" fmla="*/ 2147483646 h 207"/>
                                <a:gd name="T54" fmla="*/ 2147483646 w 372"/>
                                <a:gd name="T55" fmla="*/ 2147483646 h 207"/>
                                <a:gd name="T56" fmla="*/ 2147483646 w 372"/>
                                <a:gd name="T57" fmla="*/ 2147483646 h 207"/>
                                <a:gd name="T58" fmla="*/ 2147483646 w 372"/>
                                <a:gd name="T59" fmla="*/ 2147483646 h 207"/>
                                <a:gd name="T60" fmla="*/ 2147483646 w 372"/>
                                <a:gd name="T61" fmla="*/ 2147483646 h 207"/>
                                <a:gd name="T62" fmla="*/ 2147483646 w 372"/>
                                <a:gd name="T63" fmla="*/ 2147483646 h 207"/>
                                <a:gd name="T64" fmla="*/ 2147483646 w 372"/>
                                <a:gd name="T65" fmla="*/ 2147483646 h 207"/>
                                <a:gd name="T66" fmla="*/ 2147483646 w 372"/>
                                <a:gd name="T67" fmla="*/ 2147483646 h 207"/>
                                <a:gd name="T68" fmla="*/ 2147483646 w 372"/>
                                <a:gd name="T69" fmla="*/ 2147483646 h 207"/>
                                <a:gd name="T70" fmla="*/ 2147483646 w 372"/>
                                <a:gd name="T71" fmla="*/ 2147483646 h 207"/>
                                <a:gd name="T72" fmla="*/ 2147483646 w 372"/>
                                <a:gd name="T73" fmla="*/ 2147483646 h 207"/>
                                <a:gd name="T74" fmla="*/ 2147483646 w 372"/>
                                <a:gd name="T75" fmla="*/ 0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72"/>
                                <a:gd name="T115" fmla="*/ 0 h 207"/>
                                <a:gd name="T116" fmla="*/ 372 w 372"/>
                                <a:gd name="T117" fmla="*/ 207 h 207"/>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372" h="207">
                                  <a:moveTo>
                                    <a:pt x="355" y="0"/>
                                  </a:moveTo>
                                  <a:cubicBezTo>
                                    <a:pt x="340" y="1"/>
                                    <a:pt x="340" y="1"/>
                                    <a:pt x="340" y="1"/>
                                  </a:cubicBezTo>
                                  <a:cubicBezTo>
                                    <a:pt x="345" y="10"/>
                                    <a:pt x="345" y="10"/>
                                    <a:pt x="345" y="10"/>
                                  </a:cubicBezTo>
                                  <a:cubicBezTo>
                                    <a:pt x="334" y="8"/>
                                    <a:pt x="334" y="8"/>
                                    <a:pt x="334" y="8"/>
                                  </a:cubicBezTo>
                                  <a:cubicBezTo>
                                    <a:pt x="318" y="14"/>
                                    <a:pt x="318" y="14"/>
                                    <a:pt x="318" y="14"/>
                                  </a:cubicBezTo>
                                  <a:cubicBezTo>
                                    <a:pt x="313" y="32"/>
                                    <a:pt x="313" y="32"/>
                                    <a:pt x="313" y="32"/>
                                  </a:cubicBezTo>
                                  <a:cubicBezTo>
                                    <a:pt x="303" y="29"/>
                                    <a:pt x="303" y="29"/>
                                    <a:pt x="303" y="29"/>
                                  </a:cubicBezTo>
                                  <a:cubicBezTo>
                                    <a:pt x="293" y="25"/>
                                    <a:pt x="293" y="25"/>
                                    <a:pt x="293" y="25"/>
                                  </a:cubicBezTo>
                                  <a:cubicBezTo>
                                    <a:pt x="270" y="25"/>
                                    <a:pt x="270" y="25"/>
                                    <a:pt x="270" y="25"/>
                                  </a:cubicBezTo>
                                  <a:cubicBezTo>
                                    <a:pt x="249" y="33"/>
                                    <a:pt x="249" y="33"/>
                                    <a:pt x="249" y="33"/>
                                  </a:cubicBezTo>
                                  <a:cubicBezTo>
                                    <a:pt x="234" y="37"/>
                                    <a:pt x="234" y="37"/>
                                    <a:pt x="234" y="37"/>
                                  </a:cubicBezTo>
                                  <a:cubicBezTo>
                                    <a:pt x="224" y="33"/>
                                    <a:pt x="224" y="33"/>
                                    <a:pt x="224" y="33"/>
                                  </a:cubicBezTo>
                                  <a:cubicBezTo>
                                    <a:pt x="212" y="33"/>
                                    <a:pt x="212" y="33"/>
                                    <a:pt x="212" y="33"/>
                                  </a:cubicBezTo>
                                  <a:cubicBezTo>
                                    <a:pt x="201" y="28"/>
                                    <a:pt x="201" y="28"/>
                                    <a:pt x="201" y="28"/>
                                  </a:cubicBezTo>
                                  <a:cubicBezTo>
                                    <a:pt x="190" y="37"/>
                                    <a:pt x="190" y="37"/>
                                    <a:pt x="190" y="37"/>
                                  </a:cubicBezTo>
                                  <a:cubicBezTo>
                                    <a:pt x="181" y="31"/>
                                    <a:pt x="181" y="31"/>
                                    <a:pt x="181" y="31"/>
                                  </a:cubicBezTo>
                                  <a:cubicBezTo>
                                    <a:pt x="168" y="24"/>
                                    <a:pt x="168" y="24"/>
                                    <a:pt x="168" y="24"/>
                                  </a:cubicBezTo>
                                  <a:cubicBezTo>
                                    <a:pt x="157" y="27"/>
                                    <a:pt x="157" y="27"/>
                                    <a:pt x="157" y="27"/>
                                  </a:cubicBezTo>
                                  <a:cubicBezTo>
                                    <a:pt x="142" y="28"/>
                                    <a:pt x="142" y="28"/>
                                    <a:pt x="142" y="28"/>
                                  </a:cubicBezTo>
                                  <a:cubicBezTo>
                                    <a:pt x="130" y="33"/>
                                    <a:pt x="130" y="33"/>
                                    <a:pt x="130" y="33"/>
                                  </a:cubicBezTo>
                                  <a:cubicBezTo>
                                    <a:pt x="126" y="42"/>
                                    <a:pt x="126" y="42"/>
                                    <a:pt x="126" y="42"/>
                                  </a:cubicBezTo>
                                  <a:cubicBezTo>
                                    <a:pt x="118" y="37"/>
                                    <a:pt x="118" y="37"/>
                                    <a:pt x="118" y="37"/>
                                  </a:cubicBezTo>
                                  <a:cubicBezTo>
                                    <a:pt x="98" y="33"/>
                                    <a:pt x="98" y="33"/>
                                    <a:pt x="98" y="33"/>
                                  </a:cubicBezTo>
                                  <a:cubicBezTo>
                                    <a:pt x="83" y="37"/>
                                    <a:pt x="83" y="37"/>
                                    <a:pt x="83" y="37"/>
                                  </a:cubicBezTo>
                                  <a:cubicBezTo>
                                    <a:pt x="73" y="37"/>
                                    <a:pt x="73" y="37"/>
                                    <a:pt x="73" y="37"/>
                                  </a:cubicBezTo>
                                  <a:cubicBezTo>
                                    <a:pt x="65" y="43"/>
                                    <a:pt x="65" y="43"/>
                                    <a:pt x="65" y="43"/>
                                  </a:cubicBezTo>
                                  <a:cubicBezTo>
                                    <a:pt x="59" y="61"/>
                                    <a:pt x="59" y="61"/>
                                    <a:pt x="59" y="61"/>
                                  </a:cubicBezTo>
                                  <a:cubicBezTo>
                                    <a:pt x="43" y="76"/>
                                    <a:pt x="43" y="76"/>
                                    <a:pt x="43" y="76"/>
                                  </a:cubicBezTo>
                                  <a:cubicBezTo>
                                    <a:pt x="34" y="82"/>
                                    <a:pt x="34" y="82"/>
                                    <a:pt x="34" y="82"/>
                                  </a:cubicBezTo>
                                  <a:cubicBezTo>
                                    <a:pt x="34" y="92"/>
                                    <a:pt x="34" y="92"/>
                                    <a:pt x="34" y="92"/>
                                  </a:cubicBezTo>
                                  <a:cubicBezTo>
                                    <a:pt x="12" y="98"/>
                                    <a:pt x="12" y="98"/>
                                    <a:pt x="12" y="98"/>
                                  </a:cubicBezTo>
                                  <a:cubicBezTo>
                                    <a:pt x="10" y="107"/>
                                    <a:pt x="10" y="107"/>
                                    <a:pt x="10" y="107"/>
                                  </a:cubicBezTo>
                                  <a:cubicBezTo>
                                    <a:pt x="18" y="119"/>
                                    <a:pt x="18" y="119"/>
                                    <a:pt x="18" y="119"/>
                                  </a:cubicBezTo>
                                  <a:cubicBezTo>
                                    <a:pt x="11" y="124"/>
                                    <a:pt x="11" y="124"/>
                                    <a:pt x="11" y="124"/>
                                  </a:cubicBezTo>
                                  <a:cubicBezTo>
                                    <a:pt x="2" y="135"/>
                                    <a:pt x="2" y="135"/>
                                    <a:pt x="2" y="135"/>
                                  </a:cubicBezTo>
                                  <a:cubicBezTo>
                                    <a:pt x="5" y="143"/>
                                    <a:pt x="5" y="143"/>
                                    <a:pt x="5" y="143"/>
                                  </a:cubicBezTo>
                                  <a:cubicBezTo>
                                    <a:pt x="0" y="156"/>
                                    <a:pt x="0" y="156"/>
                                    <a:pt x="0" y="156"/>
                                  </a:cubicBezTo>
                                  <a:cubicBezTo>
                                    <a:pt x="11" y="160"/>
                                    <a:pt x="11" y="160"/>
                                    <a:pt x="11" y="160"/>
                                  </a:cubicBezTo>
                                  <a:cubicBezTo>
                                    <a:pt x="21" y="170"/>
                                    <a:pt x="21" y="170"/>
                                    <a:pt x="21" y="170"/>
                                  </a:cubicBezTo>
                                  <a:cubicBezTo>
                                    <a:pt x="30" y="185"/>
                                    <a:pt x="30" y="185"/>
                                    <a:pt x="30" y="185"/>
                                  </a:cubicBezTo>
                                  <a:cubicBezTo>
                                    <a:pt x="38" y="187"/>
                                    <a:pt x="38" y="187"/>
                                    <a:pt x="38" y="187"/>
                                  </a:cubicBezTo>
                                  <a:cubicBezTo>
                                    <a:pt x="49" y="207"/>
                                    <a:pt x="49" y="207"/>
                                    <a:pt x="49" y="207"/>
                                  </a:cubicBezTo>
                                  <a:cubicBezTo>
                                    <a:pt x="47" y="179"/>
                                    <a:pt x="47" y="179"/>
                                    <a:pt x="47" y="179"/>
                                  </a:cubicBezTo>
                                  <a:cubicBezTo>
                                    <a:pt x="46" y="161"/>
                                    <a:pt x="46" y="161"/>
                                    <a:pt x="46" y="161"/>
                                  </a:cubicBezTo>
                                  <a:cubicBezTo>
                                    <a:pt x="53" y="149"/>
                                    <a:pt x="53" y="149"/>
                                    <a:pt x="53" y="149"/>
                                  </a:cubicBezTo>
                                  <a:cubicBezTo>
                                    <a:pt x="57" y="137"/>
                                    <a:pt x="57" y="137"/>
                                    <a:pt x="57" y="137"/>
                                  </a:cubicBezTo>
                                  <a:cubicBezTo>
                                    <a:pt x="51" y="121"/>
                                    <a:pt x="51" y="121"/>
                                    <a:pt x="51" y="121"/>
                                  </a:cubicBezTo>
                                  <a:cubicBezTo>
                                    <a:pt x="51" y="113"/>
                                    <a:pt x="51" y="113"/>
                                    <a:pt x="51" y="113"/>
                                  </a:cubicBezTo>
                                  <a:cubicBezTo>
                                    <a:pt x="61" y="108"/>
                                    <a:pt x="61" y="108"/>
                                    <a:pt x="61" y="108"/>
                                  </a:cubicBezTo>
                                  <a:cubicBezTo>
                                    <a:pt x="74" y="110"/>
                                    <a:pt x="74" y="110"/>
                                    <a:pt x="74" y="110"/>
                                  </a:cubicBezTo>
                                  <a:cubicBezTo>
                                    <a:pt x="84" y="96"/>
                                    <a:pt x="84" y="96"/>
                                    <a:pt x="84" y="96"/>
                                  </a:cubicBezTo>
                                  <a:cubicBezTo>
                                    <a:pt x="88" y="70"/>
                                    <a:pt x="88" y="70"/>
                                    <a:pt x="88" y="70"/>
                                  </a:cubicBezTo>
                                  <a:cubicBezTo>
                                    <a:pt x="99" y="68"/>
                                    <a:pt x="99" y="68"/>
                                    <a:pt x="99" y="68"/>
                                  </a:cubicBezTo>
                                  <a:cubicBezTo>
                                    <a:pt x="113" y="61"/>
                                    <a:pt x="113" y="61"/>
                                    <a:pt x="113" y="61"/>
                                  </a:cubicBezTo>
                                  <a:cubicBezTo>
                                    <a:pt x="119" y="56"/>
                                    <a:pt x="119" y="56"/>
                                    <a:pt x="119" y="56"/>
                                  </a:cubicBezTo>
                                  <a:cubicBezTo>
                                    <a:pt x="130" y="52"/>
                                    <a:pt x="130" y="52"/>
                                    <a:pt x="130" y="52"/>
                                  </a:cubicBezTo>
                                  <a:cubicBezTo>
                                    <a:pt x="126" y="45"/>
                                    <a:pt x="132" y="51"/>
                                    <a:pt x="136" y="54"/>
                                  </a:cubicBezTo>
                                  <a:cubicBezTo>
                                    <a:pt x="149" y="52"/>
                                    <a:pt x="149" y="52"/>
                                    <a:pt x="149" y="52"/>
                                  </a:cubicBezTo>
                                  <a:cubicBezTo>
                                    <a:pt x="163" y="52"/>
                                    <a:pt x="163" y="52"/>
                                    <a:pt x="163" y="52"/>
                                  </a:cubicBezTo>
                                  <a:cubicBezTo>
                                    <a:pt x="176" y="47"/>
                                    <a:pt x="176" y="47"/>
                                    <a:pt x="176" y="47"/>
                                  </a:cubicBezTo>
                                  <a:cubicBezTo>
                                    <a:pt x="215" y="47"/>
                                    <a:pt x="215" y="47"/>
                                    <a:pt x="215" y="47"/>
                                  </a:cubicBezTo>
                                  <a:cubicBezTo>
                                    <a:pt x="226" y="50"/>
                                    <a:pt x="226" y="50"/>
                                    <a:pt x="226" y="50"/>
                                  </a:cubicBezTo>
                                  <a:cubicBezTo>
                                    <a:pt x="238" y="46"/>
                                    <a:pt x="238" y="46"/>
                                    <a:pt x="238" y="46"/>
                                  </a:cubicBezTo>
                                  <a:cubicBezTo>
                                    <a:pt x="253" y="43"/>
                                    <a:pt x="253" y="43"/>
                                    <a:pt x="253" y="43"/>
                                  </a:cubicBezTo>
                                  <a:cubicBezTo>
                                    <a:pt x="261" y="47"/>
                                    <a:pt x="261" y="47"/>
                                    <a:pt x="261" y="47"/>
                                  </a:cubicBezTo>
                                  <a:cubicBezTo>
                                    <a:pt x="286" y="47"/>
                                    <a:pt x="286" y="47"/>
                                    <a:pt x="286" y="47"/>
                                  </a:cubicBezTo>
                                  <a:cubicBezTo>
                                    <a:pt x="290" y="51"/>
                                    <a:pt x="290" y="51"/>
                                    <a:pt x="290" y="51"/>
                                  </a:cubicBezTo>
                                  <a:cubicBezTo>
                                    <a:pt x="302" y="51"/>
                                    <a:pt x="302" y="51"/>
                                    <a:pt x="302" y="51"/>
                                  </a:cubicBezTo>
                                  <a:cubicBezTo>
                                    <a:pt x="320" y="42"/>
                                    <a:pt x="320" y="42"/>
                                    <a:pt x="320" y="42"/>
                                  </a:cubicBezTo>
                                  <a:cubicBezTo>
                                    <a:pt x="329" y="42"/>
                                    <a:pt x="329" y="42"/>
                                    <a:pt x="329" y="42"/>
                                  </a:cubicBezTo>
                                  <a:cubicBezTo>
                                    <a:pt x="350" y="41"/>
                                    <a:pt x="350" y="41"/>
                                    <a:pt x="350" y="41"/>
                                  </a:cubicBezTo>
                                  <a:cubicBezTo>
                                    <a:pt x="359" y="33"/>
                                    <a:pt x="359" y="33"/>
                                    <a:pt x="359" y="33"/>
                                  </a:cubicBezTo>
                                  <a:cubicBezTo>
                                    <a:pt x="361" y="14"/>
                                    <a:pt x="361" y="14"/>
                                    <a:pt x="361" y="14"/>
                                  </a:cubicBezTo>
                                  <a:cubicBezTo>
                                    <a:pt x="372" y="12"/>
                                    <a:pt x="372" y="12"/>
                                    <a:pt x="372" y="12"/>
                                  </a:cubicBezTo>
                                  <a:cubicBezTo>
                                    <a:pt x="365" y="0"/>
                                    <a:pt x="365" y="0"/>
                                    <a:pt x="365" y="0"/>
                                  </a:cubicBezTo>
                                  <a:cubicBezTo>
                                    <a:pt x="355" y="0"/>
                                    <a:pt x="355" y="0"/>
                                    <a:pt x="355" y="0"/>
                                  </a:cubicBezTo>
                                  <a:close/>
                                </a:path>
                              </a:pathLst>
                            </a:custGeom>
                            <a:solidFill>
                              <a:srgbClr val="91C8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7" name="Freeform 82"/>
                          <wps:cNvSpPr/>
                          <wps:spPr bwMode="auto">
                            <a:xfrm>
                              <a:off x="5524500" y="2674053"/>
                              <a:ext cx="1147763" cy="638175"/>
                            </a:xfrm>
                            <a:custGeom>
                              <a:avLst/>
                              <a:gdLst>
                                <a:gd name="T0" fmla="*/ 2147483646 w 372"/>
                                <a:gd name="T1" fmla="*/ 2147483646 h 207"/>
                                <a:gd name="T2" fmla="*/ 2147483646 w 372"/>
                                <a:gd name="T3" fmla="*/ 2147483646 h 207"/>
                                <a:gd name="T4" fmla="*/ 2147483646 w 372"/>
                                <a:gd name="T5" fmla="*/ 2147483646 h 207"/>
                                <a:gd name="T6" fmla="*/ 2147483646 w 372"/>
                                <a:gd name="T7" fmla="*/ 2147483646 h 207"/>
                                <a:gd name="T8" fmla="*/ 2147483646 w 372"/>
                                <a:gd name="T9" fmla="*/ 2147483646 h 207"/>
                                <a:gd name="T10" fmla="*/ 2147483646 w 372"/>
                                <a:gd name="T11" fmla="*/ 2147483646 h 207"/>
                                <a:gd name="T12" fmla="*/ 2147483646 w 372"/>
                                <a:gd name="T13" fmla="*/ 2147483646 h 207"/>
                                <a:gd name="T14" fmla="*/ 2147483646 w 372"/>
                                <a:gd name="T15" fmla="*/ 2147483646 h 207"/>
                                <a:gd name="T16" fmla="*/ 2147483646 w 372"/>
                                <a:gd name="T17" fmla="*/ 2147483646 h 207"/>
                                <a:gd name="T18" fmla="*/ 2147483646 w 372"/>
                                <a:gd name="T19" fmla="*/ 2147483646 h 207"/>
                                <a:gd name="T20" fmla="*/ 2147483646 w 372"/>
                                <a:gd name="T21" fmla="*/ 2147483646 h 207"/>
                                <a:gd name="T22" fmla="*/ 2147483646 w 372"/>
                                <a:gd name="T23" fmla="*/ 2147483646 h 207"/>
                                <a:gd name="T24" fmla="*/ 2147483646 w 372"/>
                                <a:gd name="T25" fmla="*/ 2147483646 h 207"/>
                                <a:gd name="T26" fmla="*/ 2147483646 w 372"/>
                                <a:gd name="T27" fmla="*/ 2147483646 h 207"/>
                                <a:gd name="T28" fmla="*/ 2147483646 w 372"/>
                                <a:gd name="T29" fmla="*/ 2147483646 h 207"/>
                                <a:gd name="T30" fmla="*/ 2147483646 w 372"/>
                                <a:gd name="T31" fmla="*/ 2147483646 h 207"/>
                                <a:gd name="T32" fmla="*/ 2147483646 w 372"/>
                                <a:gd name="T33" fmla="*/ 2147483646 h 207"/>
                                <a:gd name="T34" fmla="*/ 2147483646 w 372"/>
                                <a:gd name="T35" fmla="*/ 2147483646 h 207"/>
                                <a:gd name="T36" fmla="*/ 2147483646 w 372"/>
                                <a:gd name="T37" fmla="*/ 2147483646 h 207"/>
                                <a:gd name="T38" fmla="*/ 2147483646 w 372"/>
                                <a:gd name="T39" fmla="*/ 2147483646 h 207"/>
                                <a:gd name="T40" fmla="*/ 2147483646 w 372"/>
                                <a:gd name="T41" fmla="*/ 2147483646 h 207"/>
                                <a:gd name="T42" fmla="*/ 2147483646 w 372"/>
                                <a:gd name="T43" fmla="*/ 2147483646 h 207"/>
                                <a:gd name="T44" fmla="*/ 2147483646 w 372"/>
                                <a:gd name="T45" fmla="*/ 2147483646 h 207"/>
                                <a:gd name="T46" fmla="*/ 2147483646 w 372"/>
                                <a:gd name="T47" fmla="*/ 2147483646 h 207"/>
                                <a:gd name="T48" fmla="*/ 2147483646 w 372"/>
                                <a:gd name="T49" fmla="*/ 2147483646 h 207"/>
                                <a:gd name="T50" fmla="*/ 2147483646 w 372"/>
                                <a:gd name="T51" fmla="*/ 2147483646 h 207"/>
                                <a:gd name="T52" fmla="*/ 2147483646 w 372"/>
                                <a:gd name="T53" fmla="*/ 2147483646 h 207"/>
                                <a:gd name="T54" fmla="*/ 2147483646 w 372"/>
                                <a:gd name="T55" fmla="*/ 2147483646 h 207"/>
                                <a:gd name="T56" fmla="*/ 2147483646 w 372"/>
                                <a:gd name="T57" fmla="*/ 2147483646 h 207"/>
                                <a:gd name="T58" fmla="*/ 2147483646 w 372"/>
                                <a:gd name="T59" fmla="*/ 2147483646 h 207"/>
                                <a:gd name="T60" fmla="*/ 2147483646 w 372"/>
                                <a:gd name="T61" fmla="*/ 2147483646 h 207"/>
                                <a:gd name="T62" fmla="*/ 2147483646 w 372"/>
                                <a:gd name="T63" fmla="*/ 2147483646 h 207"/>
                                <a:gd name="T64" fmla="*/ 2147483646 w 372"/>
                                <a:gd name="T65" fmla="*/ 2147483646 h 207"/>
                                <a:gd name="T66" fmla="*/ 2147483646 w 372"/>
                                <a:gd name="T67" fmla="*/ 2147483646 h 207"/>
                                <a:gd name="T68" fmla="*/ 2147483646 w 372"/>
                                <a:gd name="T69" fmla="*/ 2147483646 h 207"/>
                                <a:gd name="T70" fmla="*/ 2147483646 w 372"/>
                                <a:gd name="T71" fmla="*/ 2147483646 h 207"/>
                                <a:gd name="T72" fmla="*/ 2147483646 w 372"/>
                                <a:gd name="T73" fmla="*/ 2147483646 h 207"/>
                                <a:gd name="T74" fmla="*/ 2147483646 w 372"/>
                                <a:gd name="T75" fmla="*/ 0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72"/>
                                <a:gd name="T115" fmla="*/ 0 h 207"/>
                                <a:gd name="T116" fmla="*/ 372 w 372"/>
                                <a:gd name="T117" fmla="*/ 207 h 207"/>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372" h="207">
                                  <a:moveTo>
                                    <a:pt x="355" y="0"/>
                                  </a:moveTo>
                                  <a:cubicBezTo>
                                    <a:pt x="340" y="1"/>
                                    <a:pt x="340" y="1"/>
                                    <a:pt x="340" y="1"/>
                                  </a:cubicBezTo>
                                  <a:cubicBezTo>
                                    <a:pt x="345" y="10"/>
                                    <a:pt x="345" y="10"/>
                                    <a:pt x="345" y="10"/>
                                  </a:cubicBezTo>
                                  <a:cubicBezTo>
                                    <a:pt x="334" y="8"/>
                                    <a:pt x="334" y="8"/>
                                    <a:pt x="334" y="8"/>
                                  </a:cubicBezTo>
                                  <a:cubicBezTo>
                                    <a:pt x="318" y="14"/>
                                    <a:pt x="318" y="14"/>
                                    <a:pt x="318" y="14"/>
                                  </a:cubicBezTo>
                                  <a:cubicBezTo>
                                    <a:pt x="313" y="32"/>
                                    <a:pt x="313" y="32"/>
                                    <a:pt x="313" y="32"/>
                                  </a:cubicBezTo>
                                  <a:cubicBezTo>
                                    <a:pt x="303" y="29"/>
                                    <a:pt x="303" y="29"/>
                                    <a:pt x="303" y="29"/>
                                  </a:cubicBezTo>
                                  <a:cubicBezTo>
                                    <a:pt x="293" y="25"/>
                                    <a:pt x="293" y="25"/>
                                    <a:pt x="293" y="25"/>
                                  </a:cubicBezTo>
                                  <a:cubicBezTo>
                                    <a:pt x="270" y="25"/>
                                    <a:pt x="270" y="25"/>
                                    <a:pt x="270" y="25"/>
                                  </a:cubicBezTo>
                                  <a:cubicBezTo>
                                    <a:pt x="249" y="33"/>
                                    <a:pt x="249" y="33"/>
                                    <a:pt x="249" y="33"/>
                                  </a:cubicBezTo>
                                  <a:cubicBezTo>
                                    <a:pt x="234" y="37"/>
                                    <a:pt x="234" y="37"/>
                                    <a:pt x="234" y="37"/>
                                  </a:cubicBezTo>
                                  <a:cubicBezTo>
                                    <a:pt x="224" y="33"/>
                                    <a:pt x="224" y="33"/>
                                    <a:pt x="224" y="33"/>
                                  </a:cubicBezTo>
                                  <a:cubicBezTo>
                                    <a:pt x="212" y="33"/>
                                    <a:pt x="212" y="33"/>
                                    <a:pt x="212" y="33"/>
                                  </a:cubicBezTo>
                                  <a:cubicBezTo>
                                    <a:pt x="201" y="28"/>
                                    <a:pt x="201" y="28"/>
                                    <a:pt x="201" y="28"/>
                                  </a:cubicBezTo>
                                  <a:cubicBezTo>
                                    <a:pt x="190" y="37"/>
                                    <a:pt x="190" y="37"/>
                                    <a:pt x="190" y="37"/>
                                  </a:cubicBezTo>
                                  <a:cubicBezTo>
                                    <a:pt x="181" y="31"/>
                                    <a:pt x="181" y="31"/>
                                    <a:pt x="181" y="31"/>
                                  </a:cubicBezTo>
                                  <a:cubicBezTo>
                                    <a:pt x="168" y="24"/>
                                    <a:pt x="168" y="24"/>
                                    <a:pt x="168" y="24"/>
                                  </a:cubicBezTo>
                                  <a:cubicBezTo>
                                    <a:pt x="157" y="27"/>
                                    <a:pt x="157" y="27"/>
                                    <a:pt x="157" y="27"/>
                                  </a:cubicBezTo>
                                  <a:cubicBezTo>
                                    <a:pt x="142" y="28"/>
                                    <a:pt x="142" y="28"/>
                                    <a:pt x="142" y="28"/>
                                  </a:cubicBezTo>
                                  <a:cubicBezTo>
                                    <a:pt x="130" y="33"/>
                                    <a:pt x="130" y="33"/>
                                    <a:pt x="130" y="33"/>
                                  </a:cubicBezTo>
                                  <a:cubicBezTo>
                                    <a:pt x="126" y="42"/>
                                    <a:pt x="126" y="42"/>
                                    <a:pt x="126" y="42"/>
                                  </a:cubicBezTo>
                                  <a:cubicBezTo>
                                    <a:pt x="118" y="37"/>
                                    <a:pt x="118" y="37"/>
                                    <a:pt x="118" y="37"/>
                                  </a:cubicBezTo>
                                  <a:cubicBezTo>
                                    <a:pt x="98" y="33"/>
                                    <a:pt x="98" y="33"/>
                                    <a:pt x="98" y="33"/>
                                  </a:cubicBezTo>
                                  <a:cubicBezTo>
                                    <a:pt x="83" y="37"/>
                                    <a:pt x="83" y="37"/>
                                    <a:pt x="83" y="37"/>
                                  </a:cubicBezTo>
                                  <a:cubicBezTo>
                                    <a:pt x="73" y="37"/>
                                    <a:pt x="73" y="37"/>
                                    <a:pt x="73" y="37"/>
                                  </a:cubicBezTo>
                                  <a:cubicBezTo>
                                    <a:pt x="65" y="43"/>
                                    <a:pt x="65" y="43"/>
                                    <a:pt x="65" y="43"/>
                                  </a:cubicBezTo>
                                  <a:cubicBezTo>
                                    <a:pt x="59" y="61"/>
                                    <a:pt x="59" y="61"/>
                                    <a:pt x="59" y="61"/>
                                  </a:cubicBezTo>
                                  <a:cubicBezTo>
                                    <a:pt x="43" y="76"/>
                                    <a:pt x="43" y="76"/>
                                    <a:pt x="43" y="76"/>
                                  </a:cubicBezTo>
                                  <a:cubicBezTo>
                                    <a:pt x="34" y="82"/>
                                    <a:pt x="34" y="82"/>
                                    <a:pt x="34" y="82"/>
                                  </a:cubicBezTo>
                                  <a:cubicBezTo>
                                    <a:pt x="34" y="92"/>
                                    <a:pt x="34" y="92"/>
                                    <a:pt x="34" y="92"/>
                                  </a:cubicBezTo>
                                  <a:cubicBezTo>
                                    <a:pt x="12" y="98"/>
                                    <a:pt x="12" y="98"/>
                                    <a:pt x="12" y="98"/>
                                  </a:cubicBezTo>
                                  <a:cubicBezTo>
                                    <a:pt x="10" y="107"/>
                                    <a:pt x="10" y="107"/>
                                    <a:pt x="10" y="107"/>
                                  </a:cubicBezTo>
                                  <a:cubicBezTo>
                                    <a:pt x="18" y="119"/>
                                    <a:pt x="18" y="119"/>
                                    <a:pt x="18" y="119"/>
                                  </a:cubicBezTo>
                                  <a:cubicBezTo>
                                    <a:pt x="11" y="124"/>
                                    <a:pt x="11" y="124"/>
                                    <a:pt x="11" y="124"/>
                                  </a:cubicBezTo>
                                  <a:cubicBezTo>
                                    <a:pt x="2" y="135"/>
                                    <a:pt x="2" y="135"/>
                                    <a:pt x="2" y="135"/>
                                  </a:cubicBezTo>
                                  <a:cubicBezTo>
                                    <a:pt x="5" y="143"/>
                                    <a:pt x="5" y="143"/>
                                    <a:pt x="5" y="143"/>
                                  </a:cubicBezTo>
                                  <a:cubicBezTo>
                                    <a:pt x="0" y="156"/>
                                    <a:pt x="0" y="156"/>
                                    <a:pt x="0" y="156"/>
                                  </a:cubicBezTo>
                                  <a:cubicBezTo>
                                    <a:pt x="11" y="160"/>
                                    <a:pt x="11" y="160"/>
                                    <a:pt x="11" y="160"/>
                                  </a:cubicBezTo>
                                  <a:cubicBezTo>
                                    <a:pt x="21" y="170"/>
                                    <a:pt x="21" y="170"/>
                                    <a:pt x="21" y="170"/>
                                  </a:cubicBezTo>
                                  <a:cubicBezTo>
                                    <a:pt x="30" y="185"/>
                                    <a:pt x="30" y="185"/>
                                    <a:pt x="30" y="185"/>
                                  </a:cubicBezTo>
                                  <a:cubicBezTo>
                                    <a:pt x="38" y="187"/>
                                    <a:pt x="38" y="187"/>
                                    <a:pt x="38" y="187"/>
                                  </a:cubicBezTo>
                                  <a:cubicBezTo>
                                    <a:pt x="49" y="207"/>
                                    <a:pt x="49" y="207"/>
                                    <a:pt x="49" y="207"/>
                                  </a:cubicBezTo>
                                  <a:cubicBezTo>
                                    <a:pt x="47" y="179"/>
                                    <a:pt x="47" y="179"/>
                                    <a:pt x="47" y="179"/>
                                  </a:cubicBezTo>
                                  <a:cubicBezTo>
                                    <a:pt x="46" y="161"/>
                                    <a:pt x="46" y="161"/>
                                    <a:pt x="46" y="161"/>
                                  </a:cubicBezTo>
                                  <a:cubicBezTo>
                                    <a:pt x="53" y="149"/>
                                    <a:pt x="53" y="149"/>
                                    <a:pt x="53" y="149"/>
                                  </a:cubicBezTo>
                                  <a:cubicBezTo>
                                    <a:pt x="57" y="137"/>
                                    <a:pt x="57" y="137"/>
                                    <a:pt x="57" y="137"/>
                                  </a:cubicBezTo>
                                  <a:cubicBezTo>
                                    <a:pt x="51" y="121"/>
                                    <a:pt x="51" y="121"/>
                                    <a:pt x="51" y="121"/>
                                  </a:cubicBezTo>
                                  <a:cubicBezTo>
                                    <a:pt x="51" y="113"/>
                                    <a:pt x="51" y="113"/>
                                    <a:pt x="51" y="113"/>
                                  </a:cubicBezTo>
                                  <a:cubicBezTo>
                                    <a:pt x="61" y="108"/>
                                    <a:pt x="61" y="108"/>
                                    <a:pt x="61" y="108"/>
                                  </a:cubicBezTo>
                                  <a:cubicBezTo>
                                    <a:pt x="74" y="110"/>
                                    <a:pt x="74" y="110"/>
                                    <a:pt x="74" y="110"/>
                                  </a:cubicBezTo>
                                  <a:cubicBezTo>
                                    <a:pt x="84" y="96"/>
                                    <a:pt x="84" y="96"/>
                                    <a:pt x="84" y="96"/>
                                  </a:cubicBezTo>
                                  <a:cubicBezTo>
                                    <a:pt x="88" y="70"/>
                                    <a:pt x="88" y="70"/>
                                    <a:pt x="88" y="70"/>
                                  </a:cubicBezTo>
                                  <a:cubicBezTo>
                                    <a:pt x="99" y="68"/>
                                    <a:pt x="99" y="68"/>
                                    <a:pt x="99" y="68"/>
                                  </a:cubicBezTo>
                                  <a:cubicBezTo>
                                    <a:pt x="113" y="61"/>
                                    <a:pt x="113" y="61"/>
                                    <a:pt x="113" y="61"/>
                                  </a:cubicBezTo>
                                  <a:cubicBezTo>
                                    <a:pt x="119" y="56"/>
                                    <a:pt x="119" y="56"/>
                                    <a:pt x="119" y="56"/>
                                  </a:cubicBezTo>
                                  <a:cubicBezTo>
                                    <a:pt x="130" y="52"/>
                                    <a:pt x="130" y="52"/>
                                    <a:pt x="130" y="52"/>
                                  </a:cubicBezTo>
                                  <a:cubicBezTo>
                                    <a:pt x="126" y="45"/>
                                    <a:pt x="132" y="51"/>
                                    <a:pt x="136" y="54"/>
                                  </a:cubicBezTo>
                                  <a:cubicBezTo>
                                    <a:pt x="149" y="52"/>
                                    <a:pt x="149" y="52"/>
                                    <a:pt x="149" y="52"/>
                                  </a:cubicBezTo>
                                  <a:cubicBezTo>
                                    <a:pt x="163" y="52"/>
                                    <a:pt x="163" y="52"/>
                                    <a:pt x="163" y="52"/>
                                  </a:cubicBezTo>
                                  <a:cubicBezTo>
                                    <a:pt x="176" y="47"/>
                                    <a:pt x="176" y="47"/>
                                    <a:pt x="176" y="47"/>
                                  </a:cubicBezTo>
                                  <a:cubicBezTo>
                                    <a:pt x="215" y="47"/>
                                    <a:pt x="215" y="47"/>
                                    <a:pt x="215" y="47"/>
                                  </a:cubicBezTo>
                                  <a:cubicBezTo>
                                    <a:pt x="226" y="50"/>
                                    <a:pt x="226" y="50"/>
                                    <a:pt x="226" y="50"/>
                                  </a:cubicBezTo>
                                  <a:cubicBezTo>
                                    <a:pt x="238" y="46"/>
                                    <a:pt x="238" y="46"/>
                                    <a:pt x="238" y="46"/>
                                  </a:cubicBezTo>
                                  <a:cubicBezTo>
                                    <a:pt x="253" y="43"/>
                                    <a:pt x="253" y="43"/>
                                    <a:pt x="253" y="43"/>
                                  </a:cubicBezTo>
                                  <a:cubicBezTo>
                                    <a:pt x="261" y="47"/>
                                    <a:pt x="261" y="47"/>
                                    <a:pt x="261" y="47"/>
                                  </a:cubicBezTo>
                                  <a:cubicBezTo>
                                    <a:pt x="286" y="47"/>
                                    <a:pt x="286" y="47"/>
                                    <a:pt x="286" y="47"/>
                                  </a:cubicBezTo>
                                  <a:cubicBezTo>
                                    <a:pt x="290" y="51"/>
                                    <a:pt x="290" y="51"/>
                                    <a:pt x="290" y="51"/>
                                  </a:cubicBezTo>
                                  <a:cubicBezTo>
                                    <a:pt x="302" y="51"/>
                                    <a:pt x="302" y="51"/>
                                    <a:pt x="302" y="51"/>
                                  </a:cubicBezTo>
                                  <a:cubicBezTo>
                                    <a:pt x="320" y="42"/>
                                    <a:pt x="320" y="42"/>
                                    <a:pt x="320" y="42"/>
                                  </a:cubicBezTo>
                                  <a:cubicBezTo>
                                    <a:pt x="329" y="42"/>
                                    <a:pt x="329" y="42"/>
                                    <a:pt x="329" y="42"/>
                                  </a:cubicBezTo>
                                  <a:cubicBezTo>
                                    <a:pt x="350" y="41"/>
                                    <a:pt x="350" y="41"/>
                                    <a:pt x="350" y="41"/>
                                  </a:cubicBezTo>
                                  <a:cubicBezTo>
                                    <a:pt x="359" y="33"/>
                                    <a:pt x="359" y="33"/>
                                    <a:pt x="359" y="33"/>
                                  </a:cubicBezTo>
                                  <a:cubicBezTo>
                                    <a:pt x="361" y="14"/>
                                    <a:pt x="361" y="14"/>
                                    <a:pt x="361" y="14"/>
                                  </a:cubicBezTo>
                                  <a:cubicBezTo>
                                    <a:pt x="372" y="12"/>
                                    <a:pt x="372" y="12"/>
                                    <a:pt x="372" y="12"/>
                                  </a:cubicBezTo>
                                  <a:cubicBezTo>
                                    <a:pt x="365" y="0"/>
                                    <a:pt x="365" y="0"/>
                                    <a:pt x="365" y="0"/>
                                  </a:cubicBezTo>
                                  <a:cubicBezTo>
                                    <a:pt x="355" y="0"/>
                                    <a:pt x="355" y="0"/>
                                    <a:pt x="355" y="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78" name="Freeform 84"/>
                          <wps:cNvSpPr/>
                          <wps:spPr bwMode="auto">
                            <a:xfrm>
                              <a:off x="7312025" y="2088265"/>
                              <a:ext cx="304800" cy="104775"/>
                            </a:xfrm>
                            <a:custGeom>
                              <a:avLst/>
                              <a:gdLst>
                                <a:gd name="T0" fmla="*/ 2147483646 w 192"/>
                                <a:gd name="T1" fmla="*/ 2147483646 h 66"/>
                                <a:gd name="T2" fmla="*/ 2147483646 w 192"/>
                                <a:gd name="T3" fmla="*/ 2147483646 h 66"/>
                                <a:gd name="T4" fmla="*/ 2147483646 w 192"/>
                                <a:gd name="T5" fmla="*/ 0 h 66"/>
                                <a:gd name="T6" fmla="*/ 2147483646 w 192"/>
                                <a:gd name="T7" fmla="*/ 2147483646 h 66"/>
                                <a:gd name="T8" fmla="*/ 2147483646 w 192"/>
                                <a:gd name="T9" fmla="*/ 2147483646 h 66"/>
                                <a:gd name="T10" fmla="*/ 0 w 192"/>
                                <a:gd name="T11" fmla="*/ 2147483646 h 66"/>
                                <a:gd name="T12" fmla="*/ 2147483646 w 192"/>
                                <a:gd name="T13" fmla="*/ 2147483646 h 66"/>
                                <a:gd name="T14" fmla="*/ 2147483646 w 192"/>
                                <a:gd name="T15" fmla="*/ 2147483646 h 66"/>
                                <a:gd name="T16" fmla="*/ 2147483646 w 192"/>
                                <a:gd name="T17" fmla="*/ 2147483646 h 66"/>
                                <a:gd name="T18" fmla="*/ 2147483646 w 192"/>
                                <a:gd name="T19" fmla="*/ 2147483646 h 66"/>
                                <a:gd name="T20" fmla="*/ 2147483646 w 192"/>
                                <a:gd name="T21" fmla="*/ 2147483646 h 66"/>
                                <a:gd name="T22" fmla="*/ 2147483646 w 192"/>
                                <a:gd name="T23" fmla="*/ 2147483646 h 66"/>
                                <a:gd name="T24" fmla="*/ 2147483646 w 192"/>
                                <a:gd name="T25" fmla="*/ 2147483646 h 66"/>
                                <a:gd name="T26" fmla="*/ 2147483646 w 192"/>
                                <a:gd name="T27" fmla="*/ 2147483646 h 66"/>
                                <a:gd name="T28" fmla="*/ 2147483646 w 192"/>
                                <a:gd name="T29" fmla="*/ 2147483646 h 66"/>
                                <a:gd name="T30" fmla="*/ 2147483646 w 192"/>
                                <a:gd name="T31" fmla="*/ 2147483646 h 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2"/>
                                <a:gd name="T49" fmla="*/ 0 h 66"/>
                                <a:gd name="T50" fmla="*/ 192 w 192"/>
                                <a:gd name="T51" fmla="*/ 66 h 6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2" h="66">
                                  <a:moveTo>
                                    <a:pt x="136" y="17"/>
                                  </a:moveTo>
                                  <a:lnTo>
                                    <a:pt x="114" y="11"/>
                                  </a:lnTo>
                                  <a:lnTo>
                                    <a:pt x="103" y="0"/>
                                  </a:lnTo>
                                  <a:lnTo>
                                    <a:pt x="23" y="4"/>
                                  </a:lnTo>
                                  <a:lnTo>
                                    <a:pt x="13" y="11"/>
                                  </a:lnTo>
                                  <a:lnTo>
                                    <a:pt x="0" y="17"/>
                                  </a:lnTo>
                                  <a:lnTo>
                                    <a:pt x="13" y="29"/>
                                  </a:lnTo>
                                  <a:lnTo>
                                    <a:pt x="35" y="37"/>
                                  </a:lnTo>
                                  <a:lnTo>
                                    <a:pt x="91" y="35"/>
                                  </a:lnTo>
                                  <a:lnTo>
                                    <a:pt x="116" y="54"/>
                                  </a:lnTo>
                                  <a:lnTo>
                                    <a:pt x="143" y="56"/>
                                  </a:lnTo>
                                  <a:lnTo>
                                    <a:pt x="176" y="66"/>
                                  </a:lnTo>
                                  <a:lnTo>
                                    <a:pt x="192" y="29"/>
                                  </a:lnTo>
                                  <a:lnTo>
                                    <a:pt x="178" y="17"/>
                                  </a:lnTo>
                                  <a:lnTo>
                                    <a:pt x="136" y="17"/>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79" name="Freeform 85"/>
                          <wps:cNvSpPr/>
                          <wps:spPr bwMode="auto">
                            <a:xfrm>
                              <a:off x="1690564" y="1437391"/>
                              <a:ext cx="1984229" cy="1760537"/>
                            </a:xfrm>
                            <a:custGeom>
                              <a:avLst/>
                              <a:gdLst>
                                <a:gd name="T0" fmla="*/ 263 w 643"/>
                                <a:gd name="T1" fmla="*/ 542 h 571"/>
                                <a:gd name="T2" fmla="*/ 130 w 643"/>
                                <a:gd name="T3" fmla="*/ 571 h 571"/>
                                <a:gd name="T4" fmla="*/ 121 w 643"/>
                                <a:gd name="T5" fmla="*/ 487 h 571"/>
                                <a:gd name="T6" fmla="*/ 121 w 643"/>
                                <a:gd name="T7" fmla="*/ 484 h 571"/>
                                <a:gd name="T8" fmla="*/ 115 w 643"/>
                                <a:gd name="T9" fmla="*/ 437 h 571"/>
                                <a:gd name="T10" fmla="*/ 71 w 643"/>
                                <a:gd name="T11" fmla="*/ 416 h 571"/>
                                <a:gd name="T12" fmla="*/ 55 w 643"/>
                                <a:gd name="T13" fmla="*/ 375 h 571"/>
                                <a:gd name="T14" fmla="*/ 50 w 643"/>
                                <a:gd name="T15" fmla="*/ 344 h 571"/>
                                <a:gd name="T16" fmla="*/ 70 w 643"/>
                                <a:gd name="T17" fmla="*/ 303 h 571"/>
                                <a:gd name="T18" fmla="*/ 61 w 643"/>
                                <a:gd name="T19" fmla="*/ 288 h 571"/>
                                <a:gd name="T20" fmla="*/ 68 w 643"/>
                                <a:gd name="T21" fmla="*/ 222 h 571"/>
                                <a:gd name="T22" fmla="*/ 46 w 643"/>
                                <a:gd name="T23" fmla="*/ 210 h 571"/>
                                <a:gd name="T24" fmla="*/ 15 w 643"/>
                                <a:gd name="T25" fmla="*/ 208 h 571"/>
                                <a:gd name="T26" fmla="*/ 23 w 643"/>
                                <a:gd name="T27" fmla="*/ 179 h 571"/>
                                <a:gd name="T28" fmla="*/ 23 w 643"/>
                                <a:gd name="T29" fmla="*/ 172 h 571"/>
                                <a:gd name="T30" fmla="*/ 10 w 643"/>
                                <a:gd name="T31" fmla="*/ 131 h 571"/>
                                <a:gd name="T32" fmla="*/ 50 w 643"/>
                                <a:gd name="T33" fmla="*/ 129 h 571"/>
                                <a:gd name="T34" fmla="*/ 73 w 643"/>
                                <a:gd name="T35" fmla="*/ 98 h 571"/>
                                <a:gd name="T36" fmla="*/ 70 w 643"/>
                                <a:gd name="T37" fmla="*/ 75 h 571"/>
                                <a:gd name="T38" fmla="*/ 73 w 643"/>
                                <a:gd name="T39" fmla="*/ 46 h 571"/>
                                <a:gd name="T40" fmla="*/ 66 w 643"/>
                                <a:gd name="T41" fmla="*/ 14 h 571"/>
                                <a:gd name="T42" fmla="*/ 102 w 643"/>
                                <a:gd name="T43" fmla="*/ 21 h 571"/>
                                <a:gd name="T44" fmla="*/ 167 w 643"/>
                                <a:gd name="T45" fmla="*/ 30 h 571"/>
                                <a:gd name="T46" fmla="*/ 229 w 643"/>
                                <a:gd name="T47" fmla="*/ 20 h 571"/>
                                <a:gd name="T48" fmla="*/ 268 w 643"/>
                                <a:gd name="T49" fmla="*/ 22 h 571"/>
                                <a:gd name="T50" fmla="*/ 312 w 643"/>
                                <a:gd name="T51" fmla="*/ 53 h 571"/>
                                <a:gd name="T52" fmla="*/ 368 w 643"/>
                                <a:gd name="T53" fmla="*/ 84 h 571"/>
                                <a:gd name="T54" fmla="*/ 394 w 643"/>
                                <a:gd name="T55" fmla="*/ 64 h 571"/>
                                <a:gd name="T56" fmla="*/ 436 w 643"/>
                                <a:gd name="T57" fmla="*/ 78 h 571"/>
                                <a:gd name="T58" fmla="*/ 492 w 643"/>
                                <a:gd name="T59" fmla="*/ 30 h 571"/>
                                <a:gd name="T60" fmla="*/ 513 w 643"/>
                                <a:gd name="T61" fmla="*/ 41 h 571"/>
                                <a:gd name="T62" fmla="*/ 518 w 643"/>
                                <a:gd name="T63" fmla="*/ 50 h 571"/>
                                <a:gd name="T64" fmla="*/ 530 w 643"/>
                                <a:gd name="T65" fmla="*/ 42 h 571"/>
                                <a:gd name="T66" fmla="*/ 537 w 643"/>
                                <a:gd name="T67" fmla="*/ 56 h 571"/>
                                <a:gd name="T68" fmla="*/ 538 w 643"/>
                                <a:gd name="T69" fmla="*/ 70 h 571"/>
                                <a:gd name="T70" fmla="*/ 537 w 643"/>
                                <a:gd name="T71" fmla="*/ 85 h 571"/>
                                <a:gd name="T72" fmla="*/ 546 w 643"/>
                                <a:gd name="T73" fmla="*/ 96 h 571"/>
                                <a:gd name="T74" fmla="*/ 559 w 643"/>
                                <a:gd name="T75" fmla="*/ 130 h 571"/>
                                <a:gd name="T76" fmla="*/ 565 w 643"/>
                                <a:gd name="T77" fmla="*/ 137 h 571"/>
                                <a:gd name="T78" fmla="*/ 547 w 643"/>
                                <a:gd name="T79" fmla="*/ 171 h 571"/>
                                <a:gd name="T80" fmla="*/ 534 w 643"/>
                                <a:gd name="T81" fmla="*/ 192 h 571"/>
                                <a:gd name="T82" fmla="*/ 525 w 643"/>
                                <a:gd name="T83" fmla="*/ 201 h 571"/>
                                <a:gd name="T84" fmla="*/ 526 w 643"/>
                                <a:gd name="T85" fmla="*/ 235 h 571"/>
                                <a:gd name="T86" fmla="*/ 548 w 643"/>
                                <a:gd name="T87" fmla="*/ 260 h 571"/>
                                <a:gd name="T88" fmla="*/ 556 w 643"/>
                                <a:gd name="T89" fmla="*/ 264 h 571"/>
                                <a:gd name="T90" fmla="*/ 562 w 643"/>
                                <a:gd name="T91" fmla="*/ 256 h 571"/>
                                <a:gd name="T92" fmla="*/ 566 w 643"/>
                                <a:gd name="T93" fmla="*/ 271 h 571"/>
                                <a:gd name="T94" fmla="*/ 580 w 643"/>
                                <a:gd name="T95" fmla="*/ 284 h 571"/>
                                <a:gd name="T96" fmla="*/ 595 w 643"/>
                                <a:gd name="T97" fmla="*/ 293 h 571"/>
                                <a:gd name="T98" fmla="*/ 631 w 643"/>
                                <a:gd name="T99" fmla="*/ 342 h 571"/>
                                <a:gd name="T100" fmla="*/ 642 w 643"/>
                                <a:gd name="T101" fmla="*/ 356 h 571"/>
                                <a:gd name="T102" fmla="*/ 601 w 643"/>
                                <a:gd name="T103" fmla="*/ 394 h 571"/>
                                <a:gd name="T104" fmla="*/ 569 w 643"/>
                                <a:gd name="T105" fmla="*/ 413 h 571"/>
                                <a:gd name="T106" fmla="*/ 546 w 643"/>
                                <a:gd name="T107" fmla="*/ 422 h 571"/>
                                <a:gd name="T108" fmla="*/ 533 w 643"/>
                                <a:gd name="T109" fmla="*/ 413 h 571"/>
                                <a:gd name="T110" fmla="*/ 530 w 643"/>
                                <a:gd name="T111" fmla="*/ 401 h 571"/>
                                <a:gd name="T112" fmla="*/ 486 w 643"/>
                                <a:gd name="T113" fmla="*/ 355 h 571"/>
                                <a:gd name="T114" fmla="*/ 450 w 643"/>
                                <a:gd name="T115" fmla="*/ 355 h 571"/>
                                <a:gd name="T116" fmla="*/ 380 w 643"/>
                                <a:gd name="T117" fmla="*/ 413 h 571"/>
                                <a:gd name="T118" fmla="*/ 367 w 643"/>
                                <a:gd name="T119" fmla="*/ 432 h 571"/>
                                <a:gd name="T120" fmla="*/ 300 w 643"/>
                                <a:gd name="T121" fmla="*/ 494 h 571"/>
                                <a:gd name="T122" fmla="*/ 294 w 643"/>
                                <a:gd name="T123" fmla="*/ 505 h 571"/>
                                <a:gd name="T124" fmla="*/ 271 w 643"/>
                                <a:gd name="T125" fmla="*/ 508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solidFill>
                              <a:srgbClr val="44546A">
                                <a:lumMod val="20000"/>
                                <a:lumOff val="80000"/>
                              </a:srgbClr>
                            </a:solidFill>
                            <a:ln w="9525">
                              <a:noFill/>
                              <a:prstDash val="solid"/>
                              <a:round/>
                              <a:headEnd/>
                              <a:tailEnd/>
                            </a:ln>
                          </wps:spPr>
                          <wps:bodyPr/>
                        </wps:wsp>
                        <wps:wsp>
                          <wps:cNvPr id="380" name="Freeform 86"/>
                          <wps:cNvSpPr/>
                          <wps:spPr bwMode="auto">
                            <a:xfrm>
                              <a:off x="1690688" y="1437390"/>
                              <a:ext cx="1984375" cy="1760538"/>
                            </a:xfrm>
                            <a:custGeom>
                              <a:avLst/>
                              <a:gdLst>
                                <a:gd name="T0" fmla="*/ 2147483646 w 643"/>
                                <a:gd name="T1" fmla="*/ 2147483646 h 571"/>
                                <a:gd name="T2" fmla="*/ 2147483646 w 643"/>
                                <a:gd name="T3" fmla="*/ 2147483646 h 571"/>
                                <a:gd name="T4" fmla="*/ 2147483646 w 643"/>
                                <a:gd name="T5" fmla="*/ 2147483646 h 571"/>
                                <a:gd name="T6" fmla="*/ 2147483646 w 643"/>
                                <a:gd name="T7" fmla="*/ 2147483646 h 571"/>
                                <a:gd name="T8" fmla="*/ 2147483646 w 643"/>
                                <a:gd name="T9" fmla="*/ 2147483646 h 571"/>
                                <a:gd name="T10" fmla="*/ 2147483646 w 643"/>
                                <a:gd name="T11" fmla="*/ 2147483646 h 571"/>
                                <a:gd name="T12" fmla="*/ 2147483646 w 643"/>
                                <a:gd name="T13" fmla="*/ 2147483646 h 571"/>
                                <a:gd name="T14" fmla="*/ 2147483646 w 643"/>
                                <a:gd name="T15" fmla="*/ 2147483646 h 571"/>
                                <a:gd name="T16" fmla="*/ 2147483646 w 643"/>
                                <a:gd name="T17" fmla="*/ 2147483646 h 571"/>
                                <a:gd name="T18" fmla="*/ 2147483646 w 643"/>
                                <a:gd name="T19" fmla="*/ 2147483646 h 571"/>
                                <a:gd name="T20" fmla="*/ 2147483646 w 643"/>
                                <a:gd name="T21" fmla="*/ 2147483646 h 571"/>
                                <a:gd name="T22" fmla="*/ 2147483646 w 643"/>
                                <a:gd name="T23" fmla="*/ 2147483646 h 571"/>
                                <a:gd name="T24" fmla="*/ 2147483646 w 643"/>
                                <a:gd name="T25" fmla="*/ 2147483646 h 571"/>
                                <a:gd name="T26" fmla="*/ 2147483646 w 643"/>
                                <a:gd name="T27" fmla="*/ 2147483646 h 571"/>
                                <a:gd name="T28" fmla="*/ 2147483646 w 643"/>
                                <a:gd name="T29" fmla="*/ 2147483646 h 571"/>
                                <a:gd name="T30" fmla="*/ 2147483646 w 643"/>
                                <a:gd name="T31" fmla="*/ 2147483646 h 571"/>
                                <a:gd name="T32" fmla="*/ 2147483646 w 643"/>
                                <a:gd name="T33" fmla="*/ 2147483646 h 571"/>
                                <a:gd name="T34" fmla="*/ 2147483646 w 643"/>
                                <a:gd name="T35" fmla="*/ 2147483646 h 571"/>
                                <a:gd name="T36" fmla="*/ 2147483646 w 643"/>
                                <a:gd name="T37" fmla="*/ 2147483646 h 571"/>
                                <a:gd name="T38" fmla="*/ 2147483646 w 643"/>
                                <a:gd name="T39" fmla="*/ 2147483646 h 571"/>
                                <a:gd name="T40" fmla="*/ 2147483646 w 643"/>
                                <a:gd name="T41" fmla="*/ 2147483646 h 571"/>
                                <a:gd name="T42" fmla="*/ 2147483646 w 643"/>
                                <a:gd name="T43" fmla="*/ 2147483646 h 571"/>
                                <a:gd name="T44" fmla="*/ 2147483646 w 643"/>
                                <a:gd name="T45" fmla="*/ 2147483646 h 571"/>
                                <a:gd name="T46" fmla="*/ 2147483646 w 643"/>
                                <a:gd name="T47" fmla="*/ 2147483646 h 571"/>
                                <a:gd name="T48" fmla="*/ 2147483646 w 643"/>
                                <a:gd name="T49" fmla="*/ 2147483646 h 571"/>
                                <a:gd name="T50" fmla="*/ 2147483646 w 643"/>
                                <a:gd name="T51" fmla="*/ 2147483646 h 571"/>
                                <a:gd name="T52" fmla="*/ 2147483646 w 643"/>
                                <a:gd name="T53" fmla="*/ 2147483646 h 571"/>
                                <a:gd name="T54" fmla="*/ 2147483646 w 643"/>
                                <a:gd name="T55" fmla="*/ 2147483646 h 571"/>
                                <a:gd name="T56" fmla="*/ 2147483646 w 643"/>
                                <a:gd name="T57" fmla="*/ 2147483646 h 571"/>
                                <a:gd name="T58" fmla="*/ 2147483646 w 643"/>
                                <a:gd name="T59" fmla="*/ 2147483646 h 571"/>
                                <a:gd name="T60" fmla="*/ 2147483646 w 643"/>
                                <a:gd name="T61" fmla="*/ 2147483646 h 571"/>
                                <a:gd name="T62" fmla="*/ 2147483646 w 643"/>
                                <a:gd name="T63" fmla="*/ 2147483646 h 571"/>
                                <a:gd name="T64" fmla="*/ 2147483646 w 643"/>
                                <a:gd name="T65" fmla="*/ 2147483646 h 571"/>
                                <a:gd name="T66" fmla="*/ 2147483646 w 643"/>
                                <a:gd name="T67" fmla="*/ 2147483646 h 571"/>
                                <a:gd name="T68" fmla="*/ 2147483646 w 643"/>
                                <a:gd name="T69" fmla="*/ 2147483646 h 571"/>
                                <a:gd name="T70" fmla="*/ 2147483646 w 643"/>
                                <a:gd name="T71" fmla="*/ 2147483646 h 571"/>
                                <a:gd name="T72" fmla="*/ 2147483646 w 643"/>
                                <a:gd name="T73" fmla="*/ 2147483646 h 571"/>
                                <a:gd name="T74" fmla="*/ 2147483646 w 643"/>
                                <a:gd name="T75" fmla="*/ 2147483646 h 571"/>
                                <a:gd name="T76" fmla="*/ 2147483646 w 643"/>
                                <a:gd name="T77" fmla="*/ 2147483646 h 571"/>
                                <a:gd name="T78" fmla="*/ 2147483646 w 643"/>
                                <a:gd name="T79" fmla="*/ 2147483646 h 571"/>
                                <a:gd name="T80" fmla="*/ 2147483646 w 643"/>
                                <a:gd name="T81" fmla="*/ 2147483646 h 571"/>
                                <a:gd name="T82" fmla="*/ 2147483646 w 643"/>
                                <a:gd name="T83" fmla="*/ 2147483646 h 571"/>
                                <a:gd name="T84" fmla="*/ 2147483646 w 643"/>
                                <a:gd name="T85" fmla="*/ 2147483646 h 571"/>
                                <a:gd name="T86" fmla="*/ 2147483646 w 643"/>
                                <a:gd name="T87" fmla="*/ 2147483646 h 571"/>
                                <a:gd name="T88" fmla="*/ 2147483646 w 643"/>
                                <a:gd name="T89" fmla="*/ 2147483646 h 571"/>
                                <a:gd name="T90" fmla="*/ 2147483646 w 643"/>
                                <a:gd name="T91" fmla="*/ 2147483646 h 571"/>
                                <a:gd name="T92" fmla="*/ 2147483646 w 643"/>
                                <a:gd name="T93" fmla="*/ 2147483646 h 571"/>
                                <a:gd name="T94" fmla="*/ 2147483646 w 643"/>
                                <a:gd name="T95" fmla="*/ 2147483646 h 571"/>
                                <a:gd name="T96" fmla="*/ 2147483646 w 643"/>
                                <a:gd name="T97" fmla="*/ 2147483646 h 571"/>
                                <a:gd name="T98" fmla="*/ 2147483646 w 643"/>
                                <a:gd name="T99" fmla="*/ 2147483646 h 571"/>
                                <a:gd name="T100" fmla="*/ 2147483646 w 643"/>
                                <a:gd name="T101" fmla="*/ 2147483646 h 571"/>
                                <a:gd name="T102" fmla="*/ 2147483646 w 643"/>
                                <a:gd name="T103" fmla="*/ 2147483646 h 571"/>
                                <a:gd name="T104" fmla="*/ 2147483646 w 643"/>
                                <a:gd name="T105" fmla="*/ 2147483646 h 571"/>
                                <a:gd name="T106" fmla="*/ 2147483646 w 643"/>
                                <a:gd name="T107" fmla="*/ 2147483646 h 571"/>
                                <a:gd name="T108" fmla="*/ 2147483646 w 643"/>
                                <a:gd name="T109" fmla="*/ 2147483646 h 571"/>
                                <a:gd name="T110" fmla="*/ 2147483646 w 643"/>
                                <a:gd name="T111" fmla="*/ 2147483646 h 571"/>
                                <a:gd name="T112" fmla="*/ 2147483646 w 643"/>
                                <a:gd name="T113" fmla="*/ 2147483646 h 571"/>
                                <a:gd name="T114" fmla="*/ 2147483646 w 643"/>
                                <a:gd name="T115" fmla="*/ 2147483646 h 571"/>
                                <a:gd name="T116" fmla="*/ 2147483646 w 643"/>
                                <a:gd name="T117" fmla="*/ 2147483646 h 571"/>
                                <a:gd name="T118" fmla="*/ 2147483646 w 643"/>
                                <a:gd name="T119" fmla="*/ 2147483646 h 571"/>
                                <a:gd name="T120" fmla="*/ 2147483646 w 643"/>
                                <a:gd name="T121" fmla="*/ 2147483646 h 571"/>
                                <a:gd name="T122" fmla="*/ 2147483646 w 643"/>
                                <a:gd name="T123" fmla="*/ 2147483646 h 571"/>
                                <a:gd name="T124" fmla="*/ 2147483646 w 643"/>
                                <a:gd name="T125" fmla="*/ 2147483646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1" name="Freeform 87"/>
                          <wps:cNvSpPr/>
                          <wps:spPr bwMode="auto">
                            <a:xfrm>
                              <a:off x="2536825" y="2540703"/>
                              <a:ext cx="1879600" cy="1636712"/>
                            </a:xfrm>
                            <a:custGeom>
                              <a:avLst/>
                              <a:gdLst>
                                <a:gd name="T0" fmla="*/ 2147483646 w 609"/>
                                <a:gd name="T1" fmla="*/ 2147483646 h 530"/>
                                <a:gd name="T2" fmla="*/ 2147483646 w 609"/>
                                <a:gd name="T3" fmla="*/ 2147483646 h 530"/>
                                <a:gd name="T4" fmla="*/ 2147483646 w 609"/>
                                <a:gd name="T5" fmla="*/ 2147483646 h 530"/>
                                <a:gd name="T6" fmla="*/ 2147483646 w 609"/>
                                <a:gd name="T7" fmla="*/ 2147483646 h 530"/>
                                <a:gd name="T8" fmla="*/ 2147483646 w 609"/>
                                <a:gd name="T9" fmla="*/ 2147483646 h 530"/>
                                <a:gd name="T10" fmla="*/ 2147483646 w 609"/>
                                <a:gd name="T11" fmla="*/ 2147483646 h 530"/>
                                <a:gd name="T12" fmla="*/ 2147483646 w 609"/>
                                <a:gd name="T13" fmla="*/ 2147483646 h 530"/>
                                <a:gd name="T14" fmla="*/ 2147483646 w 609"/>
                                <a:gd name="T15" fmla="*/ 2147483646 h 530"/>
                                <a:gd name="T16" fmla="*/ 2147483646 w 609"/>
                                <a:gd name="T17" fmla="*/ 2147483646 h 530"/>
                                <a:gd name="T18" fmla="*/ 2147483646 w 609"/>
                                <a:gd name="T19" fmla="*/ 2147483646 h 530"/>
                                <a:gd name="T20" fmla="*/ 2147483646 w 609"/>
                                <a:gd name="T21" fmla="*/ 2147483646 h 530"/>
                                <a:gd name="T22" fmla="*/ 2147483646 w 609"/>
                                <a:gd name="T23" fmla="*/ 2147483646 h 530"/>
                                <a:gd name="T24" fmla="*/ 2147483646 w 609"/>
                                <a:gd name="T25" fmla="*/ 2147483646 h 530"/>
                                <a:gd name="T26" fmla="*/ 2147483646 w 609"/>
                                <a:gd name="T27" fmla="*/ 2147483646 h 530"/>
                                <a:gd name="T28" fmla="*/ 2147483646 w 609"/>
                                <a:gd name="T29" fmla="*/ 2147483646 h 530"/>
                                <a:gd name="T30" fmla="*/ 2147483646 w 609"/>
                                <a:gd name="T31" fmla="*/ 2147483646 h 530"/>
                                <a:gd name="T32" fmla="*/ 2147483646 w 609"/>
                                <a:gd name="T33" fmla="*/ 2147483646 h 530"/>
                                <a:gd name="T34" fmla="*/ 2147483646 w 609"/>
                                <a:gd name="T35" fmla="*/ 2147483646 h 530"/>
                                <a:gd name="T36" fmla="*/ 2147483646 w 609"/>
                                <a:gd name="T37" fmla="*/ 2147483646 h 530"/>
                                <a:gd name="T38" fmla="*/ 2147483646 w 609"/>
                                <a:gd name="T39" fmla="*/ 2147483646 h 530"/>
                                <a:gd name="T40" fmla="*/ 2147483646 w 609"/>
                                <a:gd name="T41" fmla="*/ 2147483646 h 530"/>
                                <a:gd name="T42" fmla="*/ 2147483646 w 609"/>
                                <a:gd name="T43" fmla="*/ 2147483646 h 530"/>
                                <a:gd name="T44" fmla="*/ 2147483646 w 609"/>
                                <a:gd name="T45" fmla="*/ 2147483646 h 530"/>
                                <a:gd name="T46" fmla="*/ 2147483646 w 609"/>
                                <a:gd name="T47" fmla="*/ 2147483646 h 530"/>
                                <a:gd name="T48" fmla="*/ 2147483646 w 609"/>
                                <a:gd name="T49" fmla="*/ 2147483646 h 530"/>
                                <a:gd name="T50" fmla="*/ 2147483646 w 609"/>
                                <a:gd name="T51" fmla="*/ 2147483646 h 530"/>
                                <a:gd name="T52" fmla="*/ 2147483646 w 609"/>
                                <a:gd name="T53" fmla="*/ 2147483646 h 530"/>
                                <a:gd name="T54" fmla="*/ 2147483646 w 609"/>
                                <a:gd name="T55" fmla="*/ 2147483646 h 530"/>
                                <a:gd name="T56" fmla="*/ 2147483646 w 609"/>
                                <a:gd name="T57" fmla="*/ 2147483646 h 530"/>
                                <a:gd name="T58" fmla="*/ 2147483646 w 609"/>
                                <a:gd name="T59" fmla="*/ 2147483646 h 530"/>
                                <a:gd name="T60" fmla="*/ 2147483646 w 609"/>
                                <a:gd name="T61" fmla="*/ 2147483646 h 530"/>
                                <a:gd name="T62" fmla="*/ 2147483646 w 609"/>
                                <a:gd name="T63" fmla="*/ 2147483646 h 530"/>
                                <a:gd name="T64" fmla="*/ 2147483646 w 609"/>
                                <a:gd name="T65" fmla="*/ 2147483646 h 530"/>
                                <a:gd name="T66" fmla="*/ 2147483646 w 609"/>
                                <a:gd name="T67" fmla="*/ 2147483646 h 530"/>
                                <a:gd name="T68" fmla="*/ 2147483646 w 609"/>
                                <a:gd name="T69" fmla="*/ 2147483646 h 530"/>
                                <a:gd name="T70" fmla="*/ 2147483646 w 609"/>
                                <a:gd name="T71" fmla="*/ 2147483646 h 530"/>
                                <a:gd name="T72" fmla="*/ 2147483646 w 609"/>
                                <a:gd name="T73" fmla="*/ 2147483646 h 530"/>
                                <a:gd name="T74" fmla="*/ 2147483646 w 609"/>
                                <a:gd name="T75" fmla="*/ 2147483646 h 530"/>
                                <a:gd name="T76" fmla="*/ 2147483646 w 609"/>
                                <a:gd name="T77" fmla="*/ 2147483646 h 530"/>
                                <a:gd name="T78" fmla="*/ 2147483646 w 609"/>
                                <a:gd name="T79" fmla="*/ 2147483646 h 530"/>
                                <a:gd name="T80" fmla="*/ 2147483646 w 609"/>
                                <a:gd name="T81" fmla="*/ 2147483646 h 530"/>
                                <a:gd name="T82" fmla="*/ 2147483646 w 609"/>
                                <a:gd name="T83" fmla="*/ 2147483646 h 530"/>
                                <a:gd name="T84" fmla="*/ 2147483646 w 609"/>
                                <a:gd name="T85" fmla="*/ 2147483646 h 530"/>
                                <a:gd name="T86" fmla="*/ 2147483646 w 609"/>
                                <a:gd name="T87" fmla="*/ 2147483646 h 530"/>
                                <a:gd name="T88" fmla="*/ 2147483646 w 609"/>
                                <a:gd name="T89" fmla="*/ 2147483646 h 530"/>
                                <a:gd name="T90" fmla="*/ 2147483646 w 609"/>
                                <a:gd name="T91" fmla="*/ 2147483646 h 530"/>
                                <a:gd name="T92" fmla="*/ 2147483646 w 609"/>
                                <a:gd name="T93" fmla="*/ 2147483646 h 530"/>
                                <a:gd name="T94" fmla="*/ 2147483646 w 609"/>
                                <a:gd name="T95" fmla="*/ 2147483646 h 530"/>
                                <a:gd name="T96" fmla="*/ 2147483646 w 609"/>
                                <a:gd name="T97" fmla="*/ 2147483646 h 530"/>
                                <a:gd name="T98" fmla="*/ 2147483646 w 609"/>
                                <a:gd name="T99" fmla="*/ 2147483646 h 530"/>
                                <a:gd name="T100" fmla="*/ 2147483646 w 609"/>
                                <a:gd name="T101" fmla="*/ 0 h 530"/>
                                <a:gd name="T102" fmla="*/ 2147483646 w 609"/>
                                <a:gd name="T103" fmla="*/ 2147483646 h 530"/>
                                <a:gd name="T104" fmla="*/ 2147483646 w 609"/>
                                <a:gd name="T105" fmla="*/ 2147483646 h 530"/>
                                <a:gd name="T106" fmla="*/ 2147483646 w 609"/>
                                <a:gd name="T107" fmla="*/ 2147483646 h 530"/>
                                <a:gd name="T108" fmla="*/ 2147483646 w 609"/>
                                <a:gd name="T109" fmla="*/ 2147483646 h 530"/>
                                <a:gd name="T110" fmla="*/ 2147483646 w 609"/>
                                <a:gd name="T111" fmla="*/ 2147483646 h 530"/>
                                <a:gd name="T112" fmla="*/ 2147483646 w 609"/>
                                <a:gd name="T113" fmla="*/ 2147483646 h 530"/>
                                <a:gd name="T114" fmla="*/ 0 w 609"/>
                                <a:gd name="T115" fmla="*/ 2147483646 h 53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09"/>
                                <a:gd name="T175" fmla="*/ 0 h 530"/>
                                <a:gd name="T176" fmla="*/ 609 w 609"/>
                                <a:gd name="T177" fmla="*/ 530 h 53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09" h="530">
                                  <a:moveTo>
                                    <a:pt x="27" y="159"/>
                                  </a:moveTo>
                                  <a:cubicBezTo>
                                    <a:pt x="32" y="157"/>
                                    <a:pt x="32" y="157"/>
                                    <a:pt x="32" y="157"/>
                                  </a:cubicBezTo>
                                  <a:cubicBezTo>
                                    <a:pt x="34" y="160"/>
                                    <a:pt x="34" y="160"/>
                                    <a:pt x="34" y="160"/>
                                  </a:cubicBezTo>
                                  <a:cubicBezTo>
                                    <a:pt x="31" y="165"/>
                                    <a:pt x="31" y="165"/>
                                    <a:pt x="31" y="165"/>
                                  </a:cubicBezTo>
                                  <a:cubicBezTo>
                                    <a:pt x="27" y="170"/>
                                    <a:pt x="27" y="170"/>
                                    <a:pt x="27" y="170"/>
                                  </a:cubicBezTo>
                                  <a:cubicBezTo>
                                    <a:pt x="16" y="170"/>
                                    <a:pt x="16" y="170"/>
                                    <a:pt x="16" y="170"/>
                                  </a:cubicBezTo>
                                  <a:cubicBezTo>
                                    <a:pt x="26" y="175"/>
                                    <a:pt x="26" y="175"/>
                                    <a:pt x="26" y="175"/>
                                  </a:cubicBezTo>
                                  <a:cubicBezTo>
                                    <a:pt x="26" y="184"/>
                                    <a:pt x="26" y="184"/>
                                    <a:pt x="26" y="184"/>
                                  </a:cubicBezTo>
                                  <a:cubicBezTo>
                                    <a:pt x="37" y="184"/>
                                    <a:pt x="37" y="184"/>
                                    <a:pt x="37" y="184"/>
                                  </a:cubicBezTo>
                                  <a:cubicBezTo>
                                    <a:pt x="52" y="177"/>
                                    <a:pt x="52" y="177"/>
                                    <a:pt x="52" y="177"/>
                                  </a:cubicBezTo>
                                  <a:cubicBezTo>
                                    <a:pt x="56" y="164"/>
                                    <a:pt x="56" y="164"/>
                                    <a:pt x="56" y="164"/>
                                  </a:cubicBezTo>
                                  <a:cubicBezTo>
                                    <a:pt x="63" y="155"/>
                                    <a:pt x="63" y="155"/>
                                    <a:pt x="63" y="155"/>
                                  </a:cubicBezTo>
                                  <a:cubicBezTo>
                                    <a:pt x="63" y="151"/>
                                    <a:pt x="63" y="151"/>
                                    <a:pt x="63" y="151"/>
                                  </a:cubicBezTo>
                                  <a:cubicBezTo>
                                    <a:pt x="58" y="141"/>
                                    <a:pt x="58" y="141"/>
                                    <a:pt x="58" y="141"/>
                                  </a:cubicBezTo>
                                  <a:cubicBezTo>
                                    <a:pt x="52" y="128"/>
                                    <a:pt x="52" y="128"/>
                                    <a:pt x="52" y="128"/>
                                  </a:cubicBezTo>
                                  <a:cubicBezTo>
                                    <a:pt x="69" y="129"/>
                                    <a:pt x="69" y="129"/>
                                    <a:pt x="69" y="129"/>
                                  </a:cubicBezTo>
                                  <a:cubicBezTo>
                                    <a:pt x="69" y="145"/>
                                    <a:pt x="69" y="145"/>
                                    <a:pt x="69" y="145"/>
                                  </a:cubicBezTo>
                                  <a:cubicBezTo>
                                    <a:pt x="69" y="154"/>
                                    <a:pt x="69" y="154"/>
                                    <a:pt x="69" y="154"/>
                                  </a:cubicBezTo>
                                  <a:cubicBezTo>
                                    <a:pt x="83" y="154"/>
                                    <a:pt x="83" y="154"/>
                                    <a:pt x="83" y="154"/>
                                  </a:cubicBezTo>
                                  <a:cubicBezTo>
                                    <a:pt x="92" y="159"/>
                                    <a:pt x="92" y="159"/>
                                    <a:pt x="92" y="159"/>
                                  </a:cubicBezTo>
                                  <a:cubicBezTo>
                                    <a:pt x="107" y="157"/>
                                    <a:pt x="107" y="157"/>
                                    <a:pt x="107" y="157"/>
                                  </a:cubicBezTo>
                                  <a:cubicBezTo>
                                    <a:pt x="112" y="159"/>
                                    <a:pt x="112" y="159"/>
                                    <a:pt x="112" y="159"/>
                                  </a:cubicBezTo>
                                  <a:cubicBezTo>
                                    <a:pt x="121" y="161"/>
                                    <a:pt x="121" y="161"/>
                                    <a:pt x="121" y="161"/>
                                  </a:cubicBezTo>
                                  <a:cubicBezTo>
                                    <a:pt x="112" y="168"/>
                                    <a:pt x="112" y="168"/>
                                    <a:pt x="112" y="168"/>
                                  </a:cubicBezTo>
                                  <a:cubicBezTo>
                                    <a:pt x="107" y="175"/>
                                    <a:pt x="107" y="175"/>
                                    <a:pt x="107" y="175"/>
                                  </a:cubicBezTo>
                                  <a:cubicBezTo>
                                    <a:pt x="94" y="171"/>
                                    <a:pt x="94" y="171"/>
                                    <a:pt x="94" y="171"/>
                                  </a:cubicBezTo>
                                  <a:cubicBezTo>
                                    <a:pt x="81" y="166"/>
                                    <a:pt x="81" y="166"/>
                                    <a:pt x="81" y="166"/>
                                  </a:cubicBezTo>
                                  <a:cubicBezTo>
                                    <a:pt x="70" y="166"/>
                                    <a:pt x="70" y="166"/>
                                    <a:pt x="70" y="166"/>
                                  </a:cubicBezTo>
                                  <a:cubicBezTo>
                                    <a:pt x="65" y="176"/>
                                    <a:pt x="65" y="176"/>
                                    <a:pt x="65" y="176"/>
                                  </a:cubicBezTo>
                                  <a:cubicBezTo>
                                    <a:pt x="64" y="183"/>
                                    <a:pt x="64" y="183"/>
                                    <a:pt x="64" y="183"/>
                                  </a:cubicBezTo>
                                  <a:cubicBezTo>
                                    <a:pt x="58" y="186"/>
                                    <a:pt x="58" y="186"/>
                                    <a:pt x="58" y="186"/>
                                  </a:cubicBezTo>
                                  <a:cubicBezTo>
                                    <a:pt x="59" y="200"/>
                                    <a:pt x="59" y="200"/>
                                    <a:pt x="59" y="200"/>
                                  </a:cubicBezTo>
                                  <a:cubicBezTo>
                                    <a:pt x="68" y="201"/>
                                    <a:pt x="68" y="201"/>
                                    <a:pt x="68" y="201"/>
                                  </a:cubicBezTo>
                                  <a:cubicBezTo>
                                    <a:pt x="71" y="197"/>
                                    <a:pt x="71" y="197"/>
                                    <a:pt x="71" y="197"/>
                                  </a:cubicBezTo>
                                  <a:cubicBezTo>
                                    <a:pt x="81" y="203"/>
                                    <a:pt x="81" y="203"/>
                                    <a:pt x="81" y="203"/>
                                  </a:cubicBezTo>
                                  <a:cubicBezTo>
                                    <a:pt x="81" y="234"/>
                                    <a:pt x="81" y="234"/>
                                    <a:pt x="81" y="234"/>
                                  </a:cubicBezTo>
                                  <a:cubicBezTo>
                                    <a:pt x="78" y="237"/>
                                    <a:pt x="78" y="237"/>
                                    <a:pt x="78" y="237"/>
                                  </a:cubicBezTo>
                                  <a:cubicBezTo>
                                    <a:pt x="77" y="268"/>
                                    <a:pt x="77" y="268"/>
                                    <a:pt x="77" y="268"/>
                                  </a:cubicBezTo>
                                  <a:cubicBezTo>
                                    <a:pt x="139" y="318"/>
                                    <a:pt x="139" y="318"/>
                                    <a:pt x="139" y="318"/>
                                  </a:cubicBezTo>
                                  <a:cubicBezTo>
                                    <a:pt x="141" y="337"/>
                                    <a:pt x="141" y="337"/>
                                    <a:pt x="141" y="337"/>
                                  </a:cubicBezTo>
                                  <a:cubicBezTo>
                                    <a:pt x="195" y="411"/>
                                    <a:pt x="195" y="411"/>
                                    <a:pt x="195" y="411"/>
                                  </a:cubicBezTo>
                                  <a:cubicBezTo>
                                    <a:pt x="278" y="398"/>
                                    <a:pt x="278" y="398"/>
                                    <a:pt x="278" y="398"/>
                                  </a:cubicBezTo>
                                  <a:cubicBezTo>
                                    <a:pt x="298" y="407"/>
                                    <a:pt x="298" y="407"/>
                                    <a:pt x="298" y="407"/>
                                  </a:cubicBezTo>
                                  <a:cubicBezTo>
                                    <a:pt x="322" y="407"/>
                                    <a:pt x="322" y="407"/>
                                    <a:pt x="322" y="407"/>
                                  </a:cubicBezTo>
                                  <a:cubicBezTo>
                                    <a:pt x="366" y="413"/>
                                    <a:pt x="366" y="413"/>
                                    <a:pt x="366" y="413"/>
                                  </a:cubicBezTo>
                                  <a:cubicBezTo>
                                    <a:pt x="395" y="393"/>
                                    <a:pt x="395" y="393"/>
                                    <a:pt x="395" y="393"/>
                                  </a:cubicBezTo>
                                  <a:cubicBezTo>
                                    <a:pt x="418" y="424"/>
                                    <a:pt x="418" y="424"/>
                                    <a:pt x="418" y="424"/>
                                  </a:cubicBezTo>
                                  <a:cubicBezTo>
                                    <a:pt x="437" y="434"/>
                                    <a:pt x="437" y="434"/>
                                    <a:pt x="437" y="434"/>
                                  </a:cubicBezTo>
                                  <a:cubicBezTo>
                                    <a:pt x="444" y="446"/>
                                    <a:pt x="444" y="446"/>
                                    <a:pt x="444" y="446"/>
                                  </a:cubicBezTo>
                                  <a:cubicBezTo>
                                    <a:pt x="456" y="479"/>
                                    <a:pt x="456" y="479"/>
                                    <a:pt x="456" y="479"/>
                                  </a:cubicBezTo>
                                  <a:cubicBezTo>
                                    <a:pt x="467" y="473"/>
                                    <a:pt x="467" y="473"/>
                                    <a:pt x="467" y="473"/>
                                  </a:cubicBezTo>
                                  <a:cubicBezTo>
                                    <a:pt x="480" y="465"/>
                                    <a:pt x="480" y="465"/>
                                    <a:pt x="480" y="465"/>
                                  </a:cubicBezTo>
                                  <a:cubicBezTo>
                                    <a:pt x="475" y="530"/>
                                    <a:pt x="475" y="530"/>
                                    <a:pt x="475" y="530"/>
                                  </a:cubicBezTo>
                                  <a:cubicBezTo>
                                    <a:pt x="490" y="520"/>
                                    <a:pt x="490" y="520"/>
                                    <a:pt x="490" y="520"/>
                                  </a:cubicBezTo>
                                  <a:cubicBezTo>
                                    <a:pt x="499" y="512"/>
                                    <a:pt x="499" y="512"/>
                                    <a:pt x="499" y="512"/>
                                  </a:cubicBezTo>
                                  <a:cubicBezTo>
                                    <a:pt x="522" y="493"/>
                                    <a:pt x="522" y="493"/>
                                    <a:pt x="522" y="493"/>
                                  </a:cubicBezTo>
                                  <a:cubicBezTo>
                                    <a:pt x="541" y="480"/>
                                    <a:pt x="541" y="480"/>
                                    <a:pt x="541" y="480"/>
                                  </a:cubicBezTo>
                                  <a:cubicBezTo>
                                    <a:pt x="541" y="480"/>
                                    <a:pt x="541" y="480"/>
                                    <a:pt x="541" y="480"/>
                                  </a:cubicBezTo>
                                  <a:cubicBezTo>
                                    <a:pt x="541" y="480"/>
                                    <a:pt x="541" y="480"/>
                                    <a:pt x="541" y="480"/>
                                  </a:cubicBezTo>
                                  <a:cubicBezTo>
                                    <a:pt x="561" y="473"/>
                                    <a:pt x="561" y="473"/>
                                    <a:pt x="561" y="473"/>
                                  </a:cubicBezTo>
                                  <a:cubicBezTo>
                                    <a:pt x="563" y="473"/>
                                    <a:pt x="576" y="462"/>
                                    <a:pt x="577" y="462"/>
                                  </a:cubicBezTo>
                                  <a:cubicBezTo>
                                    <a:pt x="596" y="449"/>
                                    <a:pt x="596" y="449"/>
                                    <a:pt x="596" y="449"/>
                                  </a:cubicBezTo>
                                  <a:cubicBezTo>
                                    <a:pt x="585" y="429"/>
                                    <a:pt x="585" y="429"/>
                                    <a:pt x="585" y="429"/>
                                  </a:cubicBezTo>
                                  <a:cubicBezTo>
                                    <a:pt x="584" y="428"/>
                                    <a:pt x="584" y="428"/>
                                    <a:pt x="584" y="428"/>
                                  </a:cubicBezTo>
                                  <a:cubicBezTo>
                                    <a:pt x="585" y="427"/>
                                    <a:pt x="585" y="427"/>
                                    <a:pt x="585" y="427"/>
                                  </a:cubicBezTo>
                                  <a:cubicBezTo>
                                    <a:pt x="604" y="405"/>
                                    <a:pt x="604" y="405"/>
                                    <a:pt x="604" y="405"/>
                                  </a:cubicBezTo>
                                  <a:cubicBezTo>
                                    <a:pt x="604" y="385"/>
                                    <a:pt x="604" y="385"/>
                                    <a:pt x="604" y="385"/>
                                  </a:cubicBezTo>
                                  <a:cubicBezTo>
                                    <a:pt x="604" y="385"/>
                                    <a:pt x="604" y="385"/>
                                    <a:pt x="604" y="385"/>
                                  </a:cubicBezTo>
                                  <a:cubicBezTo>
                                    <a:pt x="604" y="384"/>
                                    <a:pt x="604" y="384"/>
                                    <a:pt x="604" y="384"/>
                                  </a:cubicBezTo>
                                  <a:cubicBezTo>
                                    <a:pt x="609" y="368"/>
                                    <a:pt x="609" y="368"/>
                                    <a:pt x="609" y="368"/>
                                  </a:cubicBezTo>
                                  <a:cubicBezTo>
                                    <a:pt x="578" y="341"/>
                                    <a:pt x="578" y="341"/>
                                    <a:pt x="578" y="341"/>
                                  </a:cubicBezTo>
                                  <a:cubicBezTo>
                                    <a:pt x="578" y="341"/>
                                    <a:pt x="578" y="341"/>
                                    <a:pt x="578" y="341"/>
                                  </a:cubicBezTo>
                                  <a:cubicBezTo>
                                    <a:pt x="578" y="340"/>
                                    <a:pt x="578" y="340"/>
                                    <a:pt x="578" y="340"/>
                                  </a:cubicBezTo>
                                  <a:cubicBezTo>
                                    <a:pt x="576" y="273"/>
                                    <a:pt x="576" y="273"/>
                                    <a:pt x="576" y="273"/>
                                  </a:cubicBezTo>
                                  <a:cubicBezTo>
                                    <a:pt x="555" y="246"/>
                                    <a:pt x="555" y="246"/>
                                    <a:pt x="555" y="246"/>
                                  </a:cubicBezTo>
                                  <a:cubicBezTo>
                                    <a:pt x="554" y="245"/>
                                    <a:pt x="554" y="245"/>
                                    <a:pt x="554" y="245"/>
                                  </a:cubicBezTo>
                                  <a:cubicBezTo>
                                    <a:pt x="555" y="244"/>
                                    <a:pt x="555" y="244"/>
                                    <a:pt x="555" y="244"/>
                                  </a:cubicBezTo>
                                  <a:cubicBezTo>
                                    <a:pt x="560" y="234"/>
                                    <a:pt x="560" y="234"/>
                                    <a:pt x="560" y="234"/>
                                  </a:cubicBezTo>
                                  <a:cubicBezTo>
                                    <a:pt x="565" y="189"/>
                                    <a:pt x="565" y="189"/>
                                    <a:pt x="565" y="189"/>
                                  </a:cubicBezTo>
                                  <a:cubicBezTo>
                                    <a:pt x="548" y="173"/>
                                    <a:pt x="548" y="173"/>
                                    <a:pt x="548" y="173"/>
                                  </a:cubicBezTo>
                                  <a:cubicBezTo>
                                    <a:pt x="522" y="174"/>
                                    <a:pt x="522" y="174"/>
                                    <a:pt x="522" y="174"/>
                                  </a:cubicBezTo>
                                  <a:cubicBezTo>
                                    <a:pt x="517" y="178"/>
                                    <a:pt x="517" y="178"/>
                                    <a:pt x="517" y="178"/>
                                  </a:cubicBezTo>
                                  <a:cubicBezTo>
                                    <a:pt x="517" y="179"/>
                                    <a:pt x="517" y="179"/>
                                    <a:pt x="517" y="179"/>
                                  </a:cubicBezTo>
                                  <a:cubicBezTo>
                                    <a:pt x="516" y="179"/>
                                    <a:pt x="516" y="179"/>
                                    <a:pt x="516" y="179"/>
                                  </a:cubicBezTo>
                                  <a:cubicBezTo>
                                    <a:pt x="451" y="177"/>
                                    <a:pt x="451" y="177"/>
                                    <a:pt x="451" y="177"/>
                                  </a:cubicBezTo>
                                  <a:cubicBezTo>
                                    <a:pt x="451" y="177"/>
                                    <a:pt x="451" y="177"/>
                                    <a:pt x="451" y="177"/>
                                  </a:cubicBezTo>
                                  <a:cubicBezTo>
                                    <a:pt x="450" y="177"/>
                                    <a:pt x="450" y="177"/>
                                    <a:pt x="450" y="177"/>
                                  </a:cubicBezTo>
                                  <a:cubicBezTo>
                                    <a:pt x="415" y="149"/>
                                    <a:pt x="415" y="149"/>
                                    <a:pt x="415" y="149"/>
                                  </a:cubicBezTo>
                                  <a:cubicBezTo>
                                    <a:pt x="312" y="100"/>
                                    <a:pt x="312" y="100"/>
                                    <a:pt x="312" y="100"/>
                                  </a:cubicBezTo>
                                  <a:cubicBezTo>
                                    <a:pt x="312" y="100"/>
                                    <a:pt x="312" y="100"/>
                                    <a:pt x="312" y="100"/>
                                  </a:cubicBezTo>
                                  <a:cubicBezTo>
                                    <a:pt x="311" y="100"/>
                                    <a:pt x="311" y="100"/>
                                    <a:pt x="311" y="100"/>
                                  </a:cubicBezTo>
                                  <a:cubicBezTo>
                                    <a:pt x="292" y="80"/>
                                    <a:pt x="292" y="80"/>
                                    <a:pt x="292" y="80"/>
                                  </a:cubicBezTo>
                                  <a:cubicBezTo>
                                    <a:pt x="279" y="79"/>
                                    <a:pt x="279" y="79"/>
                                    <a:pt x="279" y="79"/>
                                  </a:cubicBezTo>
                                  <a:cubicBezTo>
                                    <a:pt x="278" y="78"/>
                                    <a:pt x="278" y="78"/>
                                    <a:pt x="278" y="78"/>
                                  </a:cubicBezTo>
                                  <a:cubicBezTo>
                                    <a:pt x="277" y="78"/>
                                    <a:pt x="277" y="78"/>
                                    <a:pt x="277" y="78"/>
                                  </a:cubicBezTo>
                                  <a:cubicBezTo>
                                    <a:pt x="269" y="66"/>
                                    <a:pt x="269" y="66"/>
                                    <a:pt x="269" y="66"/>
                                  </a:cubicBezTo>
                                  <a:cubicBezTo>
                                    <a:pt x="256" y="57"/>
                                    <a:pt x="256" y="57"/>
                                    <a:pt x="256" y="57"/>
                                  </a:cubicBezTo>
                                  <a:cubicBezTo>
                                    <a:pt x="255" y="56"/>
                                    <a:pt x="255" y="56"/>
                                    <a:pt x="255" y="56"/>
                                  </a:cubicBezTo>
                                  <a:cubicBezTo>
                                    <a:pt x="255" y="55"/>
                                    <a:pt x="255" y="55"/>
                                    <a:pt x="255" y="55"/>
                                  </a:cubicBezTo>
                                  <a:cubicBezTo>
                                    <a:pt x="253" y="45"/>
                                    <a:pt x="253" y="45"/>
                                    <a:pt x="253" y="45"/>
                                  </a:cubicBezTo>
                                  <a:cubicBezTo>
                                    <a:pt x="211" y="1"/>
                                    <a:pt x="211" y="1"/>
                                    <a:pt x="211" y="1"/>
                                  </a:cubicBezTo>
                                  <a:cubicBezTo>
                                    <a:pt x="179" y="0"/>
                                    <a:pt x="179" y="0"/>
                                    <a:pt x="179" y="0"/>
                                  </a:cubicBezTo>
                                  <a:cubicBezTo>
                                    <a:pt x="147" y="57"/>
                                    <a:pt x="147" y="57"/>
                                    <a:pt x="147" y="57"/>
                                  </a:cubicBezTo>
                                  <a:cubicBezTo>
                                    <a:pt x="147" y="58"/>
                                    <a:pt x="147" y="58"/>
                                    <a:pt x="147" y="58"/>
                                  </a:cubicBezTo>
                                  <a:cubicBezTo>
                                    <a:pt x="145" y="58"/>
                                    <a:pt x="145" y="58"/>
                                    <a:pt x="145" y="58"/>
                                  </a:cubicBezTo>
                                  <a:cubicBezTo>
                                    <a:pt x="109" y="58"/>
                                    <a:pt x="109" y="58"/>
                                    <a:pt x="109" y="58"/>
                                  </a:cubicBezTo>
                                  <a:cubicBezTo>
                                    <a:pt x="105" y="80"/>
                                    <a:pt x="105" y="80"/>
                                    <a:pt x="105" y="80"/>
                                  </a:cubicBezTo>
                                  <a:cubicBezTo>
                                    <a:pt x="104" y="82"/>
                                    <a:pt x="104" y="82"/>
                                    <a:pt x="104" y="82"/>
                                  </a:cubicBezTo>
                                  <a:cubicBezTo>
                                    <a:pt x="102" y="81"/>
                                    <a:pt x="102" y="81"/>
                                    <a:pt x="102" y="81"/>
                                  </a:cubicBezTo>
                                  <a:cubicBezTo>
                                    <a:pt x="93" y="78"/>
                                    <a:pt x="93" y="78"/>
                                    <a:pt x="93" y="78"/>
                                  </a:cubicBezTo>
                                  <a:cubicBezTo>
                                    <a:pt x="29" y="138"/>
                                    <a:pt x="29" y="138"/>
                                    <a:pt x="29" y="138"/>
                                  </a:cubicBezTo>
                                  <a:cubicBezTo>
                                    <a:pt x="23" y="150"/>
                                    <a:pt x="23" y="150"/>
                                    <a:pt x="23" y="150"/>
                                  </a:cubicBezTo>
                                  <a:cubicBezTo>
                                    <a:pt x="22" y="151"/>
                                    <a:pt x="22" y="151"/>
                                    <a:pt x="22" y="151"/>
                                  </a:cubicBezTo>
                                  <a:cubicBezTo>
                                    <a:pt x="21" y="151"/>
                                    <a:pt x="21" y="151"/>
                                    <a:pt x="21" y="151"/>
                                  </a:cubicBezTo>
                                  <a:cubicBezTo>
                                    <a:pt x="0" y="152"/>
                                    <a:pt x="0" y="152"/>
                                    <a:pt x="0" y="152"/>
                                  </a:cubicBezTo>
                                  <a:cubicBezTo>
                                    <a:pt x="0" y="160"/>
                                    <a:pt x="0" y="160"/>
                                    <a:pt x="0" y="160"/>
                                  </a:cubicBezTo>
                                  <a:cubicBezTo>
                                    <a:pt x="27" y="159"/>
                                    <a:pt x="27" y="159"/>
                                    <a:pt x="27" y="15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2" name="Freeform 89"/>
                          <wps:cNvSpPr/>
                          <wps:spPr bwMode="auto">
                            <a:xfrm>
                              <a:off x="2366963" y="2935990"/>
                              <a:ext cx="542925" cy="663575"/>
                            </a:xfrm>
                            <a:custGeom>
                              <a:avLst/>
                              <a:gdLst>
                                <a:gd name="T0" fmla="*/ 2147483646 w 342"/>
                                <a:gd name="T1" fmla="*/ 2147483646 h 418"/>
                                <a:gd name="T2" fmla="*/ 2147483646 w 342"/>
                                <a:gd name="T3" fmla="*/ 2147483646 h 418"/>
                                <a:gd name="T4" fmla="*/ 2147483646 w 342"/>
                                <a:gd name="T5" fmla="*/ 2147483646 h 418"/>
                                <a:gd name="T6" fmla="*/ 2147483646 w 342"/>
                                <a:gd name="T7" fmla="*/ 2147483646 h 418"/>
                                <a:gd name="T8" fmla="*/ 2147483646 w 342"/>
                                <a:gd name="T9" fmla="*/ 2147483646 h 418"/>
                                <a:gd name="T10" fmla="*/ 2147483646 w 342"/>
                                <a:gd name="T11" fmla="*/ 2147483646 h 418"/>
                                <a:gd name="T12" fmla="*/ 2147483646 w 342"/>
                                <a:gd name="T13" fmla="*/ 2147483646 h 418"/>
                                <a:gd name="T14" fmla="*/ 2147483646 w 342"/>
                                <a:gd name="T15" fmla="*/ 0 h 418"/>
                                <a:gd name="T16" fmla="*/ 2147483646 w 342"/>
                                <a:gd name="T17" fmla="*/ 2147483646 h 418"/>
                                <a:gd name="T18" fmla="*/ 2147483646 w 342"/>
                                <a:gd name="T19" fmla="*/ 2147483646 h 418"/>
                                <a:gd name="T20" fmla="*/ 2147483646 w 342"/>
                                <a:gd name="T21" fmla="*/ 2147483646 h 418"/>
                                <a:gd name="T22" fmla="*/ 2147483646 w 342"/>
                                <a:gd name="T23" fmla="*/ 2147483646 h 418"/>
                                <a:gd name="T24" fmla="*/ 2147483646 w 342"/>
                                <a:gd name="T25" fmla="*/ 2147483646 h 418"/>
                                <a:gd name="T26" fmla="*/ 2147483646 w 342"/>
                                <a:gd name="T27" fmla="*/ 2147483646 h 418"/>
                                <a:gd name="T28" fmla="*/ 2147483646 w 342"/>
                                <a:gd name="T29" fmla="*/ 2147483646 h 418"/>
                                <a:gd name="T30" fmla="*/ 2147483646 w 342"/>
                                <a:gd name="T31" fmla="*/ 2147483646 h 418"/>
                                <a:gd name="T32" fmla="*/ 2147483646 w 342"/>
                                <a:gd name="T33" fmla="*/ 2147483646 h 418"/>
                                <a:gd name="T34" fmla="*/ 2147483646 w 342"/>
                                <a:gd name="T35" fmla="*/ 2147483646 h 418"/>
                                <a:gd name="T36" fmla="*/ 2147483646 w 342"/>
                                <a:gd name="T37" fmla="*/ 2147483646 h 418"/>
                                <a:gd name="T38" fmla="*/ 2147483646 w 342"/>
                                <a:gd name="T39" fmla="*/ 2147483646 h 418"/>
                                <a:gd name="T40" fmla="*/ 2147483646 w 342"/>
                                <a:gd name="T41" fmla="*/ 2147483646 h 418"/>
                                <a:gd name="T42" fmla="*/ 2147483646 w 342"/>
                                <a:gd name="T43" fmla="*/ 2147483646 h 418"/>
                                <a:gd name="T44" fmla="*/ 2147483646 w 342"/>
                                <a:gd name="T45" fmla="*/ 2147483646 h 418"/>
                                <a:gd name="T46" fmla="*/ 2147483646 w 342"/>
                                <a:gd name="T47" fmla="*/ 2147483646 h 418"/>
                                <a:gd name="T48" fmla="*/ 2147483646 w 342"/>
                                <a:gd name="T49" fmla="*/ 2147483646 h 418"/>
                                <a:gd name="T50" fmla="*/ 2147483646 w 342"/>
                                <a:gd name="T51" fmla="*/ 2147483646 h 418"/>
                                <a:gd name="T52" fmla="*/ 2147483646 w 342"/>
                                <a:gd name="T53" fmla="*/ 2147483646 h 418"/>
                                <a:gd name="T54" fmla="*/ 2147483646 w 342"/>
                                <a:gd name="T55" fmla="*/ 2147483646 h 418"/>
                                <a:gd name="T56" fmla="*/ 2147483646 w 342"/>
                                <a:gd name="T57" fmla="*/ 2147483646 h 418"/>
                                <a:gd name="T58" fmla="*/ 2147483646 w 342"/>
                                <a:gd name="T59" fmla="*/ 2147483646 h 418"/>
                                <a:gd name="T60" fmla="*/ 2147483646 w 342"/>
                                <a:gd name="T61" fmla="*/ 2147483646 h 418"/>
                                <a:gd name="T62" fmla="*/ 2147483646 w 342"/>
                                <a:gd name="T63" fmla="*/ 2147483646 h 418"/>
                                <a:gd name="T64" fmla="*/ 2147483646 w 342"/>
                                <a:gd name="T65" fmla="*/ 2147483646 h 418"/>
                                <a:gd name="T66" fmla="*/ 2147483646 w 342"/>
                                <a:gd name="T67" fmla="*/ 2147483646 h 418"/>
                                <a:gd name="T68" fmla="*/ 2147483646 w 342"/>
                                <a:gd name="T69" fmla="*/ 2147483646 h 418"/>
                                <a:gd name="T70" fmla="*/ 2147483646 w 342"/>
                                <a:gd name="T71" fmla="*/ 2147483646 h 418"/>
                                <a:gd name="T72" fmla="*/ 2147483646 w 342"/>
                                <a:gd name="T73" fmla="*/ 2147483646 h 418"/>
                                <a:gd name="T74" fmla="*/ 0 w 342"/>
                                <a:gd name="T75" fmla="*/ 2147483646 h 418"/>
                                <a:gd name="T76" fmla="*/ 2147483646 w 342"/>
                                <a:gd name="T77" fmla="*/ 2147483646 h 418"/>
                                <a:gd name="T78" fmla="*/ 2147483646 w 342"/>
                                <a:gd name="T79" fmla="*/ 2147483646 h 418"/>
                                <a:gd name="T80" fmla="*/ 2147483646 w 342"/>
                                <a:gd name="T81" fmla="*/ 2147483646 h 418"/>
                                <a:gd name="T82" fmla="*/ 2147483646 w 342"/>
                                <a:gd name="T83" fmla="*/ 2147483646 h 418"/>
                                <a:gd name="T84" fmla="*/ 2147483646 w 342"/>
                                <a:gd name="T85" fmla="*/ 2147483646 h 418"/>
                                <a:gd name="T86" fmla="*/ 2147483646 w 342"/>
                                <a:gd name="T87" fmla="*/ 2147483646 h 41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42"/>
                                <a:gd name="T133" fmla="*/ 0 h 418"/>
                                <a:gd name="T134" fmla="*/ 342 w 342"/>
                                <a:gd name="T135" fmla="*/ 418 h 41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42" h="418">
                                  <a:moveTo>
                                    <a:pt x="103" y="64"/>
                                  </a:moveTo>
                                  <a:lnTo>
                                    <a:pt x="159" y="60"/>
                                  </a:lnTo>
                                  <a:lnTo>
                                    <a:pt x="169" y="57"/>
                                  </a:lnTo>
                                  <a:lnTo>
                                    <a:pt x="173" y="62"/>
                                  </a:lnTo>
                                  <a:lnTo>
                                    <a:pt x="167" y="72"/>
                                  </a:lnTo>
                                  <a:lnTo>
                                    <a:pt x="159" y="82"/>
                                  </a:lnTo>
                                  <a:lnTo>
                                    <a:pt x="138" y="82"/>
                                  </a:lnTo>
                                  <a:lnTo>
                                    <a:pt x="157" y="92"/>
                                  </a:lnTo>
                                  <a:lnTo>
                                    <a:pt x="157" y="109"/>
                                  </a:lnTo>
                                  <a:lnTo>
                                    <a:pt x="179" y="109"/>
                                  </a:lnTo>
                                  <a:lnTo>
                                    <a:pt x="208" y="95"/>
                                  </a:lnTo>
                                  <a:lnTo>
                                    <a:pt x="216" y="70"/>
                                  </a:lnTo>
                                  <a:lnTo>
                                    <a:pt x="229" y="53"/>
                                  </a:lnTo>
                                  <a:lnTo>
                                    <a:pt x="229" y="45"/>
                                  </a:lnTo>
                                  <a:lnTo>
                                    <a:pt x="220" y="26"/>
                                  </a:lnTo>
                                  <a:lnTo>
                                    <a:pt x="208" y="0"/>
                                  </a:lnTo>
                                  <a:lnTo>
                                    <a:pt x="241" y="2"/>
                                  </a:lnTo>
                                  <a:lnTo>
                                    <a:pt x="241" y="33"/>
                                  </a:lnTo>
                                  <a:lnTo>
                                    <a:pt x="241" y="51"/>
                                  </a:lnTo>
                                  <a:lnTo>
                                    <a:pt x="268" y="51"/>
                                  </a:lnTo>
                                  <a:lnTo>
                                    <a:pt x="286" y="60"/>
                                  </a:lnTo>
                                  <a:lnTo>
                                    <a:pt x="315" y="57"/>
                                  </a:lnTo>
                                  <a:lnTo>
                                    <a:pt x="325" y="60"/>
                                  </a:lnTo>
                                  <a:lnTo>
                                    <a:pt x="342" y="64"/>
                                  </a:lnTo>
                                  <a:lnTo>
                                    <a:pt x="325" y="78"/>
                                  </a:lnTo>
                                  <a:lnTo>
                                    <a:pt x="315" y="92"/>
                                  </a:lnTo>
                                  <a:lnTo>
                                    <a:pt x="290" y="84"/>
                                  </a:lnTo>
                                  <a:lnTo>
                                    <a:pt x="264" y="74"/>
                                  </a:lnTo>
                                  <a:lnTo>
                                    <a:pt x="243" y="74"/>
                                  </a:lnTo>
                                  <a:lnTo>
                                    <a:pt x="233" y="94"/>
                                  </a:lnTo>
                                  <a:lnTo>
                                    <a:pt x="231" y="107"/>
                                  </a:lnTo>
                                  <a:lnTo>
                                    <a:pt x="220" y="113"/>
                                  </a:lnTo>
                                  <a:lnTo>
                                    <a:pt x="222" y="140"/>
                                  </a:lnTo>
                                  <a:lnTo>
                                    <a:pt x="239" y="142"/>
                                  </a:lnTo>
                                  <a:lnTo>
                                    <a:pt x="245" y="134"/>
                                  </a:lnTo>
                                  <a:lnTo>
                                    <a:pt x="264" y="146"/>
                                  </a:lnTo>
                                  <a:lnTo>
                                    <a:pt x="264" y="206"/>
                                  </a:lnTo>
                                  <a:lnTo>
                                    <a:pt x="259" y="212"/>
                                  </a:lnTo>
                                  <a:lnTo>
                                    <a:pt x="257" y="274"/>
                                  </a:lnTo>
                                  <a:lnTo>
                                    <a:pt x="255" y="319"/>
                                  </a:lnTo>
                                  <a:lnTo>
                                    <a:pt x="245" y="346"/>
                                  </a:lnTo>
                                  <a:lnTo>
                                    <a:pt x="245" y="366"/>
                                  </a:lnTo>
                                  <a:lnTo>
                                    <a:pt x="210" y="401"/>
                                  </a:lnTo>
                                  <a:lnTo>
                                    <a:pt x="208" y="418"/>
                                  </a:lnTo>
                                  <a:lnTo>
                                    <a:pt x="189" y="403"/>
                                  </a:lnTo>
                                  <a:lnTo>
                                    <a:pt x="165" y="403"/>
                                  </a:lnTo>
                                  <a:lnTo>
                                    <a:pt x="156" y="370"/>
                                  </a:lnTo>
                                  <a:lnTo>
                                    <a:pt x="142" y="352"/>
                                  </a:lnTo>
                                  <a:lnTo>
                                    <a:pt x="134" y="325"/>
                                  </a:lnTo>
                                  <a:lnTo>
                                    <a:pt x="128" y="307"/>
                                  </a:lnTo>
                                  <a:lnTo>
                                    <a:pt x="128" y="284"/>
                                  </a:lnTo>
                                  <a:lnTo>
                                    <a:pt x="161" y="237"/>
                                  </a:lnTo>
                                  <a:lnTo>
                                    <a:pt x="171" y="214"/>
                                  </a:lnTo>
                                  <a:lnTo>
                                    <a:pt x="173" y="206"/>
                                  </a:lnTo>
                                  <a:lnTo>
                                    <a:pt x="175" y="185"/>
                                  </a:lnTo>
                                  <a:lnTo>
                                    <a:pt x="171" y="156"/>
                                  </a:lnTo>
                                  <a:lnTo>
                                    <a:pt x="165" y="119"/>
                                  </a:lnTo>
                                  <a:lnTo>
                                    <a:pt x="152" y="109"/>
                                  </a:lnTo>
                                  <a:lnTo>
                                    <a:pt x="142" y="90"/>
                                  </a:lnTo>
                                  <a:lnTo>
                                    <a:pt x="130" y="95"/>
                                  </a:lnTo>
                                  <a:lnTo>
                                    <a:pt x="119" y="111"/>
                                  </a:lnTo>
                                  <a:lnTo>
                                    <a:pt x="97" y="136"/>
                                  </a:lnTo>
                                  <a:lnTo>
                                    <a:pt x="91" y="140"/>
                                  </a:lnTo>
                                  <a:lnTo>
                                    <a:pt x="84" y="146"/>
                                  </a:lnTo>
                                  <a:lnTo>
                                    <a:pt x="80" y="165"/>
                                  </a:lnTo>
                                  <a:lnTo>
                                    <a:pt x="86" y="197"/>
                                  </a:lnTo>
                                  <a:lnTo>
                                    <a:pt x="74" y="210"/>
                                  </a:lnTo>
                                  <a:lnTo>
                                    <a:pt x="62" y="222"/>
                                  </a:lnTo>
                                  <a:lnTo>
                                    <a:pt x="72" y="239"/>
                                  </a:lnTo>
                                  <a:lnTo>
                                    <a:pt x="86" y="233"/>
                                  </a:lnTo>
                                  <a:lnTo>
                                    <a:pt x="78" y="263"/>
                                  </a:lnTo>
                                  <a:lnTo>
                                    <a:pt x="60" y="276"/>
                                  </a:lnTo>
                                  <a:lnTo>
                                    <a:pt x="56" y="307"/>
                                  </a:lnTo>
                                  <a:lnTo>
                                    <a:pt x="37" y="327"/>
                                  </a:lnTo>
                                  <a:lnTo>
                                    <a:pt x="17" y="331"/>
                                  </a:lnTo>
                                  <a:lnTo>
                                    <a:pt x="0" y="319"/>
                                  </a:lnTo>
                                  <a:lnTo>
                                    <a:pt x="0" y="305"/>
                                  </a:lnTo>
                                  <a:lnTo>
                                    <a:pt x="21" y="290"/>
                                  </a:lnTo>
                                  <a:lnTo>
                                    <a:pt x="6" y="270"/>
                                  </a:lnTo>
                                  <a:lnTo>
                                    <a:pt x="10" y="228"/>
                                  </a:lnTo>
                                  <a:lnTo>
                                    <a:pt x="35" y="195"/>
                                  </a:lnTo>
                                  <a:lnTo>
                                    <a:pt x="37" y="175"/>
                                  </a:lnTo>
                                  <a:lnTo>
                                    <a:pt x="62" y="146"/>
                                  </a:lnTo>
                                  <a:lnTo>
                                    <a:pt x="68" y="125"/>
                                  </a:lnTo>
                                  <a:lnTo>
                                    <a:pt x="72" y="123"/>
                                  </a:lnTo>
                                  <a:lnTo>
                                    <a:pt x="84" y="109"/>
                                  </a:lnTo>
                                  <a:lnTo>
                                    <a:pt x="84" y="86"/>
                                  </a:lnTo>
                                  <a:lnTo>
                                    <a:pt x="103" y="6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3" name="Freeform 90"/>
                          <wps:cNvSpPr/>
                          <wps:spPr bwMode="auto">
                            <a:xfrm>
                              <a:off x="3397250" y="1526290"/>
                              <a:ext cx="2905125" cy="1592263"/>
                            </a:xfrm>
                            <a:custGeom>
                              <a:avLst/>
                              <a:gdLst>
                                <a:gd name="T0" fmla="*/ 2147483646 w 941"/>
                                <a:gd name="T1" fmla="*/ 2147483646 h 516"/>
                                <a:gd name="T2" fmla="*/ 2147483646 w 941"/>
                                <a:gd name="T3" fmla="*/ 2147483646 h 516"/>
                                <a:gd name="T4" fmla="*/ 2147483646 w 941"/>
                                <a:gd name="T5" fmla="*/ 2147483646 h 516"/>
                                <a:gd name="T6" fmla="*/ 2147483646 w 941"/>
                                <a:gd name="T7" fmla="*/ 2147483646 h 516"/>
                                <a:gd name="T8" fmla="*/ 2147483646 w 941"/>
                                <a:gd name="T9" fmla="*/ 2147483646 h 516"/>
                                <a:gd name="T10" fmla="*/ 2147483646 w 941"/>
                                <a:gd name="T11" fmla="*/ 2147483646 h 516"/>
                                <a:gd name="T12" fmla="*/ 2147483646 w 941"/>
                                <a:gd name="T13" fmla="*/ 2147483646 h 516"/>
                                <a:gd name="T14" fmla="*/ 2147483646 w 941"/>
                                <a:gd name="T15" fmla="*/ 2147483646 h 516"/>
                                <a:gd name="T16" fmla="*/ 2147483646 w 941"/>
                                <a:gd name="T17" fmla="*/ 2147483646 h 516"/>
                                <a:gd name="T18" fmla="*/ 2147483646 w 941"/>
                                <a:gd name="T19" fmla="*/ 2147483646 h 516"/>
                                <a:gd name="T20" fmla="*/ 2147483646 w 941"/>
                                <a:gd name="T21" fmla="*/ 2147483646 h 516"/>
                                <a:gd name="T22" fmla="*/ 2147483646 w 941"/>
                                <a:gd name="T23" fmla="*/ 2147483646 h 516"/>
                                <a:gd name="T24" fmla="*/ 2147483646 w 941"/>
                                <a:gd name="T25" fmla="*/ 2147483646 h 516"/>
                                <a:gd name="T26" fmla="*/ 2147483646 w 941"/>
                                <a:gd name="T27" fmla="*/ 2147483646 h 516"/>
                                <a:gd name="T28" fmla="*/ 2147483646 w 941"/>
                                <a:gd name="T29" fmla="*/ 2147483646 h 516"/>
                                <a:gd name="T30" fmla="*/ 2147483646 w 941"/>
                                <a:gd name="T31" fmla="*/ 2147483646 h 516"/>
                                <a:gd name="T32" fmla="*/ 2147483646 w 941"/>
                                <a:gd name="T33" fmla="*/ 2147483646 h 516"/>
                                <a:gd name="T34" fmla="*/ 2147483646 w 941"/>
                                <a:gd name="T35" fmla="*/ 2147483646 h 516"/>
                                <a:gd name="T36" fmla="*/ 2147483646 w 941"/>
                                <a:gd name="T37" fmla="*/ 2147483646 h 516"/>
                                <a:gd name="T38" fmla="*/ 2147483646 w 941"/>
                                <a:gd name="T39" fmla="*/ 0 h 516"/>
                                <a:gd name="T40" fmla="*/ 2147483646 w 941"/>
                                <a:gd name="T41" fmla="*/ 2147483646 h 516"/>
                                <a:gd name="T42" fmla="*/ 2147483646 w 941"/>
                                <a:gd name="T43" fmla="*/ 2147483646 h 516"/>
                                <a:gd name="T44" fmla="*/ 2147483646 w 941"/>
                                <a:gd name="T45" fmla="*/ 2147483646 h 516"/>
                                <a:gd name="T46" fmla="*/ 2147483646 w 941"/>
                                <a:gd name="T47" fmla="*/ 2147483646 h 516"/>
                                <a:gd name="T48" fmla="*/ 2147483646 w 941"/>
                                <a:gd name="T49" fmla="*/ 2147483646 h 516"/>
                                <a:gd name="T50" fmla="*/ 2147483646 w 941"/>
                                <a:gd name="T51" fmla="*/ 2147483646 h 516"/>
                                <a:gd name="T52" fmla="*/ 2147483646 w 941"/>
                                <a:gd name="T53" fmla="*/ 2147483646 h 516"/>
                                <a:gd name="T54" fmla="*/ 2147483646 w 941"/>
                                <a:gd name="T55" fmla="*/ 2147483646 h 516"/>
                                <a:gd name="T56" fmla="*/ 2147483646 w 941"/>
                                <a:gd name="T57" fmla="*/ 2147483646 h 516"/>
                                <a:gd name="T58" fmla="*/ 2147483646 w 941"/>
                                <a:gd name="T59" fmla="*/ 2147483646 h 516"/>
                                <a:gd name="T60" fmla="*/ 2147483646 w 941"/>
                                <a:gd name="T61" fmla="*/ 2147483646 h 516"/>
                                <a:gd name="T62" fmla="*/ 2147483646 w 941"/>
                                <a:gd name="T63" fmla="*/ 2147483646 h 516"/>
                                <a:gd name="T64" fmla="*/ 2147483646 w 941"/>
                                <a:gd name="T65" fmla="*/ 2147483646 h 516"/>
                                <a:gd name="T66" fmla="*/ 2147483646 w 941"/>
                                <a:gd name="T67" fmla="*/ 2147483646 h 516"/>
                                <a:gd name="T68" fmla="*/ 2147483646 w 941"/>
                                <a:gd name="T69" fmla="*/ 2147483646 h 516"/>
                                <a:gd name="T70" fmla="*/ 2147483646 w 941"/>
                                <a:gd name="T71" fmla="*/ 2147483646 h 516"/>
                                <a:gd name="T72" fmla="*/ 2147483646 w 941"/>
                                <a:gd name="T73" fmla="*/ 2147483646 h 516"/>
                                <a:gd name="T74" fmla="*/ 2147483646 w 941"/>
                                <a:gd name="T75" fmla="*/ 2147483646 h 516"/>
                                <a:gd name="T76" fmla="*/ 2147483646 w 941"/>
                                <a:gd name="T77" fmla="*/ 2147483646 h 516"/>
                                <a:gd name="T78" fmla="*/ 2147483646 w 941"/>
                                <a:gd name="T79" fmla="*/ 2147483646 h 516"/>
                                <a:gd name="T80" fmla="*/ 2147483646 w 941"/>
                                <a:gd name="T81" fmla="*/ 2147483646 h 516"/>
                                <a:gd name="T82" fmla="*/ 2147483646 w 941"/>
                                <a:gd name="T83" fmla="*/ 2147483646 h 516"/>
                                <a:gd name="T84" fmla="*/ 2147483646 w 941"/>
                                <a:gd name="T85" fmla="*/ 2147483646 h 516"/>
                                <a:gd name="T86" fmla="*/ 2147483646 w 941"/>
                                <a:gd name="T87" fmla="*/ 2147483646 h 516"/>
                                <a:gd name="T88" fmla="*/ 2147483646 w 941"/>
                                <a:gd name="T89" fmla="*/ 2147483646 h 516"/>
                                <a:gd name="T90" fmla="*/ 2147483646 w 941"/>
                                <a:gd name="T91" fmla="*/ 2147483646 h 516"/>
                                <a:gd name="T92" fmla="*/ 2147483646 w 941"/>
                                <a:gd name="T93" fmla="*/ 2147483646 h 516"/>
                                <a:gd name="T94" fmla="*/ 2147483646 w 941"/>
                                <a:gd name="T95" fmla="*/ 2147483646 h 516"/>
                                <a:gd name="T96" fmla="*/ 2147483646 w 941"/>
                                <a:gd name="T97" fmla="*/ 2147483646 h 516"/>
                                <a:gd name="T98" fmla="*/ 2147483646 w 941"/>
                                <a:gd name="T99" fmla="*/ 2147483646 h 516"/>
                                <a:gd name="T100" fmla="*/ 2147483646 w 941"/>
                                <a:gd name="T101" fmla="*/ 2147483646 h 516"/>
                                <a:gd name="T102" fmla="*/ 2147483646 w 941"/>
                                <a:gd name="T103" fmla="*/ 2147483646 h 516"/>
                                <a:gd name="T104" fmla="*/ 2147483646 w 941"/>
                                <a:gd name="T105" fmla="*/ 2147483646 h 516"/>
                                <a:gd name="T106" fmla="*/ 2147483646 w 941"/>
                                <a:gd name="T107" fmla="*/ 2147483646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4" name="Freeform 91"/>
                          <wps:cNvSpPr/>
                          <wps:spPr bwMode="auto">
                            <a:xfrm>
                              <a:off x="336550" y="1931103"/>
                              <a:ext cx="1716088" cy="1008062"/>
                            </a:xfrm>
                            <a:custGeom>
                              <a:avLst/>
                              <a:gdLst>
                                <a:gd name="T0" fmla="*/ 2147483646 w 556"/>
                                <a:gd name="T1" fmla="*/ 2147483646 h 327"/>
                                <a:gd name="T2" fmla="*/ 2147483646 w 556"/>
                                <a:gd name="T3" fmla="*/ 2147483646 h 327"/>
                                <a:gd name="T4" fmla="*/ 2147483646 w 556"/>
                                <a:gd name="T5" fmla="*/ 2147483646 h 327"/>
                                <a:gd name="T6" fmla="*/ 2147483646 w 556"/>
                                <a:gd name="T7" fmla="*/ 2147483646 h 327"/>
                                <a:gd name="T8" fmla="*/ 2147483646 w 556"/>
                                <a:gd name="T9" fmla="*/ 2147483646 h 327"/>
                                <a:gd name="T10" fmla="*/ 2147483646 w 556"/>
                                <a:gd name="T11" fmla="*/ 2147483646 h 327"/>
                                <a:gd name="T12" fmla="*/ 2147483646 w 556"/>
                                <a:gd name="T13" fmla="*/ 2147483646 h 327"/>
                                <a:gd name="T14" fmla="*/ 2147483646 w 556"/>
                                <a:gd name="T15" fmla="*/ 2147483646 h 327"/>
                                <a:gd name="T16" fmla="*/ 2147483646 w 556"/>
                                <a:gd name="T17" fmla="*/ 2147483646 h 327"/>
                                <a:gd name="T18" fmla="*/ 2147483646 w 556"/>
                                <a:gd name="T19" fmla="*/ 2147483646 h 327"/>
                                <a:gd name="T20" fmla="*/ 2147483646 w 556"/>
                                <a:gd name="T21" fmla="*/ 2147483646 h 327"/>
                                <a:gd name="T22" fmla="*/ 2147483646 w 556"/>
                                <a:gd name="T23" fmla="*/ 2147483646 h 327"/>
                                <a:gd name="T24" fmla="*/ 2147483646 w 556"/>
                                <a:gd name="T25" fmla="*/ 2147483646 h 327"/>
                                <a:gd name="T26" fmla="*/ 2147483646 w 556"/>
                                <a:gd name="T27" fmla="*/ 2147483646 h 327"/>
                                <a:gd name="T28" fmla="*/ 2147483646 w 556"/>
                                <a:gd name="T29" fmla="*/ 2147483646 h 327"/>
                                <a:gd name="T30" fmla="*/ 2147483646 w 556"/>
                                <a:gd name="T31" fmla="*/ 2147483646 h 327"/>
                                <a:gd name="T32" fmla="*/ 2147483646 w 556"/>
                                <a:gd name="T33" fmla="*/ 2147483646 h 327"/>
                                <a:gd name="T34" fmla="*/ 2147483646 w 556"/>
                                <a:gd name="T35" fmla="*/ 2147483646 h 327"/>
                                <a:gd name="T36" fmla="*/ 2147483646 w 556"/>
                                <a:gd name="T37" fmla="*/ 2147483646 h 327"/>
                                <a:gd name="T38" fmla="*/ 2147483646 w 556"/>
                                <a:gd name="T39" fmla="*/ 2147483646 h 327"/>
                                <a:gd name="T40" fmla="*/ 2147483646 w 556"/>
                                <a:gd name="T41" fmla="*/ 2147483646 h 327"/>
                                <a:gd name="T42" fmla="*/ 2147483646 w 556"/>
                                <a:gd name="T43" fmla="*/ 2147483646 h 327"/>
                                <a:gd name="T44" fmla="*/ 2147483646 w 556"/>
                                <a:gd name="T45" fmla="*/ 2147483646 h 327"/>
                                <a:gd name="T46" fmla="*/ 2147483646 w 556"/>
                                <a:gd name="T47" fmla="*/ 2147483646 h 327"/>
                                <a:gd name="T48" fmla="*/ 2147483646 w 556"/>
                                <a:gd name="T49" fmla="*/ 2147483646 h 327"/>
                                <a:gd name="T50" fmla="*/ 2147483646 w 556"/>
                                <a:gd name="T51" fmla="*/ 2147483646 h 327"/>
                                <a:gd name="T52" fmla="*/ 2147483646 w 556"/>
                                <a:gd name="T53" fmla="*/ 2147483646 h 327"/>
                                <a:gd name="T54" fmla="*/ 2147483646 w 556"/>
                                <a:gd name="T55" fmla="*/ 2147483646 h 327"/>
                                <a:gd name="T56" fmla="*/ 2147483646 w 556"/>
                                <a:gd name="T57" fmla="*/ 2147483646 h 327"/>
                                <a:gd name="T58" fmla="*/ 2147483646 w 556"/>
                                <a:gd name="T59" fmla="*/ 2147483646 h 327"/>
                                <a:gd name="T60" fmla="*/ 2147483646 w 556"/>
                                <a:gd name="T61" fmla="*/ 2147483646 h 327"/>
                                <a:gd name="T62" fmla="*/ 0 w 556"/>
                                <a:gd name="T63" fmla="*/ 2147483646 h 327"/>
                                <a:gd name="T64" fmla="*/ 2147483646 w 556"/>
                                <a:gd name="T65" fmla="*/ 2147483646 h 327"/>
                                <a:gd name="T66" fmla="*/ 2147483646 w 556"/>
                                <a:gd name="T67" fmla="*/ 2147483646 h 327"/>
                                <a:gd name="T68" fmla="*/ 2147483646 w 556"/>
                                <a:gd name="T69" fmla="*/ 2147483646 h 327"/>
                                <a:gd name="T70" fmla="*/ 2147483646 w 556"/>
                                <a:gd name="T71" fmla="*/ 2147483646 h 327"/>
                                <a:gd name="T72" fmla="*/ 2147483646 w 556"/>
                                <a:gd name="T73" fmla="*/ 2147483646 h 327"/>
                                <a:gd name="T74" fmla="*/ 2147483646 w 556"/>
                                <a:gd name="T75" fmla="*/ 2147483646 h 327"/>
                                <a:gd name="T76" fmla="*/ 2147483646 w 556"/>
                                <a:gd name="T77" fmla="*/ 2147483646 h 327"/>
                                <a:gd name="T78" fmla="*/ 2147483646 w 556"/>
                                <a:gd name="T79" fmla="*/ 2147483646 h 327"/>
                                <a:gd name="T80" fmla="*/ 2147483646 w 556"/>
                                <a:gd name="T81" fmla="*/ 2147483646 h 327"/>
                                <a:gd name="T82" fmla="*/ 2147483646 w 556"/>
                                <a:gd name="T83" fmla="*/ 2147483646 h 327"/>
                                <a:gd name="T84" fmla="*/ 2147483646 w 556"/>
                                <a:gd name="T85" fmla="*/ 2147483646 h 327"/>
                                <a:gd name="T86" fmla="*/ 2147483646 w 556"/>
                                <a:gd name="T87" fmla="*/ 2147483646 h 327"/>
                                <a:gd name="T88" fmla="*/ 2147483646 w 556"/>
                                <a:gd name="T89" fmla="*/ 2147483646 h 327"/>
                                <a:gd name="T90" fmla="*/ 2147483646 w 556"/>
                                <a:gd name="T91" fmla="*/ 2147483646 h 327"/>
                                <a:gd name="T92" fmla="*/ 2147483646 w 556"/>
                                <a:gd name="T93" fmla="*/ 2147483646 h 327"/>
                                <a:gd name="T94" fmla="*/ 2147483646 w 556"/>
                                <a:gd name="T95" fmla="*/ 2147483646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5" name="Freeform 92"/>
                          <wps:cNvSpPr/>
                          <wps:spPr bwMode="auto">
                            <a:xfrm>
                              <a:off x="271463" y="1121478"/>
                              <a:ext cx="1644650" cy="984250"/>
                            </a:xfrm>
                            <a:custGeom>
                              <a:avLst/>
                              <a:gdLst>
                                <a:gd name="T0" fmla="*/ 2147483646 w 1036"/>
                                <a:gd name="T1" fmla="*/ 2147483646 h 620"/>
                                <a:gd name="T2" fmla="*/ 2147483646 w 1036"/>
                                <a:gd name="T3" fmla="*/ 2147483646 h 620"/>
                                <a:gd name="T4" fmla="*/ 2147483646 w 1036"/>
                                <a:gd name="T5" fmla="*/ 2147483646 h 620"/>
                                <a:gd name="T6" fmla="*/ 2147483646 w 1036"/>
                                <a:gd name="T7" fmla="*/ 2147483646 h 620"/>
                                <a:gd name="T8" fmla="*/ 2147483646 w 1036"/>
                                <a:gd name="T9" fmla="*/ 2147483646 h 620"/>
                                <a:gd name="T10" fmla="*/ 2147483646 w 1036"/>
                                <a:gd name="T11" fmla="*/ 2147483646 h 620"/>
                                <a:gd name="T12" fmla="*/ 2147483646 w 1036"/>
                                <a:gd name="T13" fmla="*/ 2147483646 h 620"/>
                                <a:gd name="T14" fmla="*/ 2147483646 w 1036"/>
                                <a:gd name="T15" fmla="*/ 2147483646 h 620"/>
                                <a:gd name="T16" fmla="*/ 2147483646 w 1036"/>
                                <a:gd name="T17" fmla="*/ 2147483646 h 620"/>
                                <a:gd name="T18" fmla="*/ 2147483646 w 1036"/>
                                <a:gd name="T19" fmla="*/ 2147483646 h 620"/>
                                <a:gd name="T20" fmla="*/ 2147483646 w 1036"/>
                                <a:gd name="T21" fmla="*/ 2147483646 h 620"/>
                                <a:gd name="T22" fmla="*/ 2147483646 w 1036"/>
                                <a:gd name="T23" fmla="*/ 2147483646 h 620"/>
                                <a:gd name="T24" fmla="*/ 2147483646 w 1036"/>
                                <a:gd name="T25" fmla="*/ 2147483646 h 620"/>
                                <a:gd name="T26" fmla="*/ 2147483646 w 1036"/>
                                <a:gd name="T27" fmla="*/ 2147483646 h 620"/>
                                <a:gd name="T28" fmla="*/ 2147483646 w 1036"/>
                                <a:gd name="T29" fmla="*/ 2147483646 h 620"/>
                                <a:gd name="T30" fmla="*/ 2147483646 w 1036"/>
                                <a:gd name="T31" fmla="*/ 2147483646 h 620"/>
                                <a:gd name="T32" fmla="*/ 2147483646 w 1036"/>
                                <a:gd name="T33" fmla="*/ 2147483646 h 620"/>
                                <a:gd name="T34" fmla="*/ 2147483646 w 1036"/>
                                <a:gd name="T35" fmla="*/ 2147483646 h 620"/>
                                <a:gd name="T36" fmla="*/ 2147483646 w 1036"/>
                                <a:gd name="T37" fmla="*/ 2147483646 h 620"/>
                                <a:gd name="T38" fmla="*/ 2147483646 w 1036"/>
                                <a:gd name="T39" fmla="*/ 2147483646 h 620"/>
                                <a:gd name="T40" fmla="*/ 2147483646 w 1036"/>
                                <a:gd name="T41" fmla="*/ 2147483646 h 620"/>
                                <a:gd name="T42" fmla="*/ 2147483646 w 1036"/>
                                <a:gd name="T43" fmla="*/ 2147483646 h 620"/>
                                <a:gd name="T44" fmla="*/ 2147483646 w 1036"/>
                                <a:gd name="T45" fmla="*/ 2147483646 h 620"/>
                                <a:gd name="T46" fmla="*/ 2147483646 w 1036"/>
                                <a:gd name="T47" fmla="*/ 2147483646 h 620"/>
                                <a:gd name="T48" fmla="*/ 2147483646 w 1036"/>
                                <a:gd name="T49" fmla="*/ 2147483646 h 620"/>
                                <a:gd name="T50" fmla="*/ 2147483646 w 1036"/>
                                <a:gd name="T51" fmla="*/ 2147483646 h 620"/>
                                <a:gd name="T52" fmla="*/ 2147483646 w 1036"/>
                                <a:gd name="T53" fmla="*/ 2147483646 h 620"/>
                                <a:gd name="T54" fmla="*/ 2147483646 w 1036"/>
                                <a:gd name="T55" fmla="*/ 2147483646 h 620"/>
                                <a:gd name="T56" fmla="*/ 2147483646 w 1036"/>
                                <a:gd name="T57" fmla="*/ 2147483646 h 620"/>
                                <a:gd name="T58" fmla="*/ 2147483646 w 1036"/>
                                <a:gd name="T59" fmla="*/ 2147483646 h 620"/>
                                <a:gd name="T60" fmla="*/ 2147483646 w 1036"/>
                                <a:gd name="T61" fmla="*/ 2147483646 h 620"/>
                                <a:gd name="T62" fmla="*/ 2147483646 w 1036"/>
                                <a:gd name="T63" fmla="*/ 2147483646 h 620"/>
                                <a:gd name="T64" fmla="*/ 2147483646 w 1036"/>
                                <a:gd name="T65" fmla="*/ 2147483646 h 620"/>
                                <a:gd name="T66" fmla="*/ 2147483646 w 1036"/>
                                <a:gd name="T67" fmla="*/ 2147483646 h 620"/>
                                <a:gd name="T68" fmla="*/ 2147483646 w 1036"/>
                                <a:gd name="T69" fmla="*/ 2147483646 h 620"/>
                                <a:gd name="T70" fmla="*/ 2147483646 w 1036"/>
                                <a:gd name="T71" fmla="*/ 2147483646 h 620"/>
                                <a:gd name="T72" fmla="*/ 2147483646 w 1036"/>
                                <a:gd name="T73" fmla="*/ 2147483646 h 620"/>
                                <a:gd name="T74" fmla="*/ 2147483646 w 1036"/>
                                <a:gd name="T75" fmla="*/ 2147483646 h 620"/>
                                <a:gd name="T76" fmla="*/ 2147483646 w 1036"/>
                                <a:gd name="T77" fmla="*/ 2147483646 h 620"/>
                                <a:gd name="T78" fmla="*/ 2147483646 w 1036"/>
                                <a:gd name="T79" fmla="*/ 2147483646 h 620"/>
                                <a:gd name="T80" fmla="*/ 2147483646 w 1036"/>
                                <a:gd name="T81" fmla="*/ 2147483646 h 620"/>
                                <a:gd name="T82" fmla="*/ 2147483646 w 1036"/>
                                <a:gd name="T83" fmla="*/ 2147483646 h 620"/>
                                <a:gd name="T84" fmla="*/ 2147483646 w 1036"/>
                                <a:gd name="T85" fmla="*/ 2147483646 h 620"/>
                                <a:gd name="T86" fmla="*/ 2147483646 w 1036"/>
                                <a:gd name="T87" fmla="*/ 2147483646 h 620"/>
                                <a:gd name="T88" fmla="*/ 2147483646 w 1036"/>
                                <a:gd name="T89" fmla="*/ 2147483646 h 620"/>
                                <a:gd name="T90" fmla="*/ 2147483646 w 1036"/>
                                <a:gd name="T91" fmla="*/ 2147483646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6" name="Freeform 93"/>
                          <wps:cNvSpPr/>
                          <wps:spPr bwMode="auto">
                            <a:xfrm>
                              <a:off x="712788" y="2791528"/>
                              <a:ext cx="1373187" cy="1508125"/>
                            </a:xfrm>
                            <a:custGeom>
                              <a:avLst/>
                              <a:gdLst>
                                <a:gd name="T0" fmla="*/ 2147483646 w 445"/>
                                <a:gd name="T1" fmla="*/ 2147483646 h 489"/>
                                <a:gd name="T2" fmla="*/ 2147483646 w 445"/>
                                <a:gd name="T3" fmla="*/ 2147483646 h 489"/>
                                <a:gd name="T4" fmla="*/ 2147483646 w 445"/>
                                <a:gd name="T5" fmla="*/ 2147483646 h 489"/>
                                <a:gd name="T6" fmla="*/ 2147483646 w 445"/>
                                <a:gd name="T7" fmla="*/ 0 h 489"/>
                                <a:gd name="T8" fmla="*/ 2147483646 w 445"/>
                                <a:gd name="T9" fmla="*/ 2147483646 h 489"/>
                                <a:gd name="T10" fmla="*/ 2147483646 w 445"/>
                                <a:gd name="T11" fmla="*/ 2147483646 h 489"/>
                                <a:gd name="T12" fmla="*/ 2147483646 w 445"/>
                                <a:gd name="T13" fmla="*/ 2147483646 h 489"/>
                                <a:gd name="T14" fmla="*/ 2147483646 w 445"/>
                                <a:gd name="T15" fmla="*/ 2147483646 h 489"/>
                                <a:gd name="T16" fmla="*/ 2147483646 w 445"/>
                                <a:gd name="T17" fmla="*/ 2147483646 h 489"/>
                                <a:gd name="T18" fmla="*/ 2147483646 w 445"/>
                                <a:gd name="T19" fmla="*/ 2147483646 h 489"/>
                                <a:gd name="T20" fmla="*/ 2147483646 w 445"/>
                                <a:gd name="T21" fmla="*/ 2147483646 h 489"/>
                                <a:gd name="T22" fmla="*/ 2147483646 w 445"/>
                                <a:gd name="T23" fmla="*/ 2147483646 h 489"/>
                                <a:gd name="T24" fmla="*/ 2147483646 w 445"/>
                                <a:gd name="T25" fmla="*/ 2147483646 h 489"/>
                                <a:gd name="T26" fmla="*/ 2147483646 w 445"/>
                                <a:gd name="T27" fmla="*/ 2147483646 h 489"/>
                                <a:gd name="T28" fmla="*/ 2147483646 w 445"/>
                                <a:gd name="T29" fmla="*/ 2147483646 h 489"/>
                                <a:gd name="T30" fmla="*/ 2147483646 w 445"/>
                                <a:gd name="T31" fmla="*/ 2147483646 h 489"/>
                                <a:gd name="T32" fmla="*/ 2147483646 w 445"/>
                                <a:gd name="T33" fmla="*/ 2147483646 h 489"/>
                                <a:gd name="T34" fmla="*/ 2147483646 w 445"/>
                                <a:gd name="T35" fmla="*/ 2147483646 h 489"/>
                                <a:gd name="T36" fmla="*/ 2147483646 w 445"/>
                                <a:gd name="T37" fmla="*/ 2147483646 h 489"/>
                                <a:gd name="T38" fmla="*/ 2147483646 w 445"/>
                                <a:gd name="T39" fmla="*/ 2147483646 h 489"/>
                                <a:gd name="T40" fmla="*/ 2147483646 w 445"/>
                                <a:gd name="T41" fmla="*/ 2147483646 h 489"/>
                                <a:gd name="T42" fmla="*/ 2147483646 w 445"/>
                                <a:gd name="T43" fmla="*/ 2147483646 h 489"/>
                                <a:gd name="T44" fmla="*/ 2147483646 w 445"/>
                                <a:gd name="T45" fmla="*/ 2147483646 h 489"/>
                                <a:gd name="T46" fmla="*/ 2147483646 w 445"/>
                                <a:gd name="T47" fmla="*/ 2147483646 h 489"/>
                                <a:gd name="T48" fmla="*/ 2147483646 w 445"/>
                                <a:gd name="T49" fmla="*/ 2147483646 h 489"/>
                                <a:gd name="T50" fmla="*/ 2147483646 w 445"/>
                                <a:gd name="T51" fmla="*/ 2147483646 h 489"/>
                                <a:gd name="T52" fmla="*/ 2147483646 w 445"/>
                                <a:gd name="T53" fmla="*/ 2147483646 h 489"/>
                                <a:gd name="T54" fmla="*/ 2147483646 w 445"/>
                                <a:gd name="T55" fmla="*/ 2147483646 h 489"/>
                                <a:gd name="T56" fmla="*/ 2147483646 w 445"/>
                                <a:gd name="T57" fmla="*/ 2147483646 h 489"/>
                                <a:gd name="T58" fmla="*/ 2147483646 w 445"/>
                                <a:gd name="T59" fmla="*/ 2147483646 h 489"/>
                                <a:gd name="T60" fmla="*/ 2147483646 w 445"/>
                                <a:gd name="T61" fmla="*/ 2147483646 h 489"/>
                                <a:gd name="T62" fmla="*/ 2147483646 w 445"/>
                                <a:gd name="T63" fmla="*/ 2147483646 h 489"/>
                                <a:gd name="T64" fmla="*/ 2147483646 w 445"/>
                                <a:gd name="T65" fmla="*/ 2147483646 h 489"/>
                                <a:gd name="T66" fmla="*/ 2147483646 w 445"/>
                                <a:gd name="T67" fmla="*/ 2147483646 h 489"/>
                                <a:gd name="T68" fmla="*/ 2147483646 w 445"/>
                                <a:gd name="T69" fmla="*/ 2147483646 h 489"/>
                                <a:gd name="T70" fmla="*/ 2147483646 w 445"/>
                                <a:gd name="T71" fmla="*/ 2147483646 h 489"/>
                                <a:gd name="T72" fmla="*/ 2147483646 w 445"/>
                                <a:gd name="T73" fmla="*/ 2147483646 h 489"/>
                                <a:gd name="T74" fmla="*/ 2147483646 w 445"/>
                                <a:gd name="T75" fmla="*/ 2147483646 h 489"/>
                                <a:gd name="T76" fmla="*/ 2147483646 w 445"/>
                                <a:gd name="T77" fmla="*/ 2147483646 h 489"/>
                                <a:gd name="T78" fmla="*/ 2147483646 w 445"/>
                                <a:gd name="T79" fmla="*/ 2147483646 h 489"/>
                                <a:gd name="T80" fmla="*/ 2147483646 w 445"/>
                                <a:gd name="T81" fmla="*/ 2147483646 h 489"/>
                                <a:gd name="T82" fmla="*/ 2147483646 w 445"/>
                                <a:gd name="T83" fmla="*/ 2147483646 h 489"/>
                                <a:gd name="T84" fmla="*/ 2147483646 w 445"/>
                                <a:gd name="T85" fmla="*/ 2147483646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7" name="Freeform 94"/>
                          <wps:cNvSpPr/>
                          <wps:spPr bwMode="auto">
                            <a:xfrm>
                              <a:off x="2511240" y="3078866"/>
                              <a:ext cx="133340" cy="184150"/>
                            </a:xfrm>
                            <a:custGeom>
                              <a:avLst/>
                              <a:gdLst>
                                <a:gd name="T0" fmla="*/ 80 w 84"/>
                                <a:gd name="T1" fmla="*/ 66 h 116"/>
                                <a:gd name="T2" fmla="*/ 74 w 84"/>
                                <a:gd name="T3" fmla="*/ 29 h 116"/>
                                <a:gd name="T4" fmla="*/ 61 w 84"/>
                                <a:gd name="T5" fmla="*/ 19 h 116"/>
                                <a:gd name="T6" fmla="*/ 51 w 84"/>
                                <a:gd name="T7" fmla="*/ 0 h 116"/>
                                <a:gd name="T8" fmla="*/ 39 w 84"/>
                                <a:gd name="T9" fmla="*/ 5 h 116"/>
                                <a:gd name="T10" fmla="*/ 28 w 84"/>
                                <a:gd name="T11" fmla="*/ 21 h 116"/>
                                <a:gd name="T12" fmla="*/ 6 w 84"/>
                                <a:gd name="T13" fmla="*/ 46 h 116"/>
                                <a:gd name="T14" fmla="*/ 0 w 84"/>
                                <a:gd name="T15" fmla="*/ 50 h 116"/>
                                <a:gd name="T16" fmla="*/ 82 w 84"/>
                                <a:gd name="T17" fmla="*/ 116 h 116"/>
                                <a:gd name="T18" fmla="*/ 84 w 84"/>
                                <a:gd name="T19" fmla="*/ 95 h 116"/>
                                <a:gd name="T20" fmla="*/ 80 w 84"/>
                                <a:gd name="T21" fmla="*/ 66 h 116"/>
                                <a:gd name="T22" fmla="*/ 80 w 84"/>
                                <a:gd name="T23" fmla="*/ 6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solidFill>
                              <a:srgbClr val="44546A">
                                <a:lumMod val="20000"/>
                                <a:lumOff val="80000"/>
                              </a:srgbClr>
                            </a:solidFill>
                            <a:ln w="9525">
                              <a:noFill/>
                              <a:prstDash val="solid"/>
                              <a:round/>
                              <a:headEnd/>
                              <a:tailEnd/>
                            </a:ln>
                          </wps:spPr>
                          <wps:bodyPr/>
                        </wps:wsp>
                        <wps:wsp>
                          <wps:cNvPr id="388" name="Freeform 95"/>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9" name="Freeform 97"/>
                          <wps:cNvSpPr/>
                          <wps:spPr bwMode="auto">
                            <a:xfrm>
                              <a:off x="4665663" y="3099503"/>
                              <a:ext cx="1374775" cy="1081087"/>
                            </a:xfrm>
                            <a:custGeom>
                              <a:avLst/>
                              <a:gdLst>
                                <a:gd name="T0" fmla="*/ 2147483646 w 445"/>
                                <a:gd name="T1" fmla="*/ 2147483646 h 350"/>
                                <a:gd name="T2" fmla="*/ 2147483646 w 445"/>
                                <a:gd name="T3" fmla="*/ 2147483646 h 350"/>
                                <a:gd name="T4" fmla="*/ 2147483646 w 445"/>
                                <a:gd name="T5" fmla="*/ 2147483646 h 350"/>
                                <a:gd name="T6" fmla="*/ 2147483646 w 445"/>
                                <a:gd name="T7" fmla="*/ 2147483646 h 350"/>
                                <a:gd name="T8" fmla="*/ 2147483646 w 445"/>
                                <a:gd name="T9" fmla="*/ 2147483646 h 350"/>
                                <a:gd name="T10" fmla="*/ 2147483646 w 445"/>
                                <a:gd name="T11" fmla="*/ 2147483646 h 350"/>
                                <a:gd name="T12" fmla="*/ 2147483646 w 445"/>
                                <a:gd name="T13" fmla="*/ 2147483646 h 350"/>
                                <a:gd name="T14" fmla="*/ 2147483646 w 445"/>
                                <a:gd name="T15" fmla="*/ 2147483646 h 350"/>
                                <a:gd name="T16" fmla="*/ 2147483646 w 445"/>
                                <a:gd name="T17" fmla="*/ 2147483646 h 350"/>
                                <a:gd name="T18" fmla="*/ 2147483646 w 445"/>
                                <a:gd name="T19" fmla="*/ 2147483646 h 350"/>
                                <a:gd name="T20" fmla="*/ 2147483646 w 445"/>
                                <a:gd name="T21" fmla="*/ 2147483646 h 350"/>
                                <a:gd name="T22" fmla="*/ 2147483646 w 445"/>
                                <a:gd name="T23" fmla="*/ 2147483646 h 350"/>
                                <a:gd name="T24" fmla="*/ 2147483646 w 445"/>
                                <a:gd name="T25" fmla="*/ 2147483646 h 350"/>
                                <a:gd name="T26" fmla="*/ 2147483646 w 445"/>
                                <a:gd name="T27" fmla="*/ 2147483646 h 350"/>
                                <a:gd name="T28" fmla="*/ 2147483646 w 445"/>
                                <a:gd name="T29" fmla="*/ 2147483646 h 350"/>
                                <a:gd name="T30" fmla="*/ 2147483646 w 445"/>
                                <a:gd name="T31" fmla="*/ 2147483646 h 350"/>
                                <a:gd name="T32" fmla="*/ 2147483646 w 445"/>
                                <a:gd name="T33" fmla="*/ 2147483646 h 350"/>
                                <a:gd name="T34" fmla="*/ 2147483646 w 445"/>
                                <a:gd name="T35" fmla="*/ 2147483646 h 350"/>
                                <a:gd name="T36" fmla="*/ 2147483646 w 445"/>
                                <a:gd name="T37" fmla="*/ 2147483646 h 350"/>
                                <a:gd name="T38" fmla="*/ 2147483646 w 445"/>
                                <a:gd name="T39" fmla="*/ 2147483646 h 350"/>
                                <a:gd name="T40" fmla="*/ 2147483646 w 445"/>
                                <a:gd name="T41" fmla="*/ 2147483646 h 350"/>
                                <a:gd name="T42" fmla="*/ 2147483646 w 445"/>
                                <a:gd name="T43" fmla="*/ 2147483646 h 350"/>
                                <a:gd name="T44" fmla="*/ 2147483646 w 445"/>
                                <a:gd name="T45" fmla="*/ 2147483646 h 350"/>
                                <a:gd name="T46" fmla="*/ 2147483646 w 445"/>
                                <a:gd name="T47" fmla="*/ 2147483646 h 350"/>
                                <a:gd name="T48" fmla="*/ 2147483646 w 445"/>
                                <a:gd name="T49" fmla="*/ 2147483646 h 350"/>
                                <a:gd name="T50" fmla="*/ 2147483646 w 445"/>
                                <a:gd name="T51" fmla="*/ 2147483646 h 350"/>
                                <a:gd name="T52" fmla="*/ 2147483646 w 445"/>
                                <a:gd name="T53" fmla="*/ 2147483646 h 350"/>
                                <a:gd name="T54" fmla="*/ 2147483646 w 445"/>
                                <a:gd name="T55" fmla="*/ 2147483646 h 350"/>
                                <a:gd name="T56" fmla="*/ 2147483646 w 445"/>
                                <a:gd name="T57" fmla="*/ 2147483646 h 350"/>
                                <a:gd name="T58" fmla="*/ 2147483646 w 445"/>
                                <a:gd name="T59" fmla="*/ 2147483646 h 350"/>
                                <a:gd name="T60" fmla="*/ 2147483646 w 445"/>
                                <a:gd name="T61" fmla="*/ 2147483646 h 350"/>
                                <a:gd name="T62" fmla="*/ 2147483646 w 445"/>
                                <a:gd name="T63" fmla="*/ 2147483646 h 350"/>
                                <a:gd name="T64" fmla="*/ 2147483646 w 445"/>
                                <a:gd name="T65" fmla="*/ 2147483646 h 350"/>
                                <a:gd name="T66" fmla="*/ 2147483646 w 445"/>
                                <a:gd name="T67" fmla="*/ 2147483646 h 350"/>
                                <a:gd name="T68" fmla="*/ 2147483646 w 445"/>
                                <a:gd name="T69" fmla="*/ 2147483646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0" name="Freeform 98"/>
                          <wps:cNvSpPr/>
                          <wps:spPr bwMode="auto">
                            <a:xfrm>
                              <a:off x="5665788" y="2566103"/>
                              <a:ext cx="1754187" cy="1366837"/>
                            </a:xfrm>
                            <a:custGeom>
                              <a:avLst/>
                              <a:gdLst>
                                <a:gd name="T0" fmla="*/ 2147483646 w 568"/>
                                <a:gd name="T1" fmla="*/ 2147483646 h 443"/>
                                <a:gd name="T2" fmla="*/ 2147483646 w 568"/>
                                <a:gd name="T3" fmla="*/ 2147483646 h 443"/>
                                <a:gd name="T4" fmla="*/ 2147483646 w 568"/>
                                <a:gd name="T5" fmla="*/ 2147483646 h 443"/>
                                <a:gd name="T6" fmla="*/ 2147483646 w 568"/>
                                <a:gd name="T7" fmla="*/ 2147483646 h 443"/>
                                <a:gd name="T8" fmla="*/ 2147483646 w 568"/>
                                <a:gd name="T9" fmla="*/ 2147483646 h 443"/>
                                <a:gd name="T10" fmla="*/ 2147483646 w 568"/>
                                <a:gd name="T11" fmla="*/ 2147483646 h 443"/>
                                <a:gd name="T12" fmla="*/ 2147483646 w 568"/>
                                <a:gd name="T13" fmla="*/ 2147483646 h 443"/>
                                <a:gd name="T14" fmla="*/ 2147483646 w 568"/>
                                <a:gd name="T15" fmla="*/ 2147483646 h 443"/>
                                <a:gd name="T16" fmla="*/ 2147483646 w 568"/>
                                <a:gd name="T17" fmla="*/ 2147483646 h 443"/>
                                <a:gd name="T18" fmla="*/ 2147483646 w 568"/>
                                <a:gd name="T19" fmla="*/ 2147483646 h 443"/>
                                <a:gd name="T20" fmla="*/ 2147483646 w 568"/>
                                <a:gd name="T21" fmla="*/ 2147483646 h 443"/>
                                <a:gd name="T22" fmla="*/ 2147483646 w 568"/>
                                <a:gd name="T23" fmla="*/ 2147483646 h 443"/>
                                <a:gd name="T24" fmla="*/ 2147483646 w 568"/>
                                <a:gd name="T25" fmla="*/ 2147483646 h 443"/>
                                <a:gd name="T26" fmla="*/ 2147483646 w 568"/>
                                <a:gd name="T27" fmla="*/ 2147483646 h 443"/>
                                <a:gd name="T28" fmla="*/ 2147483646 w 568"/>
                                <a:gd name="T29" fmla="*/ 2147483646 h 443"/>
                                <a:gd name="T30" fmla="*/ 2147483646 w 568"/>
                                <a:gd name="T31" fmla="*/ 2147483646 h 443"/>
                                <a:gd name="T32" fmla="*/ 2147483646 w 568"/>
                                <a:gd name="T33" fmla="*/ 2147483646 h 443"/>
                                <a:gd name="T34" fmla="*/ 2147483646 w 568"/>
                                <a:gd name="T35" fmla="*/ 2147483646 h 443"/>
                                <a:gd name="T36" fmla="*/ 2147483646 w 568"/>
                                <a:gd name="T37" fmla="*/ 2147483646 h 443"/>
                                <a:gd name="T38" fmla="*/ 2147483646 w 568"/>
                                <a:gd name="T39" fmla="*/ 2147483646 h 443"/>
                                <a:gd name="T40" fmla="*/ 2147483646 w 568"/>
                                <a:gd name="T41" fmla="*/ 2147483646 h 443"/>
                                <a:gd name="T42" fmla="*/ 2147483646 w 568"/>
                                <a:gd name="T43" fmla="*/ 2147483646 h 443"/>
                                <a:gd name="T44" fmla="*/ 2147483646 w 568"/>
                                <a:gd name="T45" fmla="*/ 2147483646 h 443"/>
                                <a:gd name="T46" fmla="*/ 2147483646 w 568"/>
                                <a:gd name="T47" fmla="*/ 2147483646 h 443"/>
                                <a:gd name="T48" fmla="*/ 2147483646 w 568"/>
                                <a:gd name="T49" fmla="*/ 2147483646 h 443"/>
                                <a:gd name="T50" fmla="*/ 2147483646 w 568"/>
                                <a:gd name="T51" fmla="*/ 2147483646 h 443"/>
                                <a:gd name="T52" fmla="*/ 2147483646 w 568"/>
                                <a:gd name="T53" fmla="*/ 2147483646 h 443"/>
                                <a:gd name="T54" fmla="*/ 2147483646 w 568"/>
                                <a:gd name="T55" fmla="*/ 2147483646 h 443"/>
                                <a:gd name="T56" fmla="*/ 2147483646 w 568"/>
                                <a:gd name="T57" fmla="*/ 2147483646 h 443"/>
                                <a:gd name="T58" fmla="*/ 2147483646 w 568"/>
                                <a:gd name="T59" fmla="*/ 2147483646 h 443"/>
                                <a:gd name="T60" fmla="*/ 0 w 568"/>
                                <a:gd name="T61" fmla="*/ 2147483646 h 443"/>
                                <a:gd name="T62" fmla="*/ 2147483646 w 568"/>
                                <a:gd name="T63" fmla="*/ 2147483646 h 443"/>
                                <a:gd name="T64" fmla="*/ 2147483646 w 568"/>
                                <a:gd name="T65" fmla="*/ 2147483646 h 443"/>
                                <a:gd name="T66" fmla="*/ 2147483646 w 568"/>
                                <a:gd name="T67" fmla="*/ 2147483646 h 443"/>
                                <a:gd name="T68" fmla="*/ 2147483646 w 568"/>
                                <a:gd name="T69" fmla="*/ 2147483646 h 443"/>
                                <a:gd name="T70" fmla="*/ 2147483646 w 568"/>
                                <a:gd name="T71" fmla="*/ 2147483646 h 443"/>
                                <a:gd name="T72" fmla="*/ 2147483646 w 568"/>
                                <a:gd name="T73" fmla="*/ 2147483646 h 443"/>
                                <a:gd name="T74" fmla="*/ 2147483646 w 568"/>
                                <a:gd name="T75" fmla="*/ 2147483646 h 443"/>
                                <a:gd name="T76" fmla="*/ 2147483646 w 568"/>
                                <a:gd name="T77" fmla="*/ 2147483646 h 443"/>
                                <a:gd name="T78" fmla="*/ 2147483646 w 568"/>
                                <a:gd name="T79" fmla="*/ 2147483646 h 443"/>
                                <a:gd name="T80" fmla="*/ 2147483646 w 568"/>
                                <a:gd name="T81" fmla="*/ 2147483646 h 443"/>
                                <a:gd name="T82" fmla="*/ 2147483646 w 568"/>
                                <a:gd name="T83" fmla="*/ 2147483646 h 443"/>
                                <a:gd name="T84" fmla="*/ 2147483646 w 568"/>
                                <a:gd name="T85" fmla="*/ 2147483646 h 443"/>
                                <a:gd name="T86" fmla="*/ 2147483646 w 568"/>
                                <a:gd name="T87" fmla="*/ 2147483646 h 443"/>
                                <a:gd name="T88" fmla="*/ 2147483646 w 568"/>
                                <a:gd name="T89" fmla="*/ 2147483646 h 443"/>
                                <a:gd name="T90" fmla="*/ 2147483646 w 568"/>
                                <a:gd name="T91" fmla="*/ 2147483646 h 443"/>
                                <a:gd name="T92" fmla="*/ 2147483646 w 568"/>
                                <a:gd name="T93" fmla="*/ 2147483646 h 443"/>
                                <a:gd name="T94" fmla="*/ 2147483646 w 568"/>
                                <a:gd name="T95" fmla="*/ 2147483646 h 443"/>
                                <a:gd name="T96" fmla="*/ 2147483646 w 568"/>
                                <a:gd name="T97" fmla="*/ 2147483646 h 443"/>
                                <a:gd name="T98" fmla="*/ 2147483646 w 568"/>
                                <a:gd name="T99" fmla="*/ 2147483646 h 443"/>
                                <a:gd name="T100" fmla="*/ 2147483646 w 568"/>
                                <a:gd name="T101" fmla="*/ 2147483646 h 443"/>
                                <a:gd name="T102" fmla="*/ 2147483646 w 568"/>
                                <a:gd name="T103" fmla="*/ 2147483646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1" name="Line 99"/>
                          <wps:cNvCnPr/>
                          <wps:spPr bwMode="auto">
                            <a:xfrm>
                              <a:off x="5595938" y="3053465"/>
                              <a:ext cx="3175" cy="3175"/>
                            </a:xfrm>
                            <a:prstGeom prst="line">
                              <a:avLst/>
                            </a:prstGeom>
                            <a:noFill/>
                            <a:ln w="12700" cap="rnd">
                              <a:solidFill>
                                <a:srgbClr val="725F00"/>
                              </a:solidFill>
                              <a:round/>
                              <a:headEnd/>
                              <a:tailEnd/>
                            </a:ln>
                            <a:extLst>
                              <a:ext uri="{909E8E84-426E-40DD-AFC4-6F175D3DCCD1}">
                                <a14:hiddenFill xmlns:a14="http://schemas.microsoft.com/office/drawing/2010/main">
                                  <a:noFill/>
                                </a14:hiddenFill>
                              </a:ext>
                            </a:extLst>
                          </wps:spPr>
                          <wps:bodyPr/>
                        </wps:wsp>
                        <wps:wsp>
                          <wps:cNvPr id="392" name="Freeform 100"/>
                          <wps:cNvSpPr/>
                          <wps:spPr bwMode="auto">
                            <a:xfrm>
                              <a:off x="2968625" y="554740"/>
                              <a:ext cx="1428750" cy="1884363"/>
                            </a:xfrm>
                            <a:custGeom>
                              <a:avLst/>
                              <a:gdLst>
                                <a:gd name="T0" fmla="*/ 2147483646 w 463"/>
                                <a:gd name="T1" fmla="*/ 2147483646 h 611"/>
                                <a:gd name="T2" fmla="*/ 2147483646 w 463"/>
                                <a:gd name="T3" fmla="*/ 2147483646 h 611"/>
                                <a:gd name="T4" fmla="*/ 2147483646 w 463"/>
                                <a:gd name="T5" fmla="*/ 2147483646 h 611"/>
                                <a:gd name="T6" fmla="*/ 2147483646 w 463"/>
                                <a:gd name="T7" fmla="*/ 2147483646 h 611"/>
                                <a:gd name="T8" fmla="*/ 2147483646 w 463"/>
                                <a:gd name="T9" fmla="*/ 2147483646 h 611"/>
                                <a:gd name="T10" fmla="*/ 2147483646 w 463"/>
                                <a:gd name="T11" fmla="*/ 2147483646 h 611"/>
                                <a:gd name="T12" fmla="*/ 2147483646 w 463"/>
                                <a:gd name="T13" fmla="*/ 2147483646 h 611"/>
                                <a:gd name="T14" fmla="*/ 2147483646 w 463"/>
                                <a:gd name="T15" fmla="*/ 2147483646 h 611"/>
                                <a:gd name="T16" fmla="*/ 2147483646 w 463"/>
                                <a:gd name="T17" fmla="*/ 2147483646 h 611"/>
                                <a:gd name="T18" fmla="*/ 2147483646 w 463"/>
                                <a:gd name="T19" fmla="*/ 2147483646 h 611"/>
                                <a:gd name="T20" fmla="*/ 2147483646 w 463"/>
                                <a:gd name="T21" fmla="*/ 2147483646 h 611"/>
                                <a:gd name="T22" fmla="*/ 2147483646 w 463"/>
                                <a:gd name="T23" fmla="*/ 2147483646 h 611"/>
                                <a:gd name="T24" fmla="*/ 2147483646 w 463"/>
                                <a:gd name="T25" fmla="*/ 2147483646 h 611"/>
                                <a:gd name="T26" fmla="*/ 2147483646 w 463"/>
                                <a:gd name="T27" fmla="*/ 2147483646 h 611"/>
                                <a:gd name="T28" fmla="*/ 2147483646 w 463"/>
                                <a:gd name="T29" fmla="*/ 2147483646 h 611"/>
                                <a:gd name="T30" fmla="*/ 2147483646 w 463"/>
                                <a:gd name="T31" fmla="*/ 2147483646 h 611"/>
                                <a:gd name="T32" fmla="*/ 2147483646 w 463"/>
                                <a:gd name="T33" fmla="*/ 2147483646 h 611"/>
                                <a:gd name="T34" fmla="*/ 2147483646 w 463"/>
                                <a:gd name="T35" fmla="*/ 2147483646 h 611"/>
                                <a:gd name="T36" fmla="*/ 2147483646 w 463"/>
                                <a:gd name="T37" fmla="*/ 2147483646 h 611"/>
                                <a:gd name="T38" fmla="*/ 2147483646 w 463"/>
                                <a:gd name="T39" fmla="*/ 2147483646 h 611"/>
                                <a:gd name="T40" fmla="*/ 2147483646 w 463"/>
                                <a:gd name="T41" fmla="*/ 2147483646 h 611"/>
                                <a:gd name="T42" fmla="*/ 2147483646 w 463"/>
                                <a:gd name="T43" fmla="*/ 2147483646 h 611"/>
                                <a:gd name="T44" fmla="*/ 2147483646 w 463"/>
                                <a:gd name="T45" fmla="*/ 2147483646 h 611"/>
                                <a:gd name="T46" fmla="*/ 2147483646 w 463"/>
                                <a:gd name="T47" fmla="*/ 2147483646 h 611"/>
                                <a:gd name="T48" fmla="*/ 2147483646 w 463"/>
                                <a:gd name="T49" fmla="*/ 2147483646 h 611"/>
                                <a:gd name="T50" fmla="*/ 2147483646 w 463"/>
                                <a:gd name="T51" fmla="*/ 2147483646 h 611"/>
                                <a:gd name="T52" fmla="*/ 2147483646 w 463"/>
                                <a:gd name="T53" fmla="*/ 2147483646 h 611"/>
                                <a:gd name="T54" fmla="*/ 2147483646 w 463"/>
                                <a:gd name="T55" fmla="*/ 2147483646 h 611"/>
                                <a:gd name="T56" fmla="*/ 2147483646 w 463"/>
                                <a:gd name="T57" fmla="*/ 2147483646 h 611"/>
                                <a:gd name="T58" fmla="*/ 2147483646 w 463"/>
                                <a:gd name="T59" fmla="*/ 2147483646 h 611"/>
                                <a:gd name="T60" fmla="*/ 2147483646 w 463"/>
                                <a:gd name="T61" fmla="*/ 2147483646 h 611"/>
                                <a:gd name="T62" fmla="*/ 2147483646 w 463"/>
                                <a:gd name="T63" fmla="*/ 2147483646 h 611"/>
                                <a:gd name="T64" fmla="*/ 2147483646 w 463"/>
                                <a:gd name="T65" fmla="*/ 2147483646 h 611"/>
                                <a:gd name="T66" fmla="*/ 2147483646 w 463"/>
                                <a:gd name="T67" fmla="*/ 2147483646 h 611"/>
                                <a:gd name="T68" fmla="*/ 2147483646 w 463"/>
                                <a:gd name="T69" fmla="*/ 2147483646 h 611"/>
                                <a:gd name="T70" fmla="*/ 2147483646 w 463"/>
                                <a:gd name="T71" fmla="*/ 2147483646 h 611"/>
                                <a:gd name="T72" fmla="*/ 2147483646 w 463"/>
                                <a:gd name="T73" fmla="*/ 2147483646 h 611"/>
                                <a:gd name="T74" fmla="*/ 2147483646 w 463"/>
                                <a:gd name="T75" fmla="*/ 2147483646 h 611"/>
                                <a:gd name="T76" fmla="*/ 2147483646 w 463"/>
                                <a:gd name="T77" fmla="*/ 2147483646 h 611"/>
                                <a:gd name="T78" fmla="*/ 2147483646 w 463"/>
                                <a:gd name="T79" fmla="*/ 2147483646 h 611"/>
                                <a:gd name="T80" fmla="*/ 2147483646 w 463"/>
                                <a:gd name="T81" fmla="*/ 2147483646 h 611"/>
                                <a:gd name="T82" fmla="*/ 2147483646 w 463"/>
                                <a:gd name="T83" fmla="*/ 2147483646 h 611"/>
                                <a:gd name="T84" fmla="*/ 2147483646 w 463"/>
                                <a:gd name="T85" fmla="*/ 2147483646 h 611"/>
                                <a:gd name="T86" fmla="*/ 2147483646 w 463"/>
                                <a:gd name="T87" fmla="*/ 2147483646 h 611"/>
                                <a:gd name="T88" fmla="*/ 2147483646 w 463"/>
                                <a:gd name="T89" fmla="*/ 2147483646 h 611"/>
                                <a:gd name="T90" fmla="*/ 2147483646 w 463"/>
                                <a:gd name="T91" fmla="*/ 2147483646 h 611"/>
                                <a:gd name="T92" fmla="*/ 2147483646 w 463"/>
                                <a:gd name="T93" fmla="*/ 2147483646 h 611"/>
                                <a:gd name="T94" fmla="*/ 2147483646 w 463"/>
                                <a:gd name="T95" fmla="*/ 2147483646 h 611"/>
                                <a:gd name="T96" fmla="*/ 2147483646 w 463"/>
                                <a:gd name="T97" fmla="*/ 2147483646 h 611"/>
                                <a:gd name="T98" fmla="*/ 2147483646 w 463"/>
                                <a:gd name="T99" fmla="*/ 2147483646 h 611"/>
                                <a:gd name="T100" fmla="*/ 2147483646 w 463"/>
                                <a:gd name="T101" fmla="*/ 2147483646 h 611"/>
                                <a:gd name="T102" fmla="*/ 0 w 463"/>
                                <a:gd name="T103" fmla="*/ 2147483646 h 611"/>
                                <a:gd name="T104" fmla="*/ 2147483646 w 463"/>
                                <a:gd name="T105" fmla="*/ 2147483646 h 611"/>
                                <a:gd name="T106" fmla="*/ 2147483646 w 463"/>
                                <a:gd name="T107" fmla="*/ 2147483646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3" name="Freeform 101"/>
                          <wps:cNvSpPr/>
                          <wps:spPr bwMode="auto">
                            <a:xfrm>
                              <a:off x="5318125" y="519815"/>
                              <a:ext cx="1082675" cy="1306513"/>
                            </a:xfrm>
                            <a:custGeom>
                              <a:avLst/>
                              <a:gdLst>
                                <a:gd name="T0" fmla="*/ 2147483646 w 351"/>
                                <a:gd name="T1" fmla="*/ 2147483646 h 423"/>
                                <a:gd name="T2" fmla="*/ 2147483646 w 351"/>
                                <a:gd name="T3" fmla="*/ 2147483646 h 423"/>
                                <a:gd name="T4" fmla="*/ 2147483646 w 351"/>
                                <a:gd name="T5" fmla="*/ 2147483646 h 423"/>
                                <a:gd name="T6" fmla="*/ 2147483646 w 351"/>
                                <a:gd name="T7" fmla="*/ 2147483646 h 423"/>
                                <a:gd name="T8" fmla="*/ 2147483646 w 351"/>
                                <a:gd name="T9" fmla="*/ 2147483646 h 423"/>
                                <a:gd name="T10" fmla="*/ 2147483646 w 351"/>
                                <a:gd name="T11" fmla="*/ 2147483646 h 423"/>
                                <a:gd name="T12" fmla="*/ 2147483646 w 351"/>
                                <a:gd name="T13" fmla="*/ 2147483646 h 423"/>
                                <a:gd name="T14" fmla="*/ 2147483646 w 351"/>
                                <a:gd name="T15" fmla="*/ 2147483646 h 423"/>
                                <a:gd name="T16" fmla="*/ 2147483646 w 351"/>
                                <a:gd name="T17" fmla="*/ 2147483646 h 423"/>
                                <a:gd name="T18" fmla="*/ 2147483646 w 351"/>
                                <a:gd name="T19" fmla="*/ 2147483646 h 423"/>
                                <a:gd name="T20" fmla="*/ 2147483646 w 351"/>
                                <a:gd name="T21" fmla="*/ 2147483646 h 423"/>
                                <a:gd name="T22" fmla="*/ 2147483646 w 351"/>
                                <a:gd name="T23" fmla="*/ 2147483646 h 423"/>
                                <a:gd name="T24" fmla="*/ 2147483646 w 351"/>
                                <a:gd name="T25" fmla="*/ 2147483646 h 423"/>
                                <a:gd name="T26" fmla="*/ 2147483646 w 351"/>
                                <a:gd name="T27" fmla="*/ 2147483646 h 423"/>
                                <a:gd name="T28" fmla="*/ 2147483646 w 351"/>
                                <a:gd name="T29" fmla="*/ 2147483646 h 423"/>
                                <a:gd name="T30" fmla="*/ 2147483646 w 351"/>
                                <a:gd name="T31" fmla="*/ 2147483646 h 423"/>
                                <a:gd name="T32" fmla="*/ 2147483646 w 351"/>
                                <a:gd name="T33" fmla="*/ 2147483646 h 423"/>
                                <a:gd name="T34" fmla="*/ 2147483646 w 351"/>
                                <a:gd name="T35" fmla="*/ 2147483646 h 423"/>
                                <a:gd name="T36" fmla="*/ 2147483646 w 351"/>
                                <a:gd name="T37" fmla="*/ 2147483646 h 423"/>
                                <a:gd name="T38" fmla="*/ 2147483646 w 351"/>
                                <a:gd name="T39" fmla="*/ 2147483646 h 423"/>
                                <a:gd name="T40" fmla="*/ 2147483646 w 351"/>
                                <a:gd name="T41" fmla="*/ 2147483646 h 423"/>
                                <a:gd name="T42" fmla="*/ 2147483646 w 351"/>
                                <a:gd name="T43" fmla="*/ 2147483646 h 423"/>
                                <a:gd name="T44" fmla="*/ 2147483646 w 351"/>
                                <a:gd name="T45" fmla="*/ 2147483646 h 423"/>
                                <a:gd name="T46" fmla="*/ 2147483646 w 351"/>
                                <a:gd name="T47" fmla="*/ 2147483646 h 423"/>
                                <a:gd name="T48" fmla="*/ 2147483646 w 351"/>
                                <a:gd name="T49" fmla="*/ 2147483646 h 423"/>
                                <a:gd name="T50" fmla="*/ 2147483646 w 351"/>
                                <a:gd name="T51" fmla="*/ 2147483646 h 423"/>
                                <a:gd name="T52" fmla="*/ 2147483646 w 351"/>
                                <a:gd name="T53" fmla="*/ 2147483646 h 423"/>
                                <a:gd name="T54" fmla="*/ 2147483646 w 351"/>
                                <a:gd name="T55" fmla="*/ 2147483646 h 423"/>
                                <a:gd name="T56" fmla="*/ 2147483646 w 351"/>
                                <a:gd name="T57" fmla="*/ 2147483646 h 423"/>
                                <a:gd name="T58" fmla="*/ 2147483646 w 351"/>
                                <a:gd name="T59" fmla="*/ 2147483646 h 423"/>
                                <a:gd name="T60" fmla="*/ 2147483646 w 351"/>
                                <a:gd name="T61" fmla="*/ 2147483646 h 423"/>
                                <a:gd name="T62" fmla="*/ 2147483646 w 351"/>
                                <a:gd name="T63" fmla="*/ 2147483646 h 423"/>
                                <a:gd name="T64" fmla="*/ 2147483646 w 351"/>
                                <a:gd name="T65" fmla="*/ 2147483646 h 423"/>
                                <a:gd name="T66" fmla="*/ 2147483646 w 351"/>
                                <a:gd name="T67" fmla="*/ 2147483646 h 423"/>
                                <a:gd name="T68" fmla="*/ 2147483646 w 351"/>
                                <a:gd name="T69" fmla="*/ 2147483646 h 423"/>
                                <a:gd name="T70" fmla="*/ 2147483646 w 351"/>
                                <a:gd name="T71" fmla="*/ 2147483646 h 423"/>
                                <a:gd name="T72" fmla="*/ 2147483646 w 351"/>
                                <a:gd name="T73" fmla="*/ 2147483646 h 423"/>
                                <a:gd name="T74" fmla="*/ 2147483646 w 351"/>
                                <a:gd name="T75" fmla="*/ 2147483646 h 423"/>
                                <a:gd name="T76" fmla="*/ 2147483646 w 351"/>
                                <a:gd name="T77" fmla="*/ 2147483646 h 423"/>
                                <a:gd name="T78" fmla="*/ 2147483646 w 351"/>
                                <a:gd name="T79" fmla="*/ 2147483646 h 423"/>
                                <a:gd name="T80" fmla="*/ 2147483646 w 351"/>
                                <a:gd name="T81" fmla="*/ 0 h 423"/>
                                <a:gd name="T82" fmla="*/ 2147483646 w 351"/>
                                <a:gd name="T83" fmla="*/ 2147483646 h 423"/>
                                <a:gd name="T84" fmla="*/ 2147483646 w 351"/>
                                <a:gd name="T85" fmla="*/ 2147483646 h 423"/>
                                <a:gd name="T86" fmla="*/ 2147483646 w 351"/>
                                <a:gd name="T87" fmla="*/ 2147483646 h 423"/>
                                <a:gd name="T88" fmla="*/ 2147483646 w 351"/>
                                <a:gd name="T89" fmla="*/ 2147483646 h 423"/>
                                <a:gd name="T90" fmla="*/ 0 w 351"/>
                                <a:gd name="T91" fmla="*/ 2147483646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4" name="Freeform 102"/>
                          <wps:cNvSpPr>
                            <a:spLocks noEditPoints="1"/>
                          </wps:cNvSpPr>
                          <wps:spPr bwMode="auto">
                            <a:xfrm>
                              <a:off x="6119813" y="1218315"/>
                              <a:ext cx="1944687" cy="1662113"/>
                            </a:xfrm>
                            <a:custGeom>
                              <a:avLst/>
                              <a:gdLst>
                                <a:gd name="T0" fmla="*/ 2147483646 w 630"/>
                                <a:gd name="T1" fmla="*/ 2147483646 h 539"/>
                                <a:gd name="T2" fmla="*/ 2147483646 w 630"/>
                                <a:gd name="T3" fmla="*/ 2147483646 h 539"/>
                                <a:gd name="T4" fmla="*/ 2147483646 w 630"/>
                                <a:gd name="T5" fmla="*/ 2147483646 h 539"/>
                                <a:gd name="T6" fmla="*/ 2147483646 w 630"/>
                                <a:gd name="T7" fmla="*/ 2147483646 h 539"/>
                                <a:gd name="T8" fmla="*/ 2147483646 w 630"/>
                                <a:gd name="T9" fmla="*/ 2147483646 h 539"/>
                                <a:gd name="T10" fmla="*/ 2147483646 w 630"/>
                                <a:gd name="T11" fmla="*/ 2147483646 h 539"/>
                                <a:gd name="T12" fmla="*/ 2147483646 w 630"/>
                                <a:gd name="T13" fmla="*/ 2147483646 h 539"/>
                                <a:gd name="T14" fmla="*/ 2147483646 w 630"/>
                                <a:gd name="T15" fmla="*/ 2147483646 h 539"/>
                                <a:gd name="T16" fmla="*/ 2147483646 w 630"/>
                                <a:gd name="T17" fmla="*/ 2147483646 h 539"/>
                                <a:gd name="T18" fmla="*/ 2147483646 w 630"/>
                                <a:gd name="T19" fmla="*/ 2147483646 h 539"/>
                                <a:gd name="T20" fmla="*/ 2147483646 w 630"/>
                                <a:gd name="T21" fmla="*/ 0 h 539"/>
                                <a:gd name="T22" fmla="*/ 2147483646 w 630"/>
                                <a:gd name="T23" fmla="*/ 2147483646 h 539"/>
                                <a:gd name="T24" fmla="*/ 2147483646 w 630"/>
                                <a:gd name="T25" fmla="*/ 2147483646 h 539"/>
                                <a:gd name="T26" fmla="*/ 2147483646 w 630"/>
                                <a:gd name="T27" fmla="*/ 2147483646 h 539"/>
                                <a:gd name="T28" fmla="*/ 2147483646 w 630"/>
                                <a:gd name="T29" fmla="*/ 2147483646 h 539"/>
                                <a:gd name="T30" fmla="*/ 2147483646 w 630"/>
                                <a:gd name="T31" fmla="*/ 2147483646 h 539"/>
                                <a:gd name="T32" fmla="*/ 2147483646 w 630"/>
                                <a:gd name="T33" fmla="*/ 2147483646 h 539"/>
                                <a:gd name="T34" fmla="*/ 2147483646 w 630"/>
                                <a:gd name="T35" fmla="*/ 2147483646 h 539"/>
                                <a:gd name="T36" fmla="*/ 2147483646 w 630"/>
                                <a:gd name="T37" fmla="*/ 2147483646 h 539"/>
                                <a:gd name="T38" fmla="*/ 2147483646 w 630"/>
                                <a:gd name="T39" fmla="*/ 2147483646 h 539"/>
                                <a:gd name="T40" fmla="*/ 2147483646 w 630"/>
                                <a:gd name="T41" fmla="*/ 2147483646 h 539"/>
                                <a:gd name="T42" fmla="*/ 2147483646 w 630"/>
                                <a:gd name="T43" fmla="*/ 2147483646 h 539"/>
                                <a:gd name="T44" fmla="*/ 2147483646 w 630"/>
                                <a:gd name="T45" fmla="*/ 2147483646 h 539"/>
                                <a:gd name="T46" fmla="*/ 2147483646 w 630"/>
                                <a:gd name="T47" fmla="*/ 2147483646 h 539"/>
                                <a:gd name="T48" fmla="*/ 2147483646 w 630"/>
                                <a:gd name="T49" fmla="*/ 2147483646 h 539"/>
                                <a:gd name="T50" fmla="*/ 2147483646 w 630"/>
                                <a:gd name="T51" fmla="*/ 2147483646 h 539"/>
                                <a:gd name="T52" fmla="*/ 2147483646 w 630"/>
                                <a:gd name="T53" fmla="*/ 2147483646 h 539"/>
                                <a:gd name="T54" fmla="*/ 2147483646 w 630"/>
                                <a:gd name="T55" fmla="*/ 2147483646 h 539"/>
                                <a:gd name="T56" fmla="*/ 2147483646 w 630"/>
                                <a:gd name="T57" fmla="*/ 2147483646 h 539"/>
                                <a:gd name="T58" fmla="*/ 2147483646 w 630"/>
                                <a:gd name="T59" fmla="*/ 2147483646 h 539"/>
                                <a:gd name="T60" fmla="*/ 2147483646 w 630"/>
                                <a:gd name="T61" fmla="*/ 2147483646 h 539"/>
                                <a:gd name="T62" fmla="*/ 2147483646 w 630"/>
                                <a:gd name="T63" fmla="*/ 2147483646 h 539"/>
                                <a:gd name="T64" fmla="*/ 2147483646 w 630"/>
                                <a:gd name="T65" fmla="*/ 2147483646 h 539"/>
                                <a:gd name="T66" fmla="*/ 2147483646 w 630"/>
                                <a:gd name="T67" fmla="*/ 2147483646 h 539"/>
                                <a:gd name="T68" fmla="*/ 2147483646 w 630"/>
                                <a:gd name="T69" fmla="*/ 2147483646 h 539"/>
                                <a:gd name="T70" fmla="*/ 2147483646 w 630"/>
                                <a:gd name="T71" fmla="*/ 2147483646 h 539"/>
                                <a:gd name="T72" fmla="*/ 2147483646 w 630"/>
                                <a:gd name="T73" fmla="*/ 2147483646 h 539"/>
                                <a:gd name="T74" fmla="*/ 2147483646 w 630"/>
                                <a:gd name="T75" fmla="*/ 2147483646 h 539"/>
                                <a:gd name="T76" fmla="*/ 2147483646 w 630"/>
                                <a:gd name="T77" fmla="*/ 2147483646 h 539"/>
                                <a:gd name="T78" fmla="*/ 2147483646 w 630"/>
                                <a:gd name="T79" fmla="*/ 2147483646 h 539"/>
                                <a:gd name="T80" fmla="*/ 2147483646 w 630"/>
                                <a:gd name="T81" fmla="*/ 2147483646 h 539"/>
                                <a:gd name="T82" fmla="*/ 2147483646 w 630"/>
                                <a:gd name="T83" fmla="*/ 2147483646 h 539"/>
                                <a:gd name="T84" fmla="*/ 2147483646 w 630"/>
                                <a:gd name="T85" fmla="*/ 2147483646 h 539"/>
                                <a:gd name="T86" fmla="*/ 2147483646 w 630"/>
                                <a:gd name="T87" fmla="*/ 2147483646 h 539"/>
                                <a:gd name="T88" fmla="*/ 2147483646 w 630"/>
                                <a:gd name="T89" fmla="*/ 2147483646 h 539"/>
                                <a:gd name="T90" fmla="*/ 2147483646 w 630"/>
                                <a:gd name="T91" fmla="*/ 2147483646 h 539"/>
                                <a:gd name="T92" fmla="*/ 2147483646 w 630"/>
                                <a:gd name="T93" fmla="*/ 2147483646 h 539"/>
                                <a:gd name="T94" fmla="*/ 2147483646 w 630"/>
                                <a:gd name="T95" fmla="*/ 2147483646 h 539"/>
                                <a:gd name="T96" fmla="*/ 2147483646 w 630"/>
                                <a:gd name="T97" fmla="*/ 2147483646 h 539"/>
                                <a:gd name="T98" fmla="*/ 2147483646 w 630"/>
                                <a:gd name="T99" fmla="*/ 2147483646 h 539"/>
                                <a:gd name="T100" fmla="*/ 2147483646 w 630"/>
                                <a:gd name="T101" fmla="*/ 2147483646 h 539"/>
                                <a:gd name="T102" fmla="*/ 2147483646 w 630"/>
                                <a:gd name="T103" fmla="*/ 2147483646 h 539"/>
                                <a:gd name="T104" fmla="*/ 2147483646 w 630"/>
                                <a:gd name="T105" fmla="*/ 2147483646 h 539"/>
                                <a:gd name="T106" fmla="*/ 2147483646 w 630"/>
                                <a:gd name="T107" fmla="*/ 2147483646 h 539"/>
                                <a:gd name="T108" fmla="*/ 2147483646 w 630"/>
                                <a:gd name="T109" fmla="*/ 2147483646 h 539"/>
                                <a:gd name="T110" fmla="*/ 2147483646 w 630"/>
                                <a:gd name="T111" fmla="*/ 2147483646 h 539"/>
                                <a:gd name="T112" fmla="*/ 2147483646 w 630"/>
                                <a:gd name="T113" fmla="*/ 2147483646 h 539"/>
                                <a:gd name="T114" fmla="*/ 2147483646 w 630"/>
                                <a:gd name="T115" fmla="*/ 2147483646 h 539"/>
                                <a:gd name="T116" fmla="*/ 2147483646 w 630"/>
                                <a:gd name="T117" fmla="*/ 2147483646 h 539"/>
                                <a:gd name="T118" fmla="*/ 2147483646 w 630"/>
                                <a:gd name="T119" fmla="*/ 2147483646 h 539"/>
                                <a:gd name="T120" fmla="*/ 2147483646 w 630"/>
                                <a:gd name="T121" fmla="*/ 2147483646 h 539"/>
                                <a:gd name="T122" fmla="*/ 2147483646 w 630"/>
                                <a:gd name="T123" fmla="*/ 214748364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5" name="Freeform 103"/>
                          <wps:cNvSpPr/>
                          <wps:spPr bwMode="auto">
                            <a:xfrm>
                              <a:off x="4052888" y="329315"/>
                              <a:ext cx="1357312" cy="892175"/>
                            </a:xfrm>
                            <a:custGeom>
                              <a:avLst/>
                              <a:gdLst>
                                <a:gd name="T0" fmla="*/ 2147483646 w 440"/>
                                <a:gd name="T1" fmla="*/ 2147483646 h 289"/>
                                <a:gd name="T2" fmla="*/ 2147483646 w 440"/>
                                <a:gd name="T3" fmla="*/ 2147483646 h 289"/>
                                <a:gd name="T4" fmla="*/ 2147483646 w 440"/>
                                <a:gd name="T5" fmla="*/ 2147483646 h 289"/>
                                <a:gd name="T6" fmla="*/ 2147483646 w 440"/>
                                <a:gd name="T7" fmla="*/ 2147483646 h 289"/>
                                <a:gd name="T8" fmla="*/ 2147483646 w 440"/>
                                <a:gd name="T9" fmla="*/ 2147483646 h 289"/>
                                <a:gd name="T10" fmla="*/ 2147483646 w 440"/>
                                <a:gd name="T11" fmla="*/ 2147483646 h 289"/>
                                <a:gd name="T12" fmla="*/ 2147483646 w 440"/>
                                <a:gd name="T13" fmla="*/ 2147483646 h 289"/>
                                <a:gd name="T14" fmla="*/ 2147483646 w 440"/>
                                <a:gd name="T15" fmla="*/ 2147483646 h 289"/>
                                <a:gd name="T16" fmla="*/ 2147483646 w 440"/>
                                <a:gd name="T17" fmla="*/ 2147483646 h 289"/>
                                <a:gd name="T18" fmla="*/ 2147483646 w 440"/>
                                <a:gd name="T19" fmla="*/ 2147483646 h 289"/>
                                <a:gd name="T20" fmla="*/ 2147483646 w 440"/>
                                <a:gd name="T21" fmla="*/ 2147483646 h 289"/>
                                <a:gd name="T22" fmla="*/ 2147483646 w 440"/>
                                <a:gd name="T23" fmla="*/ 2147483646 h 289"/>
                                <a:gd name="T24" fmla="*/ 2147483646 w 440"/>
                                <a:gd name="T25" fmla="*/ 2147483646 h 289"/>
                                <a:gd name="T26" fmla="*/ 2147483646 w 440"/>
                                <a:gd name="T27" fmla="*/ 2147483646 h 289"/>
                                <a:gd name="T28" fmla="*/ 2147483646 w 440"/>
                                <a:gd name="T29" fmla="*/ 2147483646 h 289"/>
                                <a:gd name="T30" fmla="*/ 2147483646 w 440"/>
                                <a:gd name="T31" fmla="*/ 2147483646 h 289"/>
                                <a:gd name="T32" fmla="*/ 2147483646 w 440"/>
                                <a:gd name="T33" fmla="*/ 2147483646 h 289"/>
                                <a:gd name="T34" fmla="*/ 2147483646 w 440"/>
                                <a:gd name="T35" fmla="*/ 2147483646 h 289"/>
                                <a:gd name="T36" fmla="*/ 2147483646 w 440"/>
                                <a:gd name="T37" fmla="*/ 2147483646 h 289"/>
                                <a:gd name="T38" fmla="*/ 2147483646 w 440"/>
                                <a:gd name="T39" fmla="*/ 2147483646 h 289"/>
                                <a:gd name="T40" fmla="*/ 2147483646 w 440"/>
                                <a:gd name="T41" fmla="*/ 2147483646 h 289"/>
                                <a:gd name="T42" fmla="*/ 2147483646 w 440"/>
                                <a:gd name="T43" fmla="*/ 2147483646 h 289"/>
                                <a:gd name="T44" fmla="*/ 2147483646 w 440"/>
                                <a:gd name="T45" fmla="*/ 2147483646 h 289"/>
                                <a:gd name="T46" fmla="*/ 2147483646 w 440"/>
                                <a:gd name="T47" fmla="*/ 2147483646 h 289"/>
                                <a:gd name="T48" fmla="*/ 2147483646 w 440"/>
                                <a:gd name="T49" fmla="*/ 2147483646 h 289"/>
                                <a:gd name="T50" fmla="*/ 2147483646 w 440"/>
                                <a:gd name="T51" fmla="*/ 2147483646 h 289"/>
                                <a:gd name="T52" fmla="*/ 2147483646 w 440"/>
                                <a:gd name="T53" fmla="*/ 2147483646 h 289"/>
                                <a:gd name="T54" fmla="*/ 2147483646 w 440"/>
                                <a:gd name="T55" fmla="*/ 2147483646 h 289"/>
                                <a:gd name="T56" fmla="*/ 2147483646 w 440"/>
                                <a:gd name="T57" fmla="*/ 2147483646 h 289"/>
                                <a:gd name="T58" fmla="*/ 2147483646 w 440"/>
                                <a:gd name="T59" fmla="*/ 2147483646 h 289"/>
                                <a:gd name="T60" fmla="*/ 2147483646 w 440"/>
                                <a:gd name="T61" fmla="*/ 2147483646 h 289"/>
                                <a:gd name="T62" fmla="*/ 2147483646 w 440"/>
                                <a:gd name="T63" fmla="*/ 2147483646 h 289"/>
                                <a:gd name="T64" fmla="*/ 2147483646 w 440"/>
                                <a:gd name="T65" fmla="*/ 2147483646 h 289"/>
                                <a:gd name="T66" fmla="*/ 2147483646 w 440"/>
                                <a:gd name="T67" fmla="*/ 2147483646 h 289"/>
                                <a:gd name="T68" fmla="*/ 2147483646 w 440"/>
                                <a:gd name="T69" fmla="*/ 2147483646 h 289"/>
                                <a:gd name="T70" fmla="*/ 2147483646 w 440"/>
                                <a:gd name="T71" fmla="*/ 2147483646 h 289"/>
                                <a:gd name="T72" fmla="*/ 2147483646 w 440"/>
                                <a:gd name="T73" fmla="*/ 2147483646 h 289"/>
                                <a:gd name="T74" fmla="*/ 2147483646 w 440"/>
                                <a:gd name="T75" fmla="*/ 2147483646 h 289"/>
                                <a:gd name="T76" fmla="*/ 2147483646 w 440"/>
                                <a:gd name="T77" fmla="*/ 2147483646 h 289"/>
                                <a:gd name="T78" fmla="*/ 2147483646 w 440"/>
                                <a:gd name="T79" fmla="*/ 2147483646 h 289"/>
                                <a:gd name="T80" fmla="*/ 2147483646 w 440"/>
                                <a:gd name="T81" fmla="*/ 2147483646 h 289"/>
                                <a:gd name="T82" fmla="*/ 2147483646 w 440"/>
                                <a:gd name="T83" fmla="*/ 2147483646 h 289"/>
                                <a:gd name="T84" fmla="*/ 2147483646 w 440"/>
                                <a:gd name="T85" fmla="*/ 2147483646 h 289"/>
                                <a:gd name="T86" fmla="*/ 2147483646 w 440"/>
                                <a:gd name="T87" fmla="*/ 2147483646 h 289"/>
                                <a:gd name="T88" fmla="*/ 2147483646 w 440"/>
                                <a:gd name="T89" fmla="*/ 2147483646 h 289"/>
                                <a:gd name="T90" fmla="*/ 2147483646 w 440"/>
                                <a:gd name="T91" fmla="*/ 2147483646 h 289"/>
                                <a:gd name="T92" fmla="*/ 2147483646 w 440"/>
                                <a:gd name="T93" fmla="*/ 2147483646 h 289"/>
                                <a:gd name="T94" fmla="*/ 2147483646 w 440"/>
                                <a:gd name="T95" fmla="*/ 2147483646 h 289"/>
                                <a:gd name="T96" fmla="*/ 2147483646 w 440"/>
                                <a:gd name="T97" fmla="*/ 2147483646 h 289"/>
                                <a:gd name="T98" fmla="*/ 2147483646 w 440"/>
                                <a:gd name="T99" fmla="*/ 2147483646 h 289"/>
                                <a:gd name="T100" fmla="*/ 2147483646 w 440"/>
                                <a:gd name="T101" fmla="*/ 2147483646 h 289"/>
                                <a:gd name="T102" fmla="*/ 2147483646 w 440"/>
                                <a:gd name="T103" fmla="*/ 2147483646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6" name="Freeform 104"/>
                          <wps:cNvSpPr/>
                          <wps:spPr bwMode="auto">
                            <a:xfrm>
                              <a:off x="3916363" y="832553"/>
                              <a:ext cx="1536700" cy="1017587"/>
                            </a:xfrm>
                            <a:custGeom>
                              <a:avLst/>
                              <a:gdLst>
                                <a:gd name="T0" fmla="*/ 2147483646 w 498"/>
                                <a:gd name="T1" fmla="*/ 2147483646 h 330"/>
                                <a:gd name="T2" fmla="*/ 2147483646 w 498"/>
                                <a:gd name="T3" fmla="*/ 2147483646 h 330"/>
                                <a:gd name="T4" fmla="*/ 2147483646 w 498"/>
                                <a:gd name="T5" fmla="*/ 2147483646 h 330"/>
                                <a:gd name="T6" fmla="*/ 2147483646 w 498"/>
                                <a:gd name="T7" fmla="*/ 2147483646 h 330"/>
                                <a:gd name="T8" fmla="*/ 2147483646 w 498"/>
                                <a:gd name="T9" fmla="*/ 2147483646 h 330"/>
                                <a:gd name="T10" fmla="*/ 2147483646 w 498"/>
                                <a:gd name="T11" fmla="*/ 2147483646 h 330"/>
                                <a:gd name="T12" fmla="*/ 2147483646 w 498"/>
                                <a:gd name="T13" fmla="*/ 2147483646 h 330"/>
                                <a:gd name="T14" fmla="*/ 2147483646 w 498"/>
                                <a:gd name="T15" fmla="*/ 2147483646 h 330"/>
                                <a:gd name="T16" fmla="*/ 2147483646 w 498"/>
                                <a:gd name="T17" fmla="*/ 2147483646 h 330"/>
                                <a:gd name="T18" fmla="*/ 2147483646 w 498"/>
                                <a:gd name="T19" fmla="*/ 2147483646 h 330"/>
                                <a:gd name="T20" fmla="*/ 2147483646 w 498"/>
                                <a:gd name="T21" fmla="*/ 2147483646 h 330"/>
                                <a:gd name="T22" fmla="*/ 2147483646 w 498"/>
                                <a:gd name="T23" fmla="*/ 2147483646 h 330"/>
                                <a:gd name="T24" fmla="*/ 2147483646 w 498"/>
                                <a:gd name="T25" fmla="*/ 2147483646 h 330"/>
                                <a:gd name="T26" fmla="*/ 2147483646 w 498"/>
                                <a:gd name="T27" fmla="*/ 2147483646 h 330"/>
                                <a:gd name="T28" fmla="*/ 2147483646 w 498"/>
                                <a:gd name="T29" fmla="*/ 2147483646 h 330"/>
                                <a:gd name="T30" fmla="*/ 2147483646 w 498"/>
                                <a:gd name="T31" fmla="*/ 2147483646 h 330"/>
                                <a:gd name="T32" fmla="*/ 2147483646 w 498"/>
                                <a:gd name="T33" fmla="*/ 2147483646 h 330"/>
                                <a:gd name="T34" fmla="*/ 2147483646 w 498"/>
                                <a:gd name="T35" fmla="*/ 2147483646 h 330"/>
                                <a:gd name="T36" fmla="*/ 2147483646 w 498"/>
                                <a:gd name="T37" fmla="*/ 2147483646 h 330"/>
                                <a:gd name="T38" fmla="*/ 2147483646 w 498"/>
                                <a:gd name="T39" fmla="*/ 2147483646 h 330"/>
                                <a:gd name="T40" fmla="*/ 2147483646 w 498"/>
                                <a:gd name="T41" fmla="*/ 2147483646 h 330"/>
                                <a:gd name="T42" fmla="*/ 2147483646 w 498"/>
                                <a:gd name="T43" fmla="*/ 2147483646 h 330"/>
                                <a:gd name="T44" fmla="*/ 2147483646 w 498"/>
                                <a:gd name="T45" fmla="*/ 2147483646 h 330"/>
                                <a:gd name="T46" fmla="*/ 2147483646 w 498"/>
                                <a:gd name="T47" fmla="*/ 2147483646 h 330"/>
                                <a:gd name="T48" fmla="*/ 2147483646 w 498"/>
                                <a:gd name="T49" fmla="*/ 2147483646 h 330"/>
                                <a:gd name="T50" fmla="*/ 2147483646 w 498"/>
                                <a:gd name="T51" fmla="*/ 2147483646 h 330"/>
                                <a:gd name="T52" fmla="*/ 2147483646 w 498"/>
                                <a:gd name="T53" fmla="*/ 2147483646 h 330"/>
                                <a:gd name="T54" fmla="*/ 2147483646 w 498"/>
                                <a:gd name="T55" fmla="*/ 2147483646 h 330"/>
                                <a:gd name="T56" fmla="*/ 2147483646 w 498"/>
                                <a:gd name="T57" fmla="*/ 2147483646 h 330"/>
                                <a:gd name="T58" fmla="*/ 2147483646 w 498"/>
                                <a:gd name="T59" fmla="*/ 2147483646 h 330"/>
                                <a:gd name="T60" fmla="*/ 2147483646 w 498"/>
                                <a:gd name="T61" fmla="*/ 2147483646 h 330"/>
                                <a:gd name="T62" fmla="*/ 2147483646 w 498"/>
                                <a:gd name="T63" fmla="*/ 2147483646 h 330"/>
                                <a:gd name="T64" fmla="*/ 2147483646 w 498"/>
                                <a:gd name="T65" fmla="*/ 2147483646 h 330"/>
                                <a:gd name="T66" fmla="*/ 2147483646 w 498"/>
                                <a:gd name="T67" fmla="*/ 2147483646 h 330"/>
                                <a:gd name="T68" fmla="*/ 2147483646 w 498"/>
                                <a:gd name="T69" fmla="*/ 2147483646 h 330"/>
                                <a:gd name="T70" fmla="*/ 2147483646 w 498"/>
                                <a:gd name="T71" fmla="*/ 2147483646 h 330"/>
                                <a:gd name="T72" fmla="*/ 2147483646 w 498"/>
                                <a:gd name="T73" fmla="*/ 2147483646 h 330"/>
                                <a:gd name="T74" fmla="*/ 2147483646 w 498"/>
                                <a:gd name="T75" fmla="*/ 2147483646 h 330"/>
                                <a:gd name="T76" fmla="*/ 2147483646 w 498"/>
                                <a:gd name="T77" fmla="*/ 2147483646 h 330"/>
                                <a:gd name="T78" fmla="*/ 2147483646 w 498"/>
                                <a:gd name="T79" fmla="*/ 2147483646 h 330"/>
                                <a:gd name="T80" fmla="*/ 2147483646 w 498"/>
                                <a:gd name="T81" fmla="*/ 2147483646 h 330"/>
                                <a:gd name="T82" fmla="*/ 2147483646 w 498"/>
                                <a:gd name="T83" fmla="*/ 2147483646 h 330"/>
                                <a:gd name="T84" fmla="*/ 2147483646 w 498"/>
                                <a:gd name="T85" fmla="*/ 2147483646 h 330"/>
                                <a:gd name="T86" fmla="*/ 2147483646 w 498"/>
                                <a:gd name="T87" fmla="*/ 2147483646 h 330"/>
                                <a:gd name="T88" fmla="*/ 2147483646 w 498"/>
                                <a:gd name="T89" fmla="*/ 2147483646 h 330"/>
                                <a:gd name="T90" fmla="*/ 2147483646 w 498"/>
                                <a:gd name="T91" fmla="*/ 2147483646 h 330"/>
                                <a:gd name="T92" fmla="*/ 2147483646 w 498"/>
                                <a:gd name="T93" fmla="*/ 2147483646 h 330"/>
                                <a:gd name="T94" fmla="*/ 2147483646 w 498"/>
                                <a:gd name="T95" fmla="*/ 2147483646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7" name="Freeform 105"/>
                          <wps:cNvSpPr/>
                          <wps:spPr bwMode="auto">
                            <a:xfrm>
                              <a:off x="2625725" y="2967740"/>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8" name="Freeform 106"/>
                          <wps:cNvSpPr/>
                          <wps:spPr bwMode="auto">
                            <a:xfrm>
                              <a:off x="4749800" y="3818640"/>
                              <a:ext cx="3175" cy="1588"/>
                            </a:xfrm>
                            <a:custGeom>
                              <a:avLst/>
                              <a:gdLst>
                                <a:gd name="T0" fmla="*/ 0 w 2"/>
                                <a:gd name="T1" fmla="*/ 0 h 1587"/>
                                <a:gd name="T2" fmla="*/ 0 w 2"/>
                                <a:gd name="T3" fmla="*/ 0 h 1587"/>
                                <a:gd name="T4" fmla="*/ 2147483646 w 2"/>
                                <a:gd name="T5" fmla="*/ 0 h 1587"/>
                                <a:gd name="T6" fmla="*/ 2147483646 w 2"/>
                                <a:gd name="T7" fmla="*/ 0 h 1587"/>
                                <a:gd name="T8" fmla="*/ 0 w 2"/>
                                <a:gd name="T9" fmla="*/ 0 h 1587"/>
                                <a:gd name="T10" fmla="*/ 0 w 2"/>
                                <a:gd name="T11" fmla="*/ 0 h 1587"/>
                                <a:gd name="T12" fmla="*/ 0 60000 65536"/>
                                <a:gd name="T13" fmla="*/ 0 60000 65536"/>
                                <a:gd name="T14" fmla="*/ 0 60000 65536"/>
                                <a:gd name="T15" fmla="*/ 0 60000 65536"/>
                                <a:gd name="T16" fmla="*/ 0 60000 65536"/>
                                <a:gd name="T17" fmla="*/ 0 60000 65536"/>
                                <a:gd name="T18" fmla="*/ 0 w 2"/>
                                <a:gd name="T19" fmla="*/ 0 h 1587"/>
                                <a:gd name="T20" fmla="*/ 2 w 2"/>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2" h="1587">
                                  <a:moveTo>
                                    <a:pt x="0" y="0"/>
                                  </a:moveTo>
                                  <a:lnTo>
                                    <a:pt x="0" y="0"/>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9" name="Freeform 107"/>
                          <wps:cNvSpPr/>
                          <wps:spPr bwMode="auto">
                            <a:xfrm>
                              <a:off x="6119813" y="18834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0" name="Freeform 108"/>
                          <wps:cNvSpPr/>
                          <wps:spPr bwMode="auto">
                            <a:xfrm>
                              <a:off x="5394325" y="10579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1" name="Freeform 109"/>
                          <wps:cNvSpPr/>
                          <wps:spPr bwMode="auto">
                            <a:xfrm>
                              <a:off x="5443538" y="1402465"/>
                              <a:ext cx="1587" cy="3175"/>
                            </a:xfrm>
                            <a:custGeom>
                              <a:avLst/>
                              <a:gdLst>
                                <a:gd name="T0" fmla="*/ 0 w 1588"/>
                                <a:gd name="T1" fmla="*/ 2147483646 h 2"/>
                                <a:gd name="T2" fmla="*/ 0 w 1588"/>
                                <a:gd name="T3" fmla="*/ 0 h 2"/>
                                <a:gd name="T4" fmla="*/ 0 w 1588"/>
                                <a:gd name="T5" fmla="*/ 2147483646 h 2"/>
                                <a:gd name="T6" fmla="*/ 0 w 1588"/>
                                <a:gd name="T7" fmla="*/ 2147483646 h 2"/>
                                <a:gd name="T8" fmla="*/ 0 60000 65536"/>
                                <a:gd name="T9" fmla="*/ 0 60000 65536"/>
                                <a:gd name="T10" fmla="*/ 0 60000 65536"/>
                                <a:gd name="T11" fmla="*/ 0 60000 65536"/>
                                <a:gd name="T12" fmla="*/ 0 w 1588"/>
                                <a:gd name="T13" fmla="*/ 0 h 2"/>
                                <a:gd name="T14" fmla="*/ 1588 w 1588"/>
                                <a:gd name="T15" fmla="*/ 2 h 2"/>
                              </a:gdLst>
                              <a:ahLst/>
                              <a:cxnLst>
                                <a:cxn ang="T8">
                                  <a:pos x="T0" y="T1"/>
                                </a:cxn>
                                <a:cxn ang="T9">
                                  <a:pos x="T2" y="T3"/>
                                </a:cxn>
                                <a:cxn ang="T10">
                                  <a:pos x="T4" y="T5"/>
                                </a:cxn>
                                <a:cxn ang="T11">
                                  <a:pos x="T6" y="T7"/>
                                </a:cxn>
                              </a:cxnLst>
                              <a:rect l="T12" t="T13" r="T14" b="T15"/>
                              <a:pathLst>
                                <a:path w="1588" h="2">
                                  <a:moveTo>
                                    <a:pt x="0" y="2"/>
                                  </a:move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2" name="Freeform 110"/>
                          <wps:cNvSpPr/>
                          <wps:spPr bwMode="auto">
                            <a:xfrm>
                              <a:off x="5808663" y="1758065"/>
                              <a:ext cx="3175" cy="3175"/>
                            </a:xfrm>
                            <a:custGeom>
                              <a:avLst/>
                              <a:gdLst>
                                <a:gd name="T0" fmla="*/ 2147483646 w 2"/>
                                <a:gd name="T1" fmla="*/ 0 h 2"/>
                                <a:gd name="T2" fmla="*/ 2147483646 w 2"/>
                                <a:gd name="T3" fmla="*/ 0 h 2"/>
                                <a:gd name="T4" fmla="*/ 0 w 2"/>
                                <a:gd name="T5" fmla="*/ 2147483646 h 2"/>
                                <a:gd name="T6" fmla="*/ 2147483646 w 2"/>
                                <a:gd name="T7" fmla="*/ 0 h 2"/>
                                <a:gd name="T8" fmla="*/ 2147483646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2" y="0"/>
                                  </a:moveTo>
                                  <a:lnTo>
                                    <a:pt x="2" y="0"/>
                                  </a:lnTo>
                                  <a:lnTo>
                                    <a:pt x="0" y="2"/>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3" name="Freeform 111"/>
                          <wps:cNvSpPr/>
                          <wps:spPr bwMode="auto">
                            <a:xfrm>
                              <a:off x="4076700" y="564265"/>
                              <a:ext cx="6350" cy="3175"/>
                            </a:xfrm>
                            <a:custGeom>
                              <a:avLst/>
                              <a:gdLst>
                                <a:gd name="T0" fmla="*/ 2147483646 w 4"/>
                                <a:gd name="T1" fmla="*/ 0 h 2"/>
                                <a:gd name="T2" fmla="*/ 2147483646 w 4"/>
                                <a:gd name="T3" fmla="*/ 0 h 2"/>
                                <a:gd name="T4" fmla="*/ 0 w 4"/>
                                <a:gd name="T5" fmla="*/ 0 h 2"/>
                                <a:gd name="T6" fmla="*/ 2147483646 w 4"/>
                                <a:gd name="T7" fmla="*/ 2147483646 h 2"/>
                                <a:gd name="T8" fmla="*/ 2147483646 w 4"/>
                                <a:gd name="T9" fmla="*/ 0 h 2"/>
                                <a:gd name="T10" fmla="*/ 2147483646 w 4"/>
                                <a:gd name="T11" fmla="*/ 0 h 2"/>
                                <a:gd name="T12" fmla="*/ 0 60000 65536"/>
                                <a:gd name="T13" fmla="*/ 0 60000 65536"/>
                                <a:gd name="T14" fmla="*/ 0 60000 65536"/>
                                <a:gd name="T15" fmla="*/ 0 60000 65536"/>
                                <a:gd name="T16" fmla="*/ 0 60000 65536"/>
                                <a:gd name="T17" fmla="*/ 0 60000 65536"/>
                                <a:gd name="T18" fmla="*/ 0 w 4"/>
                                <a:gd name="T19" fmla="*/ 0 h 2"/>
                                <a:gd name="T20" fmla="*/ 4 w 4"/>
                                <a:gd name="T21" fmla="*/ 2 h 2"/>
                              </a:gdLst>
                              <a:ahLst/>
                              <a:cxnLst>
                                <a:cxn ang="T12">
                                  <a:pos x="T0" y="T1"/>
                                </a:cxn>
                                <a:cxn ang="T13">
                                  <a:pos x="T2" y="T3"/>
                                </a:cxn>
                                <a:cxn ang="T14">
                                  <a:pos x="T4" y="T5"/>
                                </a:cxn>
                                <a:cxn ang="T15">
                                  <a:pos x="T6" y="T7"/>
                                </a:cxn>
                                <a:cxn ang="T16">
                                  <a:pos x="T8" y="T9"/>
                                </a:cxn>
                                <a:cxn ang="T17">
                                  <a:pos x="T10" y="T11"/>
                                </a:cxn>
                              </a:cxnLst>
                              <a:rect l="T18" t="T19" r="T20" b="T21"/>
                              <a:pathLst>
                                <a:path w="4" h="2">
                                  <a:moveTo>
                                    <a:pt x="4" y="0"/>
                                  </a:moveTo>
                                  <a:lnTo>
                                    <a:pt x="4" y="0"/>
                                  </a:lnTo>
                                  <a:lnTo>
                                    <a:pt x="0" y="0"/>
                                  </a:lnTo>
                                  <a:lnTo>
                                    <a:pt x="2" y="2"/>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4" name="Freeform 112"/>
                          <wps:cNvSpPr/>
                          <wps:spPr bwMode="auto">
                            <a:xfrm>
                              <a:off x="4076700" y="675390"/>
                              <a:ext cx="3175" cy="4763"/>
                            </a:xfrm>
                            <a:custGeom>
                              <a:avLst/>
                              <a:gdLst>
                                <a:gd name="T0" fmla="*/ 0 w 2"/>
                                <a:gd name="T1" fmla="*/ 2147483646 h 3"/>
                                <a:gd name="T2" fmla="*/ 2147483646 w 2"/>
                                <a:gd name="T3" fmla="*/ 2147483646 h 3"/>
                                <a:gd name="T4" fmla="*/ 2147483646 w 2"/>
                                <a:gd name="T5" fmla="*/ 0 h 3"/>
                                <a:gd name="T6" fmla="*/ 0 w 2"/>
                                <a:gd name="T7" fmla="*/ 2147483646 h 3"/>
                                <a:gd name="T8" fmla="*/ 0 w 2"/>
                                <a:gd name="T9" fmla="*/ 2147483646 h 3"/>
                                <a:gd name="T10" fmla="*/ 0 60000 65536"/>
                                <a:gd name="T11" fmla="*/ 0 60000 65536"/>
                                <a:gd name="T12" fmla="*/ 0 60000 65536"/>
                                <a:gd name="T13" fmla="*/ 0 60000 65536"/>
                                <a:gd name="T14" fmla="*/ 0 60000 65536"/>
                                <a:gd name="T15" fmla="*/ 0 w 2"/>
                                <a:gd name="T16" fmla="*/ 0 h 3"/>
                                <a:gd name="T17" fmla="*/ 2 w 2"/>
                                <a:gd name="T18" fmla="*/ 3 h 3"/>
                              </a:gdLst>
                              <a:ahLst/>
                              <a:cxnLst>
                                <a:cxn ang="T10">
                                  <a:pos x="T0" y="T1"/>
                                </a:cxn>
                                <a:cxn ang="T11">
                                  <a:pos x="T2" y="T3"/>
                                </a:cxn>
                                <a:cxn ang="T12">
                                  <a:pos x="T4" y="T5"/>
                                </a:cxn>
                                <a:cxn ang="T13">
                                  <a:pos x="T6" y="T7"/>
                                </a:cxn>
                                <a:cxn ang="T14">
                                  <a:pos x="T8" y="T9"/>
                                </a:cxn>
                              </a:cxnLst>
                              <a:rect l="T15" t="T16" r="T17" b="T18"/>
                              <a:pathLst>
                                <a:path w="2" h="3">
                                  <a:moveTo>
                                    <a:pt x="0" y="3"/>
                                  </a:moveTo>
                                  <a:lnTo>
                                    <a:pt x="2" y="2"/>
                                  </a:lnTo>
                                  <a:lnTo>
                                    <a:pt x="2" y="0"/>
                                  </a:lnTo>
                                  <a:lnTo>
                                    <a:pt x="0" y="3"/>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5" name="Freeform 113"/>
                          <wps:cNvSpPr/>
                          <wps:spPr bwMode="auto">
                            <a:xfrm>
                              <a:off x="4095750" y="816678"/>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6" name="Freeform 114"/>
                          <wps:cNvSpPr/>
                          <wps:spPr bwMode="auto">
                            <a:xfrm>
                              <a:off x="4095750" y="97066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7" name="Freeform 115"/>
                          <wps:cNvSpPr/>
                          <wps:spPr bwMode="auto">
                            <a:xfrm>
                              <a:off x="4102100" y="843665"/>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8" name="Freeform 116"/>
                          <wps:cNvSpPr/>
                          <wps:spPr bwMode="auto">
                            <a:xfrm>
                              <a:off x="4102100" y="908753"/>
                              <a:ext cx="7938" cy="6350"/>
                            </a:xfrm>
                            <a:custGeom>
                              <a:avLst/>
                              <a:gdLst>
                                <a:gd name="T0" fmla="*/ 2147483646 w 5"/>
                                <a:gd name="T1" fmla="*/ 0 h 4"/>
                                <a:gd name="T2" fmla="*/ 0 w 5"/>
                                <a:gd name="T3" fmla="*/ 2147483646 h 4"/>
                                <a:gd name="T4" fmla="*/ 2147483646 w 5"/>
                                <a:gd name="T5" fmla="*/ 2147483646 h 4"/>
                                <a:gd name="T6" fmla="*/ 2147483646 w 5"/>
                                <a:gd name="T7" fmla="*/ 0 h 4"/>
                                <a:gd name="T8" fmla="*/ 2147483646 w 5"/>
                                <a:gd name="T9" fmla="*/ 0 h 4"/>
                                <a:gd name="T10" fmla="*/ 0 60000 65536"/>
                                <a:gd name="T11" fmla="*/ 0 60000 65536"/>
                                <a:gd name="T12" fmla="*/ 0 60000 65536"/>
                                <a:gd name="T13" fmla="*/ 0 60000 65536"/>
                                <a:gd name="T14" fmla="*/ 0 60000 65536"/>
                                <a:gd name="T15" fmla="*/ 0 w 5"/>
                                <a:gd name="T16" fmla="*/ 0 h 4"/>
                                <a:gd name="T17" fmla="*/ 5 w 5"/>
                                <a:gd name="T18" fmla="*/ 4 h 4"/>
                              </a:gdLst>
                              <a:ahLst/>
                              <a:cxnLst>
                                <a:cxn ang="T10">
                                  <a:pos x="T0" y="T1"/>
                                </a:cxn>
                                <a:cxn ang="T11">
                                  <a:pos x="T2" y="T3"/>
                                </a:cxn>
                                <a:cxn ang="T12">
                                  <a:pos x="T4" y="T5"/>
                                </a:cxn>
                                <a:cxn ang="T13">
                                  <a:pos x="T6" y="T7"/>
                                </a:cxn>
                                <a:cxn ang="T14">
                                  <a:pos x="T8" y="T9"/>
                                </a:cxn>
                              </a:cxnLst>
                              <a:rect l="T15" t="T16" r="T17" b="T18"/>
                              <a:pathLst>
                                <a:path w="5" h="4">
                                  <a:moveTo>
                                    <a:pt x="5" y="0"/>
                                  </a:moveTo>
                                  <a:lnTo>
                                    <a:pt x="0" y="2"/>
                                  </a:lnTo>
                                  <a:lnTo>
                                    <a:pt x="5" y="4"/>
                                  </a:lnTo>
                                  <a:lnTo>
                                    <a:pt x="5"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9" name="Freeform 117"/>
                          <wps:cNvSpPr/>
                          <wps:spPr bwMode="auto">
                            <a:xfrm>
                              <a:off x="4110038" y="826203"/>
                              <a:ext cx="3175" cy="9525"/>
                            </a:xfrm>
                            <a:custGeom>
                              <a:avLst/>
                              <a:gdLst>
                                <a:gd name="T0" fmla="*/ 2147483646 w 2"/>
                                <a:gd name="T1" fmla="*/ 0 h 6"/>
                                <a:gd name="T2" fmla="*/ 0 w 2"/>
                                <a:gd name="T3" fmla="*/ 2147483646 h 6"/>
                                <a:gd name="T4" fmla="*/ 2147483646 w 2"/>
                                <a:gd name="T5" fmla="*/ 2147483646 h 6"/>
                                <a:gd name="T6" fmla="*/ 2147483646 w 2"/>
                                <a:gd name="T7" fmla="*/ 0 h 6"/>
                                <a:gd name="T8" fmla="*/ 2147483646 w 2"/>
                                <a:gd name="T9" fmla="*/ 0 h 6"/>
                                <a:gd name="T10" fmla="*/ 0 60000 65536"/>
                                <a:gd name="T11" fmla="*/ 0 60000 65536"/>
                                <a:gd name="T12" fmla="*/ 0 60000 65536"/>
                                <a:gd name="T13" fmla="*/ 0 60000 65536"/>
                                <a:gd name="T14" fmla="*/ 0 60000 65536"/>
                                <a:gd name="T15" fmla="*/ 0 w 2"/>
                                <a:gd name="T16" fmla="*/ 0 h 6"/>
                                <a:gd name="T17" fmla="*/ 2 w 2"/>
                                <a:gd name="T18" fmla="*/ 6 h 6"/>
                              </a:gdLst>
                              <a:ahLst/>
                              <a:cxnLst>
                                <a:cxn ang="T10">
                                  <a:pos x="T0" y="T1"/>
                                </a:cxn>
                                <a:cxn ang="T11">
                                  <a:pos x="T2" y="T3"/>
                                </a:cxn>
                                <a:cxn ang="T12">
                                  <a:pos x="T4" y="T5"/>
                                </a:cxn>
                                <a:cxn ang="T13">
                                  <a:pos x="T6" y="T7"/>
                                </a:cxn>
                                <a:cxn ang="T14">
                                  <a:pos x="T8" y="T9"/>
                                </a:cxn>
                              </a:cxnLst>
                              <a:rect l="T15" t="T16" r="T17" b="T18"/>
                              <a:pathLst>
                                <a:path w="2" h="6">
                                  <a:moveTo>
                                    <a:pt x="2" y="0"/>
                                  </a:moveTo>
                                  <a:lnTo>
                                    <a:pt x="0" y="4"/>
                                  </a:lnTo>
                                  <a:lnTo>
                                    <a:pt x="2" y="6"/>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0" name="Freeform 118"/>
                          <wps:cNvSpPr/>
                          <wps:spPr bwMode="auto">
                            <a:xfrm>
                              <a:off x="4095750" y="6277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1" name="Freeform 119"/>
                          <wps:cNvSpPr/>
                          <wps:spPr bwMode="auto">
                            <a:xfrm>
                              <a:off x="4113213" y="705553"/>
                              <a:ext cx="3175" cy="6350"/>
                            </a:xfrm>
                            <a:custGeom>
                              <a:avLst/>
                              <a:gdLst>
                                <a:gd name="T0" fmla="*/ 0 w 2"/>
                                <a:gd name="T1" fmla="*/ 0 h 4"/>
                                <a:gd name="T2" fmla="*/ 0 w 2"/>
                                <a:gd name="T3" fmla="*/ 2147483646 h 4"/>
                                <a:gd name="T4" fmla="*/ 2147483646 w 2"/>
                                <a:gd name="T5" fmla="*/ 2147483646 h 4"/>
                                <a:gd name="T6" fmla="*/ 0 w 2"/>
                                <a:gd name="T7" fmla="*/ 0 h 4"/>
                                <a:gd name="T8" fmla="*/ 0 w 2"/>
                                <a:gd name="T9" fmla="*/ 0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0" y="0"/>
                                  </a:moveTo>
                                  <a:lnTo>
                                    <a:pt x="0" y="4"/>
                                  </a:lnTo>
                                  <a:lnTo>
                                    <a:pt x="2"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2" name="Freeform 120"/>
                          <wps:cNvSpPr/>
                          <wps:spPr bwMode="auto">
                            <a:xfrm>
                              <a:off x="4095750" y="64681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3" name="Freeform 121"/>
                          <wps:cNvSpPr/>
                          <wps:spPr bwMode="auto">
                            <a:xfrm>
                              <a:off x="4067175" y="996065"/>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4" name="Freeform 122"/>
                          <wps:cNvSpPr/>
                          <wps:spPr bwMode="auto">
                            <a:xfrm>
                              <a:off x="4086225" y="8690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5" name="Freeform 123"/>
                          <wps:cNvSpPr/>
                          <wps:spPr bwMode="auto">
                            <a:xfrm>
                              <a:off x="4086225" y="884940"/>
                              <a:ext cx="1588" cy="9525"/>
                            </a:xfrm>
                            <a:custGeom>
                              <a:avLst/>
                              <a:gdLst>
                                <a:gd name="T0" fmla="*/ 0 w 1587"/>
                                <a:gd name="T1" fmla="*/ 2147483646 h 6"/>
                                <a:gd name="T2" fmla="*/ 0 w 1587"/>
                                <a:gd name="T3" fmla="*/ 2147483646 h 6"/>
                                <a:gd name="T4" fmla="*/ 0 w 1587"/>
                                <a:gd name="T5" fmla="*/ 0 h 6"/>
                                <a:gd name="T6" fmla="*/ 0 w 1587"/>
                                <a:gd name="T7" fmla="*/ 2147483646 h 6"/>
                                <a:gd name="T8" fmla="*/ 0 w 1587"/>
                                <a:gd name="T9" fmla="*/ 2147483646 h 6"/>
                                <a:gd name="T10" fmla="*/ 0 60000 65536"/>
                                <a:gd name="T11" fmla="*/ 0 60000 65536"/>
                                <a:gd name="T12" fmla="*/ 0 60000 65536"/>
                                <a:gd name="T13" fmla="*/ 0 60000 65536"/>
                                <a:gd name="T14" fmla="*/ 0 60000 65536"/>
                                <a:gd name="T15" fmla="*/ 0 w 1587"/>
                                <a:gd name="T16" fmla="*/ 0 h 6"/>
                                <a:gd name="T17" fmla="*/ 1587 w 1587"/>
                                <a:gd name="T18" fmla="*/ 6 h 6"/>
                              </a:gdLst>
                              <a:ahLst/>
                              <a:cxnLst>
                                <a:cxn ang="T10">
                                  <a:pos x="T0" y="T1"/>
                                </a:cxn>
                                <a:cxn ang="T11">
                                  <a:pos x="T2" y="T3"/>
                                </a:cxn>
                                <a:cxn ang="T12">
                                  <a:pos x="T4" y="T5"/>
                                </a:cxn>
                                <a:cxn ang="T13">
                                  <a:pos x="T6" y="T7"/>
                                </a:cxn>
                                <a:cxn ang="T14">
                                  <a:pos x="T8" y="T9"/>
                                </a:cxn>
                              </a:cxnLst>
                              <a:rect l="T15" t="T16" r="T17" b="T18"/>
                              <a:pathLst>
                                <a:path w="1587" h="6">
                                  <a:moveTo>
                                    <a:pt x="0" y="6"/>
                                  </a:moveTo>
                                  <a:lnTo>
                                    <a:pt x="0" y="4"/>
                                  </a:lnTo>
                                  <a:lnTo>
                                    <a:pt x="0" y="0"/>
                                  </a:lnTo>
                                  <a:lnTo>
                                    <a:pt x="0" y="6"/>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6" name="Freeform 124"/>
                          <wps:cNvSpPr/>
                          <wps:spPr bwMode="auto">
                            <a:xfrm>
                              <a:off x="4073525" y="783340"/>
                              <a:ext cx="1588" cy="1588"/>
                            </a:xfrm>
                            <a:custGeom>
                              <a:avLst/>
                              <a:gdLst>
                                <a:gd name="T0" fmla="*/ 0 w 1587"/>
                                <a:gd name="T1" fmla="*/ 0 h 1587"/>
                                <a:gd name="T2" fmla="*/ 0 w 1587"/>
                                <a:gd name="T3" fmla="*/ 0 h 1587"/>
                                <a:gd name="T4" fmla="*/ 0 w 1587"/>
                                <a:gd name="T5" fmla="*/ 0 h 1587"/>
                                <a:gd name="T6" fmla="*/ 0 w 1587"/>
                                <a:gd name="T7" fmla="*/ 0 h 1587"/>
                                <a:gd name="T8" fmla="*/ 0 w 1587"/>
                                <a:gd name="T9" fmla="*/ 0 h 1587"/>
                                <a:gd name="T10" fmla="*/ 0 w 1587"/>
                                <a:gd name="T11" fmla="*/ 0 h 1587"/>
                                <a:gd name="T12" fmla="*/ 0 60000 65536"/>
                                <a:gd name="T13" fmla="*/ 0 60000 65536"/>
                                <a:gd name="T14" fmla="*/ 0 60000 65536"/>
                                <a:gd name="T15" fmla="*/ 0 60000 65536"/>
                                <a:gd name="T16" fmla="*/ 0 60000 65536"/>
                                <a:gd name="T17" fmla="*/ 0 60000 65536"/>
                                <a:gd name="T18" fmla="*/ 0 w 1587"/>
                                <a:gd name="T19" fmla="*/ 0 h 1587"/>
                                <a:gd name="T20" fmla="*/ 1587 w 1587"/>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7"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7" name="Freeform 125"/>
                          <wps:cNvSpPr/>
                          <wps:spPr bwMode="auto">
                            <a:xfrm>
                              <a:off x="4060825" y="770640"/>
                              <a:ext cx="6350" cy="6350"/>
                            </a:xfrm>
                            <a:custGeom>
                              <a:avLst/>
                              <a:gdLst>
                                <a:gd name="T0" fmla="*/ 0 w 4"/>
                                <a:gd name="T1" fmla="*/ 2147483646 h 4"/>
                                <a:gd name="T2" fmla="*/ 2147483646 w 4"/>
                                <a:gd name="T3" fmla="*/ 2147483646 h 4"/>
                                <a:gd name="T4" fmla="*/ 0 w 4"/>
                                <a:gd name="T5" fmla="*/ 0 h 4"/>
                                <a:gd name="T6" fmla="*/ 0 w 4"/>
                                <a:gd name="T7" fmla="*/ 2147483646 h 4"/>
                                <a:gd name="T8" fmla="*/ 0 w 4"/>
                                <a:gd name="T9" fmla="*/ 2147483646 h 4"/>
                                <a:gd name="T10" fmla="*/ 0 60000 65536"/>
                                <a:gd name="T11" fmla="*/ 0 60000 65536"/>
                                <a:gd name="T12" fmla="*/ 0 60000 65536"/>
                                <a:gd name="T13" fmla="*/ 0 60000 65536"/>
                                <a:gd name="T14" fmla="*/ 0 60000 65536"/>
                                <a:gd name="T15" fmla="*/ 0 w 4"/>
                                <a:gd name="T16" fmla="*/ 0 h 4"/>
                                <a:gd name="T17" fmla="*/ 4 w 4"/>
                                <a:gd name="T18" fmla="*/ 4 h 4"/>
                              </a:gdLst>
                              <a:ahLst/>
                              <a:cxnLst>
                                <a:cxn ang="T10">
                                  <a:pos x="T0" y="T1"/>
                                </a:cxn>
                                <a:cxn ang="T11">
                                  <a:pos x="T2" y="T3"/>
                                </a:cxn>
                                <a:cxn ang="T12">
                                  <a:pos x="T4" y="T5"/>
                                </a:cxn>
                                <a:cxn ang="T13">
                                  <a:pos x="T6" y="T7"/>
                                </a:cxn>
                                <a:cxn ang="T14">
                                  <a:pos x="T8" y="T9"/>
                                </a:cxn>
                              </a:cxnLst>
                              <a:rect l="T15" t="T16" r="T17" b="T18"/>
                              <a:pathLst>
                                <a:path w="4" h="4">
                                  <a:moveTo>
                                    <a:pt x="0" y="4"/>
                                  </a:moveTo>
                                  <a:lnTo>
                                    <a:pt x="4" y="2"/>
                                  </a:lnTo>
                                  <a:lnTo>
                                    <a:pt x="0" y="0"/>
                                  </a:lnTo>
                                  <a:lnTo>
                                    <a:pt x="0"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8" name="Freeform 126"/>
                          <wps:cNvSpPr/>
                          <wps:spPr bwMode="auto">
                            <a:xfrm>
                              <a:off x="4092575" y="930978"/>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9" name="Freeform 127"/>
                          <wps:cNvSpPr/>
                          <wps:spPr bwMode="auto">
                            <a:xfrm>
                              <a:off x="4076700" y="686503"/>
                              <a:ext cx="3175" cy="6350"/>
                            </a:xfrm>
                            <a:custGeom>
                              <a:avLst/>
                              <a:gdLst>
                                <a:gd name="T0" fmla="*/ 2147483646 w 2"/>
                                <a:gd name="T1" fmla="*/ 2147483646 h 4"/>
                                <a:gd name="T2" fmla="*/ 2147483646 w 2"/>
                                <a:gd name="T3" fmla="*/ 0 h 4"/>
                                <a:gd name="T4" fmla="*/ 0 w 2"/>
                                <a:gd name="T5" fmla="*/ 0 h 4"/>
                                <a:gd name="T6" fmla="*/ 2147483646 w 2"/>
                                <a:gd name="T7" fmla="*/ 2147483646 h 4"/>
                                <a:gd name="T8" fmla="*/ 2147483646 w 2"/>
                                <a:gd name="T9" fmla="*/ 2147483646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2" y="4"/>
                                  </a:moveTo>
                                  <a:lnTo>
                                    <a:pt x="2" y="0"/>
                                  </a:lnTo>
                                  <a:lnTo>
                                    <a:pt x="0" y="0"/>
                                  </a:lnTo>
                                  <a:lnTo>
                                    <a:pt x="2"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0" name="Freeform 128"/>
                          <wps:cNvSpPr/>
                          <wps:spPr bwMode="auto">
                            <a:xfrm>
                              <a:off x="4086225" y="950028"/>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1" name="Freeform 129"/>
                          <wps:cNvSpPr/>
                          <wps:spPr bwMode="auto">
                            <a:xfrm>
                              <a:off x="4151313" y="1221490"/>
                              <a:ext cx="1587" cy="1588"/>
                            </a:xfrm>
                            <a:custGeom>
                              <a:avLst/>
                              <a:gdLst>
                                <a:gd name="T0" fmla="*/ 0 w 1588"/>
                                <a:gd name="T1" fmla="*/ 0 h 1587"/>
                                <a:gd name="T2" fmla="*/ 0 w 1588"/>
                                <a:gd name="T3" fmla="*/ 0 h 1587"/>
                                <a:gd name="T4" fmla="*/ 0 w 1588"/>
                                <a:gd name="T5" fmla="*/ 0 h 1587"/>
                                <a:gd name="T6" fmla="*/ 0 w 1588"/>
                                <a:gd name="T7" fmla="*/ 0 h 1587"/>
                                <a:gd name="T8" fmla="*/ 0 w 1588"/>
                                <a:gd name="T9" fmla="*/ 0 h 1587"/>
                                <a:gd name="T10" fmla="*/ 0 w 1588"/>
                                <a:gd name="T11" fmla="*/ 0 h 1587"/>
                                <a:gd name="T12" fmla="*/ 0 60000 65536"/>
                                <a:gd name="T13" fmla="*/ 0 60000 65536"/>
                                <a:gd name="T14" fmla="*/ 0 60000 65536"/>
                                <a:gd name="T15" fmla="*/ 0 60000 65536"/>
                                <a:gd name="T16" fmla="*/ 0 60000 65536"/>
                                <a:gd name="T17" fmla="*/ 0 60000 65536"/>
                                <a:gd name="T18" fmla="*/ 0 w 1588"/>
                                <a:gd name="T19" fmla="*/ 0 h 1587"/>
                                <a:gd name="T20" fmla="*/ 1588 w 1588"/>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8"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2" name="Freeform 130"/>
                          <wps:cNvSpPr/>
                          <wps:spPr bwMode="auto">
                            <a:xfrm>
                              <a:off x="5024438" y="9706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3" name="Freeform 131"/>
                          <wps:cNvSpPr/>
                          <wps:spPr bwMode="auto">
                            <a:xfrm>
                              <a:off x="5270500" y="1061153"/>
                              <a:ext cx="3175" cy="1587"/>
                            </a:xfrm>
                            <a:custGeom>
                              <a:avLst/>
                              <a:gdLst>
                                <a:gd name="T0" fmla="*/ 0 w 2"/>
                                <a:gd name="T1" fmla="*/ 0 h 1"/>
                                <a:gd name="T2" fmla="*/ 0 w 2"/>
                                <a:gd name="T3" fmla="*/ 2147483646 h 1"/>
                                <a:gd name="T4" fmla="*/ 2147483646 w 2"/>
                                <a:gd name="T5" fmla="*/ 2147483646 h 1"/>
                                <a:gd name="T6" fmla="*/ 2147483646 w 2"/>
                                <a:gd name="T7" fmla="*/ 0 h 1"/>
                                <a:gd name="T8" fmla="*/ 0 w 2"/>
                                <a:gd name="T9" fmla="*/ 0 h 1"/>
                                <a:gd name="T10" fmla="*/ 0 w 2"/>
                                <a:gd name="T11" fmla="*/ 0 h 1"/>
                                <a:gd name="T12" fmla="*/ 0 60000 65536"/>
                                <a:gd name="T13" fmla="*/ 0 60000 65536"/>
                                <a:gd name="T14" fmla="*/ 0 60000 65536"/>
                                <a:gd name="T15" fmla="*/ 0 60000 65536"/>
                                <a:gd name="T16" fmla="*/ 0 60000 65536"/>
                                <a:gd name="T17" fmla="*/ 0 60000 65536"/>
                                <a:gd name="T18" fmla="*/ 0 w 2"/>
                                <a:gd name="T19" fmla="*/ 0 h 1"/>
                                <a:gd name="T20" fmla="*/ 2 w 2"/>
                                <a:gd name="T21" fmla="*/ 1 h 1"/>
                              </a:gdLst>
                              <a:ahLst/>
                              <a:cxnLst>
                                <a:cxn ang="T12">
                                  <a:pos x="T0" y="T1"/>
                                </a:cxn>
                                <a:cxn ang="T13">
                                  <a:pos x="T2" y="T3"/>
                                </a:cxn>
                                <a:cxn ang="T14">
                                  <a:pos x="T4" y="T5"/>
                                </a:cxn>
                                <a:cxn ang="T15">
                                  <a:pos x="T6" y="T7"/>
                                </a:cxn>
                                <a:cxn ang="T16">
                                  <a:pos x="T8" y="T9"/>
                                </a:cxn>
                                <a:cxn ang="T17">
                                  <a:pos x="T10" y="T11"/>
                                </a:cxn>
                              </a:cxnLst>
                              <a:rect l="T18" t="T19" r="T20" b="T21"/>
                              <a:pathLst>
                                <a:path w="2" h="1">
                                  <a:moveTo>
                                    <a:pt x="0" y="0"/>
                                  </a:moveTo>
                                  <a:lnTo>
                                    <a:pt x="0" y="1"/>
                                  </a:lnTo>
                                  <a:lnTo>
                                    <a:pt x="2" y="1"/>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4" name="Freeform 132"/>
                          <wps:cNvSpPr/>
                          <wps:spPr bwMode="auto">
                            <a:xfrm>
                              <a:off x="3429000" y="19390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5" name="Freeform 133"/>
                          <wps:cNvSpPr/>
                          <wps:spPr bwMode="auto">
                            <a:xfrm>
                              <a:off x="3389313" y="2229553"/>
                              <a:ext cx="1587"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6" name="Freeform 134"/>
                          <wps:cNvSpPr/>
                          <wps:spPr bwMode="auto">
                            <a:xfrm>
                              <a:off x="3449638" y="27200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7" name="Freeform 135"/>
                          <wps:cNvSpPr/>
                          <wps:spPr bwMode="auto">
                            <a:xfrm>
                              <a:off x="3775075" y="2272415"/>
                              <a:ext cx="1588"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8" name="Freeform 136"/>
                          <wps:cNvSpPr/>
                          <wps:spPr bwMode="auto">
                            <a:xfrm>
                              <a:off x="2085975" y="3197928"/>
                              <a:ext cx="6350" cy="3175"/>
                            </a:xfrm>
                            <a:custGeom>
                              <a:avLst/>
                              <a:gdLst>
                                <a:gd name="T0" fmla="*/ 2147483646 w 4"/>
                                <a:gd name="T1" fmla="*/ 2147483646 h 2"/>
                                <a:gd name="T2" fmla="*/ 2147483646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4"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9" name="Freeform 137"/>
                          <wps:cNvSpPr/>
                          <wps:spPr bwMode="auto">
                            <a:xfrm>
                              <a:off x="1947863" y="2886778"/>
                              <a:ext cx="3175" cy="1587"/>
                            </a:xfrm>
                            <a:custGeom>
                              <a:avLst/>
                              <a:gdLst>
                                <a:gd name="T0" fmla="*/ 2147483646 w 1"/>
                                <a:gd name="T1" fmla="*/ 0 h 1588"/>
                                <a:gd name="T2" fmla="*/ 2147483646 w 1"/>
                                <a:gd name="T3" fmla="*/ 0 h 1588"/>
                                <a:gd name="T4" fmla="*/ 0 w 1"/>
                                <a:gd name="T5" fmla="*/ 0 h 1588"/>
                                <a:gd name="T6" fmla="*/ 2147483646 w 1"/>
                                <a:gd name="T7" fmla="*/ 0 h 1588"/>
                                <a:gd name="T8" fmla="*/ 0 60000 65536"/>
                                <a:gd name="T9" fmla="*/ 0 60000 65536"/>
                                <a:gd name="T10" fmla="*/ 0 60000 65536"/>
                                <a:gd name="T11" fmla="*/ 0 60000 65536"/>
                                <a:gd name="T12" fmla="*/ 0 w 1"/>
                                <a:gd name="T13" fmla="*/ 0 h 1588"/>
                                <a:gd name="T14" fmla="*/ 1 w 1"/>
                                <a:gd name="T15" fmla="*/ 1588 h 1588"/>
                              </a:gdLst>
                              <a:ahLst/>
                              <a:cxnLst>
                                <a:cxn ang="T8">
                                  <a:pos x="T0" y="T1"/>
                                </a:cxn>
                                <a:cxn ang="T9">
                                  <a:pos x="T2" y="T3"/>
                                </a:cxn>
                                <a:cxn ang="T10">
                                  <a:pos x="T4" y="T5"/>
                                </a:cxn>
                                <a:cxn ang="T11">
                                  <a:pos x="T6" y="T7"/>
                                </a:cxn>
                              </a:cxnLst>
                              <a:rect l="T12" t="T13" r="T14" b="T15"/>
                              <a:pathLst>
                                <a:path w="1" h="1588">
                                  <a:moveTo>
                                    <a:pt x="1" y="0"/>
                                  </a:moveTo>
                                  <a:cubicBezTo>
                                    <a:pt x="1" y="0"/>
                                    <a:pt x="1" y="0"/>
                                    <a:pt x="1" y="0"/>
                                  </a:cubicBezTo>
                                  <a:cubicBezTo>
                                    <a:pt x="0" y="0"/>
                                    <a:pt x="0" y="0"/>
                                    <a:pt x="0" y="0"/>
                                  </a:cubicBezTo>
                                  <a:cubicBezTo>
                                    <a:pt x="1" y="0"/>
                                    <a:pt x="1" y="0"/>
                                    <a:pt x="1" y="0"/>
                                  </a:cubicBez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0" name="Freeform 138"/>
                          <wps:cNvSpPr/>
                          <wps:spPr bwMode="auto">
                            <a:xfrm>
                              <a:off x="2063750" y="29391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1" name="Freeform 139"/>
                          <wps:cNvSpPr/>
                          <wps:spPr bwMode="auto">
                            <a:xfrm>
                              <a:off x="1885950" y="2121603"/>
                              <a:ext cx="9525" cy="6350"/>
                            </a:xfrm>
                            <a:custGeom>
                              <a:avLst/>
                              <a:gdLst>
                                <a:gd name="T0" fmla="*/ 2147483646 w 6"/>
                                <a:gd name="T1" fmla="*/ 0 h 4"/>
                                <a:gd name="T2" fmla="*/ 0 w 6"/>
                                <a:gd name="T3" fmla="*/ 2147483646 h 4"/>
                                <a:gd name="T4" fmla="*/ 2147483646 w 6"/>
                                <a:gd name="T5" fmla="*/ 2147483646 h 4"/>
                                <a:gd name="T6" fmla="*/ 2147483646 w 6"/>
                                <a:gd name="T7" fmla="*/ 0 h 4"/>
                                <a:gd name="T8" fmla="*/ 2147483646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2" y="0"/>
                                  </a:moveTo>
                                  <a:lnTo>
                                    <a:pt x="0" y="2"/>
                                  </a:lnTo>
                                  <a:lnTo>
                                    <a:pt x="6" y="4"/>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2" name="Freeform 140"/>
                          <wps:cNvSpPr/>
                          <wps:spPr bwMode="auto">
                            <a:xfrm>
                              <a:off x="1830388" y="2550228"/>
                              <a:ext cx="6350" cy="3175"/>
                            </a:xfrm>
                            <a:custGeom>
                              <a:avLst/>
                              <a:gdLst>
                                <a:gd name="T0" fmla="*/ 0 w 4"/>
                                <a:gd name="T1" fmla="*/ 2147483646 h 2"/>
                                <a:gd name="T2" fmla="*/ 2147483646 w 4"/>
                                <a:gd name="T3" fmla="*/ 0 h 2"/>
                                <a:gd name="T4" fmla="*/ 0 w 4"/>
                                <a:gd name="T5" fmla="*/ 0 h 2"/>
                                <a:gd name="T6" fmla="*/ 0 w 4"/>
                                <a:gd name="T7" fmla="*/ 2147483646 h 2"/>
                                <a:gd name="T8" fmla="*/ 0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0" y="2"/>
                                  </a:moveTo>
                                  <a:lnTo>
                                    <a:pt x="4" y="0"/>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3" name="Freeform 141"/>
                          <wps:cNvSpPr/>
                          <wps:spPr bwMode="auto">
                            <a:xfrm>
                              <a:off x="1895475" y="2366078"/>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60000 65536"/>
                                <a:gd name="T11" fmla="*/ 0 60000 65536"/>
                                <a:gd name="T12" fmla="*/ 0 60000 65536"/>
                                <a:gd name="T13" fmla="*/ 0 60000 65536"/>
                                <a:gd name="T14" fmla="*/ 0 60000 65536"/>
                                <a:gd name="T15" fmla="*/ 0 w 1587"/>
                                <a:gd name="T16" fmla="*/ 0 h 4"/>
                                <a:gd name="T17" fmla="*/ 1587 w 1587"/>
                                <a:gd name="T18" fmla="*/ 4 h 4"/>
                              </a:gdLst>
                              <a:ahLst/>
                              <a:cxnLst>
                                <a:cxn ang="T10">
                                  <a:pos x="T0" y="T1"/>
                                </a:cxn>
                                <a:cxn ang="T11">
                                  <a:pos x="T2" y="T3"/>
                                </a:cxn>
                                <a:cxn ang="T12">
                                  <a:pos x="T4" y="T5"/>
                                </a:cxn>
                                <a:cxn ang="T13">
                                  <a:pos x="T6" y="T7"/>
                                </a:cxn>
                                <a:cxn ang="T14">
                                  <a:pos x="T8" y="T9"/>
                                </a:cxn>
                              </a:cxnLst>
                              <a:rect l="T15" t="T16" r="T17" b="T18"/>
                              <a:pathLst>
                                <a:path w="1587" h="4">
                                  <a:moveTo>
                                    <a:pt x="0" y="0"/>
                                  </a:moveTo>
                                  <a:lnTo>
                                    <a:pt x="0" y="2"/>
                                  </a:ln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4" name="Freeform 142"/>
                          <wps:cNvSpPr/>
                          <wps:spPr bwMode="auto">
                            <a:xfrm>
                              <a:off x="1363663" y="20469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5" name="Freeform 143"/>
                          <wps:cNvSpPr/>
                          <wps:spPr bwMode="auto">
                            <a:xfrm>
                              <a:off x="1876425" y="2173990"/>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6" name="Freeform 144"/>
                          <wps:cNvSpPr/>
                          <wps:spPr bwMode="auto">
                            <a:xfrm>
                              <a:off x="1798638" y="2102553"/>
                              <a:ext cx="6350" cy="3175"/>
                            </a:xfrm>
                            <a:custGeom>
                              <a:avLst/>
                              <a:gdLst>
                                <a:gd name="T0" fmla="*/ 2147483646 w 4"/>
                                <a:gd name="T1" fmla="*/ 2147483646 h 2"/>
                                <a:gd name="T2" fmla="*/ 0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0"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7" name="Freeform 145"/>
                          <wps:cNvSpPr/>
                          <wps:spPr bwMode="auto">
                            <a:xfrm>
                              <a:off x="1844675" y="2596265"/>
                              <a:ext cx="3175" cy="3175"/>
                            </a:xfrm>
                            <a:custGeom>
                              <a:avLst/>
                              <a:gdLst>
                                <a:gd name="T0" fmla="*/ 0 w 2"/>
                                <a:gd name="T1" fmla="*/ 0 h 2"/>
                                <a:gd name="T2" fmla="*/ 0 w 2"/>
                                <a:gd name="T3" fmla="*/ 0 h 2"/>
                                <a:gd name="T4" fmla="*/ 2147483646 w 2"/>
                                <a:gd name="T5" fmla="*/ 2147483646 h 2"/>
                                <a:gd name="T6" fmla="*/ 0 w 2"/>
                                <a:gd name="T7" fmla="*/ 0 h 2"/>
                                <a:gd name="T8" fmla="*/ 0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0"/>
                                  </a:moveTo>
                                  <a:lnTo>
                                    <a:pt x="0" y="0"/>
                                  </a:lnTo>
                                  <a:lnTo>
                                    <a:pt x="2"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8" name="Freeform 146"/>
                          <wps:cNvSpPr/>
                          <wps:spPr bwMode="auto">
                            <a:xfrm>
                              <a:off x="1844675" y="24978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9" name="Freeform 147"/>
                          <wps:cNvSpPr/>
                          <wps:spPr bwMode="auto">
                            <a:xfrm>
                              <a:off x="1895475" y="1673928"/>
                              <a:ext cx="1588" cy="1587"/>
                            </a:xfrm>
                            <a:custGeom>
                              <a:avLst/>
                              <a:gdLst>
                                <a:gd name="T0" fmla="*/ 0 w 1"/>
                                <a:gd name="T1" fmla="*/ 0 h 1588"/>
                                <a:gd name="T2" fmla="*/ 0 w 1"/>
                                <a:gd name="T3" fmla="*/ 0 h 1588"/>
                                <a:gd name="T4" fmla="*/ 2147483646 w 1"/>
                                <a:gd name="T5" fmla="*/ 0 h 1588"/>
                                <a:gd name="T6" fmla="*/ 2147483646 w 1"/>
                                <a:gd name="T7" fmla="*/ 0 h 1588"/>
                                <a:gd name="T8" fmla="*/ 0 w 1"/>
                                <a:gd name="T9" fmla="*/ 0 h 1588"/>
                                <a:gd name="T10" fmla="*/ 0 w 1"/>
                                <a:gd name="T11" fmla="*/ 0 h 1588"/>
                                <a:gd name="T12" fmla="*/ 0 60000 65536"/>
                                <a:gd name="T13" fmla="*/ 0 60000 65536"/>
                                <a:gd name="T14" fmla="*/ 0 60000 65536"/>
                                <a:gd name="T15" fmla="*/ 0 60000 65536"/>
                                <a:gd name="T16" fmla="*/ 0 60000 65536"/>
                                <a:gd name="T17" fmla="*/ 0 60000 65536"/>
                                <a:gd name="T18" fmla="*/ 0 w 1"/>
                                <a:gd name="T19" fmla="*/ 0 h 1588"/>
                                <a:gd name="T20" fmla="*/ 1 w 1"/>
                                <a:gd name="T21" fmla="*/ 1588 h 1588"/>
                              </a:gdLst>
                              <a:ahLst/>
                              <a:cxnLst>
                                <a:cxn ang="T12">
                                  <a:pos x="T0" y="T1"/>
                                </a:cxn>
                                <a:cxn ang="T13">
                                  <a:pos x="T2" y="T3"/>
                                </a:cxn>
                                <a:cxn ang="T14">
                                  <a:pos x="T4" y="T5"/>
                                </a:cxn>
                                <a:cxn ang="T15">
                                  <a:pos x="T6" y="T7"/>
                                </a:cxn>
                                <a:cxn ang="T16">
                                  <a:pos x="T8" y="T9"/>
                                </a:cxn>
                                <a:cxn ang="T17">
                                  <a:pos x="T10" y="T11"/>
                                </a:cxn>
                              </a:cxnLst>
                              <a:rect l="T18" t="T19" r="T20" b="T21"/>
                              <a:pathLst>
                                <a:path w="1" h="1588">
                                  <a:moveTo>
                                    <a:pt x="0" y="0"/>
                                  </a:moveTo>
                                  <a:lnTo>
                                    <a:pt x="0" y="0"/>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0" name="Freeform 148"/>
                          <wps:cNvSpPr/>
                          <wps:spPr bwMode="auto">
                            <a:xfrm>
                              <a:off x="1895475" y="1624715"/>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1" name="Freeform 151"/>
                          <wps:cNvSpPr/>
                          <wps:spPr bwMode="auto">
                            <a:xfrm>
                              <a:off x="1690688" y="1437390"/>
                              <a:ext cx="1984375" cy="1760538"/>
                            </a:xfrm>
                            <a:custGeom>
                              <a:avLst/>
                              <a:gdLst>
                                <a:gd name="T0" fmla="*/ 2147483646 w 643"/>
                                <a:gd name="T1" fmla="*/ 2147483646 h 571"/>
                                <a:gd name="T2" fmla="*/ 2147483646 w 643"/>
                                <a:gd name="T3" fmla="*/ 2147483646 h 571"/>
                                <a:gd name="T4" fmla="*/ 2147483646 w 643"/>
                                <a:gd name="T5" fmla="*/ 2147483646 h 571"/>
                                <a:gd name="T6" fmla="*/ 2147483646 w 643"/>
                                <a:gd name="T7" fmla="*/ 2147483646 h 571"/>
                                <a:gd name="T8" fmla="*/ 2147483646 w 643"/>
                                <a:gd name="T9" fmla="*/ 2147483646 h 571"/>
                                <a:gd name="T10" fmla="*/ 2147483646 w 643"/>
                                <a:gd name="T11" fmla="*/ 2147483646 h 571"/>
                                <a:gd name="T12" fmla="*/ 2147483646 w 643"/>
                                <a:gd name="T13" fmla="*/ 2147483646 h 571"/>
                                <a:gd name="T14" fmla="*/ 2147483646 w 643"/>
                                <a:gd name="T15" fmla="*/ 2147483646 h 571"/>
                                <a:gd name="T16" fmla="*/ 2147483646 w 643"/>
                                <a:gd name="T17" fmla="*/ 2147483646 h 571"/>
                                <a:gd name="T18" fmla="*/ 2147483646 w 643"/>
                                <a:gd name="T19" fmla="*/ 2147483646 h 571"/>
                                <a:gd name="T20" fmla="*/ 2147483646 w 643"/>
                                <a:gd name="T21" fmla="*/ 2147483646 h 571"/>
                                <a:gd name="T22" fmla="*/ 2147483646 w 643"/>
                                <a:gd name="T23" fmla="*/ 2147483646 h 571"/>
                                <a:gd name="T24" fmla="*/ 2147483646 w 643"/>
                                <a:gd name="T25" fmla="*/ 2147483646 h 571"/>
                                <a:gd name="T26" fmla="*/ 2147483646 w 643"/>
                                <a:gd name="T27" fmla="*/ 2147483646 h 571"/>
                                <a:gd name="T28" fmla="*/ 2147483646 w 643"/>
                                <a:gd name="T29" fmla="*/ 2147483646 h 571"/>
                                <a:gd name="T30" fmla="*/ 2147483646 w 643"/>
                                <a:gd name="T31" fmla="*/ 2147483646 h 571"/>
                                <a:gd name="T32" fmla="*/ 2147483646 w 643"/>
                                <a:gd name="T33" fmla="*/ 2147483646 h 571"/>
                                <a:gd name="T34" fmla="*/ 2147483646 w 643"/>
                                <a:gd name="T35" fmla="*/ 2147483646 h 571"/>
                                <a:gd name="T36" fmla="*/ 2147483646 w 643"/>
                                <a:gd name="T37" fmla="*/ 2147483646 h 571"/>
                                <a:gd name="T38" fmla="*/ 2147483646 w 643"/>
                                <a:gd name="T39" fmla="*/ 2147483646 h 571"/>
                                <a:gd name="T40" fmla="*/ 2147483646 w 643"/>
                                <a:gd name="T41" fmla="*/ 2147483646 h 571"/>
                                <a:gd name="T42" fmla="*/ 2147483646 w 643"/>
                                <a:gd name="T43" fmla="*/ 2147483646 h 571"/>
                                <a:gd name="T44" fmla="*/ 2147483646 w 643"/>
                                <a:gd name="T45" fmla="*/ 2147483646 h 571"/>
                                <a:gd name="T46" fmla="*/ 2147483646 w 643"/>
                                <a:gd name="T47" fmla="*/ 2147483646 h 571"/>
                                <a:gd name="T48" fmla="*/ 2147483646 w 643"/>
                                <a:gd name="T49" fmla="*/ 2147483646 h 571"/>
                                <a:gd name="T50" fmla="*/ 2147483646 w 643"/>
                                <a:gd name="T51" fmla="*/ 2147483646 h 571"/>
                                <a:gd name="T52" fmla="*/ 2147483646 w 643"/>
                                <a:gd name="T53" fmla="*/ 2147483646 h 571"/>
                                <a:gd name="T54" fmla="*/ 2147483646 w 643"/>
                                <a:gd name="T55" fmla="*/ 2147483646 h 571"/>
                                <a:gd name="T56" fmla="*/ 2147483646 w 643"/>
                                <a:gd name="T57" fmla="*/ 2147483646 h 571"/>
                                <a:gd name="T58" fmla="*/ 2147483646 w 643"/>
                                <a:gd name="T59" fmla="*/ 2147483646 h 571"/>
                                <a:gd name="T60" fmla="*/ 2147483646 w 643"/>
                                <a:gd name="T61" fmla="*/ 2147483646 h 571"/>
                                <a:gd name="T62" fmla="*/ 2147483646 w 643"/>
                                <a:gd name="T63" fmla="*/ 2147483646 h 571"/>
                                <a:gd name="T64" fmla="*/ 2147483646 w 643"/>
                                <a:gd name="T65" fmla="*/ 2147483646 h 571"/>
                                <a:gd name="T66" fmla="*/ 2147483646 w 643"/>
                                <a:gd name="T67" fmla="*/ 2147483646 h 571"/>
                                <a:gd name="T68" fmla="*/ 2147483646 w 643"/>
                                <a:gd name="T69" fmla="*/ 2147483646 h 571"/>
                                <a:gd name="T70" fmla="*/ 2147483646 w 643"/>
                                <a:gd name="T71" fmla="*/ 2147483646 h 571"/>
                                <a:gd name="T72" fmla="*/ 2147483646 w 643"/>
                                <a:gd name="T73" fmla="*/ 2147483646 h 571"/>
                                <a:gd name="T74" fmla="*/ 2147483646 w 643"/>
                                <a:gd name="T75" fmla="*/ 2147483646 h 571"/>
                                <a:gd name="T76" fmla="*/ 2147483646 w 643"/>
                                <a:gd name="T77" fmla="*/ 2147483646 h 571"/>
                                <a:gd name="T78" fmla="*/ 2147483646 w 643"/>
                                <a:gd name="T79" fmla="*/ 2147483646 h 571"/>
                                <a:gd name="T80" fmla="*/ 2147483646 w 643"/>
                                <a:gd name="T81" fmla="*/ 2147483646 h 571"/>
                                <a:gd name="T82" fmla="*/ 2147483646 w 643"/>
                                <a:gd name="T83" fmla="*/ 2147483646 h 571"/>
                                <a:gd name="T84" fmla="*/ 2147483646 w 643"/>
                                <a:gd name="T85" fmla="*/ 2147483646 h 571"/>
                                <a:gd name="T86" fmla="*/ 2147483646 w 643"/>
                                <a:gd name="T87" fmla="*/ 2147483646 h 571"/>
                                <a:gd name="T88" fmla="*/ 2147483646 w 643"/>
                                <a:gd name="T89" fmla="*/ 2147483646 h 571"/>
                                <a:gd name="T90" fmla="*/ 2147483646 w 643"/>
                                <a:gd name="T91" fmla="*/ 2147483646 h 571"/>
                                <a:gd name="T92" fmla="*/ 2147483646 w 643"/>
                                <a:gd name="T93" fmla="*/ 2147483646 h 571"/>
                                <a:gd name="T94" fmla="*/ 2147483646 w 643"/>
                                <a:gd name="T95" fmla="*/ 2147483646 h 571"/>
                                <a:gd name="T96" fmla="*/ 2147483646 w 643"/>
                                <a:gd name="T97" fmla="*/ 2147483646 h 571"/>
                                <a:gd name="T98" fmla="*/ 2147483646 w 643"/>
                                <a:gd name="T99" fmla="*/ 2147483646 h 571"/>
                                <a:gd name="T100" fmla="*/ 2147483646 w 643"/>
                                <a:gd name="T101" fmla="*/ 2147483646 h 571"/>
                                <a:gd name="T102" fmla="*/ 2147483646 w 643"/>
                                <a:gd name="T103" fmla="*/ 2147483646 h 571"/>
                                <a:gd name="T104" fmla="*/ 2147483646 w 643"/>
                                <a:gd name="T105" fmla="*/ 2147483646 h 571"/>
                                <a:gd name="T106" fmla="*/ 2147483646 w 643"/>
                                <a:gd name="T107" fmla="*/ 2147483646 h 571"/>
                                <a:gd name="T108" fmla="*/ 2147483646 w 643"/>
                                <a:gd name="T109" fmla="*/ 2147483646 h 571"/>
                                <a:gd name="T110" fmla="*/ 2147483646 w 643"/>
                                <a:gd name="T111" fmla="*/ 2147483646 h 571"/>
                                <a:gd name="T112" fmla="*/ 2147483646 w 643"/>
                                <a:gd name="T113" fmla="*/ 2147483646 h 571"/>
                                <a:gd name="T114" fmla="*/ 2147483646 w 643"/>
                                <a:gd name="T115" fmla="*/ 2147483646 h 571"/>
                                <a:gd name="T116" fmla="*/ 2147483646 w 643"/>
                                <a:gd name="T117" fmla="*/ 2147483646 h 571"/>
                                <a:gd name="T118" fmla="*/ 2147483646 w 643"/>
                                <a:gd name="T119" fmla="*/ 2147483646 h 571"/>
                                <a:gd name="T120" fmla="*/ 2147483646 w 643"/>
                                <a:gd name="T121" fmla="*/ 2147483646 h 571"/>
                                <a:gd name="T122" fmla="*/ 2147483646 w 643"/>
                                <a:gd name="T123" fmla="*/ 2147483646 h 571"/>
                                <a:gd name="T124" fmla="*/ 2147483646 w 643"/>
                                <a:gd name="T125" fmla="*/ 2147483646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442" name="Line 154"/>
                          <wps:cNvCnPr/>
                          <wps:spPr bwMode="auto">
                            <a:xfrm>
                              <a:off x="4981575" y="1554865"/>
                              <a:ext cx="1588" cy="1588"/>
                            </a:xfrm>
                            <a:prstGeom prst="line">
                              <a:avLst/>
                            </a:prstGeom>
                            <a:noFill/>
                            <a:ln w="9525" cap="rnd">
                              <a:solidFill>
                                <a:srgbClr val="FFFFFF"/>
                              </a:solidFill>
                              <a:round/>
                              <a:headEnd/>
                              <a:tailEnd/>
                            </a:ln>
                            <a:extLst>
                              <a:ext uri="{909E8E84-426E-40DD-AFC4-6F175D3DCCD1}">
                                <a14:hiddenFill xmlns:a14="http://schemas.microsoft.com/office/drawing/2010/main">
                                  <a:noFill/>
                                </a14:hiddenFill>
                              </a:ext>
                            </a:extLst>
                          </wps:spPr>
                          <wps:bodyPr/>
                        </wps:wsp>
                        <wps:wsp>
                          <wps:cNvPr id="443" name="Text Box 155"/>
                          <wps:cNvSpPr txBox="1">
                            <a:spLocks noChangeArrowheads="1"/>
                          </wps:cNvSpPr>
                          <wps:spPr bwMode="auto">
                            <a:xfrm>
                              <a:off x="4622006" y="4363153"/>
                              <a:ext cx="884238" cy="23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wps:wsp>
                      </wpg:grpSp>
                      <pic:pic xmlns:pic="http://schemas.openxmlformats.org/drawingml/2006/picture">
                        <pic:nvPicPr>
                          <pic:cNvPr id="444"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tretch>
                            <a:fillRect/>
                          </a:stretch>
                        </pic:blipFill>
                        <pic:spPr bwMode="auto">
                          <a:xfrm>
                            <a:off x="2571453" y="584042"/>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tretch>
                            <a:fillRect/>
                          </a:stretch>
                        </pic:blipFill>
                        <pic:spPr bwMode="auto">
                          <a:xfrm>
                            <a:off x="2537641" y="790113"/>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tretch>
                            <a:fillRect/>
                          </a:stretch>
                        </pic:blipFill>
                        <pic:spPr bwMode="auto">
                          <a:xfrm>
                            <a:off x="3427238" y="1559983"/>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tretch>
                            <a:fillRect/>
                          </a:stretch>
                        </pic:blipFill>
                        <pic:spPr bwMode="auto">
                          <a:xfrm>
                            <a:off x="2850506" y="1806094"/>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Oval 93"/>
                        <wps:cNvSpPr>
                          <a:spLocks noChangeAspect="1" noChangeArrowheads="1"/>
                        </wps:cNvSpPr>
                        <wps:spPr bwMode="auto">
                          <a:xfrm>
                            <a:off x="3420944" y="1868516"/>
                            <a:ext cx="70725" cy="68917"/>
                          </a:xfrm>
                          <a:prstGeom prst="ellipse">
                            <a:avLst/>
                          </a:prstGeom>
                          <a:solidFill>
                            <a:sysClr val="windowText" lastClr="000000"/>
                          </a:solidFill>
                          <a:ln w="9525">
                            <a:solidFill>
                              <a:sysClr val="window" lastClr="FFFFFF"/>
                            </a:solidFill>
                            <a:round/>
                            <a:headEnd/>
                            <a:tailEnd/>
                          </a:ln>
                        </wps:spPr>
                        <wps:bodyPr/>
                      </wps:wsp>
                      <wps:wsp>
                        <wps:cNvPr id="449" name="Oval 93"/>
                        <wps:cNvSpPr>
                          <a:spLocks noChangeAspect="1" noChangeArrowheads="1"/>
                        </wps:cNvSpPr>
                        <wps:spPr bwMode="auto">
                          <a:xfrm>
                            <a:off x="1978366" y="587360"/>
                            <a:ext cx="70725" cy="68917"/>
                          </a:xfrm>
                          <a:prstGeom prst="ellipse">
                            <a:avLst/>
                          </a:prstGeom>
                          <a:solidFill>
                            <a:sysClr val="windowText" lastClr="000000"/>
                          </a:solidFill>
                          <a:ln w="9525">
                            <a:solidFill>
                              <a:sysClr val="window" lastClr="FFFFFF"/>
                            </a:solidFill>
                            <a:round/>
                            <a:headEnd/>
                            <a:tailEnd/>
                          </a:ln>
                        </wps:spPr>
                        <wps:bodyPr/>
                      </wps:wsp>
                      <wps:wsp>
                        <wps:cNvPr id="450" name="Oval 93"/>
                        <wps:cNvSpPr>
                          <a:spLocks noChangeAspect="1" noChangeArrowheads="1"/>
                        </wps:cNvSpPr>
                        <wps:spPr bwMode="auto">
                          <a:xfrm>
                            <a:off x="2849681" y="795538"/>
                            <a:ext cx="70725" cy="68917"/>
                          </a:xfrm>
                          <a:prstGeom prst="ellipse">
                            <a:avLst/>
                          </a:prstGeom>
                          <a:solidFill>
                            <a:sysClr val="windowText" lastClr="000000"/>
                          </a:solidFill>
                          <a:ln w="9525">
                            <a:solidFill>
                              <a:sysClr val="window" lastClr="FFFFFF"/>
                            </a:solidFill>
                            <a:round/>
                            <a:headEnd/>
                            <a:tailEnd/>
                          </a:ln>
                        </wps:spPr>
                        <wps:bodyPr/>
                      </wps:wsp>
                      <wps:wsp>
                        <wps:cNvPr id="451" name="Oval 93"/>
                        <wps:cNvSpPr>
                          <a:spLocks noChangeAspect="1" noChangeArrowheads="1"/>
                        </wps:cNvSpPr>
                        <wps:spPr bwMode="auto">
                          <a:xfrm>
                            <a:off x="3713531" y="1516394"/>
                            <a:ext cx="70725" cy="68917"/>
                          </a:xfrm>
                          <a:prstGeom prst="ellipse">
                            <a:avLst/>
                          </a:prstGeom>
                          <a:solidFill>
                            <a:sysClr val="windowText" lastClr="000000"/>
                          </a:solidFill>
                          <a:ln w="9525">
                            <a:solidFill>
                              <a:sysClr val="window" lastClr="FFFFFF"/>
                            </a:solidFill>
                            <a:round/>
                            <a:headEnd/>
                            <a:tailEnd/>
                          </a:ln>
                        </wps:spPr>
                        <wps:bodyPr/>
                      </wps:wsp>
                      <wps:wsp>
                        <wps:cNvPr id="452" name="Oval 93"/>
                        <wps:cNvSpPr>
                          <a:spLocks noChangeAspect="1" noChangeArrowheads="1"/>
                        </wps:cNvSpPr>
                        <wps:spPr bwMode="auto">
                          <a:xfrm>
                            <a:off x="1894014" y="754999"/>
                            <a:ext cx="70725" cy="68917"/>
                          </a:xfrm>
                          <a:prstGeom prst="ellipse">
                            <a:avLst/>
                          </a:prstGeom>
                          <a:solidFill>
                            <a:sysClr val="windowText" lastClr="000000"/>
                          </a:solidFill>
                          <a:ln w="9525">
                            <a:solidFill>
                              <a:sysClr val="window" lastClr="FFFFFF"/>
                            </a:solidFill>
                            <a:round/>
                            <a:headEnd/>
                            <a:tailEnd/>
                          </a:ln>
                        </wps:spPr>
                        <wps:bodyPr/>
                      </wps:wsp>
                      <wps:wsp>
                        <wps:cNvPr id="453" name="Oval 93"/>
                        <wps:cNvSpPr>
                          <a:spLocks noChangeAspect="1" noChangeArrowheads="1"/>
                        </wps:cNvSpPr>
                        <wps:spPr bwMode="auto">
                          <a:xfrm>
                            <a:off x="2711657" y="745752"/>
                            <a:ext cx="70725" cy="68917"/>
                          </a:xfrm>
                          <a:prstGeom prst="ellipse">
                            <a:avLst/>
                          </a:prstGeom>
                          <a:solidFill>
                            <a:sysClr val="windowText" lastClr="000000"/>
                          </a:solidFill>
                          <a:ln w="9525">
                            <a:solidFill>
                              <a:sysClr val="window" lastClr="FFFFFF"/>
                            </a:solidFill>
                            <a:round/>
                            <a:headEnd/>
                            <a:tailEnd/>
                          </a:ln>
                        </wps:spPr>
                        <wps:bodyPr/>
                      </wps:wsp>
                      <wps:wsp>
                        <wps:cNvPr id="454" name="Oval 93"/>
                        <wps:cNvSpPr>
                          <a:spLocks noChangeAspect="1" noChangeArrowheads="1"/>
                        </wps:cNvSpPr>
                        <wps:spPr bwMode="auto">
                          <a:xfrm>
                            <a:off x="3637331" y="1850806"/>
                            <a:ext cx="70725" cy="68917"/>
                          </a:xfrm>
                          <a:prstGeom prst="ellipse">
                            <a:avLst/>
                          </a:prstGeom>
                          <a:solidFill>
                            <a:sysClr val="windowText" lastClr="000000"/>
                          </a:solidFill>
                          <a:ln w="9525">
                            <a:solidFill>
                              <a:sysClr val="window" lastClr="FFFFFF"/>
                            </a:solidFill>
                            <a:round/>
                            <a:headEnd/>
                            <a:tailEnd/>
                          </a:ln>
                        </wps:spPr>
                        <wps:bodyPr/>
                      </wps:wsp>
                      <wps:wsp>
                        <wps:cNvPr id="455" name="Oval 93"/>
                        <wps:cNvSpPr>
                          <a:spLocks noChangeAspect="1" noChangeArrowheads="1"/>
                        </wps:cNvSpPr>
                        <wps:spPr bwMode="auto">
                          <a:xfrm>
                            <a:off x="2466916" y="721195"/>
                            <a:ext cx="70725" cy="68917"/>
                          </a:xfrm>
                          <a:prstGeom prst="ellipse">
                            <a:avLst/>
                          </a:prstGeom>
                          <a:solidFill>
                            <a:sysClr val="windowText" lastClr="000000"/>
                          </a:solidFill>
                          <a:ln w="9525">
                            <a:solidFill>
                              <a:sysClr val="window" lastClr="FFFFFF"/>
                            </a:solidFill>
                            <a:round/>
                            <a:headEnd/>
                            <a:tailEnd/>
                          </a:ln>
                        </wps:spPr>
                        <wps:bodyPr/>
                      </wps:wsp>
                      <wps:wsp>
                        <wps:cNvPr id="456" name="Oval 93"/>
                        <wps:cNvSpPr>
                          <a:spLocks noChangeAspect="1" noChangeArrowheads="1"/>
                        </wps:cNvSpPr>
                        <wps:spPr bwMode="auto">
                          <a:xfrm>
                            <a:off x="2803570" y="671152"/>
                            <a:ext cx="70725" cy="68917"/>
                          </a:xfrm>
                          <a:prstGeom prst="ellipse">
                            <a:avLst/>
                          </a:prstGeom>
                          <a:solidFill>
                            <a:sysClr val="windowText" lastClr="000000"/>
                          </a:solidFill>
                          <a:ln w="9525">
                            <a:solidFill>
                              <a:sysClr val="window" lastClr="FFFFFF"/>
                            </a:solidFill>
                            <a:round/>
                            <a:headEnd/>
                            <a:tailEnd/>
                          </a:ln>
                        </wps:spPr>
                        <wps:bodyPr/>
                      </wps:wsp>
                      <wps:wsp>
                        <wps:cNvPr id="457" name="Oval 93"/>
                        <wps:cNvSpPr>
                          <a:spLocks noChangeAspect="1" noChangeArrowheads="1"/>
                        </wps:cNvSpPr>
                        <wps:spPr bwMode="auto">
                          <a:xfrm>
                            <a:off x="2388361" y="886507"/>
                            <a:ext cx="70725" cy="68917"/>
                          </a:xfrm>
                          <a:prstGeom prst="ellipse">
                            <a:avLst/>
                          </a:prstGeom>
                          <a:solidFill>
                            <a:sysClr val="windowText" lastClr="000000"/>
                          </a:solidFill>
                          <a:ln w="9525">
                            <a:solidFill>
                              <a:sysClr val="window" lastClr="FFFFFF"/>
                            </a:solidFill>
                            <a:round/>
                            <a:headEnd/>
                            <a:tailEnd/>
                          </a:ln>
                        </wps:spPr>
                        <wps:bodyPr/>
                      </wps:wsp>
                      <wps:wsp>
                        <wps:cNvPr id="458" name="Oval 93"/>
                        <wps:cNvSpPr>
                          <a:spLocks noChangeAspect="1" noChangeArrowheads="1"/>
                        </wps:cNvSpPr>
                        <wps:spPr bwMode="auto">
                          <a:xfrm>
                            <a:off x="2772080" y="842119"/>
                            <a:ext cx="70725" cy="68917"/>
                          </a:xfrm>
                          <a:prstGeom prst="ellipse">
                            <a:avLst/>
                          </a:prstGeom>
                          <a:solidFill>
                            <a:sysClr val="windowText" lastClr="000000"/>
                          </a:solidFill>
                          <a:ln w="9525">
                            <a:solidFill>
                              <a:sysClr val="window" lastClr="FFFFFF"/>
                            </a:solidFill>
                            <a:round/>
                            <a:headEnd/>
                            <a:tailEnd/>
                          </a:ln>
                        </wps:spPr>
                        <wps:bodyPr/>
                      </wps:wsp>
                      <wps:wsp>
                        <wps:cNvPr id="459" name="Oval 93"/>
                        <wps:cNvSpPr>
                          <a:spLocks noChangeAspect="1" noChangeArrowheads="1"/>
                        </wps:cNvSpPr>
                        <wps:spPr bwMode="auto">
                          <a:xfrm>
                            <a:off x="3270272" y="1743157"/>
                            <a:ext cx="70725" cy="68917"/>
                          </a:xfrm>
                          <a:prstGeom prst="ellipse">
                            <a:avLst/>
                          </a:prstGeom>
                          <a:solidFill>
                            <a:sysClr val="windowText" lastClr="000000"/>
                          </a:solidFill>
                          <a:ln w="9525">
                            <a:solidFill>
                              <a:sysClr val="window" lastClr="FFFFFF"/>
                            </a:solidFill>
                            <a:round/>
                            <a:headEnd/>
                            <a:tailEnd/>
                          </a:ln>
                        </wps:spPr>
                        <wps:bodyPr/>
                      </wps:wsp>
                      <wps:wsp>
                        <wps:cNvPr id="460" name="Oval 93"/>
                        <wps:cNvSpPr>
                          <a:spLocks noChangeAspect="1" noChangeArrowheads="1"/>
                        </wps:cNvSpPr>
                        <wps:spPr bwMode="auto">
                          <a:xfrm>
                            <a:off x="2934542" y="685649"/>
                            <a:ext cx="70725" cy="68917"/>
                          </a:xfrm>
                          <a:prstGeom prst="ellipse">
                            <a:avLst/>
                          </a:prstGeom>
                          <a:solidFill>
                            <a:sysClr val="windowText" lastClr="000000"/>
                          </a:solidFill>
                          <a:ln w="9525">
                            <a:solidFill>
                              <a:sysClr val="window" lastClr="FFFFFF"/>
                            </a:solidFill>
                            <a:round/>
                            <a:headEnd/>
                            <a:tailEnd/>
                          </a:ln>
                        </wps:spPr>
                        <wps:bodyPr/>
                      </wps:wsp>
                      <wps:wsp>
                        <wps:cNvPr id="461" name="Oval 93"/>
                        <wps:cNvSpPr>
                          <a:spLocks noChangeAspect="1" noChangeArrowheads="1"/>
                        </wps:cNvSpPr>
                        <wps:spPr bwMode="auto">
                          <a:xfrm>
                            <a:off x="3494903" y="1779634"/>
                            <a:ext cx="70725" cy="68917"/>
                          </a:xfrm>
                          <a:prstGeom prst="ellipse">
                            <a:avLst/>
                          </a:prstGeom>
                          <a:solidFill>
                            <a:sysClr val="windowText" lastClr="000000"/>
                          </a:solidFill>
                          <a:ln w="9525">
                            <a:solidFill>
                              <a:sysClr val="window" lastClr="FFFFFF"/>
                            </a:solidFill>
                            <a:round/>
                            <a:headEnd/>
                            <a:tailEnd/>
                          </a:ln>
                        </wps:spPr>
                        <wps:bodyPr/>
                      </wps:wsp>
                      <wps:wsp>
                        <wps:cNvPr id="462" name="Oval 93"/>
                        <wps:cNvSpPr>
                          <a:spLocks noChangeAspect="1" noChangeArrowheads="1"/>
                        </wps:cNvSpPr>
                        <wps:spPr bwMode="auto">
                          <a:xfrm>
                            <a:off x="2246095" y="831003"/>
                            <a:ext cx="70725" cy="68917"/>
                          </a:xfrm>
                          <a:prstGeom prst="ellipse">
                            <a:avLst/>
                          </a:prstGeom>
                          <a:solidFill>
                            <a:sysClr val="windowText" lastClr="000000"/>
                          </a:solidFill>
                          <a:ln w="9525">
                            <a:solidFill>
                              <a:sysClr val="window" lastClr="FFFFFF"/>
                            </a:solidFill>
                            <a:round/>
                            <a:headEnd/>
                            <a:tailEnd/>
                          </a:ln>
                        </wps:spPr>
                        <wps:bodyPr/>
                      </wps:wsp>
                      <wps:wsp>
                        <wps:cNvPr id="463" name="Oval 93"/>
                        <wps:cNvSpPr>
                          <a:spLocks noChangeAspect="1" noChangeArrowheads="1"/>
                        </wps:cNvSpPr>
                        <wps:spPr bwMode="auto">
                          <a:xfrm>
                            <a:off x="3171262" y="549077"/>
                            <a:ext cx="70725" cy="68917"/>
                          </a:xfrm>
                          <a:prstGeom prst="ellipse">
                            <a:avLst/>
                          </a:prstGeom>
                          <a:solidFill>
                            <a:sysClr val="windowText" lastClr="000000"/>
                          </a:solidFill>
                          <a:ln w="9525">
                            <a:solidFill>
                              <a:sysClr val="window" lastClr="FFFFFF"/>
                            </a:solidFill>
                            <a:round/>
                            <a:headEnd/>
                            <a:tailEnd/>
                          </a:ln>
                        </wps:spPr>
                        <wps:bodyPr/>
                      </wps:wsp>
                      <wps:wsp>
                        <wps:cNvPr id="464" name="Oval 93"/>
                        <wps:cNvSpPr>
                          <a:spLocks noChangeAspect="1" noChangeArrowheads="1"/>
                        </wps:cNvSpPr>
                        <wps:spPr bwMode="auto">
                          <a:xfrm>
                            <a:off x="542730" y="1180412"/>
                            <a:ext cx="70725" cy="68917"/>
                          </a:xfrm>
                          <a:prstGeom prst="ellipse">
                            <a:avLst/>
                          </a:prstGeom>
                          <a:solidFill>
                            <a:sysClr val="windowText" lastClr="000000"/>
                          </a:solidFill>
                          <a:ln w="9525">
                            <a:solidFill>
                              <a:sysClr val="window" lastClr="FFFFFF"/>
                            </a:solidFill>
                            <a:round/>
                            <a:headEnd/>
                            <a:tailEnd/>
                          </a:ln>
                        </wps:spPr>
                        <wps:bodyPr/>
                      </wps:wsp>
                      <wps:wsp>
                        <wps:cNvPr id="465" name="Oval 93"/>
                        <wps:cNvSpPr>
                          <a:spLocks noChangeAspect="1" noChangeArrowheads="1"/>
                        </wps:cNvSpPr>
                        <wps:spPr bwMode="auto">
                          <a:xfrm>
                            <a:off x="2403496" y="1242409"/>
                            <a:ext cx="70725" cy="68917"/>
                          </a:xfrm>
                          <a:prstGeom prst="ellipse">
                            <a:avLst/>
                          </a:prstGeom>
                          <a:solidFill>
                            <a:sysClr val="windowText" lastClr="000000"/>
                          </a:solidFill>
                          <a:ln w="9525">
                            <a:solidFill>
                              <a:sysClr val="window" lastClr="FFFFFF"/>
                            </a:solidFill>
                            <a:round/>
                            <a:headEnd/>
                            <a:tailEnd/>
                          </a:ln>
                        </wps:spPr>
                        <wps:bodyPr/>
                      </wps:wsp>
                      <wps:wsp>
                        <wps:cNvPr id="466" name="Oval 93"/>
                        <wps:cNvSpPr>
                          <a:spLocks noChangeAspect="1" noChangeArrowheads="1"/>
                        </wps:cNvSpPr>
                        <wps:spPr bwMode="auto">
                          <a:xfrm>
                            <a:off x="3226079" y="1602421"/>
                            <a:ext cx="70725" cy="68917"/>
                          </a:xfrm>
                          <a:prstGeom prst="ellipse">
                            <a:avLst/>
                          </a:prstGeom>
                          <a:solidFill>
                            <a:sysClr val="windowText" lastClr="000000"/>
                          </a:solidFill>
                          <a:ln w="9525">
                            <a:solidFill>
                              <a:sysClr val="window" lastClr="FFFFFF"/>
                            </a:solidFill>
                            <a:round/>
                            <a:headEnd/>
                            <a:tailEnd/>
                          </a:ln>
                        </wps:spPr>
                        <wps:bodyPr/>
                      </wps:wsp>
                      <wps:wsp>
                        <wps:cNvPr id="467" name="Oval 93"/>
                        <wps:cNvSpPr>
                          <a:spLocks noChangeAspect="1" noChangeArrowheads="1"/>
                        </wps:cNvSpPr>
                        <wps:spPr bwMode="auto">
                          <a:xfrm>
                            <a:off x="2350614" y="786449"/>
                            <a:ext cx="70725" cy="68917"/>
                          </a:xfrm>
                          <a:prstGeom prst="ellipse">
                            <a:avLst/>
                          </a:prstGeom>
                          <a:solidFill>
                            <a:sysClr val="windowText" lastClr="000000"/>
                          </a:solidFill>
                          <a:ln w="9525">
                            <a:solidFill>
                              <a:sysClr val="window" lastClr="FFFFFF"/>
                            </a:solidFill>
                            <a:round/>
                            <a:headEnd/>
                            <a:tailEnd/>
                          </a:ln>
                        </wps:spPr>
                        <wps:bodyPr/>
                      </wps:wsp>
                      <wps:wsp>
                        <wps:cNvPr id="468" name="Oval 93"/>
                        <wps:cNvSpPr>
                          <a:spLocks noChangeAspect="1" noChangeArrowheads="1"/>
                        </wps:cNvSpPr>
                        <wps:spPr bwMode="auto">
                          <a:xfrm>
                            <a:off x="383290" y="364919"/>
                            <a:ext cx="70725" cy="68917"/>
                          </a:xfrm>
                          <a:prstGeom prst="ellipse">
                            <a:avLst/>
                          </a:prstGeom>
                          <a:solidFill>
                            <a:sysClr val="windowText" lastClr="000000"/>
                          </a:solidFill>
                          <a:ln w="9525">
                            <a:solidFill>
                              <a:sysClr val="window" lastClr="FFFFFF"/>
                            </a:solidFill>
                            <a:round/>
                            <a:headEnd/>
                            <a:tailEnd/>
                          </a:ln>
                        </wps:spPr>
                        <wps:bodyPr/>
                      </wps:wsp>
                      <pic:pic xmlns:pic="http://schemas.openxmlformats.org/drawingml/2006/picture">
                        <pic:nvPicPr>
                          <pic:cNvPr id="469"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tretch>
                            <a:fillRect/>
                          </a:stretch>
                        </pic:blipFill>
                        <pic:spPr bwMode="auto">
                          <a:xfrm>
                            <a:off x="332261" y="43735"/>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Box 5"/>
                        <wps:cNvSpPr txBox="1"/>
                        <wps:spPr>
                          <a:xfrm>
                            <a:off x="150883" y="-2137"/>
                            <a:ext cx="1216025" cy="244475"/>
                          </a:xfrm>
                          <a:prstGeom prst="rect">
                            <a:avLst/>
                          </a:prstGeom>
                          <a:noFill/>
                        </wps:spPr>
                        <wps:txbx>
                          <w:txbxContent>
                            <w:p w14:paraId="09FAE32C" w14:textId="77777777" w:rsidR="00F269A5" w:rsidRPr="00D26130" w:rsidRDefault="004C4BA9" w:rsidP="00CA50F2">
                              <w:pPr>
                                <w:rPr>
                                  <w:iCs/>
                                  <w:color w:val="000000" w:themeColor="text1"/>
                                  <w:kern w:val="24"/>
                                  <w:sz w:val="24"/>
                                  <w:szCs w:val="21"/>
                                </w:rPr>
                              </w:pPr>
                              <w:r w:rsidRPr="00D26130">
                                <w:rPr>
                                  <w:iCs/>
                                  <w:color w:val="000000" w:themeColor="text1"/>
                                  <w:kern w:val="24"/>
                                  <w:sz w:val="24"/>
                                  <w:szCs w:val="21"/>
                                  <w:lang w:val="en"/>
                                </w:rPr>
                                <w:t>4 plants</w:t>
                              </w:r>
                            </w:p>
                          </w:txbxContent>
                        </wps:txbx>
                        <wps:bodyPr wrap="square" rtlCol="0"/>
                      </wps:wsp>
                      <wps:wsp>
                        <wps:cNvPr id="471" name="TextBox 210"/>
                        <wps:cNvSpPr txBox="1"/>
                        <wps:spPr>
                          <a:xfrm>
                            <a:off x="136264" y="256757"/>
                            <a:ext cx="1615494" cy="237510"/>
                          </a:xfrm>
                          <a:prstGeom prst="rect">
                            <a:avLst/>
                          </a:prstGeom>
                          <a:noFill/>
                        </wps:spPr>
                        <wps:txbx>
                          <w:txbxContent>
                            <w:p w14:paraId="392F6D8D" w14:textId="77777777" w:rsidR="00F269A5" w:rsidRPr="00D26130" w:rsidRDefault="004C4BA9" w:rsidP="00CA50F2">
                              <w:pPr>
                                <w:jc w:val="left"/>
                                <w:rPr>
                                  <w:iCs/>
                                  <w:color w:val="000000" w:themeColor="text1"/>
                                  <w:kern w:val="24"/>
                                  <w:sz w:val="24"/>
                                  <w:szCs w:val="20"/>
                                </w:rPr>
                              </w:pPr>
                              <w:r w:rsidRPr="00D26130">
                                <w:rPr>
                                  <w:iCs/>
                                  <w:color w:val="000000" w:themeColor="text1"/>
                                  <w:kern w:val="24"/>
                                  <w:sz w:val="24"/>
                                  <w:szCs w:val="20"/>
                                  <w:lang w:val="en"/>
                                </w:rPr>
                                <w:t xml:space="preserve">20 importers </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41D8C8FA" id="Группа 2" o:spid="_x0000_s1026" style="position:absolute;left:0;text-align:left;margin-left:0;margin-top:10.35pt;width:369.75pt;height:195.9pt;z-index:251659264;mso-position-horizontal:center;mso-position-horizontal-relative:margin;mso-width-relative:margin;mso-height-relative:margin" coordorigin=",-21" coordsize="44843,24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">
                <v:group id="Группа 111" o:spid="_x0000_s1027" style="position:absolute;top:3293;width:44843;height:21572" coordorigin=",3293" coordsize="80675,4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AutoShape 2" o:spid="_x0000_s1028" style="position:absolute;left:19669;top:5309;width:36877;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text="t"/>
                  </v:rect>
                  <v:shape id="Freeform 4" o:spid="_x0000_s1029" style="position:absolute;left:25366;top:25407;width:18795;height:16367;visibility:visible;mso-wrap-style:square;v-text-anchor:top" coordsize="60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" path="m27,159v5,-2,5,-2,5,-2c34,160,34,160,34,160v-3,5,-3,5,-3,5c27,170,27,170,27,170v-11,,-11,,-11,c26,175,26,175,26,175v,9,,9,,9c37,184,37,184,37,184v15,-7,15,-7,15,-7c56,164,56,164,56,164v7,-9,7,-9,7,-9c63,151,63,151,63,151,58,141,58,141,58,141,52,128,52,128,52,128v17,1,17,1,17,1c69,145,69,145,69,145v,9,,9,,9c83,154,83,154,83,154v9,5,9,5,9,5c107,157,107,157,107,157v5,2,5,2,5,2c121,161,121,161,121,161v-9,7,-9,7,-9,7c107,175,107,175,107,175,94,171,94,171,94,171,81,166,81,166,81,166v-11,,-11,,-11,c65,176,65,176,65,176v-1,7,-1,7,-1,7c58,186,58,186,58,186v1,14,1,14,1,14c68,201,68,201,68,201v3,-4,3,-4,3,-4c81,203,81,203,81,203v,31,,31,,31c78,237,78,237,78,237v-1,31,-1,31,-1,31c139,318,139,318,139,318v2,19,2,19,2,19c195,411,195,411,195,411v83,-13,83,-13,83,-13c298,407,298,407,298,407v24,,24,,24,c366,413,366,413,366,413v29,-20,29,-20,29,-20c418,424,418,424,418,424v19,10,19,10,19,10c444,446,444,446,444,446v12,33,12,33,12,33c467,473,467,473,467,473v13,-8,13,-8,13,-8c475,530,475,530,475,530v15,-10,15,-10,15,-10c499,512,499,512,499,512v23,-19,23,-19,23,-19c541,480,541,480,541,480v,,,,,c541,480,541,480,541,480v20,-7,20,-7,20,-7c563,473,576,462,577,462v19,-13,19,-13,19,-13c585,429,585,429,585,429v-1,-1,-1,-1,-1,-1c585,427,585,427,585,427v19,-22,19,-22,19,-22c604,385,604,385,604,385v,,,,,c604,384,604,384,604,384v5,-16,5,-16,5,-16c578,341,578,341,578,341v,,,,,c578,340,578,340,578,340v-2,-67,-2,-67,-2,-67c555,246,555,246,555,246v-1,-1,-1,-1,-1,-1c555,244,555,244,555,244v5,-10,5,-10,5,-10c565,189,565,189,565,189,548,173,548,173,548,173v-26,1,-26,1,-26,1c517,178,517,178,517,178v,1,,1,,1c516,179,516,179,516,179v-65,-2,-65,-2,-65,-2c451,177,451,177,451,177v-1,,-1,,-1,c415,149,415,149,415,149,312,100,312,100,312,100v,,,,,c311,100,311,100,311,100,292,80,292,80,292,80,279,79,279,79,279,79v-1,-1,-1,-1,-1,-1c277,78,277,78,277,78,269,66,269,66,269,66,256,57,256,57,256,57v-1,-1,-1,-1,-1,-1c255,55,255,55,255,55,253,45,253,45,253,45,211,1,211,1,211,1,179,,179,,179,,147,57,147,57,147,57v,1,,1,,1c145,58,145,58,145,58v-36,,-36,,-36,c105,80,105,80,105,80v-1,2,-1,2,-1,2c102,81,102,81,102,81,93,78,93,78,93,78,29,138,29,138,29,138v-6,12,-6,12,-6,12c22,151,22,151,22,151v-1,,-1,,-1,c,152,,152,,152v,8,,8,,8c27,159,27,159,27,159xe" fillcolor="#d6dce5" stroked="f">
                    <v:path arrowok="t" o:connecttype="custom" o:connectlocs="98757,484838;95670,509543;49378,524983;80240,568217;160480,546600;194427,478661;178996,435427;212944,398370;212944,475573;283925,491014;345648,491014;345648,518807;290098,528072;216030,512631;197513,565129;182083,617628;219116,608363;249978,722624;237633,827621;435146,1040702;857948,1229079;993739,1256872;1219027,1213638;1348645,1340252;1407282,1479218;1481349,1435984;1512211,1605832;1610967,1522452;1669604,1482306;1731327,1460689;1839342,1386574;1802308,1321723;1864031,1250696;1864031,1188933;1879462,1136435;1783792,1053055;1777619,843062;1709724,756594;1728241,722624;1691207,534248;1595537,549689;1592451,552777;1391851,546600;1280750,460133;962877,308814;901154,247051;857948,240875;830173,203817;786967,172936;780795,138966;552420,0;453663,179112;336390,179112;320959,253227;287011,240875;70981,463221;64809,466309;0,494102" o:connectangles="0,0,0,0,0,0,0,0,0,0,0,0,0,0,0,0,0,0,0,0,0,0,0,0,0,0,0,0,0,0,0,0,0,0,0,0,0,0,0,0,0,0,0,0,0,0,0,0,0,0,0,0,0,0,0,0,0,0" textboxrect="0,0,609,530"/>
                  </v:shape>
                  <v:shape id="Freeform 5" o:spid="_x0000_s1030" style="position:absolute;left:34065;top:15374;width:29049;height:15922;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color="#d6dce5" stroked="f">
                    <v:path arrowok="t" o:connecttype="custom" o:connectlocs="2809213,1132482;2790690,1132482;2744385,1039908;2778342,885619;2772168,805389;2722775,706644;2756733,598642;2738210,558526;2725862,416580;2710427,357951;2778342,160461;2698079,92573;2599293,178975;2509769,228348;2373939,253034;2278241,302407;2222674,178975;2083757,141946;2059060,74059;2043625,0;1938665,46287;1839880,141946;1744181,234519;1673179,148117;1500305,305492;1398432,336350;1333604,311664;1287298,311664;1126772,157375;1043422,209833;1012551,274635;858199,450524;716195,626414;632845,725159;435274,743673;376620,746759;330314,839332;284008,916477;280921,1002879;284008,1042994;98785,1178768;46306,1252827;429099,1465746;750152,1539805;889069,1592263;1318169,1570663;2160933,1530547;2231935,1400945;2383200,1258999;2565336,1231227;2747472,1231227;2904911,1243570;2880215,1132482;2889476,1076938" o:connectangles="0,0,0,0,0,0,0,0,0,0,0,0,0,0,0,0,0,0,0,0,0,0,0,0,0,0,0,0,0,0,0,0,0,0,0,0,0,0,0,0,0,0,0,0,0,0,0,0,0,0,0,0,0,0" textboxrect="0,0,941,516"/>
                  </v:shape>
                  <v:shape id="Freeform 6" o:spid="_x0000_s1031" style="position:absolute;left:33972;top:15262;width:29051;height:15923;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941,516"/>
                  </v:shape>
                  <v:shape id="Freeform 7" o:spid="_x0000_s1032" style="position:absolute;left:3488;top:19381;width:17160;height:10081;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color="#d6dce5" stroked="f">
                    <v:path arrowok="t" o:connecttype="custom" o:connectlocs="1212900,863173;1302402,866256;1382645,853925;1410421,881670;1472146,878587;1496836,847759;1614114,952573;1715961,1001897;1567820,801518;1512268,746028;1509182,665876;1484491,619635;1496836,564145;1555475,437752;1530785,394593;1527699,243538;1465974,184966;1394990,157221;1388817,77069;1413507,52407;1299316,27745;1231418,30828;1206728,15414;1157348,98648;1074019,172635;1018466,129476;861067,40076;786997,101731;552441,166469;466025,172635;293195,67821;0,80152;37035,178800;108019,181883;209866,231207;256160,419256;299367,524069;216038,502490;185176,551814;314799,610387;459853,598056;657374,527152;777738,527152;898102,622718;959827,607304;1046242,619635;1098709,739863;1080191,894001" o:connectangles="0,0,0,0,0,0,0,0,0,0,0,0,0,0,0,0,0,0,0,0,0,0,0,0,0,0,0,0,0,0,0,0,0,0,0,0,0,0,0,0,0,0,0,0,0,0,0,0" textboxrect="0,0,556,327"/>
                  </v:shape>
                  <v:shape id="Freeform 8" o:spid="_x0000_s1033" style="position:absolute;left:3365;top:19311;width:17161;height:10080;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556,327"/>
                  </v:shape>
                  <v:shape id="Freeform 9" o:spid="_x0000_s1034" style="position:absolute;left:2714;top:11214;width:16445;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color="#d6dce5" stroked="f">
                    <v:path arrowok="t" o:connecttype="custom" o:connectlocs="369860,879475;539710,984250;576220,963613;623842,976313;739721,908050;928619,852488;934969,852488;1030212,862013;1150853,981075;1231809,885825;1277843,827088;1287368,827088;1366737,839788;1447693,725488;1454043,722313;1644529,636588;1620718,525463;1620718,519113;1617543,476250;1628655,382588;1582621,319088;1503252,254000;1477854,169863;1317528,146050;1222285,68263;1117518,103188;1020687,28575;993702,38100;928619,80963;842900,120650;752420,136525;715910,207963;604793,244475;552409,352425;571458,441325;465103,454025;422244,349250;352399,234950;284142,284163;249219,368300;131753,515938;169850,568325;95243,623888;98418,830263;98418,869950;366686,879475" o:connectangles="0,0,0,0,0,0,0,0,0,0,0,0,0,0,0,0,0,0,0,0,0,0,0,0,0,0,0,0,0,0,0,0,0,0,0,0,0,0,0,0,0,0,0,0,0,0" textboxrect="0,0,1036,620"/>
                  </v:shape>
                  <v:shape id="Freeform 10" o:spid="_x0000_s1035" style="position:absolute;left:2714;top:11214;width:16447;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1036,620"/>
                  </v:shape>
                  <v:shape id="Freeform 11" o:spid="_x0000_s1036" style="position:absolute;left:7240;top:27981;width:13731;height:15082;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color="#d6dce5" stroked="f">
                    <v:path arrowok="t" o:connecttype="custom" o:connectlocs="1320631,160373;1268176,126448;1228063,101775;1120068,0;1107726,24673;1070699,55514;1046014,46262;938018,9252;922590,30841;867050,30841;799167,37009;700428,37009;651059,120280;660316,222055;746712,259064;860879,231308;851622,302242;860879,382428;777568,376260;805338,336167;752883,283737;660316,274485;339415,166541;271532,181962;182050,249812;286960,407101;209820,394765;107996,342335;3086,342335;101824,453363;126509,573643;157365,740184;222162,798782;305473,903641;373356,937566;404212,1027005;314730,1134949;296216,1239808;333243,1236724;472095,1153453;854707,1279902;941104,1508125;1373086,410185" o:connectangles="0,0,0,0,0,0,0,0,0,0,0,0,0,0,0,0,0,0,0,0,0,0,0,0,0,0,0,0,0,0,0,0,0,0,0,0,0,0,0,0,0,0,0" textboxrect="0,0,445,489"/>
                  </v:shape>
                  <v:shape id="Freeform 12" o:spid="_x0000_s1037" style="position:absolute;left:7127;top:27915;width:13732;height:15081;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ed="f" strokecolor="white">
                    <v:stroke endcap="round"/>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445,489"/>
                  </v:shape>
                  <v:shape id="Freeform 13" o:spid="_x0000_s1038"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" path="m80,66l74,29,61,19,51,,39,5,28,21,6,46,,50r82,66l84,95,80,66xe" fillcolor="#ebd999" stroked="f">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14" o:spid="_x0000_s1039"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" path="m80,66l74,29,61,19,51,,39,5,28,21,6,46,,50r82,66l84,95,80,66xe" filled="f" strokecolor="white">
                    <v:stroke endcap="round"/>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16" o:spid="_x0000_s1040" style="position:absolute;top:24422;width:15954;height:24130;visibility:visible;mso-wrap-style:square;v-text-anchor:top" coordsize="100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" path="m993,426r-8,-16l985,383r12,-6l991,366,974,352r-22,23l919,383r-21,-2l882,360r-17,l855,329r-6,-20l859,298r-2,-12l888,245r12,-27l906,210r-2,-66l894,138r4,-50l871,68,849,59,832,51,818,61,799,72r-12,8l776,70,744,51,725,31,702,10,684,6,671,,626,10r-22,8l583,26,501,55,486,66,437,61r-29,1l394,84,381,97r-23,22l326,117r-11,15l270,144r-25,14l200,158r-37,11l134,199r-20,31l97,243,72,272,46,288,13,303,,329r,23l31,368r6,25l48,403r4,25l62,443r4,30l70,490r,12l56,502r-4,15l48,537r-2,39l33,587r,24l25,618r,12l48,661r-2,16l48,700r16,10l64,745r17,15l91,801r10,45l126,871r29,72l173,986r2,60l212,1093r-10,11l202,1120r31,21l270,1143r37,45l301,1211r-29,-21l253,1188r-14,-10l216,1194r-32,4l165,1219r-2,23l153,1252r-5,17l148,1289r-24,10l114,1312r6,22l128,1351r-17,l99,1374r-12,20l74,1405r,-36l58,1357r-2,19l46,1394r-3,11l31,1419r-14,49l10,1520r723,l715,1495r-8,-20l694,1462r-16,-4l663,1458r-10,-14l659,1431r6,-10l682,1405r2,20l704,1425r3,l715,1431r12,-4l733,1421r-6,-6l715,1402r-11,-8l709,1376r16,-7l725,1357r-23,-6l682,1339r-23,l647,1334r-10,l647,1363r-17,-29l624,1308r6,-6l628,1271r4,-25l641,1229r12,-10l657,1194r12,-6l676,1168r,-40l684,1128r12,36l702,1190r29,15l744,1215r14,-12l770,1192r11,l776,1227r11,15l824,1242r10,-9l851,1233r8,11l869,1242r-10,-17l857,1205r27,-2l898,1223r19,l927,1217r6,-10l933,1174r-78,-87l849,1061r8,-11l859,1036r-10,-11l846,1007r3,-31l842,968r-14,l812,957r-29,l766,966r-16,-6l733,968r-18,14l704,999r-14,20l702,1030r-6,20l690,1061r-8,18l678,1093r-11,-20l653,1056r-6,-18l657,1032r2,-13l647,1011r-11,-10l651,986r2,-16l647,935r24,-23l688,887r14,-20l707,840r-7,-18l684,811r-6,-10l653,799,641,789r-37,-4l597,750r-8,-27l531,719r9,-19l548,686r-2,-42l531,616r-2,-35l521,558r-8,-19l513,506,480,490,449,475r2,-39l466,418r30,8l517,436r23,2l567,469r14,l589,463r21,15l630,476,601,449,560,399r4,-22l579,371r23,-1l620,335r12,-16l639,325r24,l678,315r18,8l865,393r27,-4l902,405r21,-6l968,401r4,23l956,432r-25,6l933,447r6,10l952,459r30,-6l991,461r14,-10l993,42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1005,1520"/>
                  </v:shape>
                  <v:shape id="Freeform 17" o:spid="_x0000_s1041" style="position:absolute;left:46653;top:30995;width:13746;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color="#d6dce5" stroked="f">
                    <v:path arrowok="t" o:connecttype="custom" o:connectlocs="1291267,586876;1291267,586876;1105918,370659;1102828,367570;1019421,247106;1016332,244017;1010154,213129;951460,145175;892766,67954;874231,15444;868053,6178;52516,9266;6178,71043;132834,386103;132834,389192;135923,574521;114299,599232;80318,744406;169904,793827;176082,796916;234776,889581;231687,945180;401590,1081088;401590,1013134;444838,923558;577672,901936;719773,926647;824804,960624;923657,997690;932925,932825;966906,796916;1068848,738229;1155344,762939;1275821,827805;1374674,744406" o:connectangles="0,0,0,0,0,0,0,0,0,0,0,0,0,0,0,0,0,0,0,0,0,0,0,0,0,0,0,0,0,0,0,0,0,0,0" textboxrect="0,0,445,350"/>
                  </v:shape>
                  <v:shape id="Freeform 18" o:spid="_x0000_s1042" style="position:absolute;left:46656;top:30995;width:13748;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textboxrect="0,0,445,350"/>
                  </v:shape>
                  <v:shape id="Freeform 19" o:spid="_x0000_s1043" style="position:absolute;left:56653;top:25661;width:17541;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color="#d6dce5" stroked="f">
                    <v:path arrowok="t" o:connecttype="custom" o:connectlocs="1676855,327054;1624357,317798;1507008,194381;1454509,55537;1392747,70965;1216723,74050;1127168,15427;1096286,49367;1049964,74050;991290,74050;917175,37025;877029,43196;833795,18512;719534,18512;660860,49367;636155,98733;639243,175869;762768,185125;839971,151185;907910,111075;1006730,145014;938792,234491;790561,265346;663948,253004;555863,262260;358223,268431;259403,268431;163671,317798;86468,447385;15441,481324;0,604741;15441,746670;101908,836147;268667,971905;302637,1116920;386016,1274276;407633,1357582;639243,1289703;787473,1289703;1043788,1280446;1213635,1335984;1361865,1354496;1423628,1357582;1383482,1231080;1429804,1175542;1494655,1126176;1473038,1024357;1346425,651022;1219811,632510;1562594,431958;1676855,438129;1667590,373335" o:connectangles="0,0,0,0,0,0,0,0,0,0,0,0,0,0,0,0,0,0,0,0,0,0,0,0,0,0,0,0,0,0,0,0,0,0,0,0,0,0,0,0,0,0,0,0,0,0,0,0,0,0,0,0" textboxrect="0,0,568,443"/>
                  </v:shape>
                  <v:shape id="Freeform 20" o:spid="_x0000_s1044" style="position:absolute;left:56657;top:25661;width:17542;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568,443"/>
                  </v:shape>
                  <v:line id="Line 21" o:spid="_x0000_s1045" style="position:absolute;visibility:visible;mso-wrap-style:square" from="55959,30534" to="55991,3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" strokecolor="#725f00" strokeweight="1pt">
                    <v:stroke endcap="round"/>
                  </v:line>
                  <v:shape id="Freeform 22" o:spid="_x0000_s1046" style="position:absolute;left:29684;top:5547;width:14286;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color="#d6dce5" stroked="f">
                    <v:path arrowok="t" o:connecttype="custom" o:connectlocs="327076,1026993;379532,1020825;413474,1076338;391875,1141103;444330,1202784;459758,1282970;487529,1372408;465930,1393996;379532,1480350;376446,1523527;376446,1563620;447416,1665394;469015,1659225;496786,1686982;626382,1798008;675752,1884362;715865,1822681;765235,1767168;793006,1714739;814605,1677730;867061,1702402;1021342,1683898;1086140,1634553;1141682,1532779;1329905,1307642;1428645,1196616;1228079,1153439;1123168,1113346;978144,1048581;934945,860453;1070712,653821;1092312,437937;1129339,422517;1113911,376256;1110825,342331;1107740,308406;1129339,262145;1083055,222052;1144767,157287;1098483,120278;1116997,83270;1107740,9252;934945,98690;610954,138783;354847,169623;197480,185044;228336,283734;206737,339247;379532,425601;234508,459525;160453,592140;0,746343;49370,860453;243764,940639" o:connectangles="0,0,0,0,0,0,0,0,0,0,0,0,0,0,0,0,0,0,0,0,0,0,0,0,0,0,0,0,0,0,0,0,0,0,0,0,0,0,0,0,0,0,0,0,0,0,0,0,0,0,0,0,0,0" textboxrect="0,0,463,611"/>
                  </v:shape>
                  <v:shape id="Freeform 23" o:spid="_x0000_s1047" style="position:absolute;left:29686;top:5547;width:14287;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0" textboxrect="0,0,463,611"/>
                  </v:shape>
                  <v:shape id="Freeform 24" o:spid="_x0000_s1048" style="position:absolute;left:53177;top:5198;width:10826;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color="#d6dce5" stroked="f">
                    <v:path arrowok="t" o:connecttype="custom" o:connectlocs="43180,364464;64771,389174;40096,416972;52433,457125;80192,454036;104867,472568;98698,506544;89445,531253;98698,549785;138794,648623;138794,753638;114120,793791;157300,867919;89445,951314;117204,960580;185059,1053240;154216,1084127;277588,1142812;305347,1173699;339275,1173699;388624,1207674;394792,1266359;447226,1250916;493491,1238561;539755,1216940;712477,1077950;764910,1074861;783416,1090304;845103,1096482;875946,1118102;894452,1210763;1048668,1152078;1057920,1136635;1042499,1087216;940716,951314;940716,892629;1011656,827766;1082595,685687;706308,240917;530502,92660;582936,0;465732,46330;354696,129725;200481,262538;107951,287247;0,333578" o:connectangles="0,0,0,0,0,0,0,0,0,0,0,0,0,0,0,0,0,0,0,0,0,0,0,0,0,0,0,0,0,0,0,0,0,0,0,0,0,0,0,0,0,0,0,0,0,0" textboxrect="0,0,351,423"/>
                  </v:shape>
                  <v:shape id="Freeform 25" o:spid="_x0000_s1049" style="position:absolute;left:53181;top:5198;width:10827;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 o:connectangles="0,0,0,0,0,0,0,0,0,0,0,0,0,0,0,0,0,0,0,0,0,0,0,0,0,0,0,0,0,0,0,0,0,0,0,0,0,0,0,0,0,0,0,0,0,0" textboxrect="0,0,351,423"/>
                  </v:shape>
                  <v:shape id="Freeform 26" o:spid="_x0000_s1050" style="position:absolute;left:61229;top:12252;width:19446;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color="#d6dce5" stroked="f">
                    <v:path arrowok="t" o:connecttype="custom" o:connectlocs="1811822,370044;1747004,357709;1527857,403964;1311796,277533;1129688,98678;984619,144934;821030,237445;691394,185022;598796,107929;567931,206608;287052,0;271619,74009;216061,138766;250013,348458;253100,382379;265446,397797;268532,444052;222234,530396;114203,539647;3087,604405;58645,767841;24693,820264;86424,943611;67905,989867;43212,1014537;15433,1023788;108030,1144052;89511,1174889;64818,1341408;33952,1393831;108030,1403082;135809,1393831;169762,1369162;203714,1384580;259273,1353743;314831,1335241;342610,1335241;456814,1372245;490766,1353743;608056,1393831;638922,1384580;669788,1350660;716086,1356827;969186,1387664;1003138,1390748;1049437,1504844;1160554,1606606;1222285,1662113;1364268,1214977;1577242,1181056;1666753,1187224;1759350,1107047;1697619,857268;1796389,693832;1873554,567400;1892073,468722;1879727,425550;1376614,959030;1213026,915858;1228459,875770;1407480,897356;1472298,974448" o:connectangles="0,0,0,0,0,0,0,0,0,0,0,0,0,0,0,0,0,0,0,0,0,0,0,0,0,0,0,0,0,0,0,0,0,0,0,0,0,0,0,0,0,0,0,0,0,0,0,0,0,0,0,0,0,0,0,0,0,0,0,0,0,0" textboxrect="0,0,630,539"/>
                    <o:lock v:ext="edit" verticies="t"/>
                  </v:shape>
                  <v:shape id="Freeform 27" o:spid="_x0000_s1051" style="position:absolute;left:61198;top:12183;width:19447;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630,539"/>
                    <o:lock v:ext="edit" verticies="t"/>
                  </v:shape>
                  <v:shape id="Freeform 28" o:spid="_x0000_s1052" style="position:absolute;left:40525;top:3293;width:13573;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color="#d6dce5" stroked="f">
                    <v:path arrowok="t" o:connecttype="custom" o:connectlocs="55522,327234;67861,370453;74030,398237;15423,444544;52438,475415;74030,500112;58607,527896;37015,558767;64776,586551;58607,642119;49353,660642;18507,669903;98706,879827;166567,892175;219005,830433;453432,737819;400994,583464;456517,521722;518208,506286;598407,490851;657014,500112;666268,543331;703283,558767;774228,571115;934626,586551;983979,635945;1020994,688426;1169053,657555;1218406,719297;1277013,734732;1326366,700774;1357212,685339;1317113,660642;1286267,639032;1280098,623596;1295521,598899;1314028,583464;1270844,583464;1252337,521722;1264675,466154;1347958,392063;1221491,385889;1138207,379715;1095023,348844;943879,373540;839004,324147;882188,209924;795820,18523;586069,21610;419502,52481;305373,135833;46269,302537" o:connectangles="0,0,0,0,0,0,0,0,0,0,0,0,0,0,0,0,0,0,0,0,0,0,0,0,0,0,0,0,0,0,0,0,0,0,0,0,0,0,0,0,0,0,0,0,0,0,0,0,0,0,0,0" textboxrect="0,0,440,289"/>
                  </v:shape>
                  <v:shape id="Freeform 29" o:spid="_x0000_s1053" style="position:absolute;left:40528;top:3293;width:13574;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40,289"/>
                  </v:shape>
                  <v:shape id="Freeform 30" o:spid="_x0000_s1054" style="position:absolute;left:39160;top:8325;width:15366;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color="#d6dce5" stroked="f">
                    <v:path arrowok="t" o:connecttype="custom" o:connectlocs="552307,841823;610932,838739;672643,921996;765208,937414;802234,989836;848517,992919;882458,1017588;968852,940498;1033648,881910;1123128,820238;1166325,835656;1255805,863408;1311344,829488;1332943,773984;1410081,727730;1453278,703061;1514988,684559;1508817,678392;1465620,647556;1518074,564299;1505732,514961;1499561,481042;1524245,437871;1487219,249772;1410081,243604;1410081,243604;1323686,225103;1234206,181932;1147812,197350;993536,95592;876287,123344;796063,52421;786807,12334;700412,33920;598590,33920;601676,181932;601676,240521;419630,385450;336321,388534;305466,400868;234499,388534;86394,477958;37026,613636;37026,755482;132677,758566;265354,823321;357920,912746;515281,894244" o:connectangles="0,0,0,0,0,0,0,0,0,0,0,0,0,0,0,0,0,0,0,0,0,0,0,0,0,0,0,0,0,0,0,0,0,0,0,0,0,0,0,0,0,0,0,0,0,0,0,0" textboxrect="0,0,498,330"/>
                  </v:shape>
                  <v:shape id="Freeform 31" o:spid="_x0000_s1055" style="position:absolute;left:39163;top:8325;width:15367;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498,330"/>
                  </v:shape>
                  <v:shape id="Freeform 32" o:spid="_x0000_s1056" style="position:absolute;left:39970;top:31249;width:10699;height:15573;visibility:visible;mso-wrap-style:square;v-text-anchor:top" coordsize="3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" path="m316,328v,,,,,c316,328,316,328,316,328,290,301,290,301,290,301v-1,-1,-1,-1,-1,-1c289,299,289,299,289,299v1,-18,1,-18,1,-18c272,254,272,254,272,254v-13,1,-13,1,-13,1c258,255,258,255,258,255v-1,-1,-1,-1,-1,-1c241,235,241,235,241,235v-1,-1,-1,-1,-1,-1c240,233,240,233,240,233v1,-9,1,-9,1,-9c241,224,241,224,241,224v,,,,,c251,185,251,185,251,185v,-1,,-1,,-1c251,184,251,184,251,184v7,-8,7,-8,7,-8c257,119,257,119,257,119,256,116,247,89,247,89,215,17,215,17,215,17v,-1,,-1,,-1c215,16,215,16,215,16,212,,212,,212,,96,2,96,2,96,2,91,45,91,45,91,45v,1,,1,,1c91,46,91,46,91,46,86,56,86,56,86,56v19,28,19,28,19,28c106,84,106,84,106,84v,1,,1,,1c108,150,108,150,108,150v31,27,31,27,31,27c140,177,140,177,140,177v-1,2,-1,2,-1,2c134,196,134,196,134,196v1,21,1,21,1,21c135,218,135,218,135,218v,,,,,c115,240,115,240,115,240v12,19,12,19,12,19c127,261,127,261,127,261v-1,1,-1,1,-1,1c105,276,105,276,105,276,89,289,89,289,89,289v,,,,,c89,289,89,289,89,289v-19,7,-19,7,-19,7c68,297,51,309,51,308,28,326,28,326,28,326v-9,8,-9,8,-9,8c19,334,19,334,19,334v,,,,,c4,345,4,345,4,345,2,342,2,342,2,342,,372,,372,,372v34,2,34,2,34,2c50,455,50,455,50,455v59,-3,59,-3,59,-3c129,449,129,449,129,449v24,19,24,19,24,19c144,485,144,485,144,485v22,20,22,20,22,20c186,505,186,505,186,505v,-28,,-28,,-28c203,458,203,458,203,458v11,-14,11,-14,11,-14c225,429,225,429,225,429v13,-7,13,-7,13,-7c253,406,253,406,253,406v29,-8,29,-8,29,-8c299,375,299,375,299,375v11,-13,11,-13,11,-13c326,372,326,372,326,372v5,-18,5,-18,5,-18c346,351,346,351,346,351v1,-7,1,-7,1,-7c346,346,346,346,346,346,316,328,316,328,316,328xe" fillcolor="#d6dce5" stroked="f">
                    <v:path arrowok="t" o:connecttype="custom" o:connectlocs="974315,1011499;894149,928235;891066,922067;838650,783295;795485,786379;743069,724702;739986,718534;743069,690780;773902,570510;773902,567426;792401,366977;662904,52425;662904,49341;295994,6168;280578,141857;265162,172695;326827,259042;332994,462576;431658,545839;413159,604432;416242,672277;354576,740121;391576,804882;323744,851139;274411,891229;215829,912816;86332,1005331;58582,1030002;12333,1063924;0,1147188;154164,1403146;397742,1384643;443991,1495661;573489,1557338;625905,1412398;693737,1322966;780068,1252038;921899,1156439;1005147,1147188;1066813,1082427;1066813,1067008" o:connectangles="0,0,0,0,0,0,0,0,0,0,0,0,0,0,0,0,0,0,0,0,0,0,0,0,0,0,0,0,0,0,0,0,0,0,0,0,0,0,0,0,0" textboxrect="0,0,347,505"/>
                  </v:shape>
                  <v:shape id="Freeform 33" o:spid="_x0000_s1057" style="position:absolute;left:39973;top:31249;width:10700;height:15573;visibility:visible;mso-wrap-style:square;v-text-anchor:top" coordsize="3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" path="m316,328v,,,,,c316,328,316,328,316,328,290,301,290,301,290,301v-1,-1,-1,-1,-1,-1c289,299,289,299,289,299v1,-18,1,-18,1,-18c272,254,272,254,272,254v-13,1,-13,1,-13,1c258,255,258,255,258,255v-1,-1,-1,-1,-1,-1c241,235,241,235,241,235v-1,-1,-1,-1,-1,-1c240,233,240,233,240,233v1,-9,1,-9,1,-9c241,224,241,224,241,224v,,,,,c251,185,251,185,251,185v,-1,,-1,,-1c251,184,251,184,251,184v7,-8,7,-8,7,-8c257,119,257,119,257,119,256,116,247,89,247,89,215,17,215,17,215,17v,-1,,-1,,-1c215,16,215,16,215,16,212,,212,,212,,96,2,96,2,96,2,91,45,91,45,91,45v,1,,1,,1c91,46,91,46,91,46,86,56,86,56,86,56v19,28,19,28,19,28c106,84,106,84,106,84v,1,,1,,1c108,150,108,150,108,150v31,27,31,27,31,27c140,177,140,177,140,177v-1,2,-1,2,-1,2c134,196,134,196,134,196v1,21,1,21,1,21c135,218,135,218,135,218v,,,,,c115,240,115,240,115,240v12,19,12,19,12,19c127,261,127,261,127,261v-1,1,-1,1,-1,1c105,276,105,276,105,276,89,289,89,289,89,289v,,,,,c89,289,89,289,89,289v-19,7,-19,7,-19,7c68,297,51,309,51,308,28,326,28,326,28,326v-9,8,-9,8,-9,8c19,334,19,334,19,334v,,,,,c4,345,4,345,4,345,2,342,2,342,2,342,,372,,372,,372v34,2,34,2,34,2c50,455,50,455,50,455v59,-3,59,-3,59,-3c129,449,129,449,129,449v24,19,24,19,24,19c144,485,144,485,144,485v22,20,22,20,22,20c186,505,186,505,186,505v,-28,,-28,,-28c203,458,203,458,203,458v11,-14,11,-14,11,-14c225,429,225,429,225,429v13,-7,13,-7,13,-7c253,406,253,406,253,406v29,-8,29,-8,29,-8c299,375,299,375,299,375v11,-13,11,-13,11,-13c326,372,326,372,326,372v5,-18,5,-18,5,-18c346,351,346,351,346,351v1,-7,1,-7,1,-7c346,346,346,346,346,346,316,328,316,328,316,32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textboxrect="0,0,347,505"/>
                  </v:shape>
                  <v:shape id="Freeform 36" o:spid="_x0000_s1058" style="position:absolute;left:26257;top:29677;width:16;height:63;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" path="m,l,4,,xe" fillcolor="#725f00" stroked="f">
                    <v:path arrowok="t" o:connecttype="custom" o:connectlocs="0,0;0,2147483646;0,2147483646;0,0;0,0;0,0" o:connectangles="0,0,0,0,0,0" textboxrect="0,0,1587,4"/>
                  </v:shape>
                  <v:shape id="Freeform 37" o:spid="_x0000_s1059" style="position:absolute;left:47498;top:38186;width:31;height:16;visibility:visible;mso-wrap-style:square;v-text-anchor:top" coordsize="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" path="m,l,,2,,,xe" fillcolor="#725f00" stroked="f">
                    <v:path arrowok="t" o:connecttype="custom" o:connectlocs="0,0;0,0;2147483646,0;2147483646,0;0,0;0,0" o:connectangles="0,0,0,0,0,0" textboxrect="0,0,2,1587"/>
                  </v:shape>
                  <v:shape id="Freeform 38" o:spid="_x0000_s1060" style="position:absolute;left:61198;top:18834;width:31;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39" o:spid="_x0000_s1061" style="position:absolute;left:53943;top:1057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40" o:spid="_x0000_s1062" style="position:absolute;left:54435;top:14024;width:16;height:3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" path="m,2l,,,2xe" fillcolor="#725f00" stroked="f">
                    <v:path arrowok="t" o:connecttype="custom" o:connectlocs="0,2147483646;0,0;0,2147483646;0,2147483646" o:connectangles="0,0,0,0" textboxrect="0,0,1588,2"/>
                  </v:shape>
                  <v:shape id="Freeform 41" o:spid="_x0000_s1063" style="position:absolute;left:58086;top:1758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" path="m2,r,l,2,2,xe" fillcolor="#725f00" stroked="f">
                    <v:path arrowok="t" o:connecttype="custom" o:connectlocs="2147483646,0;2147483646,0;0,2147483646;2147483646,0;2147483646,0" o:connectangles="0,0,0,0,0" textboxrect="0,0,2,2"/>
                  </v:shape>
                  <v:shape id="Freeform 42" o:spid="_x0000_s1064" style="position:absolute;left:40767;top:5642;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" path="m4,r,l,,2,2,4,xe" fillcolor="#725f00" stroked="f">
                    <v:path arrowok="t" o:connecttype="custom" o:connectlocs="2147483646,0;2147483646,0;0,0;2147483646,2147483646;2147483646,0;2147483646,0" o:connectangles="0,0,0,0,0,0" textboxrect="0,0,4,2"/>
                  </v:shape>
                  <v:shape id="Freeform 43" o:spid="_x0000_s1065" style="position:absolute;left:40767;top:6753;width:31;height:48;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" path="m,3l2,2,2,,,3xe" fillcolor="#725f00" stroked="f">
                    <v:path arrowok="t" o:connecttype="custom" o:connectlocs="0,2147483646;2147483646,2147483646;2147483646,0;0,2147483646;0,2147483646" o:connectangles="0,0,0,0,0" textboxrect="0,0,2,3"/>
                  </v:shape>
                  <v:shape id="Freeform 44" o:spid="_x0000_s1066" style="position:absolute;left:40957;top:8166;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" path="m,l,2,,xe" fillcolor="#725f00" stroked="f">
                    <v:path arrowok="t" o:connecttype="custom" o:connectlocs="0,0;0,2147483646;0,2147483646;0,0;0,0;0,0" o:connectangles="0,0,0,0,0,0" textboxrect="0,0,1587,2"/>
                  </v:shape>
                  <v:shape id="Freeform 45" o:spid="_x0000_s1067" style="position:absolute;left:40957;top:9706;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" path="m4,l,2,4,6,4,xe" fillcolor="#725f00" stroked="f">
                    <v:path arrowok="t" o:connecttype="custom" o:connectlocs="2147483646,0;0,2147483646;2147483646,2147483646;2147483646,0;2147483646,0" o:connectangles="0,0,0,0,0" textboxrect="0,0,4,6"/>
                  </v:shape>
                  <v:shape id="Freeform 46" o:spid="_x0000_s1068" style="position:absolute;left:41021;top:8436;width:15;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" path="m,l,4,,xe" fillcolor="#725f00" stroked="f">
                    <v:path arrowok="t" o:connecttype="custom" o:connectlocs="0,0;0,2147483646;0,2147483646;0,0;0,0;0,0" o:connectangles="0,0,0,0,0,0" textboxrect="0,0,1587,4"/>
                  </v:shape>
                  <v:shape id="Freeform 47" o:spid="_x0000_s1069" style="position:absolute;left:41021;top:9087;width:79;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" path="m5,l,2,5,4,5,xe" fillcolor="#725f00" stroked="f">
                    <v:path arrowok="t" o:connecttype="custom" o:connectlocs="2147483646,0;0,2147483646;2147483646,2147483646;2147483646,0;2147483646,0" o:connectangles="0,0,0,0,0" textboxrect="0,0,5,4"/>
                  </v:shape>
                  <v:shape id="Freeform 48" o:spid="_x0000_s1070" style="position:absolute;left:41100;top:8262;width:32;height:95;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" path="m2,l,4,2,6,2,xe" fillcolor="#725f00" stroked="f">
                    <v:path arrowok="t" o:connecttype="custom" o:connectlocs="2147483646,0;0,2147483646;2147483646,2147483646;2147483646,0;2147483646,0" o:connectangles="0,0,0,0,0" textboxrect="0,0,2,6"/>
                  </v:shape>
                  <v:shape id="Freeform 49" o:spid="_x0000_s1071" style="position:absolute;left:40957;top:6277;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50" o:spid="_x0000_s1072" style="position:absolute;left:41132;top:7055;width:31;height:6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" path="m,l,4r2,l,xe" fillcolor="#725f00" stroked="f">
                    <v:path arrowok="t" o:connecttype="custom" o:connectlocs="0,0;0,2147483646;2147483646,2147483646;0,0;0,0" o:connectangles="0,0,0,0,0" textboxrect="0,0,2,4"/>
                  </v:shape>
                  <v:shape id="Freeform 51" o:spid="_x0000_s1073" style="position:absolute;left:40957;top:6468;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" path="m4,l,2,4,6,4,xe" fillcolor="#725f00" stroked="f">
                    <v:path arrowok="t" o:connecttype="custom" o:connectlocs="2147483646,0;0,2147483646;2147483646,2147483646;2147483646,0;2147483646,0" o:connectangles="0,0,0,0,0" textboxrect="0,0,4,6"/>
                  </v:shape>
                  <v:shape id="Freeform 52" o:spid="_x0000_s1074" style="position:absolute;left:40671;top:996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" path="m,2r2,l2,,,2xe" fillcolor="#725f00" stroked="f">
                    <v:path arrowok="t" o:connecttype="custom" o:connectlocs="0,2147483646;2147483646,2147483646;2147483646,0;0,2147483646;0,2147483646" o:connectangles="0,0,0,0,0" textboxrect="0,0,2,2"/>
                  </v:shape>
                  <v:shape id="Freeform 53" o:spid="_x0000_s1075" style="position:absolute;left:40862;top:869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54" o:spid="_x0000_s1076" style="position:absolute;left:40862;top:8849;width:16;height:95;visibility:visible;mso-wrap-style:square;v-text-anchor:top" coordsize="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" path="m,6l,4,,,,6xe" fillcolor="#725f00" stroked="f">
                    <v:path arrowok="t" o:connecttype="custom" o:connectlocs="0,2147483646;0,2147483646;0,0;0,2147483646;0,2147483646" o:connectangles="0,0,0,0,0" textboxrect="0,0,1587,6"/>
                  </v:shape>
                  <v:shape id="Freeform 55" o:spid="_x0000_s1077" style="position:absolute;left:40735;top:7833;width:16;height:16;visibility:visible;mso-wrap-style:square;v-text-anchor:top" coordsize="158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" path="m,l,xe" fillcolor="#725f00" stroked="f">
                    <v:path arrowok="t" o:connecttype="custom" o:connectlocs="0,0;0,0;0,0;0,0;0,0;0,0" o:connectangles="0,0,0,0,0,0" textboxrect="0,0,1587,1587"/>
                  </v:shape>
                  <v:shape id="Freeform 56" o:spid="_x0000_s1078" style="position:absolute;left:40608;top:7706;width:63;height:63;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" path="m,4l4,2,,,,4xe" fillcolor="#725f00" stroked="f">
                    <v:path arrowok="t" o:connecttype="custom" o:connectlocs="0,2147483646;2147483646,2147483646;0,0;0,2147483646;0,2147483646" o:connectangles="0,0,0,0,0" textboxrect="0,0,4,4"/>
                  </v:shape>
                  <v:shape id="Freeform 57" o:spid="_x0000_s1079" style="position:absolute;left:40925;top:930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" path="m,2r2,l2,,,2xe" fillcolor="#725f00" stroked="f">
                    <v:path arrowok="t" o:connecttype="custom" o:connectlocs="0,2147483646;2147483646,2147483646;2147483646,0;0,2147483646;0,2147483646" o:connectangles="0,0,0,0,0" textboxrect="0,0,2,2"/>
                  </v:shape>
                  <v:shape id="Freeform 58" o:spid="_x0000_s1080" style="position:absolute;left:40767;top:6865;width:31;height:63;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" path="m2,4l2,,,,2,4xe" fillcolor="#725f00" stroked="f">
                    <v:path arrowok="t" o:connecttype="custom" o:connectlocs="2147483646,2147483646;2147483646,0;0,0;2147483646,2147483646;2147483646,2147483646" o:connectangles="0,0,0,0,0" textboxrect="0,0,2,4"/>
                  </v:shape>
                  <v:shape id="Freeform 59" o:spid="_x0000_s1081" style="position:absolute;left:40862;top:950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" path="m,2r,l,,,2xe" fillcolor="#725f00" stroked="f">
                    <v:path arrowok="t" o:connecttype="custom" o:connectlocs="0,2147483646;0,2147483646;0,0;0,2147483646;0,2147483646" o:connectangles="0,0,0,0,0" textboxrect="0,0,1587,2"/>
                  </v:shape>
                  <v:shape id="Freeform 60" o:spid="_x0000_s1082" style="position:absolute;left:41513;top:12214;width:16;height:16;visibility:visible;mso-wrap-style:square;v-text-anchor:top" coordsize="158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" path="m,l,xe" fillcolor="#725f00" stroked="f">
                    <v:path arrowok="t" o:connecttype="custom" o:connectlocs="0,0;0,0;0,0;0,0;0,0;0,0" o:connectangles="0,0,0,0,0,0" textboxrect="0,0,1588,1587"/>
                  </v:shape>
                  <v:shape id="Freeform 61" o:spid="_x0000_s1083" style="position:absolute;left:50244;top:9706;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62" o:spid="_x0000_s1084" style="position:absolute;left:52705;top:10611;width:31;height:1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" path="m,l,1r2,l2,,,xe" fillcolor="#725f00" stroked="f">
                    <v:path arrowok="t" o:connecttype="custom" o:connectlocs="0,0;0,2147483646;2147483646,2147483646;2147483646,0;0,0;0,0" o:connectangles="0,0,0,0,0,0" textboxrect="0,0,2,1"/>
                  </v:shape>
                  <v:shape id="Freeform 63" o:spid="_x0000_s1085" style="position:absolute;left:34290;top:19390;width:15;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" path="m,l,2,,xe" fillcolor="#725f00" stroked="f">
                    <v:path arrowok="t" o:connecttype="custom" o:connectlocs="0,0;0,2147483646;0,2147483646;0,0;0,0;0,0" o:connectangles="0,0,0,0,0,0" textboxrect="0,0,1587,2"/>
                  </v:shape>
                  <v:shape id="Freeform 64" o:spid="_x0000_s1086" style="position:absolute;left:33893;top:22295;width:16;height:3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" path="m,l,2r1,l1,,,xe" fillcolor="#725f00" stroked="f">
                    <v:path arrowok="t" o:connecttype="custom" o:connectlocs="0,0;0,2147483646;2147483646,2147483646;2147483646,0;0,0;0,0" o:connectangles="0,0,0,0,0,0" textboxrect="0,0,1,2"/>
                  </v:shape>
                  <v:shape id="Freeform 65" o:spid="_x0000_s1087" style="position:absolute;left:34496;top:2720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66" o:spid="_x0000_s1088" style="position:absolute;left:37750;top:22724;width:16;height:3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" path="m,l,2r1,l1,,,xe" fillcolor="#725f00" stroked="f">
                    <v:path arrowok="t" o:connecttype="custom" o:connectlocs="0,0;0,2147483646;2147483646,2147483646;2147483646,0;0,0;0,0" o:connectangles="0,0,0,0,0,0" textboxrect="0,0,1,2"/>
                  </v:shape>
                  <v:shape id="Freeform 67" o:spid="_x0000_s1089" style="position:absolute;left:20859;top:31979;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" path="m4,2l4,,,2r4,xe" fillcolor="#725f00" stroked="f">
                    <v:path arrowok="t" o:connecttype="custom" o:connectlocs="2147483646,2147483646;2147483646,0;0,2147483646;2147483646,2147483646;2147483646,2147483646" o:connectangles="0,0,0,0,0" textboxrect="0,0,4,2"/>
                  </v:shape>
                  <v:shape id="Freeform 68" o:spid="_x0000_s1090" style="position:absolute;left:19478;top:28867;width:32;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" path="m1,v,,,,,c,,,,,,1,,1,,1,xe" fillcolor="#725f00" stroked="f">
                    <v:path arrowok="t" o:connecttype="custom" o:connectlocs="2147483646,0;2147483646,0;0,0;2147483646,0" o:connectangles="0,0,0,0" textboxrect="0,0,1,1588"/>
                  </v:shape>
                  <v:shape id="Freeform 69" o:spid="_x0000_s1091" style="position:absolute;left:20637;top:29391;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70" o:spid="_x0000_s1092" style="position:absolute;left:18859;top:21216;width:95;height:63;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" path="m2,l,2,6,4,2,xe" fillcolor="#725f00" stroked="f">
                    <v:path arrowok="t" o:connecttype="custom" o:connectlocs="2147483646,0;0,2147483646;2147483646,2147483646;2147483646,0;2147483646,0" o:connectangles="0,0,0,0,0" textboxrect="0,0,6,4"/>
                  </v:shape>
                  <v:shape id="Freeform 71" o:spid="_x0000_s1093" style="position:absolute;left:18303;top:25502;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" path="m,2l4,,,,,2xe" fillcolor="#725f00" stroked="f">
                    <v:path arrowok="t" o:connecttype="custom" o:connectlocs="0,2147483646;2147483646,0;0,0;0,2147483646;0,2147483646" o:connectangles="0,0,0,0,0" textboxrect="0,0,4,2"/>
                  </v:shape>
                  <v:shape id="Freeform 72" o:spid="_x0000_s1094" style="position:absolute;left:18954;top:23660;width:16;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" path="m,l,2,,4,,xe" fillcolor="#725f00" stroked="f">
                    <v:path arrowok="t" o:connecttype="custom" o:connectlocs="0,0;0,2147483646;0,2147483646;0,0;0,0" o:connectangles="0,0,0,0,0" textboxrect="0,0,1587,4"/>
                  </v:shape>
                  <v:shape id="Freeform 73" o:spid="_x0000_s1095" style="position:absolute;left:13636;top:2046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74" o:spid="_x0000_s1096" style="position:absolute;left:18764;top:21739;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75" o:spid="_x0000_s1097" style="position:absolute;left:17986;top:21025;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" path="m4,2l,,,2r4,xe" fillcolor="#725f00" stroked="f">
                    <v:path arrowok="t" o:connecttype="custom" o:connectlocs="2147483646,2147483646;0,0;0,2147483646;2147483646,2147483646;2147483646,2147483646" o:connectangles="0,0,0,0,0" textboxrect="0,0,4,2"/>
                  </v:shape>
                  <v:shape id="Freeform 76" o:spid="_x0000_s1098" style="position:absolute;left:18446;top:25962;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" path="m,l,,2,2,,xe" fillcolor="#725f00" stroked="f">
                    <v:path arrowok="t" o:connecttype="custom" o:connectlocs="0,0;0,0;2147483646,2147483646;0,0;0,0" o:connectangles="0,0,0,0,0" textboxrect="0,0,2,2"/>
                  </v:shape>
                  <v:shape id="Freeform 77" o:spid="_x0000_s1099" style="position:absolute;left:18446;top:24978;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" path="m,l,2,,xe" fillcolor="#725f00" stroked="f">
                    <v:path arrowok="t" o:connecttype="custom" o:connectlocs="0,0;0,2147483646;0,2147483646;0,0;0,0;0,0" o:connectangles="0,0,0,0,0,0" textboxrect="0,0,1587,2"/>
                  </v:shape>
                  <v:shape id="Freeform 78" o:spid="_x0000_s1100" style="position:absolute;left:18954;top:16739;width:16;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" path="m,l,,1,,,xe" fillcolor="#725f00" stroked="f">
                    <v:path arrowok="t" o:connecttype="custom" o:connectlocs="0,0;0,0;2147483646,0;2147483646,0;0,0;0,0" o:connectangles="0,0,0,0,0,0" textboxrect="0,0,1,1588"/>
                  </v:shape>
                  <v:shape id="Freeform 79" o:spid="_x0000_s1101" style="position:absolute;left:18954;top:16247;width:16;height:31;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" path="m,l,2,,xe" fillcolor="#725f00" stroked="f">
                    <v:path arrowok="t" o:connecttype="custom" o:connectlocs="0,0;0,2147483646;0,2147483646;0,0;0,0;0,0" o:connectangles="0,0,0,0,0,0" textboxrect="0,0,1587,2"/>
                  </v:shape>
                  <v:shape id="Freeform 81" o:spid="_x0000_s1102" style="position:absolute;left:55245;top:26740;width:11477;height:6382;visibility:visible;mso-wrap-style:square;v-text-anchor:top" coordsize="3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" path="m355,c340,1,340,1,340,1v5,9,5,9,5,9c334,8,334,8,334,8v-16,6,-16,6,-16,6c313,32,313,32,313,32,303,29,303,29,303,29,293,25,293,25,293,25v-23,,-23,,-23,c249,33,249,33,249,33v-15,4,-15,4,-15,4c224,33,224,33,224,33v-12,,-12,,-12,c201,28,201,28,201,28v-11,9,-11,9,-11,9c181,31,181,31,181,31,168,24,168,24,168,24v-11,3,-11,3,-11,3c142,28,142,28,142,28v-12,5,-12,5,-12,5c126,42,126,42,126,42v-8,-5,-8,-5,-8,-5c98,33,98,33,98,33,83,37,83,37,83,37v-10,,-10,,-10,c65,43,65,43,65,43,59,61,59,61,59,61,43,76,43,76,43,76v-9,6,-9,6,-9,6c34,92,34,92,34,92,12,98,12,98,12,98v-2,9,-2,9,-2,9c18,119,18,119,18,119v-7,5,-7,5,-7,5c2,135,2,135,2,135v3,8,3,8,3,8c,156,,156,,156v11,4,11,4,11,4c21,170,21,170,21,170v9,15,9,15,9,15c38,187,38,187,38,187v11,20,11,20,11,20c47,179,47,179,47,179,46,161,46,161,46,161v7,-12,7,-12,7,-12c57,137,57,137,57,137,51,121,51,121,51,121v,-8,,-8,,-8c61,108,61,108,61,108v13,2,13,2,13,2c84,96,84,96,84,96,88,70,88,70,88,70,99,68,99,68,99,68v14,-7,14,-7,14,-7c119,56,119,56,119,56v11,-4,11,-4,11,-4c126,45,132,51,136,54v13,-2,13,-2,13,-2c163,52,163,52,163,52v13,-5,13,-5,13,-5c215,47,215,47,215,47v11,3,11,3,11,3c238,46,238,46,238,46v15,-3,15,-3,15,-3c261,47,261,47,261,47v25,,25,,25,c290,51,290,51,290,51v12,,12,,12,c320,42,320,42,320,42v9,,9,,9,c350,41,350,41,350,41v9,-8,9,-8,9,-8c361,14,361,14,361,14v11,-2,11,-2,11,-2c365,,365,,365,,355,,355,,355,xe" fillcolor="#91c8d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textboxrect="0,0,372,207"/>
                  </v:shape>
                  <v:shape id="Freeform 82" o:spid="_x0000_s1103" style="position:absolute;left:55245;top:26740;width:11477;height:6382;visibility:visible;mso-wrap-style:square;v-text-anchor:top" coordsize="3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" path="m355,c340,1,340,1,340,1v5,9,5,9,5,9c334,8,334,8,334,8v-16,6,-16,6,-16,6c313,32,313,32,313,32,303,29,303,29,303,29,293,25,293,25,293,25v-23,,-23,,-23,c249,33,249,33,249,33v-15,4,-15,4,-15,4c224,33,224,33,224,33v-12,,-12,,-12,c201,28,201,28,201,28v-11,9,-11,9,-11,9c181,31,181,31,181,31,168,24,168,24,168,24v-11,3,-11,3,-11,3c142,28,142,28,142,28v-12,5,-12,5,-12,5c126,42,126,42,126,42v-8,-5,-8,-5,-8,-5c98,33,98,33,98,33,83,37,83,37,83,37v-10,,-10,,-10,c65,43,65,43,65,43,59,61,59,61,59,61,43,76,43,76,43,76v-9,6,-9,6,-9,6c34,92,34,92,34,92,12,98,12,98,12,98v-2,9,-2,9,-2,9c18,119,18,119,18,119v-7,5,-7,5,-7,5c2,135,2,135,2,135v3,8,3,8,3,8c,156,,156,,156v11,4,11,4,11,4c21,170,21,170,21,170v9,15,9,15,9,15c38,187,38,187,38,187v11,20,11,20,11,20c47,179,47,179,47,179,46,161,46,161,46,161v7,-12,7,-12,7,-12c57,137,57,137,57,137,51,121,51,121,51,121v,-8,,-8,,-8c61,108,61,108,61,108v13,2,13,2,13,2c84,96,84,96,84,96,88,70,88,70,88,70,99,68,99,68,99,68v14,-7,14,-7,14,-7c119,56,119,56,119,56v11,-4,11,-4,11,-4c126,45,132,51,136,54v13,-2,13,-2,13,-2c163,52,163,52,163,52v13,-5,13,-5,13,-5c215,47,215,47,215,47v11,3,11,3,11,3c238,46,238,46,238,46v15,-3,15,-3,15,-3c261,47,261,47,261,47v25,,25,,25,c290,51,290,51,290,51v12,,12,,12,c320,42,320,42,320,42v9,,9,,9,c350,41,350,41,350,41v9,-8,9,-8,9,-8c361,14,361,14,361,14v11,-2,11,-2,11,-2c365,,365,,365,,355,,355,,355,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textboxrect="0,0,372,207"/>
                  </v:shape>
                  <v:shape id="Freeform 84" o:spid="_x0000_s1104" style="position:absolute;left:73120;top:20882;width:3048;height:1048;visibility:visible;mso-wrap-style:square;v-text-anchor:top" coordsize="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" path="m136,17l114,11,103,,23,4,13,11,,17,13,29r22,8l91,35r25,19l143,56r33,10l192,29,178,17r-42,xe" filled="f" strokecolor="white">
                    <v:stroke endcap="round"/>
                    <v:path arrowok="t" o:connecttype="custom" o:connectlocs="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 o:connectangles="0,0,0,0,0,0,0,0,0,0,0,0,0,0,0,0" textboxrect="0,0,192,66"/>
                  </v:shape>
                  <v:shape id="Freeform 85" o:spid="_x0000_s1105" style="position:absolute;left:16905;top:14373;width:19842;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color="#d6dce5" stroked="f">
                    <v:path arrowok="t" o:connecttype="custom" o:connectlocs="811590,1671123;401166,1760537;373393,1501544;373393,1492294;354878,1347381;219098,1282633;169724,1156220;154295,1060639;216012,934225;188239,887977;209841,684482;141951,647483;46288,641316;70976,551902;70976,530319;30859,403906;154295,397740;225270,302159;216012,231244;225270,141830;203669,43166;314761,64748;515344,92498;706669,61665;827019,67832;962799,163412;1135609,258993;1215842,197328;1345449,240494;1518259,92498;1583063,126413;1598492,154163;1635523,129497;1657124,172662;1660210,215828;1657124,262076;1684897,295992;1725014,400823;1743529,422406;1687983,527236;1647867,591984;1620094,619734;1623180,724564;1691069,801646;1715756,813979;1734272,789313;1746615,835561;1789818,875644;1836106,903393;1947198,1054472;1981143,1097638;1854622,1214801;1755873,1273383;1684897,1301132;1644781,1273383;1635523,1236384;1499744,1094555;1388652,1094555;1172639,1273383;1132523,1331965;925768,1523127;907252,1557042;836277,1566292" o:connectangles="0,0,0,0,0,0,0,0,0,0,0,0,0,0,0,0,0,0,0,0,0,0,0,0,0,0,0,0,0,0,0,0,0,0,0,0,0,0,0,0,0,0,0,0,0,0,0,0,0,0,0,0,0,0,0,0,0,0,0,0,0,0,0" textboxrect="0,0,643,571"/>
                  </v:shape>
                  <v:shape id="Freeform 86" o:spid="_x0000_s1106" style="position:absolute;left:16906;top:14373;width:19844;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643,571"/>
                  </v:shape>
                  <v:shape id="Freeform 87" o:spid="_x0000_s1107" style="position:absolute;left:25368;top:25407;width:18796;height:16367;visibility:visible;mso-wrap-style:square;v-text-anchor:top" coordsize="60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" path="m27,159v5,-2,5,-2,5,-2c34,160,34,160,34,160v-3,5,-3,5,-3,5c27,170,27,170,27,170v-11,,-11,,-11,c26,175,26,175,26,175v,9,,9,,9c37,184,37,184,37,184v15,-7,15,-7,15,-7c56,164,56,164,56,164v7,-9,7,-9,7,-9c63,151,63,151,63,151,58,141,58,141,58,141,52,128,52,128,52,128v17,1,17,1,17,1c69,145,69,145,69,145v,9,,9,,9c83,154,83,154,83,154v9,5,9,5,9,5c107,157,107,157,107,157v5,2,5,2,5,2c121,161,121,161,121,161v-9,7,-9,7,-9,7c107,175,107,175,107,175,94,171,94,171,94,171,81,166,81,166,81,166v-11,,-11,,-11,c65,176,65,176,65,176v-1,7,-1,7,-1,7c58,186,58,186,58,186v1,14,1,14,1,14c68,201,68,201,68,201v3,-4,3,-4,3,-4c81,203,81,203,81,203v,31,,31,,31c78,237,78,237,78,237v-1,31,-1,31,-1,31c139,318,139,318,139,318v2,19,2,19,2,19c195,411,195,411,195,411v83,-13,83,-13,83,-13c298,407,298,407,298,407v24,,24,,24,c366,413,366,413,366,413v29,-20,29,-20,29,-20c418,424,418,424,418,424v19,10,19,10,19,10c444,446,444,446,444,446v12,33,12,33,12,33c467,473,467,473,467,473v13,-8,13,-8,13,-8c475,530,475,530,475,530v15,-10,15,-10,15,-10c499,512,499,512,499,512v23,-19,23,-19,23,-19c541,480,541,480,541,480v,,,,,c541,480,541,480,541,480v20,-7,20,-7,20,-7c563,473,576,462,577,462v19,-13,19,-13,19,-13c585,429,585,429,585,429v-1,-1,-1,-1,-1,-1c585,427,585,427,585,427v19,-22,19,-22,19,-22c604,385,604,385,604,385v,,,,,c604,384,604,384,604,384v5,-16,5,-16,5,-16c578,341,578,341,578,341v,,,,,c578,340,578,340,578,340v-2,-67,-2,-67,-2,-67c555,246,555,246,555,246v-1,-1,-1,-1,-1,-1c555,244,555,244,555,244v5,-10,5,-10,5,-10c565,189,565,189,565,189,548,173,548,173,548,173v-26,1,-26,1,-26,1c517,178,517,178,517,178v,1,,1,,1c516,179,516,179,516,179v-65,-2,-65,-2,-65,-2c451,177,451,177,451,177v-1,,-1,,-1,c415,149,415,149,415,149,312,100,312,100,312,100v,,,,,c311,100,311,100,311,100,292,80,292,80,292,80,279,79,279,79,279,79v-1,-1,-1,-1,-1,-1c277,78,277,78,277,78,269,66,269,66,269,66,256,57,256,57,256,57v-1,-1,-1,-1,-1,-1c255,55,255,55,255,55,253,45,253,45,253,45,211,1,211,1,211,1,179,,179,,179,,147,57,147,57,147,57v,1,,1,,1c145,58,145,58,145,58v-36,,-36,,-36,c105,80,105,80,105,80v-1,2,-1,2,-1,2c102,81,102,81,102,81,93,78,93,78,93,78,29,138,29,138,29,138v-6,12,-6,12,-6,12c22,151,22,151,22,151v-1,,-1,,-1,c,152,,152,,152v,8,,8,,8c27,159,27,159,27,15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 o:connectangles="0,0,0,0,0,0,0,0,0,0,0,0,0,0,0,0,0,0,0,0,0,0,0,0,0,0,0,0,0,0,0,0,0,0,0,0,0,0,0,0,0,0,0,0,0,0,0,0,0,0,0,0,0,0,0,0,0,0" textboxrect="0,0,609,530"/>
                  </v:shape>
                  <v:shape id="Freeform 89" o:spid="_x0000_s1108" style="position:absolute;left:23669;top:29359;width:5429;height:6636;visibility:visible;mso-wrap-style:square;v-text-anchor:top" coordsize="3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" path="m103,64r56,-4l169,57r4,5l167,72r-8,10l138,82r19,10l157,109r22,l208,95r8,-25l229,53r,-8l220,26,208,r33,2l241,33r,18l268,51r18,9l315,57r10,3l342,64,325,78,315,92,290,84,264,74r-21,l233,94r-2,13l220,113r2,27l239,142r6,-8l264,146r,60l259,212r-2,62l255,319r-10,27l245,366r-35,35l208,418,189,403r-24,l156,370,142,352r-8,-27l128,307r,-23l161,237r10,-23l173,206r2,-21l171,156r-6,-37l152,109,142,90r-12,5l119,111,97,136r-6,4l84,146r-4,19l86,197,74,210,62,222r10,17l86,233r-8,30l60,276r-4,31l37,327r-20,4l,319,,305,21,290,6,270r4,-42l35,195r2,-20l62,146r6,-21l72,123,84,109r,-23l103,64xe" filled="f" strokecolor="white">
                    <v:stroke endcap="round"/>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0" textboxrect="0,0,342,418"/>
                  </v:shape>
                  <v:shape id="Freeform 90" o:spid="_x0000_s1109" style="position:absolute;left:33972;top:15262;width:29051;height:15923;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941,516"/>
                  </v:shape>
                  <v:shape id="Freeform 91" o:spid="_x0000_s1110" style="position:absolute;left:3365;top:19311;width:17161;height:10080;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556,327"/>
                  </v:shape>
                  <v:shape id="Freeform 92" o:spid="_x0000_s1111" style="position:absolute;left:2714;top:11214;width:16447;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1036,620"/>
                  </v:shape>
                  <v:shape id="Freeform 93" o:spid="_x0000_s1112" style="position:absolute;left:7127;top:27915;width:13732;height:15081;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ed="f" strokecolor="white">
                    <v:stroke endcap="round"/>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445,489"/>
                  </v:shape>
                  <v:shape id="Freeform 94" o:spid="_x0000_s1113" style="position:absolute;left:25112;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" path="m80,66l74,29,61,19,51,,39,5,28,21,6,46,,50r82,66l84,95,80,66xe" fillcolor="#d6dce5" stroked="f">
                    <v:path arrowok="t" o:connecttype="custom" o:connectlocs="126990,104775;117466,46038;96830,30163;80956,0;61908,7938;44447,33338;9524,73025;0,79375;130165,184150;133340,150813;126990,104775;126990,104775" o:connectangles="0,0,0,0,0,0,0,0,0,0,0,0" textboxrect="0,0,84,116"/>
                  </v:shape>
                  <v:shape id="Freeform 95" o:spid="_x0000_s1114"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" path="m80,66l74,29,61,19,51,,39,5,28,21,6,46,,50r82,66l84,95,80,66xe" filled="f" strokecolor="white">
                    <v:stroke endcap="round"/>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97" o:spid="_x0000_s1115" style="position:absolute;left:46656;top:30995;width:13748;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textboxrect="0,0,445,350"/>
                  </v:shape>
                  <v:shape id="Freeform 98" o:spid="_x0000_s1116" style="position:absolute;left:56657;top:25661;width:17542;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568,443"/>
                  </v:shape>
                  <v:line id="Line 99" o:spid="_x0000_s1117" style="position:absolute;visibility:visible;mso-wrap-style:square" from="55959,30534" to="55991,3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" strokecolor="#725f00" strokeweight="1pt">
                    <v:stroke endcap="round"/>
                  </v:line>
                  <v:shape id="Freeform 100" o:spid="_x0000_s1118" style="position:absolute;left:29686;top:5547;width:14287;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0" textboxrect="0,0,463,611"/>
                  </v:shape>
                  <v:shape id="Freeform 101" o:spid="_x0000_s1119" style="position:absolute;left:53181;top:5198;width:10827;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 o:connectangles="0,0,0,0,0,0,0,0,0,0,0,0,0,0,0,0,0,0,0,0,0,0,0,0,0,0,0,0,0,0,0,0,0,0,0,0,0,0,0,0,0,0,0,0,0,0" textboxrect="0,0,351,423"/>
                  </v:shape>
                  <v:shape id="Freeform 102" o:spid="_x0000_s1120" style="position:absolute;left:61198;top:12183;width:19447;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630,539"/>
                    <o:lock v:ext="edit" verticies="t"/>
                  </v:shape>
                  <v:shape id="Freeform 103" o:spid="_x0000_s1121" style="position:absolute;left:40528;top:3293;width:13574;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40,289"/>
                  </v:shape>
                  <v:shape id="Freeform 104" o:spid="_x0000_s1122" style="position:absolute;left:39163;top:8325;width:15367;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498,330"/>
                  </v:shape>
                  <v:shape id="Freeform 105" o:spid="_x0000_s1123" style="position:absolute;left:26257;top:29677;width:16;height:63;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" path="m,l,4,,xe" fillcolor="#725f00" stroked="f">
                    <v:path arrowok="t" o:connecttype="custom" o:connectlocs="0,0;0,2147483646;0,2147483646;0,0;0,0;0,0" o:connectangles="0,0,0,0,0,0" textboxrect="0,0,1587,4"/>
                  </v:shape>
                  <v:shape id="Freeform 106" o:spid="_x0000_s1124" style="position:absolute;left:47498;top:38186;width:31;height:16;visibility:visible;mso-wrap-style:square;v-text-anchor:top" coordsize="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" path="m,l,,2,,,xe" fillcolor="#725f00" stroked="f">
                    <v:path arrowok="t" o:connecttype="custom" o:connectlocs="0,0;0,0;2147483646,0;2147483646,0;0,0;0,0" o:connectangles="0,0,0,0,0,0" textboxrect="0,0,2,1587"/>
                  </v:shape>
                  <v:shape id="Freeform 107" o:spid="_x0000_s1125" style="position:absolute;left:61198;top:18834;width:31;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108" o:spid="_x0000_s1126" style="position:absolute;left:53943;top:1057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" path="m,l,2r2,l2,,,xe" fillcolor="#725f00" stroked="f">
                    <v:path arrowok="t" o:connecttype="custom" o:connectlocs="0,0;0,2147483646;2147483646,2147483646;2147483646,0;0,0;0,0" o:connectangles="0,0,0,0,0,0" textboxrect="0,0,2,2"/>
                  </v:shape>
                  <v:shape id="Freeform 109" o:spid="_x0000_s1127" style="position:absolute;left:54435;top:14024;width:16;height:3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" path="m,2l,,,2xe" fillcolor="#725f00" stroked="f">
                    <v:path arrowok="t" o:connecttype="custom" o:connectlocs="0,2147483646;0,0;0,2147483646;0,2147483646" o:connectangles="0,0,0,0" textboxrect="0,0,1588,2"/>
                  </v:shape>
                  <v:shape id="Freeform 110" o:spid="_x0000_s1128" style="position:absolute;left:58086;top:1758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" path="m2,r,l,2,2,xe" fillcolor="#725f00" stroked="f">
                    <v:path arrowok="t" o:connecttype="custom" o:connectlocs="2147483646,0;2147483646,0;0,2147483646;2147483646,0;2147483646,0" o:connectangles="0,0,0,0,0" textboxrect="0,0,2,2"/>
                  </v:shape>
                  <v:shape id="Freeform 111" o:spid="_x0000_s1129" style="position:absolute;left:40767;top:5642;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" path="m4,r,l,,2,2,4,xe" fillcolor="#725f00" stroked="f">
                    <v:path arrowok="t" o:connecttype="custom" o:connectlocs="2147483646,0;2147483646,0;0,0;2147483646,2147483646;2147483646,0;2147483646,0" o:connectangles="0,0,0,0,0,0" textboxrect="0,0,4,2"/>
                  </v:shape>
                  <v:shape id="Freeform 112" o:spid="_x0000_s1130" style="position:absolute;left:40767;top:6753;width:31;height:48;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" path="m,3l2,2,2,,,3xe" fillcolor="#725f00" stroked="f">
                    <v:path arrowok="t" o:connecttype="custom" o:connectlocs="0,2147483646;2147483646,2147483646;2147483646,0;0,2147483646;0,2147483646" o:connectangles="0,0,0,0,0" textboxrect="0,0,2,3"/>
                  </v:shape>
                  <v:shape id="Freeform 113" o:spid="_x0000_s1131" style="position:absolute;left:40957;top:8166;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" path="m,l,2,,xe" fillcolor="#725f00" stroked="f">
                    <v:path arrowok="t" o:connecttype="custom" o:connectlocs="0,0;0,2147483646;0,2147483646;0,0;0,0;0,0" o:connectangles="0,0,0,0,0,0" textboxrect="0,0,1587,2"/>
                  </v:shape>
                  <v:shape id="Freeform 114" o:spid="_x0000_s1132" style="position:absolute;left:40957;top:9706;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" path="m4,l,2,4,6,4,xe" fillcolor="#725f00" stroked="f">
                    <v:path arrowok="t" o:connecttype="custom" o:connectlocs="2147483646,0;0,2147483646;2147483646,2147483646;2147483646,0;2147483646,0" o:connectangles="0,0,0,0,0" textboxrect="0,0,4,6"/>
                  </v:shape>
                  <v:shape id="Freeform 115" o:spid="_x0000_s1133" style="position:absolute;left:41021;top:8436;width:15;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" path="m,l,4,,xe" fillcolor="#725f00" stroked="f">
                    <v:path arrowok="t" o:connecttype="custom" o:connectlocs="0,0;0,2147483646;0,2147483646;0,0;0,0;0,0" o:connectangles="0,0,0,0,0,0" textboxrect="0,0,1587,4"/>
                  </v:shape>
                  <v:shape id="Freeform 116" o:spid="_x0000_s1134" style="position:absolute;left:41021;top:9087;width:79;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" path="m5,l,2,5,4,5,xe" fillcolor="#725f00" stroked="f">
                    <v:path arrowok="t" o:connecttype="custom" o:connectlocs="2147483646,0;0,2147483646;2147483646,2147483646;2147483646,0;2147483646,0" o:connectangles="0,0,0,0,0" textboxrect="0,0,5,4"/>
                  </v:shape>
                  <v:shape id="Freeform 117" o:spid="_x0000_s1135" style="position:absolute;left:41100;top:8262;width:32;height:95;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" path="m2,l,4,2,6,2,xe" fillcolor="#725f00" stroked="f">
                    <v:path arrowok="t" o:connecttype="custom" o:connectlocs="2147483646,0;0,2147483646;2147483646,2147483646;2147483646,0;2147483646,0" o:connectangles="0,0,0,0,0" textboxrect="0,0,2,6"/>
                  </v:shape>
                  <v:shape id="Freeform 118" o:spid="_x0000_s1136" style="position:absolute;left:40957;top:6277;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119" o:spid="_x0000_s1137" style="position:absolute;left:41132;top:7055;width:31;height:6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" path="m,l,4r2,l,xe" fillcolor="#725f00" stroked="f">
                    <v:path arrowok="t" o:connecttype="custom" o:connectlocs="0,0;0,2147483646;2147483646,2147483646;0,0;0,0" o:connectangles="0,0,0,0,0" textboxrect="0,0,2,4"/>
                  </v:shape>
                  <v:shape id="Freeform 120" o:spid="_x0000_s1138" style="position:absolute;left:40957;top:6468;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" path="m4,l,2,4,6,4,xe" fillcolor="#725f00" stroked="f">
                    <v:path arrowok="t" o:connecttype="custom" o:connectlocs="2147483646,0;0,2147483646;2147483646,2147483646;2147483646,0;2147483646,0" o:connectangles="0,0,0,0,0" textboxrect="0,0,4,6"/>
                  </v:shape>
                  <v:shape id="Freeform 121" o:spid="_x0000_s1139" style="position:absolute;left:40671;top:996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" path="m,2r2,l2,,,2xe" fillcolor="#725f00" stroked="f">
                    <v:path arrowok="t" o:connecttype="custom" o:connectlocs="0,2147483646;2147483646,2147483646;2147483646,0;0,2147483646;0,2147483646" o:connectangles="0,0,0,0,0" textboxrect="0,0,2,2"/>
                  </v:shape>
                  <v:shape id="Freeform 122" o:spid="_x0000_s1140" style="position:absolute;left:40862;top:869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123" o:spid="_x0000_s1141" style="position:absolute;left:40862;top:8849;width:16;height:95;visibility:visible;mso-wrap-style:square;v-text-anchor:top" coordsize="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" path="m,6l,4,,,,6xe" fillcolor="#725f00" stroked="f">
                    <v:path arrowok="t" o:connecttype="custom" o:connectlocs="0,2147483646;0,2147483646;0,0;0,2147483646;0,2147483646" o:connectangles="0,0,0,0,0" textboxrect="0,0,1587,6"/>
                  </v:shape>
                  <v:shape id="Freeform 124" o:spid="_x0000_s1142" style="position:absolute;left:40735;top:7833;width:16;height:16;visibility:visible;mso-wrap-style:square;v-text-anchor:top" coordsize="158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" path="m,l,xe" fillcolor="#725f00" stroked="f">
                    <v:path arrowok="t" o:connecttype="custom" o:connectlocs="0,0;0,0;0,0;0,0;0,0;0,0" o:connectangles="0,0,0,0,0,0" textboxrect="0,0,1587,1587"/>
                  </v:shape>
                  <v:shape id="Freeform 125" o:spid="_x0000_s1143" style="position:absolute;left:40608;top:7706;width:63;height:63;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" path="m,4l4,2,,,,4xe" fillcolor="#725f00" stroked="f">
                    <v:path arrowok="t" o:connecttype="custom" o:connectlocs="0,2147483646;2147483646,2147483646;0,0;0,2147483646;0,2147483646" o:connectangles="0,0,0,0,0" textboxrect="0,0,4,4"/>
                  </v:shape>
                  <v:shape id="Freeform 126" o:spid="_x0000_s1144" style="position:absolute;left:40925;top:930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" path="m,2r2,l2,,,2xe" fillcolor="#725f00" stroked="f">
                    <v:path arrowok="t" o:connecttype="custom" o:connectlocs="0,2147483646;2147483646,2147483646;2147483646,0;0,2147483646;0,2147483646" o:connectangles="0,0,0,0,0" textboxrect="0,0,2,2"/>
                  </v:shape>
                  <v:shape id="Freeform 127" o:spid="_x0000_s1145" style="position:absolute;left:40767;top:6865;width:31;height:63;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" path="m2,4l2,,,,2,4xe" fillcolor="#725f00" stroked="f">
                    <v:path arrowok="t" o:connecttype="custom" o:connectlocs="2147483646,2147483646;2147483646,0;0,0;2147483646,2147483646;2147483646,2147483646" o:connectangles="0,0,0,0,0" textboxrect="0,0,2,4"/>
                  </v:shape>
                  <v:shape id="Freeform 128" o:spid="_x0000_s1146" style="position:absolute;left:40862;top:950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129" o:spid="_x0000_s1147" style="position:absolute;left:41513;top:12214;width:16;height:16;visibility:visible;mso-wrap-style:square;v-text-anchor:top" coordsize="158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" path="m,l,xe" fillcolor="#725f00" stroked="f">
                    <v:path arrowok="t" o:connecttype="custom" o:connectlocs="0,0;0,0;0,0;0,0;0,0;0,0" o:connectangles="0,0,0,0,0,0" textboxrect="0,0,1588,1587"/>
                  </v:shape>
                  <v:shape id="Freeform 130" o:spid="_x0000_s1148" style="position:absolute;left:50244;top:9706;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" path="m,l,2r2,l2,,,xe" fillcolor="#725f00" stroked="f">
                    <v:path arrowok="t" o:connecttype="custom" o:connectlocs="0,0;0,2147483646;2147483646,2147483646;2147483646,0;0,0;0,0" o:connectangles="0,0,0,0,0,0" textboxrect="0,0,2,2"/>
                  </v:shape>
                  <v:shape id="Freeform 131" o:spid="_x0000_s1149" style="position:absolute;left:52705;top:10611;width:31;height:1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" path="m,l,1r2,l2,,,xe" fillcolor="#725f00" stroked="f">
                    <v:path arrowok="t" o:connecttype="custom" o:connectlocs="0,0;0,2147483646;2147483646,2147483646;2147483646,0;0,0;0,0" o:connectangles="0,0,0,0,0,0" textboxrect="0,0,2,1"/>
                  </v:shape>
                  <v:shape id="Freeform 132" o:spid="_x0000_s1150" style="position:absolute;left:34290;top:19390;width:15;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" path="m,l,2,,xe" fillcolor="#725f00" stroked="f">
                    <v:path arrowok="t" o:connecttype="custom" o:connectlocs="0,0;0,2147483646;0,2147483646;0,0;0,0;0,0" o:connectangles="0,0,0,0,0,0" textboxrect="0,0,1587,2"/>
                  </v:shape>
                  <v:shape id="Freeform 133" o:spid="_x0000_s1151" style="position:absolute;left:33893;top:22295;width:16;height:3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" path="m,l,2r1,l1,,,xe" fillcolor="#725f00" stroked="f">
                    <v:path arrowok="t" o:connecttype="custom" o:connectlocs="0,0;0,2147483646;2147483646,2147483646;2147483646,0;0,0;0,0" o:connectangles="0,0,0,0,0,0" textboxrect="0,0,1,2"/>
                  </v:shape>
                  <v:shape id="Freeform 134" o:spid="_x0000_s1152" style="position:absolute;left:34496;top:2720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" path="m,l,2r2,l2,,,xe" fillcolor="#725f00" stroked="f">
                    <v:path arrowok="t" o:connecttype="custom" o:connectlocs="0,0;0,2147483646;2147483646,2147483646;2147483646,0;0,0;0,0" o:connectangles="0,0,0,0,0,0" textboxrect="0,0,2,2"/>
                  </v:shape>
                  <v:shape id="Freeform 135" o:spid="_x0000_s1153" style="position:absolute;left:37750;top:22724;width:16;height:3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" path="m,l,2r1,l1,,,xe" fillcolor="#725f00" stroked="f">
                    <v:path arrowok="t" o:connecttype="custom" o:connectlocs="0,0;0,2147483646;2147483646,2147483646;2147483646,0;0,0;0,0" o:connectangles="0,0,0,0,0,0" textboxrect="0,0,1,2"/>
                  </v:shape>
                  <v:shape id="Freeform 136" o:spid="_x0000_s1154" style="position:absolute;left:20859;top:31979;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" path="m4,2l4,,,2r4,xe" fillcolor="#725f00" stroked="f">
                    <v:path arrowok="t" o:connecttype="custom" o:connectlocs="2147483646,2147483646;2147483646,0;0,2147483646;2147483646,2147483646;2147483646,2147483646" o:connectangles="0,0,0,0,0" textboxrect="0,0,4,2"/>
                  </v:shape>
                  <v:shape id="Freeform 137" o:spid="_x0000_s1155" style="position:absolute;left:19478;top:28867;width:32;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" path="m1,v,,,,,c,,,,,,1,,1,,1,xe" fillcolor="#725f00" stroked="f">
                    <v:path arrowok="t" o:connecttype="custom" o:connectlocs="2147483646,0;2147483646,0;0,0;2147483646,0" o:connectangles="0,0,0,0" textboxrect="0,0,1,1588"/>
                  </v:shape>
                  <v:shape id="Freeform 138" o:spid="_x0000_s1156" style="position:absolute;left:20637;top:29391;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" path="m,l,2r2,l2,,,xe" fillcolor="#725f00" stroked="f">
                    <v:path arrowok="t" o:connecttype="custom" o:connectlocs="0,0;0,2147483646;2147483646,2147483646;2147483646,0;0,0;0,0" o:connectangles="0,0,0,0,0,0" textboxrect="0,0,2,2"/>
                  </v:shape>
                  <v:shape id="Freeform 139" o:spid="_x0000_s1157" style="position:absolute;left:18859;top:21216;width:95;height:63;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" path="m2,l,2,6,4,2,xe" fillcolor="#725f00" stroked="f">
                    <v:path arrowok="t" o:connecttype="custom" o:connectlocs="2147483646,0;0,2147483646;2147483646,2147483646;2147483646,0;2147483646,0" o:connectangles="0,0,0,0,0" textboxrect="0,0,6,4"/>
                  </v:shape>
                  <v:shape id="Freeform 140" o:spid="_x0000_s1158" style="position:absolute;left:18303;top:25502;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" path="m,2l4,,,,,2xe" fillcolor="#725f00" stroked="f">
                    <v:path arrowok="t" o:connecttype="custom" o:connectlocs="0,2147483646;2147483646,0;0,0;0,2147483646;0,2147483646" o:connectangles="0,0,0,0,0" textboxrect="0,0,4,2"/>
                  </v:shape>
                  <v:shape id="Freeform 141" o:spid="_x0000_s1159" style="position:absolute;left:18954;top:23660;width:16;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" path="m,l,2,,4,,xe" fillcolor="#725f00" stroked="f">
                    <v:path arrowok="t" o:connecttype="custom" o:connectlocs="0,0;0,2147483646;0,2147483646;0,0;0,0" o:connectangles="0,0,0,0,0" textboxrect="0,0,1587,4"/>
                  </v:shape>
                  <v:shape id="Freeform 142" o:spid="_x0000_s1160" style="position:absolute;left:13636;top:2046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" path="m,l,2r2,l2,,,xe" fillcolor="#725f00" stroked="f">
                    <v:path arrowok="t" o:connecttype="custom" o:connectlocs="0,0;0,2147483646;2147483646,2147483646;2147483646,0;0,0;0,0" o:connectangles="0,0,0,0,0,0" textboxrect="0,0,2,2"/>
                  </v:shape>
                  <v:shape id="Freeform 143" o:spid="_x0000_s1161" style="position:absolute;left:18764;top:21739;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144" o:spid="_x0000_s1162" style="position:absolute;left:17986;top:21025;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" path="m4,2l,,,2r4,xe" fillcolor="#725f00" stroked="f">
                    <v:path arrowok="t" o:connecttype="custom" o:connectlocs="2147483646,2147483646;0,0;0,2147483646;2147483646,2147483646;2147483646,2147483646" o:connectangles="0,0,0,0,0" textboxrect="0,0,4,2"/>
                  </v:shape>
                  <v:shape id="Freeform 145" o:spid="_x0000_s1163" style="position:absolute;left:18446;top:25962;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" path="m,l,,2,2,,xe" fillcolor="#725f00" stroked="f">
                    <v:path arrowok="t" o:connecttype="custom" o:connectlocs="0,0;0,0;2147483646,2147483646;0,0;0,0" o:connectangles="0,0,0,0,0" textboxrect="0,0,2,2"/>
                  </v:shape>
                  <v:shape id="Freeform 146" o:spid="_x0000_s1164" style="position:absolute;left:18446;top:24978;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" path="m,l,2,,xe" fillcolor="#725f00" stroked="f">
                    <v:path arrowok="t" o:connecttype="custom" o:connectlocs="0,0;0,2147483646;0,2147483646;0,0;0,0;0,0" o:connectangles="0,0,0,0,0,0" textboxrect="0,0,1587,2"/>
                  </v:shape>
                  <v:shape id="Freeform 147" o:spid="_x0000_s1165" style="position:absolute;left:18954;top:16739;width:16;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" path="m,l,,1,,,xe" fillcolor="#725f00" stroked="f">
                    <v:path arrowok="t" o:connecttype="custom" o:connectlocs="0,0;0,0;2147483646,0;2147483646,0;0,0;0,0" o:connectangles="0,0,0,0,0,0" textboxrect="0,0,1,1588"/>
                  </v:shape>
                  <v:shape id="Freeform 148" o:spid="_x0000_s1166" style="position:absolute;left:18954;top:16247;width:16;height:31;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" path="m,l,2,,xe" fillcolor="#725f00" stroked="f">
                    <v:path arrowok="t" o:connecttype="custom" o:connectlocs="0,0;0,2147483646;0,2147483646;0,0;0,0;0,0" o:connectangles="0,0,0,0,0,0" textboxrect="0,0,1587,2"/>
                  </v:shape>
                  <v:shape id="Freeform 151" o:spid="_x0000_s1167" style="position:absolute;left:16906;top:14373;width:19844;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643,571"/>
                  </v:shape>
                  <v:line id="Line 154" o:spid="_x0000_s1168" style="position:absolute;visibility:visible;mso-wrap-style:square" from="49815,15548" to="49831,1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" strokecolor="white">
                    <v:stroke endcap="round"/>
                  </v:line>
                  <v:shapetype id="_x0000_t202" coordsize="21600,21600" o:spt="202" path="m,l,21600r21600,l21600,xe">
                    <v:stroke joinstyle="miter"/>
                    <v:path gradientshapeok="t" o:connecttype="rect"/>
                  </v:shapetype>
                  <v:shape id="Text Box 155" o:spid="_x0000_s1169" type="#_x0000_t202" style="position:absolute;left:46220;top:43631;width:8842;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170" type="#_x0000_t75" alt="НПЗ" style="position:absolute;left:25714;top:5840;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">
                  <v:imagedata r:id="rId35" o:title="НПЗ" grayscale="t" bilevel="t"/>
                </v:shape>
                <v:shape id="Picture 7" o:spid="_x0000_s1171" type="#_x0000_t75" alt="НПЗ" style="position:absolute;left:25376;top:7901;width:1728;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">
                  <v:imagedata r:id="rId35" o:title="НПЗ" grayscale="t" bilevel="t"/>
                </v:shape>
                <v:shape id="Picture 7" o:spid="_x0000_s1172" type="#_x0000_t75" alt="НПЗ" style="position:absolute;left:34272;top:15599;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">
                  <v:imagedata r:id="rId35" o:title="НПЗ" grayscale="t" bilevel="t"/>
                </v:shape>
                <v:shape id="Picture 7" o:spid="_x0000_s1173" type="#_x0000_t75" alt="НПЗ" style="position:absolute;left:28505;top:18060;width:1727;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">
                  <v:imagedata r:id="rId35" o:title="НПЗ" grayscale="t" bilevel="t"/>
                </v:shape>
                <v:oval id="Oval 93" o:spid="_x0000_s1174" style="position:absolute;left:34209;top:18685;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" fillcolor="windowText" strokecolor="window">
                  <o:lock v:ext="edit" aspectratio="t"/>
                </v:oval>
                <v:oval id="Oval 93" o:spid="_x0000_s1175" style="position:absolute;left:19783;top:5873;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" fillcolor="windowText" strokecolor="window">
                  <o:lock v:ext="edit" aspectratio="t"/>
                </v:oval>
                <v:oval id="Oval 93" o:spid="_x0000_s1176" style="position:absolute;left:28496;top:7955;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" fillcolor="windowText" strokecolor="window">
                  <o:lock v:ext="edit" aspectratio="t"/>
                </v:oval>
                <v:oval id="Oval 93" o:spid="_x0000_s1177" style="position:absolute;left:37135;top:15163;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" fillcolor="windowText" strokecolor="window">
                  <o:lock v:ext="edit" aspectratio="t"/>
                </v:oval>
                <v:oval id="Oval 93" o:spid="_x0000_s1178" style="position:absolute;left:18940;top:7549;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" fillcolor="windowText" strokecolor="window">
                  <o:lock v:ext="edit" aspectratio="t"/>
                </v:oval>
                <v:oval id="Oval 93" o:spid="_x0000_s1179" style="position:absolute;left:27116;top:7457;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" fillcolor="windowText" strokecolor="window">
                  <o:lock v:ext="edit" aspectratio="t"/>
                </v:oval>
                <v:oval id="Oval 93" o:spid="_x0000_s1180" style="position:absolute;left:36373;top:18508;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" fillcolor="windowText" strokecolor="window">
                  <o:lock v:ext="edit" aspectratio="t"/>
                </v:oval>
                <v:oval id="Oval 93" o:spid="_x0000_s1181" style="position:absolute;left:24669;top:7211;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" fillcolor="windowText" strokecolor="window">
                  <o:lock v:ext="edit" aspectratio="t"/>
                </v:oval>
                <v:oval id="Oval 93" o:spid="_x0000_s1182" style="position:absolute;left:28035;top:6711;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" fillcolor="windowText" strokecolor="window">
                  <o:lock v:ext="edit" aspectratio="t"/>
                </v:oval>
                <v:oval id="Oval 93" o:spid="_x0000_s1183" style="position:absolute;left:23883;top:8865;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" fillcolor="windowText" strokecolor="window">
                  <o:lock v:ext="edit" aspectratio="t"/>
                </v:oval>
                <v:oval id="Oval 93" o:spid="_x0000_s1184" style="position:absolute;left:27720;top:8421;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" fillcolor="windowText" strokecolor="window">
                  <o:lock v:ext="edit" aspectratio="t"/>
                </v:oval>
                <v:oval id="Oval 93" o:spid="_x0000_s1185" style="position:absolute;left:32702;top:17431;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" fillcolor="windowText" strokecolor="window">
                  <o:lock v:ext="edit" aspectratio="t"/>
                </v:oval>
                <v:oval id="Oval 93" o:spid="_x0000_s1186" style="position:absolute;left:29345;top:6856;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" fillcolor="windowText" strokecolor="window">
                  <o:lock v:ext="edit" aspectratio="t"/>
                </v:oval>
                <v:oval id="Oval 93" o:spid="_x0000_s1187" style="position:absolute;left:34949;top:17796;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" fillcolor="windowText" strokecolor="window">
                  <o:lock v:ext="edit" aspectratio="t"/>
                </v:oval>
                <v:oval id="Oval 93" o:spid="_x0000_s1188" style="position:absolute;left:22460;top:8310;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" fillcolor="windowText" strokecolor="window">
                  <o:lock v:ext="edit" aspectratio="t"/>
                </v:oval>
                <v:oval id="Oval 93" o:spid="_x0000_s1189" style="position:absolute;left:31712;top:5490;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" fillcolor="windowText" strokecolor="window">
                  <o:lock v:ext="edit" aspectratio="t"/>
                </v:oval>
                <v:oval id="Oval 93" o:spid="_x0000_s1190" style="position:absolute;left:5427;top:11804;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" fillcolor="windowText" strokecolor="window">
                  <o:lock v:ext="edit" aspectratio="t"/>
                </v:oval>
                <v:oval id="Oval 93" o:spid="_x0000_s1191" style="position:absolute;left:24034;top:12424;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" fillcolor="windowText" strokecolor="window">
                  <o:lock v:ext="edit" aspectratio="t"/>
                </v:oval>
                <v:oval id="Oval 93" o:spid="_x0000_s1192" style="position:absolute;left:32260;top:16024;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" fillcolor="windowText" strokecolor="window">
                  <o:lock v:ext="edit" aspectratio="t"/>
                </v:oval>
                <v:oval id="Oval 93" o:spid="_x0000_s1193" style="position:absolute;left:23506;top:7864;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" fillcolor="windowText" strokecolor="window">
                  <o:lock v:ext="edit" aspectratio="t"/>
                </v:oval>
                <v:oval id="Oval 93" o:spid="_x0000_s1194" style="position:absolute;left:3832;top:3649;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" fillcolor="windowText" strokecolor="window">
                  <o:lock v:ext="edit" aspectratio="t"/>
                </v:oval>
                <v:shape id="Picture 7" o:spid="_x0000_s1195" type="#_x0000_t75" alt="НПЗ" style="position:absolute;left:3322;top:437;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">
                  <v:imagedata r:id="rId35" o:title="НПЗ" grayscale="t" bilevel="t"/>
                </v:shape>
                <v:shape id="TextBox 5" o:spid="_x0000_s1196" type="#_x0000_t202" style="position:absolute;left:1508;top:-21;width:1216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09FAE32C" w14:textId="77777777" w:rsidR="00F269A5" w:rsidRPr="00D26130" w:rsidRDefault="004C4BA9" w:rsidP="00CA50F2">
                        <w:pPr>
                          <w:rPr>
                            <w:iCs/>
                            <w:color w:val="000000" w:themeColor="text1"/>
                            <w:kern w:val="24"/>
                            <w:sz w:val="24"/>
                            <w:szCs w:val="21"/>
                          </w:rPr>
                        </w:pPr>
                        <w:r w:rsidRPr="00D26130">
                          <w:rPr>
                            <w:iCs/>
                            <w:color w:val="000000" w:themeColor="text1"/>
                            <w:kern w:val="24"/>
                            <w:sz w:val="24"/>
                            <w:szCs w:val="21"/>
                            <w:lang w:val="en"/>
                          </w:rPr>
                          <w:t>4 plants</w:t>
                        </w:r>
                      </w:p>
                    </w:txbxContent>
                  </v:textbox>
                </v:shape>
                <v:shape id="TextBox 210" o:spid="_x0000_s1197" type="#_x0000_t202" style="position:absolute;left:1362;top:2567;width:1615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392F6D8D" w14:textId="77777777" w:rsidR="00F269A5" w:rsidRPr="00D26130" w:rsidRDefault="004C4BA9" w:rsidP="00CA50F2">
                        <w:pPr>
                          <w:jc w:val="left"/>
                          <w:rPr>
                            <w:iCs/>
                            <w:color w:val="000000" w:themeColor="text1"/>
                            <w:kern w:val="24"/>
                            <w:sz w:val="24"/>
                            <w:szCs w:val="20"/>
                          </w:rPr>
                        </w:pPr>
                        <w:r w:rsidRPr="00D26130">
                          <w:rPr>
                            <w:iCs/>
                            <w:color w:val="000000" w:themeColor="text1"/>
                            <w:kern w:val="24"/>
                            <w:sz w:val="24"/>
                            <w:szCs w:val="20"/>
                            <w:lang w:val="en"/>
                          </w:rPr>
                          <w:t xml:space="preserve">20 importers </w:t>
                        </w:r>
                      </w:p>
                    </w:txbxContent>
                  </v:textbox>
                </v:shape>
                <w10:wrap anchorx="margin"/>
              </v:group>
            </w:pict>
          </mc:Fallback>
        </mc:AlternateContent>
      </w:r>
    </w:p>
    <w:p w14:paraId="4BF63100" w14:textId="77777777" w:rsidR="00E972FE" w:rsidRPr="00A57506" w:rsidRDefault="00E972FE" w:rsidP="00F411E1">
      <w:pPr>
        <w:ind w:firstLine="709"/>
        <w:rPr>
          <w:lang w:val="en-US"/>
        </w:rPr>
      </w:pPr>
    </w:p>
    <w:p w14:paraId="3EC2AD6F" w14:textId="77777777" w:rsidR="00E972FE" w:rsidRPr="00A57506" w:rsidRDefault="00E972FE" w:rsidP="00F411E1">
      <w:pPr>
        <w:ind w:firstLine="709"/>
        <w:rPr>
          <w:lang w:val="en-US"/>
        </w:rPr>
      </w:pPr>
    </w:p>
    <w:p w14:paraId="4D844C65" w14:textId="77777777" w:rsidR="00E972FE" w:rsidRPr="00A57506" w:rsidRDefault="00E972FE" w:rsidP="00F411E1">
      <w:pPr>
        <w:ind w:firstLine="709"/>
        <w:rPr>
          <w:lang w:val="en-US"/>
        </w:rPr>
      </w:pPr>
    </w:p>
    <w:p w14:paraId="6773AD0F" w14:textId="77777777" w:rsidR="00E972FE" w:rsidRPr="00A57506" w:rsidRDefault="00E972FE" w:rsidP="00F411E1">
      <w:pPr>
        <w:ind w:firstLine="709"/>
        <w:rPr>
          <w:lang w:val="en-US"/>
        </w:rPr>
      </w:pPr>
    </w:p>
    <w:p w14:paraId="5BC307A4" w14:textId="77777777" w:rsidR="00E972FE" w:rsidRPr="00A57506" w:rsidRDefault="00E972FE" w:rsidP="00F411E1">
      <w:pPr>
        <w:ind w:firstLine="709"/>
        <w:rPr>
          <w:lang w:val="en-US"/>
        </w:rPr>
      </w:pPr>
    </w:p>
    <w:p w14:paraId="64090DB2" w14:textId="77777777" w:rsidR="00E972FE" w:rsidRPr="00A57506" w:rsidRDefault="00E972FE" w:rsidP="00F411E1">
      <w:pPr>
        <w:ind w:firstLine="709"/>
        <w:rPr>
          <w:lang w:val="en-US"/>
        </w:rPr>
      </w:pPr>
    </w:p>
    <w:p w14:paraId="4A5F4DD0" w14:textId="77777777" w:rsidR="00E972FE" w:rsidRPr="00A57506" w:rsidRDefault="00E972FE" w:rsidP="00F411E1">
      <w:pPr>
        <w:ind w:firstLine="709"/>
        <w:rPr>
          <w:bCs/>
          <w:lang w:val="en-US"/>
        </w:rPr>
      </w:pPr>
    </w:p>
    <w:p w14:paraId="453910D5" w14:textId="77777777" w:rsidR="00E972FE" w:rsidRPr="00A57506" w:rsidRDefault="00E972FE" w:rsidP="00F411E1">
      <w:pPr>
        <w:ind w:firstLine="709"/>
        <w:rPr>
          <w:bCs/>
          <w:lang w:val="en-US"/>
        </w:rPr>
      </w:pPr>
    </w:p>
    <w:p w14:paraId="3947A747" w14:textId="77777777" w:rsidR="00E972FE" w:rsidRPr="00A57506" w:rsidRDefault="00E972FE" w:rsidP="00F411E1">
      <w:pPr>
        <w:ind w:firstLine="709"/>
        <w:rPr>
          <w:bCs/>
          <w:lang w:val="en-US"/>
        </w:rPr>
      </w:pPr>
    </w:p>
    <w:p w14:paraId="0CE917DA" w14:textId="77777777" w:rsidR="00E972FE" w:rsidRPr="00A57506" w:rsidRDefault="00E972FE" w:rsidP="00F411E1">
      <w:pPr>
        <w:ind w:firstLine="709"/>
        <w:rPr>
          <w:bCs/>
          <w:lang w:val="en-US"/>
        </w:rPr>
      </w:pPr>
    </w:p>
    <w:p w14:paraId="6544BD7E" w14:textId="77777777" w:rsidR="00E972FE" w:rsidRPr="00A57506" w:rsidRDefault="00E972FE" w:rsidP="00F411E1">
      <w:pPr>
        <w:ind w:firstLine="709"/>
        <w:rPr>
          <w:bCs/>
          <w:lang w:val="en-US"/>
        </w:rPr>
      </w:pPr>
    </w:p>
    <w:p w14:paraId="19266690" w14:textId="77777777" w:rsidR="00CA50F2" w:rsidRPr="00A57506" w:rsidRDefault="00CA50F2" w:rsidP="00651C8F">
      <w:pPr>
        <w:pStyle w:val="Caption"/>
        <w:spacing w:after="240"/>
        <w:ind w:firstLine="0"/>
        <w:jc w:val="center"/>
        <w:rPr>
          <w:b w:val="0"/>
          <w:color w:val="000000" w:themeColor="text1"/>
          <w:sz w:val="28"/>
          <w:szCs w:val="28"/>
          <w:lang w:val="en-US"/>
        </w:rPr>
      </w:pPr>
    </w:p>
    <w:p w14:paraId="71396958" w14:textId="436CAAF5" w:rsidR="00D26130" w:rsidRPr="00A57506" w:rsidRDefault="004C4BA9" w:rsidP="00651C8F">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14</w:t>
      </w:r>
      <w:r w:rsidRPr="001529C7">
        <w:rPr>
          <w:b w:val="0"/>
          <w:color w:val="000000" w:themeColor="text1"/>
          <w:sz w:val="28"/>
          <w:szCs w:val="28"/>
        </w:rPr>
        <w:fldChar w:fldCharType="end"/>
      </w:r>
      <w:r w:rsidRPr="001529C7">
        <w:rPr>
          <w:b w:val="0"/>
          <w:color w:val="000000" w:themeColor="text1"/>
          <w:sz w:val="28"/>
          <w:szCs w:val="28"/>
          <w:lang w:val="en"/>
        </w:rPr>
        <w:t>– Layout of manufacturers and importers of pesticides.</w:t>
      </w:r>
    </w:p>
    <w:p w14:paraId="428B364D" w14:textId="77777777" w:rsidR="0059338B" w:rsidRPr="00A57506" w:rsidRDefault="004C4BA9" w:rsidP="0059338B">
      <w:pPr>
        <w:widowControl w:val="0"/>
        <w:autoSpaceDE w:val="0"/>
        <w:autoSpaceDN w:val="0"/>
        <w:adjustRightInd w:val="0"/>
        <w:rPr>
          <w:bCs/>
          <w:lang w:val="en-US"/>
        </w:rPr>
      </w:pPr>
      <w:r w:rsidRPr="001529C7">
        <w:rPr>
          <w:bCs/>
          <w:lang w:val="en"/>
        </w:rPr>
        <w:t xml:space="preserve">Markets for the sale of insecticides, rodenticides, plant growth regulators </w:t>
      </w:r>
      <w:r w:rsidRPr="00651C8F">
        <w:rPr>
          <w:bCs/>
          <w:i/>
          <w:sz w:val="24"/>
          <w:lang w:val="en"/>
        </w:rPr>
        <w:t>(stimulators)</w:t>
      </w:r>
      <w:r w:rsidRPr="001529C7">
        <w:rPr>
          <w:bCs/>
          <w:lang w:val="en"/>
        </w:rPr>
        <w:t xml:space="preserve"> are monopoly markets. </w:t>
      </w:r>
    </w:p>
    <w:p w14:paraId="71AF0003" w14:textId="77777777" w:rsidR="0059338B" w:rsidRPr="00A57506" w:rsidRDefault="004C4BA9" w:rsidP="0059338B">
      <w:pPr>
        <w:widowControl w:val="0"/>
        <w:autoSpaceDE w:val="0"/>
        <w:autoSpaceDN w:val="0"/>
        <w:adjustRightInd w:val="0"/>
        <w:rPr>
          <w:bCs/>
          <w:lang w:val="en-US"/>
        </w:rPr>
      </w:pPr>
      <w:r w:rsidRPr="001529C7">
        <w:rPr>
          <w:bCs/>
          <w:lang w:val="en"/>
        </w:rPr>
        <w:t xml:space="preserve">Markets for the sale of fungicides, defoliants and desiccants are highly </w:t>
      </w:r>
      <w:r w:rsidRPr="00651C8F">
        <w:rPr>
          <w:b/>
          <w:bCs/>
          <w:i/>
          <w:lang w:val="en"/>
        </w:rPr>
        <w:t>concentrated</w:t>
      </w:r>
      <w:r w:rsidRPr="001529C7">
        <w:rPr>
          <w:bCs/>
          <w:lang w:val="en"/>
        </w:rPr>
        <w:t xml:space="preserve"> with undeveloped competition.</w:t>
      </w:r>
    </w:p>
    <w:p w14:paraId="61A05D56" w14:textId="77777777" w:rsidR="0059338B" w:rsidRPr="00A57506" w:rsidRDefault="004C4BA9" w:rsidP="0059338B">
      <w:pPr>
        <w:widowControl w:val="0"/>
        <w:autoSpaceDE w:val="0"/>
        <w:autoSpaceDN w:val="0"/>
        <w:adjustRightInd w:val="0"/>
        <w:rPr>
          <w:bCs/>
          <w:lang w:val="en-US"/>
        </w:rPr>
      </w:pPr>
      <w:r w:rsidRPr="001529C7">
        <w:rPr>
          <w:bCs/>
          <w:lang w:val="en"/>
        </w:rPr>
        <w:t xml:space="preserve">Herbicide market is moderately </w:t>
      </w:r>
      <w:r w:rsidRPr="00651C8F">
        <w:rPr>
          <w:b/>
          <w:bCs/>
          <w:i/>
          <w:lang w:val="en"/>
        </w:rPr>
        <w:t>concentrated</w:t>
      </w:r>
      <w:r w:rsidRPr="001529C7">
        <w:rPr>
          <w:bCs/>
          <w:lang w:val="en"/>
        </w:rPr>
        <w:t>. During analyzed period, dominant position is occupied by Astana-Nan LLP, Shchelkovo Agrochem-KZ LLP and Syngenta Kazakhstan LLP.</w:t>
      </w:r>
    </w:p>
    <w:p w14:paraId="60299BF5" w14:textId="77777777" w:rsidR="0059338B" w:rsidRPr="00A57506" w:rsidRDefault="004C4BA9" w:rsidP="0059338B">
      <w:pPr>
        <w:widowControl w:val="0"/>
        <w:autoSpaceDE w:val="0"/>
        <w:autoSpaceDN w:val="0"/>
        <w:adjustRightInd w:val="0"/>
        <w:rPr>
          <w:bCs/>
          <w:lang w:val="en-US"/>
        </w:rPr>
      </w:pPr>
      <w:r w:rsidRPr="001529C7">
        <w:rPr>
          <w:bCs/>
          <w:lang w:val="en"/>
        </w:rPr>
        <w:t>Within the framework of the analysis, administrative norms have been established that create unequal conditions for entities that sell pesticides.</w:t>
      </w:r>
    </w:p>
    <w:p w14:paraId="3750FF8A" w14:textId="77777777" w:rsidR="0059338B" w:rsidRPr="00A57506" w:rsidRDefault="004C4BA9" w:rsidP="00651C8F">
      <w:pPr>
        <w:widowControl w:val="0"/>
        <w:tabs>
          <w:tab w:val="left" w:pos="993"/>
        </w:tabs>
        <w:autoSpaceDE w:val="0"/>
        <w:autoSpaceDN w:val="0"/>
        <w:adjustRightInd w:val="0"/>
        <w:rPr>
          <w:bCs/>
          <w:lang w:val="en-US"/>
        </w:rPr>
      </w:pPr>
      <w:r>
        <w:rPr>
          <w:bCs/>
          <w:lang w:val="en"/>
        </w:rPr>
        <w:t>1)</w:t>
      </w:r>
      <w:r>
        <w:rPr>
          <w:bCs/>
          <w:lang w:val="en"/>
        </w:rPr>
        <w:tab/>
        <w:t xml:space="preserve">in accordance with the tax legislation, importers pay VAT using </w:t>
      </w:r>
      <w:r w:rsidRPr="00651C8F">
        <w:rPr>
          <w:b/>
          <w:bCs/>
          <w:lang w:val="en"/>
        </w:rPr>
        <w:t>offset method</w:t>
      </w:r>
      <w:r>
        <w:rPr>
          <w:bCs/>
          <w:lang w:val="en"/>
        </w:rPr>
        <w:t xml:space="preserve">, while domestic producers of pesticides operate </w:t>
      </w:r>
      <w:r w:rsidRPr="00651C8F">
        <w:rPr>
          <w:b/>
          <w:bCs/>
          <w:lang w:val="en"/>
        </w:rPr>
        <w:t>on a general basis</w:t>
      </w:r>
      <w:r>
        <w:rPr>
          <w:bCs/>
          <w:lang w:val="en"/>
        </w:rPr>
        <w:t>.</w:t>
      </w:r>
    </w:p>
    <w:p w14:paraId="39681C70" w14:textId="77777777" w:rsidR="0059338B" w:rsidRPr="00A57506" w:rsidRDefault="004C4BA9" w:rsidP="00651C8F">
      <w:pPr>
        <w:widowControl w:val="0"/>
        <w:tabs>
          <w:tab w:val="left" w:pos="993"/>
        </w:tabs>
        <w:autoSpaceDE w:val="0"/>
        <w:autoSpaceDN w:val="0"/>
        <w:adjustRightInd w:val="0"/>
        <w:rPr>
          <w:bCs/>
          <w:lang w:val="en-US"/>
        </w:rPr>
      </w:pPr>
      <w:r w:rsidRPr="001529C7">
        <w:rPr>
          <w:bCs/>
          <w:lang w:val="en"/>
        </w:rPr>
        <w:t xml:space="preserve">Thus, importers are in a </w:t>
      </w:r>
      <w:r w:rsidRPr="00651C8F">
        <w:rPr>
          <w:b/>
          <w:bCs/>
          <w:lang w:val="en"/>
        </w:rPr>
        <w:t>privileged position</w:t>
      </w:r>
      <w:r w:rsidRPr="001529C7">
        <w:rPr>
          <w:bCs/>
          <w:lang w:val="en"/>
        </w:rPr>
        <w:t xml:space="preserve"> compared to local producers. This factor negatively affects concentration of competition and limits development of local production.</w:t>
      </w:r>
    </w:p>
    <w:p w14:paraId="6A17BD37" w14:textId="77777777" w:rsidR="0059338B" w:rsidRPr="00A57506" w:rsidRDefault="004C4BA9" w:rsidP="00651C8F">
      <w:pPr>
        <w:widowControl w:val="0"/>
        <w:tabs>
          <w:tab w:val="left" w:pos="993"/>
        </w:tabs>
        <w:autoSpaceDE w:val="0"/>
        <w:autoSpaceDN w:val="0"/>
        <w:adjustRightInd w:val="0"/>
        <w:rPr>
          <w:bCs/>
          <w:lang w:val="en-US"/>
        </w:rPr>
      </w:pPr>
      <w:r w:rsidRPr="001529C7">
        <w:rPr>
          <w:bCs/>
          <w:lang w:val="en"/>
        </w:rPr>
        <w:t>In order to ensure equal conditions of competition, the Agency was asked to provide domestic producers with opportunity to also pay VAT using offset method. The proposal was supported by the Ministry of Industry and Infrastructure Development and will be taken into account when making changes to the Tax Code.</w:t>
      </w:r>
    </w:p>
    <w:p w14:paraId="2BC2E097" w14:textId="77777777" w:rsidR="0059338B" w:rsidRPr="00A57506" w:rsidRDefault="004C4BA9" w:rsidP="0059338B">
      <w:pPr>
        <w:widowControl w:val="0"/>
        <w:autoSpaceDE w:val="0"/>
        <w:autoSpaceDN w:val="0"/>
        <w:adjustRightInd w:val="0"/>
        <w:rPr>
          <w:bCs/>
          <w:lang w:val="en-US"/>
        </w:rPr>
      </w:pPr>
      <w:r w:rsidRPr="001529C7">
        <w:rPr>
          <w:bCs/>
          <w:lang w:val="en"/>
        </w:rPr>
        <w:t>2) currently there are 220 thousand farms in the Republic of Kazakhstan. Despite significant amounts of funds allocated by the state, no more than 10 thousand farmers are covered by support measures.</w:t>
      </w:r>
    </w:p>
    <w:p w14:paraId="6E2ED320" w14:textId="77777777" w:rsidR="0059338B" w:rsidRPr="00A57506" w:rsidRDefault="004C4BA9" w:rsidP="0059338B">
      <w:pPr>
        <w:widowControl w:val="0"/>
        <w:autoSpaceDE w:val="0"/>
        <w:autoSpaceDN w:val="0"/>
        <w:adjustRightInd w:val="0"/>
        <w:rPr>
          <w:bCs/>
          <w:lang w:val="en-US"/>
        </w:rPr>
      </w:pPr>
      <w:r w:rsidRPr="001529C7">
        <w:rPr>
          <w:bCs/>
          <w:lang w:val="en"/>
        </w:rPr>
        <w:t>In 2020, volume of subsidies for pesticides amounted to 36.5 billion KZT, 9 thousand farmers received subsidies, while 100 large farms absorbed 13 billion KZT or 35% of allocated funds.</w:t>
      </w:r>
    </w:p>
    <w:p w14:paraId="15665D67" w14:textId="77777777" w:rsidR="0059338B" w:rsidRPr="00A57506" w:rsidRDefault="004C4BA9" w:rsidP="0059338B">
      <w:pPr>
        <w:widowControl w:val="0"/>
        <w:autoSpaceDE w:val="0"/>
        <w:autoSpaceDN w:val="0"/>
        <w:adjustRightInd w:val="0"/>
        <w:rPr>
          <w:bCs/>
          <w:lang w:val="en-US"/>
        </w:rPr>
      </w:pPr>
      <w:r w:rsidRPr="001529C7">
        <w:rPr>
          <w:bCs/>
          <w:lang w:val="en"/>
        </w:rPr>
        <w:lastRenderedPageBreak/>
        <w:t>In 2021, volume of subsidies for pesticides amounted to 30.5 billion KZT, 7 thousand farmers received subsidies, while 100 large farms absorbed 11,3 billion KZT or 37% of allocated funds.</w:t>
      </w:r>
    </w:p>
    <w:p w14:paraId="1319E5C1" w14:textId="77777777" w:rsidR="0059338B" w:rsidRPr="00A57506" w:rsidRDefault="004C4BA9" w:rsidP="0059338B">
      <w:pPr>
        <w:widowControl w:val="0"/>
        <w:autoSpaceDE w:val="0"/>
        <w:autoSpaceDN w:val="0"/>
        <w:adjustRightInd w:val="0"/>
        <w:rPr>
          <w:bCs/>
          <w:lang w:val="en-US"/>
        </w:rPr>
      </w:pPr>
      <w:r w:rsidRPr="001529C7">
        <w:rPr>
          <w:bCs/>
          <w:lang w:val="en"/>
        </w:rPr>
        <w:t>In the first half of 2022, the total amount of subsidies amounted to 18.3 billion KZT, 1.5 thousand farmers received subsidies, while 100 large farms have already assimilated 10.2 billion KZT or 56% of allocated funds.</w:t>
      </w:r>
    </w:p>
    <w:p w14:paraId="638FCC77" w14:textId="77777777" w:rsidR="0059338B" w:rsidRPr="00A57506" w:rsidRDefault="004C4BA9" w:rsidP="0059338B">
      <w:pPr>
        <w:widowControl w:val="0"/>
        <w:autoSpaceDE w:val="0"/>
        <w:autoSpaceDN w:val="0"/>
        <w:adjustRightInd w:val="0"/>
        <w:rPr>
          <w:bCs/>
          <w:lang w:val="en-US"/>
        </w:rPr>
      </w:pPr>
      <w:r w:rsidRPr="001529C7">
        <w:rPr>
          <w:bCs/>
          <w:lang w:val="en"/>
        </w:rPr>
        <w:t>The Agency believes that this trend is due to imperfection of the current subsidy procedure. Currently, subsidies are allocated on a first-come, first-served basis, based on farmers' requests, and farmers are given opportunity to independently choose specific pesticide manufacturer.</w:t>
      </w:r>
    </w:p>
    <w:p w14:paraId="1EA3E9A5" w14:textId="77777777" w:rsidR="0059338B" w:rsidRPr="00A57506" w:rsidRDefault="004C4BA9" w:rsidP="0059338B">
      <w:pPr>
        <w:widowControl w:val="0"/>
        <w:autoSpaceDE w:val="0"/>
        <w:autoSpaceDN w:val="0"/>
        <w:adjustRightInd w:val="0"/>
        <w:rPr>
          <w:bCs/>
          <w:lang w:val="en-US"/>
        </w:rPr>
      </w:pPr>
      <w:r w:rsidRPr="001529C7">
        <w:rPr>
          <w:bCs/>
          <w:lang w:val="en"/>
        </w:rPr>
        <w:t xml:space="preserve">This procedure looks well-developed and appropriate from industry policy point of view, however, possibility of choosing a supplier leads to </w:t>
      </w:r>
      <w:r w:rsidRPr="00F13D43">
        <w:rPr>
          <w:b/>
          <w:bCs/>
          <w:lang w:val="en"/>
        </w:rPr>
        <w:t>unequal conditions</w:t>
      </w:r>
      <w:r w:rsidRPr="001529C7">
        <w:rPr>
          <w:bCs/>
          <w:lang w:val="en"/>
        </w:rPr>
        <w:t xml:space="preserve"> of access to state support measures.</w:t>
      </w:r>
    </w:p>
    <w:p w14:paraId="11470E73" w14:textId="77777777" w:rsidR="0059338B" w:rsidRPr="00A57506" w:rsidRDefault="004C4BA9" w:rsidP="0059338B">
      <w:pPr>
        <w:widowControl w:val="0"/>
        <w:autoSpaceDE w:val="0"/>
        <w:autoSpaceDN w:val="0"/>
        <w:adjustRightInd w:val="0"/>
        <w:rPr>
          <w:bCs/>
          <w:lang w:val="en-US"/>
        </w:rPr>
      </w:pPr>
      <w:r w:rsidRPr="001529C7">
        <w:rPr>
          <w:bCs/>
          <w:lang w:val="en"/>
        </w:rPr>
        <w:t xml:space="preserve">The analysis showed that price of pesticides varies significantly, for example, the price difference for herbicides ranges </w:t>
      </w:r>
      <w:r w:rsidRPr="00F13D43">
        <w:rPr>
          <w:b/>
          <w:bCs/>
          <w:lang w:val="en"/>
        </w:rPr>
        <w:t>from 2000 to 75000 KZT/liter</w:t>
      </w:r>
      <w:r w:rsidRPr="001529C7">
        <w:rPr>
          <w:bCs/>
          <w:lang w:val="en"/>
        </w:rPr>
        <w:t>. As a result, state support measures are received only by large farms that have opportunity to purchase large volumes of more expensive products.</w:t>
      </w:r>
    </w:p>
    <w:p w14:paraId="6E020B65" w14:textId="77777777" w:rsidR="0059338B" w:rsidRPr="00A57506" w:rsidRDefault="004C4BA9" w:rsidP="0059338B">
      <w:pPr>
        <w:widowControl w:val="0"/>
        <w:autoSpaceDE w:val="0"/>
        <w:autoSpaceDN w:val="0"/>
        <w:adjustRightInd w:val="0"/>
        <w:rPr>
          <w:bCs/>
          <w:lang w:val="en-US"/>
        </w:rPr>
      </w:pPr>
      <w:r w:rsidRPr="001529C7">
        <w:rPr>
          <w:bCs/>
          <w:lang w:val="en"/>
        </w:rPr>
        <w:t>Taking into account the above, the Agency proposed to consider changing the procedure for allocating subsidies by setting ceiling prices for certain types of pesticides. This will expand the range of recipients of subsidies within current amount of allocated funds.</w:t>
      </w:r>
    </w:p>
    <w:p w14:paraId="5F7C15AE" w14:textId="77777777" w:rsidR="0059338B" w:rsidRPr="001529C7" w:rsidRDefault="004C4BA9" w:rsidP="0059338B">
      <w:pPr>
        <w:widowControl w:val="0"/>
        <w:autoSpaceDE w:val="0"/>
        <w:autoSpaceDN w:val="0"/>
        <w:adjustRightInd w:val="0"/>
        <w:rPr>
          <w:bCs/>
        </w:rPr>
      </w:pPr>
      <w:r>
        <w:rPr>
          <w:bCs/>
          <w:lang w:val="en"/>
        </w:rPr>
        <w:t xml:space="preserve">Also, as part of the analysis, actions of BASF Central Asia LLP revealed signs of violating competition protection legislation in terms of abusing dominant position expressed in </w:t>
      </w:r>
      <w:r w:rsidRPr="00F13D43">
        <w:rPr>
          <w:b/>
          <w:bCs/>
          <w:lang w:val="en"/>
        </w:rPr>
        <w:t>establishment of monopolistically high prices</w:t>
      </w:r>
      <w:r>
        <w:rPr>
          <w:bCs/>
          <w:lang w:val="en"/>
        </w:rPr>
        <w:t>. Investigation is currently underway.</w:t>
      </w:r>
    </w:p>
    <w:p w14:paraId="365894F2" w14:textId="77777777" w:rsidR="007C5A6C"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r w:rsidRPr="001529C7">
        <w:rPr>
          <w:rFonts w:cs="Times New Roman"/>
          <w:szCs w:val="28"/>
          <w:lang w:val="en"/>
        </w:rPr>
        <w:t xml:space="preserve"> </w:t>
      </w:r>
      <w:bookmarkStart w:id="56" w:name="_Hlk103163794"/>
      <w:bookmarkStart w:id="57" w:name="_Toc142467918"/>
      <w:r w:rsidRPr="001529C7">
        <w:rPr>
          <w:rFonts w:cs="Times New Roman"/>
          <w:szCs w:val="28"/>
          <w:lang w:val="en"/>
        </w:rPr>
        <w:t xml:space="preserve">The market for </w:t>
      </w:r>
      <w:bookmarkEnd w:id="56"/>
      <w:r w:rsidRPr="001529C7">
        <w:rPr>
          <w:rFonts w:cs="Times New Roman"/>
          <w:szCs w:val="28"/>
          <w:lang w:val="en"/>
        </w:rPr>
        <w:t>sale of crude petroleum coke</w:t>
      </w:r>
      <w:bookmarkEnd w:id="57"/>
    </w:p>
    <w:p w14:paraId="7F56CE7E" w14:textId="77777777" w:rsidR="0059338B" w:rsidRPr="00A57506" w:rsidRDefault="004C4BA9" w:rsidP="0059338B">
      <w:pPr>
        <w:rPr>
          <w:bCs/>
          <w:color w:val="000000" w:themeColor="text1"/>
          <w:spacing w:val="2"/>
          <w:lang w:val="en-US"/>
        </w:rPr>
      </w:pPr>
      <w:r w:rsidRPr="001529C7">
        <w:rPr>
          <w:color w:val="000000" w:themeColor="text1"/>
          <w:lang w:val="en"/>
        </w:rPr>
        <w:t>Analysis of market for sale of crude petroleum coke was carried out on the basis of Minutes of Meeting of Commission for Demonopolization of the Economy dated May 4, 2022 regarding the issue of market for sale of petroleum coke in order to prevent violations of competition protection legislation.</w:t>
      </w:r>
    </w:p>
    <w:p w14:paraId="403CBC06" w14:textId="77777777" w:rsidR="0059338B" w:rsidRPr="00A57506" w:rsidRDefault="004C4BA9" w:rsidP="0059338B">
      <w:pPr>
        <w:rPr>
          <w:lang w:val="en-US"/>
        </w:rPr>
      </w:pPr>
      <w:r w:rsidRPr="001529C7">
        <w:rPr>
          <w:bCs/>
          <w:lang w:val="en"/>
        </w:rPr>
        <w:t xml:space="preserve">As part of the analysis, it was found that production of petroleum coke is carried out by Pavlodar Petrochemical Plant </w:t>
      </w:r>
      <w:r w:rsidRPr="007D206D">
        <w:rPr>
          <w:i/>
          <w:sz w:val="24"/>
          <w:lang w:val="en"/>
        </w:rPr>
        <w:t>(hereinafter – PPP)</w:t>
      </w:r>
      <w:r w:rsidRPr="001529C7">
        <w:rPr>
          <w:bCs/>
          <w:lang w:val="en"/>
        </w:rPr>
        <w:t xml:space="preserve"> and Atyrau Oil Refinery </w:t>
      </w:r>
      <w:r w:rsidRPr="007D206D">
        <w:rPr>
          <w:i/>
          <w:sz w:val="24"/>
          <w:lang w:val="en"/>
        </w:rPr>
        <w:t>(hereinafter – ANPZ)</w:t>
      </w:r>
      <w:r w:rsidRPr="001529C7">
        <w:rPr>
          <w:bCs/>
          <w:lang w:val="en"/>
        </w:rPr>
        <w:t xml:space="preserve">. Calcination of petroleum coke is carried out by ANPZ and UPNK-PV LLP </w:t>
      </w:r>
      <w:r w:rsidRPr="007D206D">
        <w:rPr>
          <w:i/>
          <w:sz w:val="24"/>
          <w:lang w:val="en"/>
        </w:rPr>
        <w:t>(plant for production of calcined petroleum coke in Pavlodar region)</w:t>
      </w:r>
      <w:r w:rsidRPr="001529C7">
        <w:rPr>
          <w:bCs/>
          <w:lang w:val="en"/>
        </w:rPr>
        <w:t>.</w:t>
      </w:r>
    </w:p>
    <w:p w14:paraId="7505FC95" w14:textId="77777777" w:rsidR="0059338B" w:rsidRPr="00A57506" w:rsidRDefault="004C4BA9" w:rsidP="0059338B">
      <w:pPr>
        <w:tabs>
          <w:tab w:val="left" w:pos="2220"/>
        </w:tabs>
        <w:rPr>
          <w:lang w:val="en-US"/>
        </w:rPr>
      </w:pPr>
      <w:r w:rsidRPr="001529C7">
        <w:rPr>
          <w:lang w:val="en"/>
        </w:rPr>
        <w:t>According to NCE "Atameken", suppliers of petroleum coke on processing terms produced at refinery faced restrictions on shipment of petroleum coke for export.</w:t>
      </w:r>
    </w:p>
    <w:p w14:paraId="01B7C822" w14:textId="77777777" w:rsidR="0059338B" w:rsidRPr="00A57506" w:rsidRDefault="004C4BA9" w:rsidP="0059338B">
      <w:pPr>
        <w:tabs>
          <w:tab w:val="left" w:pos="2220"/>
        </w:tabs>
        <w:rPr>
          <w:lang w:val="en-US"/>
        </w:rPr>
      </w:pPr>
      <w:r w:rsidRPr="001529C7">
        <w:rPr>
          <w:lang w:val="en"/>
        </w:rPr>
        <w:t xml:space="preserve">Due to </w:t>
      </w:r>
      <w:r w:rsidRPr="00A42338">
        <w:rPr>
          <w:b/>
          <w:lang w:val="en"/>
        </w:rPr>
        <w:t>failure to agree rail transportation plan</w:t>
      </w:r>
      <w:r w:rsidRPr="001529C7">
        <w:rPr>
          <w:lang w:val="en"/>
        </w:rPr>
        <w:t xml:space="preserve"> with shipment from PPP for export, the suppliers were forced to sell petroleum coke to UPNK-PV LLP at a price lower than export price. With that, shipment of petroleum coke for export from ANPZ was carried out freely.</w:t>
      </w:r>
    </w:p>
    <w:p w14:paraId="02857854" w14:textId="77777777" w:rsidR="0059338B" w:rsidRPr="00A57506" w:rsidRDefault="004C4BA9" w:rsidP="0059338B">
      <w:pPr>
        <w:tabs>
          <w:tab w:val="left" w:pos="2220"/>
        </w:tabs>
        <w:rPr>
          <w:lang w:val="en-US"/>
        </w:rPr>
      </w:pPr>
      <w:r w:rsidRPr="001529C7">
        <w:rPr>
          <w:lang w:val="en"/>
        </w:rPr>
        <w:lastRenderedPageBreak/>
        <w:t xml:space="preserve">According to information of "NC "Kazakhstan Temir Zholy" JSC, since the end of 2020, there have been restrictions on reception of goods by Chinese side due to increased quarantine measures, as well as in connection with reconstruction of transshipment sites at Alashankou station since May 2021. </w:t>
      </w:r>
    </w:p>
    <w:p w14:paraId="5565D5EE" w14:textId="77777777" w:rsidR="0059338B" w:rsidRPr="00A57506" w:rsidRDefault="004C4BA9" w:rsidP="0059338B">
      <w:pPr>
        <w:rPr>
          <w:lang w:val="en-US"/>
        </w:rPr>
      </w:pPr>
      <w:r w:rsidRPr="001529C7">
        <w:rPr>
          <w:lang w:val="en"/>
        </w:rPr>
        <w:t>With that, due to export restrictions that were imposed at the border with China and absence of alternative options, the suppliers sold petroleum coke to UPNK-PV LLP at price below market price or at prime cost.</w:t>
      </w:r>
    </w:p>
    <w:p w14:paraId="3ECCEAC4" w14:textId="77777777" w:rsidR="0059338B" w:rsidRPr="00A57506" w:rsidRDefault="004C4BA9" w:rsidP="0059338B">
      <w:pPr>
        <w:rPr>
          <w:lang w:val="en-US"/>
        </w:rPr>
      </w:pPr>
      <w:r w:rsidRPr="001529C7">
        <w:rPr>
          <w:bCs/>
          <w:lang w:val="en"/>
        </w:rPr>
        <w:t>During the analysis, it was found that UPNK-PV LLP purchases crude petroleum coke from suppliers, calcinates coke for further sale of calcined petroleum coke.</w:t>
      </w:r>
    </w:p>
    <w:p w14:paraId="56573532" w14:textId="77777777" w:rsidR="0059338B" w:rsidRPr="00A57506" w:rsidRDefault="004C4BA9" w:rsidP="0059338B">
      <w:pPr>
        <w:rPr>
          <w:lang w:val="en-US"/>
        </w:rPr>
      </w:pPr>
      <w:r w:rsidRPr="001529C7">
        <w:rPr>
          <w:lang w:val="en"/>
        </w:rPr>
        <w:t xml:space="preserve">Thus, within the borders of Kazakhstan, UPNK-PV LLP, as buyer of petroleum coke, occupies </w:t>
      </w:r>
      <w:r w:rsidRPr="00A42338">
        <w:rPr>
          <w:b/>
          <w:lang w:val="en"/>
        </w:rPr>
        <w:t>monopsonic position</w:t>
      </w:r>
      <w:r w:rsidRPr="001529C7">
        <w:rPr>
          <w:lang w:val="en"/>
        </w:rPr>
        <w:t xml:space="preserve"> </w:t>
      </w:r>
      <w:r w:rsidRPr="00A42338">
        <w:rPr>
          <w:i/>
          <w:sz w:val="24"/>
          <w:lang w:val="en"/>
        </w:rPr>
        <w:t>(more than 70%)</w:t>
      </w:r>
      <w:r w:rsidRPr="001529C7">
        <w:rPr>
          <w:lang w:val="en"/>
        </w:rPr>
        <w:t>.</w:t>
      </w:r>
    </w:p>
    <w:p w14:paraId="6AA0B0C1" w14:textId="77777777" w:rsidR="0059338B" w:rsidRPr="00A57506" w:rsidRDefault="004C4BA9" w:rsidP="0059338B">
      <w:pPr>
        <w:rPr>
          <w:lang w:val="en-US"/>
        </w:rPr>
      </w:pPr>
      <w:r w:rsidRPr="001529C7">
        <w:rPr>
          <w:lang w:val="en"/>
        </w:rPr>
        <w:t xml:space="preserve">Along with this, during analysis, it was found that UPNK-PV LLP purchased petroleum coke from foreign suppliers at higher price than from domestic ones. </w:t>
      </w:r>
    </w:p>
    <w:p w14:paraId="31A9C40A" w14:textId="77777777" w:rsidR="0059338B" w:rsidRPr="00A57506" w:rsidRDefault="004C4BA9" w:rsidP="0059338B">
      <w:pPr>
        <w:rPr>
          <w:lang w:val="en-US"/>
        </w:rPr>
      </w:pPr>
      <w:r w:rsidRPr="001529C7">
        <w:rPr>
          <w:lang w:val="en"/>
        </w:rPr>
        <w:t>In 2021, the average price for purchase by UPNK-PV LLP from domestic suppliers was 23,500 KZT/ton. Average purchase price from foreign entities was 91,700 KZT/ton.</w:t>
      </w:r>
    </w:p>
    <w:p w14:paraId="58D28AFF" w14:textId="77777777" w:rsidR="0059338B" w:rsidRPr="00A57506" w:rsidRDefault="004C4BA9" w:rsidP="0059338B">
      <w:pPr>
        <w:pStyle w:val="ListParagraph"/>
        <w:tabs>
          <w:tab w:val="left" w:pos="1134"/>
        </w:tabs>
        <w:ind w:left="0"/>
        <w:rPr>
          <w:lang w:val="en-US"/>
        </w:rPr>
      </w:pPr>
      <w:r w:rsidRPr="001529C7">
        <w:rPr>
          <w:lang w:val="en"/>
        </w:rPr>
        <w:t>In 2022, average purchase price of UPNK-PV LLP from domestic suppliers amounted to 46,900 KZT/ton, and from foreign entities amounted to 98,250 KZT/ton.</w:t>
      </w:r>
    </w:p>
    <w:p w14:paraId="202B50E6" w14:textId="77777777" w:rsidR="0059338B" w:rsidRPr="00A57506" w:rsidRDefault="004C4BA9" w:rsidP="0059338B">
      <w:pPr>
        <w:pStyle w:val="ListParagraph"/>
        <w:tabs>
          <w:tab w:val="left" w:pos="1134"/>
        </w:tabs>
        <w:ind w:left="0"/>
        <w:rPr>
          <w:lang w:val="en-US"/>
        </w:rPr>
      </w:pPr>
      <w:r w:rsidRPr="001529C7">
        <w:rPr>
          <w:lang w:val="en"/>
        </w:rPr>
        <w:t xml:space="preserve">With that, according to one of the entities, </w:t>
      </w:r>
      <w:r w:rsidRPr="001529C7">
        <w:rPr>
          <w:b/>
          <w:lang w:val="en"/>
        </w:rPr>
        <w:t>prime cost</w:t>
      </w:r>
      <w:r w:rsidRPr="001529C7">
        <w:rPr>
          <w:lang w:val="en"/>
        </w:rPr>
        <w:t xml:space="preserve"> of petroleum coke in 2021 amounted to </w:t>
      </w:r>
      <w:r w:rsidRPr="001529C7">
        <w:rPr>
          <w:b/>
          <w:lang w:val="en"/>
        </w:rPr>
        <w:t>79,700</w:t>
      </w:r>
      <w:r w:rsidRPr="001529C7">
        <w:rPr>
          <w:lang w:val="en"/>
        </w:rPr>
        <w:t xml:space="preserve"> KZT, in 2022 – </w:t>
      </w:r>
      <w:r w:rsidRPr="001529C7">
        <w:rPr>
          <w:b/>
          <w:lang w:val="en"/>
        </w:rPr>
        <w:t>144,800</w:t>
      </w:r>
      <w:r w:rsidRPr="001529C7">
        <w:rPr>
          <w:lang w:val="en"/>
        </w:rPr>
        <w:t xml:space="preserve"> KZT, with that price of its sale to "UPNK-PV" LLP in 2021 amounted to </w:t>
      </w:r>
      <w:r w:rsidRPr="001529C7">
        <w:rPr>
          <w:b/>
          <w:lang w:val="en"/>
        </w:rPr>
        <w:t>13,000</w:t>
      </w:r>
      <w:r w:rsidRPr="001529C7">
        <w:rPr>
          <w:lang w:val="en"/>
        </w:rPr>
        <w:t xml:space="preserve"> KZT, and in 2022 – </w:t>
      </w:r>
      <w:r w:rsidRPr="001529C7">
        <w:rPr>
          <w:b/>
          <w:lang w:val="en"/>
        </w:rPr>
        <w:t>39,200</w:t>
      </w:r>
      <w:r w:rsidRPr="001529C7">
        <w:rPr>
          <w:lang w:val="en"/>
        </w:rPr>
        <w:t xml:space="preserve"> KZT.</w:t>
      </w:r>
    </w:p>
    <w:p w14:paraId="38CB4F7D" w14:textId="77777777" w:rsidR="0059338B" w:rsidRPr="00A57506" w:rsidRDefault="004C4BA9" w:rsidP="0059338B">
      <w:pPr>
        <w:pStyle w:val="ListParagraph"/>
        <w:tabs>
          <w:tab w:val="left" w:pos="1134"/>
        </w:tabs>
        <w:ind w:left="0"/>
        <w:rPr>
          <w:lang w:val="en-US"/>
        </w:rPr>
      </w:pPr>
      <w:r w:rsidRPr="001529C7">
        <w:rPr>
          <w:lang w:val="en"/>
        </w:rPr>
        <w:t xml:space="preserve">Also, according to another market entity, cost of feedstock processing service in 2021 amounted to </w:t>
      </w:r>
      <w:r w:rsidRPr="001529C7">
        <w:rPr>
          <w:b/>
          <w:lang w:val="en"/>
        </w:rPr>
        <w:t>14,000</w:t>
      </w:r>
      <w:r w:rsidRPr="001529C7">
        <w:rPr>
          <w:lang w:val="en"/>
        </w:rPr>
        <w:t xml:space="preserve"> KZT, price of selling to UPNK-PV LLP also amounted to </w:t>
      </w:r>
      <w:r w:rsidRPr="001529C7">
        <w:rPr>
          <w:b/>
          <w:lang w:val="en"/>
        </w:rPr>
        <w:t>14,000</w:t>
      </w:r>
      <w:r w:rsidRPr="001529C7">
        <w:rPr>
          <w:lang w:val="en"/>
        </w:rPr>
        <w:t xml:space="preserve"> KZT. In 2022, this trend continued and costs and selling prices amounted to </w:t>
      </w:r>
      <w:r w:rsidRPr="001529C7">
        <w:rPr>
          <w:b/>
          <w:lang w:val="en"/>
        </w:rPr>
        <w:t>37,000</w:t>
      </w:r>
      <w:r w:rsidRPr="001529C7">
        <w:rPr>
          <w:lang w:val="en"/>
        </w:rPr>
        <w:t xml:space="preserve"> KZT.</w:t>
      </w:r>
    </w:p>
    <w:p w14:paraId="6AB53045" w14:textId="77777777" w:rsidR="0059338B" w:rsidRPr="00A57506" w:rsidRDefault="004C4BA9" w:rsidP="0059338B">
      <w:pPr>
        <w:rPr>
          <w:lang w:val="en-US"/>
        </w:rPr>
      </w:pPr>
      <w:r w:rsidRPr="001529C7">
        <w:rPr>
          <w:lang w:val="en"/>
        </w:rPr>
        <w:t xml:space="preserve">It follows from the above that UPNK-PV LLP managed to get additional income by reducing costs of production and </w:t>
      </w:r>
      <w:r w:rsidRPr="00A42338">
        <w:rPr>
          <w:i/>
          <w:sz w:val="24"/>
          <w:lang w:val="en"/>
        </w:rPr>
        <w:t>(or)</w:t>
      </w:r>
      <w:r w:rsidRPr="001529C7">
        <w:rPr>
          <w:lang w:val="en"/>
        </w:rPr>
        <w:t xml:space="preserve"> sale at the expense of market entities selling petroleum coke to it, since suppliers sold petroleum coke at a price below market price or at price cost.</w:t>
      </w:r>
    </w:p>
    <w:p w14:paraId="4409BA4E" w14:textId="40583201" w:rsidR="0059338B" w:rsidRPr="00A57506" w:rsidRDefault="004C4BA9" w:rsidP="0059338B">
      <w:pPr>
        <w:rPr>
          <w:lang w:val="en-US"/>
        </w:rPr>
      </w:pPr>
      <w:r w:rsidRPr="001529C7">
        <w:rPr>
          <w:lang w:val="en"/>
        </w:rPr>
        <w:t>Thus, there are signs of abusing dominant position in the actions of UPNK-PV LLP. In this connection, for the first time in practice of antimonopoly authority, investigation is being conducted on the grounds of establishing and maintaining monopson</w:t>
      </w:r>
      <w:r w:rsidR="00AF59F7">
        <w:rPr>
          <w:lang w:val="en"/>
        </w:rPr>
        <w:t xml:space="preserve">ically </w:t>
      </w:r>
      <w:r w:rsidRPr="001529C7">
        <w:rPr>
          <w:lang w:val="en"/>
        </w:rPr>
        <w:t xml:space="preserve">low prices. </w:t>
      </w:r>
    </w:p>
    <w:p w14:paraId="443D2A1D" w14:textId="77777777" w:rsidR="0059338B" w:rsidRPr="00A57506" w:rsidRDefault="004C4BA9" w:rsidP="00A42338">
      <w:pPr>
        <w:rPr>
          <w:lang w:val="en-US"/>
        </w:rPr>
      </w:pPr>
      <w:r w:rsidRPr="001529C7">
        <w:rPr>
          <w:lang w:val="en"/>
        </w:rPr>
        <w:t xml:space="preserve">Currently, compliance of decision of antimonopoly authority to initiate an investigation with the legislation is confirmed by judicial acts of the first and second instances. With that, it is currently being appealed to cassation instance. As result of measures taken, </w:t>
      </w:r>
      <w:r w:rsidRPr="001529C7">
        <w:rPr>
          <w:b/>
          <w:bCs/>
          <w:lang w:val="en"/>
        </w:rPr>
        <w:t>establishment of fair market pricing in the market for sale of petroleum coke will be ensured</w:t>
      </w:r>
      <w:r w:rsidRPr="001529C7">
        <w:rPr>
          <w:lang w:val="en"/>
        </w:rPr>
        <w:t>.</w:t>
      </w:r>
    </w:p>
    <w:p w14:paraId="798563F6" w14:textId="77777777" w:rsidR="007C5A6C" w:rsidRPr="001529C7" w:rsidRDefault="004C4BA9" w:rsidP="00901D92">
      <w:pPr>
        <w:pStyle w:val="Heading2"/>
        <w:numPr>
          <w:ilvl w:val="1"/>
          <w:numId w:val="8"/>
        </w:numPr>
        <w:tabs>
          <w:tab w:val="left" w:pos="0"/>
          <w:tab w:val="left" w:pos="1134"/>
        </w:tabs>
        <w:spacing w:before="240" w:after="240"/>
        <w:ind w:left="0" w:firstLine="567"/>
        <w:rPr>
          <w:rFonts w:cs="Times New Roman"/>
          <w:szCs w:val="28"/>
        </w:rPr>
      </w:pPr>
      <w:r>
        <w:rPr>
          <w:rFonts w:cs="Times New Roman"/>
          <w:szCs w:val="28"/>
          <w:lang w:val="en"/>
        </w:rPr>
        <w:t xml:space="preserve"> </w:t>
      </w:r>
      <w:bookmarkStart w:id="58" w:name="_Toc142467919"/>
      <w:r>
        <w:rPr>
          <w:rFonts w:cs="Times New Roman"/>
          <w:szCs w:val="28"/>
          <w:lang w:val="en"/>
        </w:rPr>
        <w:t>Ammophos sales market</w:t>
      </w:r>
      <w:bookmarkEnd w:id="58"/>
    </w:p>
    <w:p w14:paraId="0D58D4DF" w14:textId="77777777" w:rsidR="0059338B" w:rsidRPr="00A57506" w:rsidRDefault="004C4BA9" w:rsidP="0059338B">
      <w:pPr>
        <w:rPr>
          <w:bCs/>
          <w:iCs/>
          <w:lang w:val="en-US"/>
        </w:rPr>
      </w:pPr>
      <w:r w:rsidRPr="001529C7">
        <w:rPr>
          <w:bCs/>
          <w:iCs/>
          <w:lang w:val="en"/>
        </w:rPr>
        <w:t xml:space="preserve">Based on complaints of agricultural producers </w:t>
      </w:r>
      <w:r w:rsidR="00117298" w:rsidRPr="00117298">
        <w:rPr>
          <w:bCs/>
          <w:i/>
          <w:iCs/>
          <w:sz w:val="24"/>
          <w:lang w:val="en"/>
        </w:rPr>
        <w:t>(hereinafter referred to as AGP)</w:t>
      </w:r>
      <w:r w:rsidRPr="001529C7">
        <w:rPr>
          <w:bCs/>
          <w:iCs/>
          <w:lang w:val="en"/>
        </w:rPr>
        <w:t xml:space="preserve"> and local executive bodies about increase of price for ammophos by 49% from October </w:t>
      </w:r>
      <w:r w:rsidRPr="001529C7">
        <w:rPr>
          <w:bCs/>
          <w:iCs/>
          <w:lang w:val="en"/>
        </w:rPr>
        <w:lastRenderedPageBreak/>
        <w:t xml:space="preserve">2021 </w:t>
      </w:r>
      <w:r w:rsidRPr="00117298">
        <w:rPr>
          <w:bCs/>
          <w:i/>
          <w:iCs/>
          <w:sz w:val="24"/>
          <w:lang w:val="en"/>
        </w:rPr>
        <w:t>(125,000 KZT/ton)</w:t>
      </w:r>
      <w:r w:rsidRPr="001529C7">
        <w:rPr>
          <w:bCs/>
          <w:iCs/>
          <w:lang w:val="en"/>
        </w:rPr>
        <w:t xml:space="preserve"> to January 2022 </w:t>
      </w:r>
      <w:r w:rsidRPr="00117298">
        <w:rPr>
          <w:bCs/>
          <w:i/>
          <w:iCs/>
          <w:sz w:val="24"/>
          <w:lang w:val="en"/>
        </w:rPr>
        <w:t>(185,000 KZT/ton)</w:t>
      </w:r>
      <w:r w:rsidRPr="001529C7">
        <w:rPr>
          <w:bCs/>
          <w:iCs/>
          <w:lang w:val="en"/>
        </w:rPr>
        <w:t>, the Agency analyzed state of competition in ammophos sales market.</w:t>
      </w:r>
    </w:p>
    <w:p w14:paraId="23EB3645" w14:textId="77777777" w:rsidR="0059338B" w:rsidRPr="00A57506" w:rsidRDefault="004C4BA9" w:rsidP="0059338B">
      <w:pPr>
        <w:rPr>
          <w:bCs/>
          <w:iCs/>
          <w:lang w:val="en-US"/>
        </w:rPr>
      </w:pPr>
      <w:r w:rsidRPr="001529C7">
        <w:rPr>
          <w:bCs/>
          <w:iCs/>
          <w:lang w:val="en"/>
        </w:rPr>
        <w:t>The purpose of analysis was to determine market share of Kazphosphate LLP, establish presence or absence of signs of violation of competition protection legislation.</w:t>
      </w:r>
    </w:p>
    <w:p w14:paraId="118DC4F1" w14:textId="77777777" w:rsidR="0059338B" w:rsidRPr="00A57506" w:rsidRDefault="004C4BA9" w:rsidP="0059338B">
      <w:pPr>
        <w:rPr>
          <w:bCs/>
          <w:iCs/>
          <w:lang w:val="en-US"/>
        </w:rPr>
      </w:pPr>
      <w:r w:rsidRPr="001529C7">
        <w:rPr>
          <w:bCs/>
          <w:iCs/>
          <w:lang w:val="en"/>
        </w:rPr>
        <w:t xml:space="preserve">In the world market of phosphoric fertilizers, more than 175 countries are consumers, only 30 countries produce phosphoric raw materials, and about 40 countries are producers of phosphoric acid and its derivatives. At a global scale, this market has </w:t>
      </w:r>
      <w:r w:rsidRPr="00117298">
        <w:rPr>
          <w:b/>
          <w:bCs/>
          <w:iCs/>
          <w:lang w:val="en"/>
        </w:rPr>
        <w:t>oligopoly structure</w:t>
      </w:r>
      <w:r w:rsidRPr="001529C7">
        <w:rPr>
          <w:bCs/>
          <w:iCs/>
          <w:lang w:val="en"/>
        </w:rPr>
        <w:t xml:space="preserve">. </w:t>
      </w:r>
    </w:p>
    <w:p w14:paraId="06C91D28" w14:textId="3AE75B3C" w:rsidR="0059338B" w:rsidRPr="00A57506" w:rsidRDefault="004C4BA9" w:rsidP="0059338B">
      <w:pPr>
        <w:rPr>
          <w:bCs/>
          <w:iCs/>
          <w:lang w:val="en-US"/>
        </w:rPr>
      </w:pPr>
      <w:r w:rsidRPr="001529C7">
        <w:rPr>
          <w:bCs/>
          <w:iCs/>
          <w:lang w:val="en"/>
        </w:rPr>
        <w:t xml:space="preserve">As part of the analysis, it was found that </w:t>
      </w:r>
      <w:r w:rsidRPr="00117298">
        <w:rPr>
          <w:b/>
          <w:bCs/>
          <w:iCs/>
          <w:lang w:val="en"/>
        </w:rPr>
        <w:t>Kazphosphate LLP</w:t>
      </w:r>
      <w:r w:rsidRPr="001529C7">
        <w:rPr>
          <w:bCs/>
          <w:iCs/>
          <w:lang w:val="en"/>
        </w:rPr>
        <w:t xml:space="preserve"> is the only producer of ammophos at domestic market with dominant share of </w:t>
      </w:r>
      <w:r w:rsidRPr="00117298">
        <w:rPr>
          <w:b/>
          <w:bCs/>
          <w:iCs/>
          <w:lang w:val="en"/>
        </w:rPr>
        <w:t>60%</w:t>
      </w:r>
      <w:r w:rsidRPr="001529C7">
        <w:rPr>
          <w:bCs/>
          <w:iCs/>
          <w:lang w:val="en"/>
        </w:rPr>
        <w:t xml:space="preserve">. According to results of analysis, actions of Kazphosphate LLP revealed signs of violation of the law in terms of </w:t>
      </w:r>
      <w:r w:rsidRPr="00117298">
        <w:rPr>
          <w:b/>
          <w:bCs/>
          <w:iCs/>
          <w:lang w:val="en"/>
        </w:rPr>
        <w:t>establishing and maintaining monopolistically high prices</w:t>
      </w:r>
      <w:r w:rsidRPr="001529C7">
        <w:rPr>
          <w:bCs/>
          <w:iCs/>
          <w:lang w:val="en"/>
        </w:rPr>
        <w:t>.</w:t>
      </w:r>
    </w:p>
    <w:p w14:paraId="6C704592" w14:textId="77777777" w:rsidR="0059338B" w:rsidRPr="00A57506" w:rsidRDefault="004C4BA9" w:rsidP="0059338B">
      <w:pPr>
        <w:rPr>
          <w:bCs/>
          <w:iCs/>
          <w:lang w:val="en-US"/>
        </w:rPr>
      </w:pPr>
      <w:r w:rsidRPr="001529C7">
        <w:rPr>
          <w:bCs/>
          <w:iCs/>
          <w:lang w:val="en"/>
        </w:rPr>
        <w:t xml:space="preserve">For example, when selling ammophos from the factory </w:t>
      </w:r>
      <w:r w:rsidRPr="00117298">
        <w:rPr>
          <w:bCs/>
          <w:i/>
          <w:iCs/>
          <w:sz w:val="24"/>
          <w:lang w:val="en"/>
        </w:rPr>
        <w:t>(pick-up by consumers)</w:t>
      </w:r>
      <w:r w:rsidRPr="001529C7">
        <w:rPr>
          <w:bCs/>
          <w:iCs/>
          <w:lang w:val="en"/>
        </w:rPr>
        <w:t xml:space="preserve">, manufacturer included logistics services in the cost of goods, thereby established selling price exceeded amount of expenses necessary for production and sale of ammophos. As a result of investigation, case materials of the case were transferred to Department of Economic Investigations of Zhambyl region, where, as part of criminal case, market entity compensated for damage in amount of more than </w:t>
      </w:r>
      <w:r w:rsidRPr="00117298">
        <w:rPr>
          <w:b/>
          <w:bCs/>
          <w:iCs/>
          <w:lang w:val="en"/>
        </w:rPr>
        <w:t>697 million KZT</w:t>
      </w:r>
      <w:r w:rsidRPr="001529C7">
        <w:rPr>
          <w:bCs/>
          <w:iCs/>
          <w:lang w:val="en"/>
        </w:rPr>
        <w:t>.</w:t>
      </w:r>
    </w:p>
    <w:p w14:paraId="2A29DB2A" w14:textId="77777777" w:rsidR="0059338B" w:rsidRPr="00A57506" w:rsidRDefault="004C4BA9" w:rsidP="0059338B">
      <w:pPr>
        <w:rPr>
          <w:iCs/>
          <w:lang w:val="en-US"/>
        </w:rPr>
      </w:pPr>
      <w:r w:rsidRPr="001529C7">
        <w:rPr>
          <w:bCs/>
          <w:iCs/>
          <w:lang w:val="en"/>
        </w:rPr>
        <w:t xml:space="preserve">Currently, Kazphosphate LLP supports development of agriculture by participating in fertilizer subsidy system. Within the framework of the memorandum concluded with the Government, the company sells ammophos at domestic market to responsible farmers at prices significantly lower than export prices. </w:t>
      </w:r>
    </w:p>
    <w:p w14:paraId="22C9AE1B" w14:textId="77777777" w:rsidR="0059338B" w:rsidRPr="00A57506" w:rsidRDefault="004C4BA9" w:rsidP="0059338B">
      <w:pPr>
        <w:rPr>
          <w:bCs/>
          <w:iCs/>
          <w:lang w:val="en-US"/>
        </w:rPr>
      </w:pPr>
      <w:r>
        <w:rPr>
          <w:bCs/>
          <w:iCs/>
          <w:lang w:val="en"/>
        </w:rPr>
        <w:t xml:space="preserve">Also, according to Kazphosphate LLP, difference between inflated price and new price was returned to customers who paid it in the form of </w:t>
      </w:r>
      <w:r w:rsidRPr="001529C7">
        <w:rPr>
          <w:b/>
          <w:iCs/>
          <w:lang w:val="en"/>
        </w:rPr>
        <w:t>additional volume of ammophos, for 1.5 billion KZT and 383 million KZT in cash</w:t>
      </w:r>
      <w:r>
        <w:rPr>
          <w:bCs/>
          <w:iCs/>
          <w:lang w:val="en"/>
        </w:rPr>
        <w:t>.</w:t>
      </w:r>
    </w:p>
    <w:p w14:paraId="2E28FF1A" w14:textId="77777777" w:rsidR="0056211E" w:rsidRPr="00A57506" w:rsidRDefault="004C4BA9" w:rsidP="0056211E">
      <w:pPr>
        <w:rPr>
          <w:lang w:val="en-US"/>
        </w:rPr>
      </w:pPr>
      <w:r w:rsidRPr="001529C7">
        <w:rPr>
          <w:lang w:val="en"/>
        </w:rPr>
        <w:t xml:space="preserve">With that, current state support measures aimed at supporting domestic agricultural producers lead to </w:t>
      </w:r>
      <w:r w:rsidRPr="00DB6ACF">
        <w:rPr>
          <w:b/>
          <w:lang w:val="en"/>
        </w:rPr>
        <w:t>stagnation</w:t>
      </w:r>
      <w:r w:rsidRPr="001529C7">
        <w:rPr>
          <w:lang w:val="en"/>
        </w:rPr>
        <w:t xml:space="preserve"> of mineral fertilizers market.</w:t>
      </w:r>
    </w:p>
    <w:p w14:paraId="75CF523F" w14:textId="77777777" w:rsidR="0059338B" w:rsidRPr="00A57506" w:rsidRDefault="004C4BA9" w:rsidP="0059338B">
      <w:pPr>
        <w:rPr>
          <w:lang w:val="en-US"/>
        </w:rPr>
      </w:pPr>
      <w:r w:rsidRPr="001529C7">
        <w:rPr>
          <w:lang w:val="en"/>
        </w:rPr>
        <w:t>The state provided domestic agricultural enterprises with financial support in the form of subsidizing half the market value of mineral fertilizers.</w:t>
      </w:r>
    </w:p>
    <w:p w14:paraId="2D9337DE" w14:textId="77777777" w:rsidR="0059338B" w:rsidRPr="00A57506" w:rsidRDefault="004C4BA9" w:rsidP="0059338B">
      <w:pPr>
        <w:rPr>
          <w:lang w:val="en-US"/>
        </w:rPr>
      </w:pPr>
      <w:r w:rsidRPr="001529C7">
        <w:rPr>
          <w:lang w:val="en"/>
        </w:rPr>
        <w:t>The price of delivery of ammophos to domestic market is agreed by the authorized body at price below market and export prices.</w:t>
      </w:r>
    </w:p>
    <w:p w14:paraId="03D31898" w14:textId="77777777" w:rsidR="0059338B" w:rsidRPr="00A57506" w:rsidRDefault="004C4BA9" w:rsidP="0059338B">
      <w:pPr>
        <w:rPr>
          <w:bCs/>
          <w:iCs/>
          <w:lang w:val="en-US"/>
        </w:rPr>
      </w:pPr>
      <w:r w:rsidRPr="001529C7">
        <w:rPr>
          <w:bCs/>
          <w:iCs/>
          <w:lang w:val="en"/>
        </w:rPr>
        <w:t>Thus, the state artificially underestimated cost of ammophos at domestic market, as well as subsidized half of its purchasing costs.</w:t>
      </w:r>
    </w:p>
    <w:p w14:paraId="546323A2" w14:textId="77777777" w:rsidR="0059338B" w:rsidRPr="00A57506" w:rsidRDefault="004C4BA9" w:rsidP="0059338B">
      <w:pPr>
        <w:rPr>
          <w:bCs/>
          <w:iCs/>
          <w:lang w:val="en-US"/>
        </w:rPr>
      </w:pPr>
      <w:r w:rsidRPr="001529C7">
        <w:rPr>
          <w:bCs/>
          <w:iCs/>
          <w:lang w:val="en"/>
        </w:rPr>
        <w:t>State interference in entity's pricing is a constraining factor for development of the market, contrary to principles of interaction between business entities and the state.</w:t>
      </w:r>
    </w:p>
    <w:p w14:paraId="7A5AE254" w14:textId="77777777" w:rsidR="0059338B" w:rsidRPr="00A57506" w:rsidRDefault="004C4BA9" w:rsidP="0059338B">
      <w:pPr>
        <w:rPr>
          <w:bCs/>
          <w:iCs/>
          <w:lang w:val="en-US"/>
        </w:rPr>
      </w:pPr>
      <w:r w:rsidRPr="001529C7">
        <w:rPr>
          <w:bCs/>
          <w:iCs/>
          <w:lang w:val="en"/>
        </w:rPr>
        <w:t>With that, the issue of control by authorized state bodies over actual use and application of mineral fertilizers by agricultural producers remains unresolved.</w:t>
      </w:r>
    </w:p>
    <w:p w14:paraId="0BA9A09D" w14:textId="77777777" w:rsidR="0059338B" w:rsidRPr="00A57506" w:rsidRDefault="004C4BA9" w:rsidP="00117298">
      <w:pPr>
        <w:rPr>
          <w:bCs/>
          <w:iCs/>
          <w:lang w:val="en-US"/>
        </w:rPr>
      </w:pPr>
      <w:r w:rsidRPr="001529C7">
        <w:rPr>
          <w:bCs/>
          <w:iCs/>
          <w:lang w:val="en"/>
        </w:rPr>
        <w:t xml:space="preserve">Absence of estimated indicator of effectiveness of allocated funds allocated carries the risks of unfair use of mineral fertilizers. Domestic producers of mineral fertilizers report </w:t>
      </w:r>
      <w:r w:rsidRPr="00117298">
        <w:rPr>
          <w:b/>
          <w:bCs/>
          <w:iCs/>
          <w:lang w:val="en"/>
        </w:rPr>
        <w:t>export</w:t>
      </w:r>
      <w:r w:rsidRPr="001529C7">
        <w:rPr>
          <w:bCs/>
          <w:iCs/>
          <w:lang w:val="en"/>
        </w:rPr>
        <w:t xml:space="preserve"> of </w:t>
      </w:r>
      <w:r w:rsidRPr="00117298">
        <w:rPr>
          <w:b/>
          <w:bCs/>
          <w:iCs/>
          <w:lang w:val="en"/>
        </w:rPr>
        <w:t>state-subsidized products</w:t>
      </w:r>
      <w:r w:rsidRPr="001529C7">
        <w:rPr>
          <w:bCs/>
          <w:iCs/>
          <w:lang w:val="en"/>
        </w:rPr>
        <w:t xml:space="preserve"> by farms and peasant farms.</w:t>
      </w:r>
    </w:p>
    <w:p w14:paraId="05835053" w14:textId="77777777" w:rsidR="00043A46" w:rsidRPr="00A57506" w:rsidRDefault="004C4BA9" w:rsidP="00323B1C">
      <w:pPr>
        <w:pStyle w:val="Heading2"/>
        <w:numPr>
          <w:ilvl w:val="1"/>
          <w:numId w:val="8"/>
        </w:numPr>
        <w:tabs>
          <w:tab w:val="left" w:pos="0"/>
          <w:tab w:val="left" w:pos="1134"/>
        </w:tabs>
        <w:spacing w:before="240" w:after="240"/>
        <w:ind w:left="0" w:firstLine="567"/>
        <w:rPr>
          <w:rFonts w:cs="Times New Roman"/>
          <w:szCs w:val="28"/>
          <w:lang w:val="en-US"/>
        </w:rPr>
      </w:pPr>
      <w:r>
        <w:rPr>
          <w:rFonts w:cs="Times New Roman"/>
          <w:szCs w:val="28"/>
          <w:lang w:val="en"/>
        </w:rPr>
        <w:lastRenderedPageBreak/>
        <w:t xml:space="preserve"> </w:t>
      </w:r>
      <w:bookmarkStart w:id="59" w:name="_Toc142467920"/>
      <w:r>
        <w:rPr>
          <w:rFonts w:cs="Times New Roman"/>
          <w:szCs w:val="28"/>
          <w:lang w:val="en"/>
        </w:rPr>
        <w:t>Wholesale markets of granulated sugar, processed milk</w:t>
      </w:r>
      <w:bookmarkEnd w:id="59"/>
    </w:p>
    <w:p w14:paraId="19AD36DA" w14:textId="77777777" w:rsidR="00323B1C" w:rsidRPr="00A57506" w:rsidRDefault="004C4BA9" w:rsidP="00323B1C">
      <w:pPr>
        <w:rPr>
          <w:rFonts w:eastAsiaTheme="minorEastAsia"/>
          <w:lang w:val="en-US"/>
        </w:rPr>
      </w:pPr>
      <w:r w:rsidRPr="00DA0A83">
        <w:rPr>
          <w:rFonts w:eastAsiaTheme="minorEastAsia"/>
          <w:lang w:val="en"/>
        </w:rPr>
        <w:t xml:space="preserve">1. The selection criteria for analysis of </w:t>
      </w:r>
      <w:r w:rsidRPr="00DA0A83">
        <w:rPr>
          <w:rFonts w:eastAsiaTheme="minorEastAsia"/>
          <w:b/>
          <w:lang w:val="en"/>
        </w:rPr>
        <w:t>wholesale sugar market</w:t>
      </w:r>
      <w:r w:rsidRPr="00DA0A83">
        <w:rPr>
          <w:rFonts w:eastAsiaTheme="minorEastAsia"/>
          <w:lang w:val="en"/>
        </w:rPr>
        <w:t xml:space="preserve"> were: social significance of the product, price volatility, complaints, media publications indicating signs of violation, import dependence over 35%.</w:t>
      </w:r>
    </w:p>
    <w:p w14:paraId="251E139A" w14:textId="77777777" w:rsidR="00323B1C" w:rsidRPr="00A57506" w:rsidRDefault="004C4BA9" w:rsidP="00323B1C">
      <w:pPr>
        <w:widowControl w:val="0"/>
        <w:pBdr>
          <w:bottom w:val="single" w:sz="4" w:space="31" w:color="FFFFFF"/>
        </w:pBdr>
        <w:adjustRightInd w:val="0"/>
        <w:rPr>
          <w:rFonts w:eastAsia="Calibri"/>
          <w:lang w:val="en-US"/>
        </w:rPr>
      </w:pPr>
      <w:r w:rsidRPr="00DA0A83">
        <w:rPr>
          <w:rFonts w:eastAsiaTheme="minorEastAsia"/>
          <w:lang w:val="en"/>
        </w:rPr>
        <w:t xml:space="preserve">According to BNS, during 2022, average sugar prices increased from 292 to 555 KZT/kg </w:t>
      </w:r>
      <w:r w:rsidRPr="00DA0A83">
        <w:rPr>
          <w:rFonts w:eastAsiaTheme="minorHAnsi"/>
          <w:i/>
          <w:iCs/>
          <w:sz w:val="24"/>
          <w:lang w:val="en" w:eastAsia="en-US"/>
        </w:rPr>
        <w:t>(by 90%)</w:t>
      </w:r>
      <w:r w:rsidRPr="00DA0A83">
        <w:rPr>
          <w:rFonts w:eastAsiaTheme="minorEastAsia"/>
          <w:lang w:val="en"/>
        </w:rPr>
        <w:t xml:space="preserve">. </w:t>
      </w:r>
      <w:bookmarkStart w:id="60" w:name="_Hlk135658848"/>
    </w:p>
    <w:p w14:paraId="0DE2BC96" w14:textId="12831527" w:rsidR="00323B1C" w:rsidRPr="00A57506" w:rsidRDefault="004C4BA9" w:rsidP="00323B1C">
      <w:pPr>
        <w:widowControl w:val="0"/>
        <w:pBdr>
          <w:bottom w:val="single" w:sz="4" w:space="31" w:color="FFFFFF"/>
        </w:pBdr>
        <w:adjustRightInd w:val="0"/>
        <w:rPr>
          <w:lang w:val="en-US"/>
        </w:rPr>
      </w:pPr>
      <w:r w:rsidRPr="00DA0A83">
        <w:rPr>
          <w:rFonts w:eastAsia="Calibri"/>
          <w:lang w:val="en"/>
        </w:rPr>
        <w:t xml:space="preserve">The market by regions is highly </w:t>
      </w:r>
      <w:r w:rsidRPr="00DA0A83">
        <w:rPr>
          <w:rFonts w:eastAsia="Calibri"/>
          <w:b/>
          <w:i/>
          <w:lang w:val="en"/>
        </w:rPr>
        <w:t>concentrated</w:t>
      </w:r>
      <w:r w:rsidRPr="00DA0A83">
        <w:rPr>
          <w:rFonts w:eastAsia="Calibri"/>
          <w:lang w:val="en"/>
        </w:rPr>
        <w:t xml:space="preserve">. </w:t>
      </w:r>
      <w:bookmarkEnd w:id="60"/>
      <w:r w:rsidRPr="00DA0A83">
        <w:rPr>
          <w:rFonts w:eastAsia="Calibri"/>
          <w:lang w:val="en"/>
        </w:rPr>
        <w:t xml:space="preserve">There are </w:t>
      </w:r>
      <w:r w:rsidRPr="00DA0A83">
        <w:rPr>
          <w:b/>
          <w:bCs/>
          <w:lang w:val="en"/>
        </w:rPr>
        <w:t>4 large sugar producers</w:t>
      </w:r>
      <w:r w:rsidRPr="00DA0A83">
        <w:rPr>
          <w:rFonts w:eastAsia="Calibri"/>
          <w:lang w:val="en"/>
        </w:rPr>
        <w:t xml:space="preserve"> in the republic, located in 2 regions </w:t>
      </w:r>
      <w:r w:rsidRPr="00DA0A83">
        <w:rPr>
          <w:bCs/>
          <w:i/>
          <w:sz w:val="24"/>
          <w:lang w:val="en"/>
        </w:rPr>
        <w:t>(2 in Zhambyl region – Taraz and Merke sugar factories, 2 in Almaty region – Koksu and Aksu sugar factories)</w:t>
      </w:r>
      <w:r w:rsidRPr="00DA0A83">
        <w:rPr>
          <w:rFonts w:eastAsia="Calibri"/>
          <w:lang w:val="en"/>
        </w:rPr>
        <w:t xml:space="preserve"> and about 60 wholesale sugar market entit</w:t>
      </w:r>
      <w:r w:rsidR="00AF59F7">
        <w:rPr>
          <w:rFonts w:eastAsia="Calibri"/>
          <w:lang w:val="en"/>
        </w:rPr>
        <w:t>i</w:t>
      </w:r>
      <w:r w:rsidRPr="00DA0A83">
        <w:rPr>
          <w:rFonts w:eastAsia="Calibri"/>
          <w:lang w:val="en"/>
        </w:rPr>
        <w:t>es. Sugar importers of the Russian Federation and the Republic of Belarus also operate on the market.</w:t>
      </w:r>
    </w:p>
    <w:p w14:paraId="4E697E77" w14:textId="77777777" w:rsidR="00323B1C" w:rsidRPr="00A57506" w:rsidRDefault="004C4BA9" w:rsidP="00323B1C">
      <w:pPr>
        <w:widowControl w:val="0"/>
        <w:pBdr>
          <w:bottom w:val="single" w:sz="4" w:space="31" w:color="FFFFFF"/>
        </w:pBdr>
        <w:adjustRightInd w:val="0"/>
        <w:rPr>
          <w:lang w:val="en-US"/>
        </w:rPr>
      </w:pPr>
      <w:r w:rsidRPr="00DA0A83">
        <w:rPr>
          <w:bCs/>
          <w:lang w:val="en"/>
        </w:rPr>
        <w:t xml:space="preserve">According to the market balance, sugar production in Kazakhstan does </w:t>
      </w:r>
      <w:r w:rsidRPr="00DA0A83">
        <w:rPr>
          <w:b/>
          <w:bCs/>
          <w:lang w:val="en"/>
        </w:rPr>
        <w:t>not cover domestic demand</w:t>
      </w:r>
      <w:r w:rsidRPr="00DA0A83">
        <w:rPr>
          <w:bCs/>
          <w:lang w:val="en"/>
        </w:rPr>
        <w:t xml:space="preserve">. Imported products account for </w:t>
      </w:r>
      <w:r w:rsidRPr="00DA0A83">
        <w:rPr>
          <w:b/>
          <w:lang w:val="en"/>
        </w:rPr>
        <w:t>50%</w:t>
      </w:r>
      <w:r w:rsidRPr="00DA0A83">
        <w:rPr>
          <w:bCs/>
          <w:lang w:val="en"/>
        </w:rPr>
        <w:t xml:space="preserve"> </w:t>
      </w:r>
      <w:r w:rsidRPr="00DA0A83">
        <w:rPr>
          <w:bCs/>
          <w:i/>
          <w:sz w:val="24"/>
          <w:szCs w:val="24"/>
          <w:lang w:val="en"/>
        </w:rPr>
        <w:t xml:space="preserve">(for the first half of 2022, production - 121 641.4 tons, export – 128.1 tons, import – 89 753.7 tons, sales – 211 267.0 tons). </w:t>
      </w:r>
      <w:r w:rsidRPr="00DA0A83">
        <w:rPr>
          <w:bCs/>
          <w:lang w:val="en"/>
        </w:rPr>
        <w:t xml:space="preserve"> The main sugar imports come from Russian Federation – 75.1%, the Republic of Belarus – 24.2%, in connection with this, introduction of ban on export of sugar and raw sugar from Russia and Belarus in 2022 negatively affected sugar market in Kazakhstan.</w:t>
      </w:r>
    </w:p>
    <w:p w14:paraId="40256902" w14:textId="77777777" w:rsidR="00323B1C" w:rsidRPr="00A57506" w:rsidRDefault="004C4BA9" w:rsidP="00323B1C">
      <w:pPr>
        <w:widowControl w:val="0"/>
        <w:pBdr>
          <w:bottom w:val="single" w:sz="4" w:space="31" w:color="FFFFFF"/>
        </w:pBdr>
        <w:adjustRightInd w:val="0"/>
        <w:rPr>
          <w:rFonts w:eastAsia="Calibri"/>
          <w:color w:val="000000"/>
          <w:lang w:val="en-US"/>
        </w:rPr>
      </w:pPr>
      <w:r w:rsidRPr="00DA0A83">
        <w:rPr>
          <w:lang w:val="en"/>
        </w:rPr>
        <w:t xml:space="preserve">The volume of production in the Republic of Kazakhstan of 4 plants for the 1st half of 2022 amounted to 119.6 million tons. During analyzed period, manufacturers occupying dominant position at wholesale market of granulated sugar are "Taraz Sugar Factory" LLP  </w:t>
      </w:r>
      <w:r w:rsidRPr="00DA0A83">
        <w:rPr>
          <w:rFonts w:eastAsia="Calibri"/>
          <w:color w:val="000000"/>
          <w:lang w:val="en"/>
        </w:rPr>
        <w:t>and "Koksu Sugar Factory" LLP.</w:t>
      </w:r>
    </w:p>
    <w:p w14:paraId="763A3A08" w14:textId="77777777" w:rsidR="00323B1C" w:rsidRPr="00A57506" w:rsidRDefault="004C4BA9" w:rsidP="00323B1C">
      <w:pPr>
        <w:widowControl w:val="0"/>
        <w:pBdr>
          <w:bottom w:val="single" w:sz="4" w:space="31" w:color="FFFFFF"/>
        </w:pBdr>
        <w:adjustRightInd w:val="0"/>
        <w:rPr>
          <w:lang w:val="en-US"/>
        </w:rPr>
      </w:pPr>
      <w:r w:rsidRPr="00DA0A83">
        <w:rPr>
          <w:lang w:val="en"/>
        </w:rPr>
        <w:t xml:space="preserve">Domestic sugar market is </w:t>
      </w:r>
      <w:r w:rsidRPr="00DA0A83">
        <w:rPr>
          <w:b/>
          <w:lang w:val="en"/>
        </w:rPr>
        <w:t>90% dependent on imported raw materials</w:t>
      </w:r>
      <w:r w:rsidRPr="00DA0A83">
        <w:rPr>
          <w:lang w:val="en"/>
        </w:rPr>
        <w:t xml:space="preserve"> – cane sugar. With that, there is a high cost of these raw materials and high costs for delivering it to sugar factories, despite zero import duties. In this regard, sugar of domestic production is </w:t>
      </w:r>
      <w:r w:rsidRPr="00DA0A83">
        <w:rPr>
          <w:b/>
          <w:lang w:val="en"/>
        </w:rPr>
        <w:t>uncompetitive</w:t>
      </w:r>
      <w:r w:rsidRPr="00DA0A83">
        <w:rPr>
          <w:lang w:val="en"/>
        </w:rPr>
        <w:t xml:space="preserve"> compared to Russian and Belarusian sugar produced from sugar beet.</w:t>
      </w:r>
    </w:p>
    <w:p w14:paraId="32D1299C" w14:textId="77777777" w:rsidR="00323B1C" w:rsidRPr="00A57506" w:rsidRDefault="004C4BA9" w:rsidP="00323B1C">
      <w:pPr>
        <w:widowControl w:val="0"/>
        <w:pBdr>
          <w:bottom w:val="single" w:sz="4" w:space="31" w:color="FFFFFF"/>
        </w:pBdr>
        <w:adjustRightInd w:val="0"/>
        <w:rPr>
          <w:lang w:val="en-US"/>
        </w:rPr>
      </w:pPr>
      <w:r w:rsidRPr="00DA0A83">
        <w:rPr>
          <w:bCs/>
          <w:lang w:val="en"/>
        </w:rPr>
        <w:t xml:space="preserve">There is also low quality of beet production due to shortage of irrigation water, working capital at processors and producers, incomplete loading of production capacities, high production costs from sugar beet and imported raw sugar. Purchase of raw materials by sugar factories in 2022 was carried out at the expense of customers </w:t>
      </w:r>
      <w:r w:rsidRPr="00DA0A83">
        <w:rPr>
          <w:i/>
          <w:iCs/>
          <w:sz w:val="24"/>
          <w:lang w:val="en"/>
        </w:rPr>
        <w:t>(wholesale buyers)</w:t>
      </w:r>
      <w:r w:rsidRPr="00DA0A83">
        <w:rPr>
          <w:bCs/>
          <w:lang w:val="en"/>
        </w:rPr>
        <w:t xml:space="preserve">, who were represented by a large wholesale supplier - </w:t>
      </w:r>
      <w:r w:rsidRPr="00DA0A83">
        <w:rPr>
          <w:b/>
          <w:bCs/>
          <w:lang w:val="en"/>
        </w:rPr>
        <w:t>KaIs Invest LLP</w:t>
      </w:r>
      <w:r w:rsidRPr="00DA0A83">
        <w:rPr>
          <w:bCs/>
          <w:lang w:val="en"/>
        </w:rPr>
        <w:t xml:space="preserve">, which contracted </w:t>
      </w:r>
      <w:r w:rsidRPr="00DA0A83">
        <w:rPr>
          <w:b/>
          <w:lang w:val="en"/>
        </w:rPr>
        <w:t>90%</w:t>
      </w:r>
      <w:r w:rsidRPr="00DA0A83">
        <w:rPr>
          <w:bCs/>
          <w:lang w:val="en"/>
        </w:rPr>
        <w:t xml:space="preserve"> of produced sugar. </w:t>
      </w:r>
    </w:p>
    <w:p w14:paraId="1D36244F" w14:textId="77777777" w:rsidR="00323B1C" w:rsidRPr="00A57506" w:rsidRDefault="004C4BA9" w:rsidP="00323B1C">
      <w:pPr>
        <w:widowControl w:val="0"/>
        <w:pBdr>
          <w:bottom w:val="single" w:sz="4" w:space="31" w:color="FFFFFF"/>
        </w:pBdr>
        <w:adjustRightInd w:val="0"/>
        <w:rPr>
          <w:lang w:val="en-US"/>
        </w:rPr>
      </w:pPr>
      <w:r w:rsidRPr="00DA0A83">
        <w:rPr>
          <w:rFonts w:eastAsia="Calibri"/>
          <w:bCs/>
          <w:lang w:val="en"/>
        </w:rPr>
        <w:t xml:space="preserve">With that , during specified period, there is restriction of access to produced sugar to other wholesale regional suppliers and sellers. As a result, antimonopoly authority established signs of abusing dominant position in actions of Taraz Sugar Factory LLP in terms of unjustified </w:t>
      </w:r>
      <w:r w:rsidRPr="00DA0A83">
        <w:rPr>
          <w:rFonts w:eastAsia="Calibri"/>
          <w:b/>
          <w:lang w:val="en"/>
        </w:rPr>
        <w:t>refusal to conclude a contract</w:t>
      </w:r>
      <w:r w:rsidRPr="00DA0A83">
        <w:rPr>
          <w:rFonts w:eastAsia="Calibri"/>
          <w:bCs/>
          <w:lang w:val="en"/>
        </w:rPr>
        <w:t xml:space="preserve">. In addition, signs of anticompetitive concerted actions have been established with respect to Taraz Sugar Factory LLP and Merke Sugar LLP, in terms of </w:t>
      </w:r>
      <w:r w:rsidRPr="00DA0A83">
        <w:rPr>
          <w:b/>
          <w:lang w:val="en"/>
        </w:rPr>
        <w:t>setting and maintaining prices</w:t>
      </w:r>
      <w:r w:rsidRPr="00DA0A83">
        <w:rPr>
          <w:rFonts w:eastAsia="Calibri"/>
          <w:bCs/>
          <w:lang w:val="en"/>
        </w:rPr>
        <w:t xml:space="preserve">, following which notifications were issued about signs of antimonopoly legislation violation in actions of market entities.   </w:t>
      </w:r>
    </w:p>
    <w:p w14:paraId="411BADFC" w14:textId="77777777" w:rsidR="00323B1C" w:rsidRPr="00A57506" w:rsidRDefault="004C4BA9" w:rsidP="00323B1C">
      <w:pPr>
        <w:widowControl w:val="0"/>
        <w:pBdr>
          <w:bottom w:val="single" w:sz="4" w:space="31" w:color="FFFFFF"/>
        </w:pBdr>
        <w:adjustRightInd w:val="0"/>
        <w:rPr>
          <w:lang w:val="en-US"/>
        </w:rPr>
      </w:pPr>
      <w:r w:rsidRPr="00DA0A83">
        <w:rPr>
          <w:lang w:val="en"/>
        </w:rPr>
        <w:t xml:space="preserve">Due to non-execution of the notification, investigation has been appointed in </w:t>
      </w:r>
      <w:r w:rsidRPr="00DA0A83">
        <w:rPr>
          <w:lang w:val="en"/>
        </w:rPr>
        <w:lastRenderedPageBreak/>
        <w:t>relation to Taraz Sugar Factory LLP. By court decision, this entity was brought to administrative responsibility in the form of fine, for more than 8.5 million KZT.</w:t>
      </w:r>
    </w:p>
    <w:p w14:paraId="5DEE7ABB"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 xml:space="preserve">In general, in 2022, the antimonopoly authority issued </w:t>
      </w:r>
      <w:r w:rsidRPr="00DA0A83">
        <w:rPr>
          <w:b/>
          <w:bCs/>
          <w:lang w:val="en"/>
        </w:rPr>
        <w:t>18 notifications</w:t>
      </w:r>
      <w:r w:rsidRPr="00DA0A83">
        <w:rPr>
          <w:lang w:val="en"/>
        </w:rPr>
        <w:t xml:space="preserve"> at sugar market </w:t>
      </w:r>
      <w:r w:rsidRPr="00DA0A83">
        <w:rPr>
          <w:i/>
          <w:iCs/>
          <w:sz w:val="24"/>
          <w:lang w:val="en"/>
        </w:rPr>
        <w:t>(2 producers and 16 wholesale suppliers)</w:t>
      </w:r>
      <w:r w:rsidRPr="00DA0A83">
        <w:rPr>
          <w:lang w:val="en"/>
        </w:rPr>
        <w:t xml:space="preserve">, initiated </w:t>
      </w:r>
      <w:r w:rsidRPr="00DA0A83">
        <w:rPr>
          <w:b/>
          <w:bCs/>
          <w:lang w:val="en"/>
        </w:rPr>
        <w:t>4 investigations</w:t>
      </w:r>
      <w:r w:rsidRPr="00DA0A83">
        <w:rPr>
          <w:i/>
          <w:iCs/>
          <w:sz w:val="24"/>
          <w:lang w:val="en"/>
        </w:rPr>
        <w:t xml:space="preserve"> (1 manufacturer and 3 wholesale sellers)</w:t>
      </w:r>
      <w:r w:rsidRPr="00DA0A83">
        <w:rPr>
          <w:lang w:val="en"/>
        </w:rPr>
        <w:t xml:space="preserve"> and approved </w:t>
      </w:r>
      <w:r w:rsidRPr="00DA0A83">
        <w:rPr>
          <w:b/>
          <w:bCs/>
          <w:lang w:val="en"/>
        </w:rPr>
        <w:t>12 external acts</w:t>
      </w:r>
      <w:r w:rsidRPr="00DA0A83">
        <w:rPr>
          <w:lang w:val="en"/>
        </w:rPr>
        <w:t xml:space="preserve"> of antimonopoly compliance. As a result of execution of notifications, price of sugar </w:t>
      </w:r>
      <w:r w:rsidRPr="00DA0A83">
        <w:rPr>
          <w:b/>
          <w:lang w:val="en"/>
        </w:rPr>
        <w:t>decreased</w:t>
      </w:r>
      <w:r w:rsidRPr="00DA0A83">
        <w:rPr>
          <w:lang w:val="en"/>
        </w:rPr>
        <w:t xml:space="preserve"> by an average </w:t>
      </w:r>
      <w:r w:rsidRPr="00DA0A83">
        <w:rPr>
          <w:b/>
          <w:lang w:val="en"/>
        </w:rPr>
        <w:t>of 11%</w:t>
      </w:r>
      <w:r w:rsidRPr="00DA0A83">
        <w:rPr>
          <w:lang w:val="en"/>
        </w:rPr>
        <w:t xml:space="preserve"> for producers, </w:t>
      </w:r>
      <w:r w:rsidRPr="00DA0A83">
        <w:rPr>
          <w:b/>
          <w:lang w:val="en"/>
        </w:rPr>
        <w:t>12.5%</w:t>
      </w:r>
      <w:r w:rsidRPr="00DA0A83">
        <w:rPr>
          <w:lang w:val="en"/>
        </w:rPr>
        <w:t xml:space="preserve"> for retail sellers. According to results of completed investigations, the state budget received </w:t>
      </w:r>
      <w:r w:rsidRPr="00DA0A83">
        <w:rPr>
          <w:b/>
          <w:lang w:val="en"/>
        </w:rPr>
        <w:t>more than 8.6 million KZT</w:t>
      </w:r>
      <w:r w:rsidRPr="00DA0A83">
        <w:rPr>
          <w:lang w:val="en"/>
        </w:rPr>
        <w:t>.</w:t>
      </w:r>
    </w:p>
    <w:p w14:paraId="20E73E23"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 xml:space="preserve">Also, sugar is included in List of exchange goods </w:t>
      </w:r>
      <w:r w:rsidRPr="00DA0A83">
        <w:rPr>
          <w:i/>
          <w:iCs/>
          <w:sz w:val="24"/>
          <w:szCs w:val="24"/>
          <w:lang w:val="en"/>
        </w:rPr>
        <w:t>(minimum size of the sugar supply batch is equal to 60 tons)</w:t>
      </w:r>
      <w:r w:rsidRPr="00DA0A83">
        <w:rPr>
          <w:lang w:val="en"/>
        </w:rPr>
        <w:t xml:space="preserve"> and sale of such volumes should be carried out only through commodity exchange </w:t>
      </w:r>
      <w:r w:rsidRPr="00DA0A83">
        <w:rPr>
          <w:i/>
          <w:iCs/>
          <w:sz w:val="24"/>
          <w:szCs w:val="24"/>
          <w:lang w:val="en"/>
        </w:rPr>
        <w:t>(Order of the Ministry of National Economy of the Republic of Kazakhstan dated 26.02.2015 No. 142)</w:t>
      </w:r>
      <w:r w:rsidRPr="00DA0A83">
        <w:rPr>
          <w:lang w:val="en"/>
        </w:rPr>
        <w:t>.</w:t>
      </w:r>
    </w:p>
    <w:p w14:paraId="62479543" w14:textId="77777777" w:rsidR="00323B1C" w:rsidRPr="00A57506" w:rsidRDefault="004C4BA9" w:rsidP="00323B1C">
      <w:pPr>
        <w:widowControl w:val="0"/>
        <w:pBdr>
          <w:bottom w:val="single" w:sz="4" w:space="31" w:color="FFFFFF"/>
        </w:pBdr>
        <w:adjustRightInd w:val="0"/>
        <w:ind w:firstLine="0"/>
        <w:rPr>
          <w:i/>
          <w:sz w:val="24"/>
          <w:szCs w:val="24"/>
          <w:lang w:val="en-US"/>
        </w:rPr>
      </w:pPr>
      <w:r w:rsidRPr="00DA0A83">
        <w:rPr>
          <w:lang w:val="en"/>
        </w:rPr>
        <w:tab/>
        <w:t xml:space="preserve">During the analysis, it was found that Taraz Sugar Factory has been selling products through commodity exchange only since May 2022. The plant registered and sold at commodity exchange </w:t>
      </w:r>
      <w:r w:rsidRPr="00DA0A83">
        <w:rPr>
          <w:i/>
          <w:sz w:val="24"/>
          <w:lang w:val="en"/>
        </w:rPr>
        <w:t>("International Commodity Exchange "Kazakhstan" JSC )</w:t>
      </w:r>
      <w:r w:rsidRPr="00DA0A83">
        <w:rPr>
          <w:lang w:val="en"/>
        </w:rPr>
        <w:t xml:space="preserve"> only for SEC. Similar actions were detected at remaining 3 plants </w:t>
      </w:r>
      <w:r w:rsidRPr="00DA0A83">
        <w:rPr>
          <w:i/>
          <w:sz w:val="24"/>
          <w:szCs w:val="24"/>
          <w:lang w:val="en"/>
        </w:rPr>
        <w:t>(Koksu Sugar Factory LLP, Merke Sugar LLP and Aksu Kant LLP).</w:t>
      </w:r>
    </w:p>
    <w:p w14:paraId="6F360F4B" w14:textId="77777777" w:rsidR="00323B1C" w:rsidRPr="00A57506" w:rsidRDefault="004C4BA9" w:rsidP="00323B1C">
      <w:pPr>
        <w:widowControl w:val="0"/>
        <w:pBdr>
          <w:bottom w:val="single" w:sz="4" w:space="31" w:color="FFFFFF"/>
        </w:pBdr>
        <w:adjustRightInd w:val="0"/>
        <w:ind w:firstLine="0"/>
        <w:rPr>
          <w:lang w:val="en-US"/>
        </w:rPr>
      </w:pPr>
      <w:bookmarkStart w:id="61" w:name="_Hlk104819364"/>
      <w:r w:rsidRPr="00DA0A83">
        <w:rPr>
          <w:lang w:val="en"/>
        </w:rPr>
        <w:tab/>
        <w:t xml:space="preserve">The Agency sent materials to authorized body </w:t>
      </w:r>
      <w:r w:rsidRPr="00DA0A83">
        <w:rPr>
          <w:i/>
          <w:iCs/>
          <w:sz w:val="24"/>
          <w:szCs w:val="24"/>
          <w:lang w:val="en"/>
        </w:rPr>
        <w:t>(MTI RK)</w:t>
      </w:r>
      <w:r w:rsidRPr="00DA0A83">
        <w:rPr>
          <w:lang w:val="en"/>
        </w:rPr>
        <w:t xml:space="preserve"> on the need to consider initiating and considering administrative offense case against sugar factories under part 3 of Article 268 of the Administrative Code of the Republic of Kazakhstan on sale of goods included in the list of exchange goods, outside commodity exchanges. </w:t>
      </w:r>
    </w:p>
    <w:p w14:paraId="07F595ED" w14:textId="77777777" w:rsidR="00323B1C" w:rsidRPr="00A57506" w:rsidRDefault="004C4BA9" w:rsidP="00323B1C">
      <w:pPr>
        <w:widowControl w:val="0"/>
        <w:pBdr>
          <w:bottom w:val="single" w:sz="4" w:space="31" w:color="FFFFFF"/>
        </w:pBdr>
        <w:adjustRightInd w:val="0"/>
        <w:ind w:firstLine="0"/>
        <w:rPr>
          <w:rFonts w:eastAsiaTheme="minorHAnsi"/>
          <w:lang w:val="en-US" w:eastAsia="en-US"/>
        </w:rPr>
      </w:pPr>
      <w:r w:rsidRPr="00DA0A83">
        <w:rPr>
          <w:rFonts w:eastAsiaTheme="minorHAnsi"/>
          <w:lang w:val="en" w:eastAsia="en-US"/>
        </w:rPr>
        <w:tab/>
        <w:t xml:space="preserve">Authorized body imposed a </w:t>
      </w:r>
      <w:r w:rsidRPr="00DA0A83">
        <w:rPr>
          <w:rFonts w:eastAsiaTheme="minorHAnsi"/>
          <w:b/>
          <w:lang w:val="en" w:eastAsia="en-US"/>
        </w:rPr>
        <w:t>fine</w:t>
      </w:r>
      <w:r w:rsidRPr="00DA0A83">
        <w:rPr>
          <w:rFonts w:eastAsiaTheme="minorHAnsi"/>
          <w:lang w:val="en" w:eastAsia="en-US"/>
        </w:rPr>
        <w:t xml:space="preserve"> in the amount of 428,820 KZT against Merke Sugar Plant and Aksu Kant, Koksu and Taraz plants for 1,255,200 KZT, respectively, on facts of non-compliance with requirements for sale of sugar through commodity exchanges as exchange commodity.</w:t>
      </w:r>
    </w:p>
    <w:p w14:paraId="73856B4D"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 xml:space="preserve">Thus, the main reasons for current situation at sugar market in 2022 are: dependence on import; ban for export from main supplier countries </w:t>
      </w:r>
      <w:r w:rsidRPr="00DA0A83">
        <w:rPr>
          <w:bCs/>
          <w:i/>
          <w:iCs/>
          <w:sz w:val="24"/>
          <w:szCs w:val="24"/>
          <w:lang w:val="en"/>
        </w:rPr>
        <w:t>(Russia)</w:t>
      </w:r>
      <w:r w:rsidRPr="00DA0A83">
        <w:rPr>
          <w:lang w:val="en"/>
        </w:rPr>
        <w:t>; reduced yields in Brazil; export restrictions by India; absence of working capital; absence of warehouses for storage at SEC, in connection with which sugar is stored at the factory, that leads to late delivery to the regions; problems with delivery of sugar to the regions by rail.</w:t>
      </w:r>
    </w:p>
    <w:bookmarkEnd w:id="61"/>
    <w:p w14:paraId="607270BE"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Taking into account the above, the Agency proposed:</w:t>
      </w:r>
    </w:p>
    <w:p w14:paraId="215C07F6" w14:textId="77777777" w:rsidR="00323B1C" w:rsidRPr="00A57506" w:rsidRDefault="004C4BA9" w:rsidP="00323B1C">
      <w:pPr>
        <w:widowControl w:val="0"/>
        <w:pBdr>
          <w:bottom w:val="single" w:sz="4" w:space="31" w:color="FFFFFF"/>
        </w:pBdr>
        <w:adjustRightInd w:val="0"/>
        <w:ind w:firstLine="0"/>
        <w:rPr>
          <w:rFonts w:eastAsia="Calibri"/>
          <w:bCs/>
          <w:lang w:val="en-US"/>
        </w:rPr>
      </w:pPr>
      <w:r w:rsidRPr="00DA0A83">
        <w:rPr>
          <w:lang w:val="en"/>
        </w:rPr>
        <w:tab/>
        <w:t xml:space="preserve">- </w:t>
      </w:r>
      <w:r w:rsidRPr="00DA0A83">
        <w:rPr>
          <w:rFonts w:eastAsia="Calibri"/>
          <w:b/>
          <w:bCs/>
          <w:lang w:val="en"/>
        </w:rPr>
        <w:t>tighten control</w:t>
      </w:r>
      <w:r w:rsidRPr="00DA0A83">
        <w:rPr>
          <w:lang w:val="en"/>
        </w:rPr>
        <w:t xml:space="preserve"> over compliance with legislation in exchange trading by sugar market participants; </w:t>
      </w:r>
    </w:p>
    <w:p w14:paraId="62AA2129" w14:textId="77777777" w:rsidR="00323B1C" w:rsidRPr="00A57506" w:rsidRDefault="004C4BA9" w:rsidP="00323B1C">
      <w:pPr>
        <w:widowControl w:val="0"/>
        <w:pBdr>
          <w:bottom w:val="single" w:sz="4" w:space="31" w:color="FFFFFF"/>
        </w:pBdr>
        <w:adjustRightInd w:val="0"/>
        <w:ind w:firstLine="0"/>
        <w:rPr>
          <w:rFonts w:eastAsia="Calibri"/>
          <w:bCs/>
          <w:lang w:val="en-US"/>
        </w:rPr>
      </w:pPr>
      <w:r w:rsidRPr="00DA0A83">
        <w:rPr>
          <w:rFonts w:eastAsia="Calibri"/>
          <w:bCs/>
          <w:lang w:val="en"/>
        </w:rPr>
        <w:tab/>
        <w:t xml:space="preserve">- consider making amendments to normative legal acts on exchange trading to determine </w:t>
      </w:r>
      <w:r w:rsidRPr="00DA0A83">
        <w:rPr>
          <w:rFonts w:eastAsia="Calibri"/>
          <w:b/>
          <w:bCs/>
          <w:lang w:val="en"/>
        </w:rPr>
        <w:t xml:space="preserve">category of entities </w:t>
      </w:r>
      <w:r w:rsidRPr="00DA0A83">
        <w:rPr>
          <w:rFonts w:eastAsia="Calibri"/>
          <w:bCs/>
          <w:lang w:val="en"/>
        </w:rPr>
        <w:t xml:space="preserve"> to which exchange trading will apply;</w:t>
      </w:r>
    </w:p>
    <w:p w14:paraId="33C715F6" w14:textId="77777777" w:rsidR="00323B1C" w:rsidRPr="00A57506" w:rsidRDefault="004C4BA9" w:rsidP="00323B1C">
      <w:pPr>
        <w:widowControl w:val="0"/>
        <w:pBdr>
          <w:bottom w:val="single" w:sz="4" w:space="31" w:color="FFFFFF"/>
        </w:pBdr>
        <w:adjustRightInd w:val="0"/>
        <w:ind w:firstLine="0"/>
        <w:rPr>
          <w:rFonts w:eastAsia="Calibri"/>
          <w:bCs/>
          <w:iCs/>
          <w:lang w:val="en-US"/>
        </w:rPr>
      </w:pPr>
      <w:r w:rsidRPr="00DA0A83">
        <w:rPr>
          <w:rFonts w:eastAsia="Calibri"/>
          <w:bCs/>
          <w:lang w:val="en"/>
        </w:rPr>
        <w:tab/>
        <w:t xml:space="preserve">- consider the issue of allocating </w:t>
      </w:r>
      <w:r w:rsidRPr="00DA0A83">
        <w:rPr>
          <w:rFonts w:eastAsia="Calibri"/>
          <w:b/>
          <w:bCs/>
          <w:iCs/>
          <w:lang w:val="en"/>
        </w:rPr>
        <w:t>revolving loan</w:t>
      </w:r>
      <w:r w:rsidRPr="00DA0A83">
        <w:rPr>
          <w:rFonts w:eastAsia="Calibri"/>
          <w:bCs/>
          <w:lang w:val="en"/>
        </w:rPr>
        <w:t xml:space="preserve"> to manufacturing plants for purchase of raw materials;</w:t>
      </w:r>
    </w:p>
    <w:p w14:paraId="77A23FB4" w14:textId="77777777" w:rsidR="00323B1C" w:rsidRPr="00A57506" w:rsidRDefault="004C4BA9" w:rsidP="00323B1C">
      <w:pPr>
        <w:widowControl w:val="0"/>
        <w:pBdr>
          <w:bottom w:val="single" w:sz="4" w:space="31" w:color="FFFFFF"/>
        </w:pBdr>
        <w:adjustRightInd w:val="0"/>
        <w:ind w:firstLine="0"/>
        <w:rPr>
          <w:lang w:val="en-US"/>
        </w:rPr>
      </w:pPr>
      <w:r w:rsidRPr="00DA0A83">
        <w:rPr>
          <w:rFonts w:eastAsia="Calibri"/>
          <w:bCs/>
          <w:iCs/>
          <w:lang w:val="en"/>
        </w:rPr>
        <w:tab/>
        <w:t xml:space="preserve">- develop domestic beet seed production, as well as increase production of sugar beet, increasing efficiency of its processing through </w:t>
      </w:r>
      <w:r w:rsidRPr="00DA0A83">
        <w:rPr>
          <w:b/>
          <w:lang w:val="en"/>
        </w:rPr>
        <w:t>modernization</w:t>
      </w:r>
      <w:r w:rsidRPr="00DA0A83">
        <w:rPr>
          <w:rFonts w:eastAsia="Calibri"/>
          <w:bCs/>
          <w:iCs/>
          <w:lang w:val="en"/>
        </w:rPr>
        <w:t xml:space="preserve"> of equipment, </w:t>
      </w:r>
      <w:r w:rsidRPr="00DA0A83">
        <w:rPr>
          <w:b/>
          <w:lang w:val="en"/>
        </w:rPr>
        <w:t>reconstruction</w:t>
      </w:r>
      <w:r w:rsidRPr="00DA0A83">
        <w:rPr>
          <w:rFonts w:eastAsia="Calibri"/>
          <w:bCs/>
          <w:iCs/>
          <w:lang w:val="en"/>
        </w:rPr>
        <w:t xml:space="preserve"> of industrial complex;</w:t>
      </w:r>
    </w:p>
    <w:p w14:paraId="2672C538"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 xml:space="preserve">- develop an </w:t>
      </w:r>
      <w:r w:rsidRPr="00DA0A83">
        <w:rPr>
          <w:b/>
          <w:lang w:val="en"/>
        </w:rPr>
        <w:t>optimal mechanism</w:t>
      </w:r>
      <w:r w:rsidRPr="00DA0A83">
        <w:rPr>
          <w:lang w:val="en"/>
        </w:rPr>
        <w:t xml:space="preserve"> of subsidies, preferences for production of sugar beet and sugar factories;</w:t>
      </w:r>
    </w:p>
    <w:p w14:paraId="1C04AD51" w14:textId="77777777" w:rsidR="00323B1C" w:rsidRPr="00A57506" w:rsidRDefault="004C4BA9" w:rsidP="00323B1C">
      <w:pPr>
        <w:widowControl w:val="0"/>
        <w:pBdr>
          <w:bottom w:val="single" w:sz="4" w:space="31" w:color="FFFFFF"/>
        </w:pBdr>
        <w:adjustRightInd w:val="0"/>
        <w:ind w:firstLine="0"/>
        <w:rPr>
          <w:color w:val="000000"/>
          <w:lang w:val="en-US"/>
        </w:rPr>
      </w:pPr>
      <w:r w:rsidRPr="00DA0A83">
        <w:rPr>
          <w:color w:val="000000"/>
          <w:lang w:val="en"/>
        </w:rPr>
        <w:lastRenderedPageBreak/>
        <w:tab/>
        <w:t xml:space="preserve">- consider the issue of demonopolization of sugar sales market with transition from "tolling scheme" to </w:t>
      </w:r>
      <w:r w:rsidRPr="00DA0A83">
        <w:rPr>
          <w:b/>
          <w:color w:val="000000"/>
          <w:lang w:val="en"/>
        </w:rPr>
        <w:t>marketing</w:t>
      </w:r>
      <w:r w:rsidRPr="00DA0A83">
        <w:rPr>
          <w:color w:val="000000"/>
          <w:lang w:val="en"/>
        </w:rPr>
        <w:t xml:space="preserve"> sales system.</w:t>
      </w:r>
    </w:p>
    <w:p w14:paraId="7A79CA33" w14:textId="77777777" w:rsidR="00323B1C" w:rsidRPr="00A57506" w:rsidRDefault="004C4BA9" w:rsidP="00323B1C">
      <w:pPr>
        <w:widowControl w:val="0"/>
        <w:pBdr>
          <w:bottom w:val="single" w:sz="4" w:space="31" w:color="FFFFFF"/>
        </w:pBdr>
        <w:adjustRightInd w:val="0"/>
        <w:ind w:firstLine="0"/>
        <w:rPr>
          <w:rFonts w:eastAsiaTheme="minorHAnsi"/>
          <w:lang w:val="en-US" w:eastAsia="en-US"/>
        </w:rPr>
      </w:pPr>
      <w:r w:rsidRPr="00DA0A83">
        <w:rPr>
          <w:rFonts w:eastAsiaTheme="minorHAnsi"/>
          <w:lang w:val="en" w:eastAsia="en-US"/>
        </w:rPr>
        <w:tab/>
        <w:t xml:space="preserve">Relevant proposals were sent by the Agency to Ministries of Agriculture, Trade and Integration, BNS. </w:t>
      </w:r>
    </w:p>
    <w:p w14:paraId="2D4EF533" w14:textId="77777777" w:rsidR="00323B1C" w:rsidRPr="00A57506" w:rsidRDefault="004C4BA9" w:rsidP="00323B1C">
      <w:pPr>
        <w:widowControl w:val="0"/>
        <w:pBdr>
          <w:bottom w:val="single" w:sz="4" w:space="31" w:color="FFFFFF"/>
        </w:pBdr>
        <w:adjustRightInd w:val="0"/>
        <w:rPr>
          <w:rFonts w:eastAsiaTheme="minorHAnsi"/>
          <w:i/>
          <w:iCs/>
          <w:sz w:val="24"/>
          <w:szCs w:val="24"/>
          <w:lang w:val="en-US" w:eastAsia="en-US"/>
        </w:rPr>
      </w:pPr>
      <w:r w:rsidRPr="00DA0A83">
        <w:rPr>
          <w:rFonts w:eastAsiaTheme="minorHAnsi"/>
          <w:lang w:val="en" w:eastAsia="en-US"/>
        </w:rPr>
        <w:t xml:space="preserve">In turn, </w:t>
      </w:r>
      <w:r w:rsidRPr="00DA0A83">
        <w:rPr>
          <w:rFonts w:eastAsiaTheme="minorHAnsi"/>
          <w:b/>
          <w:lang w:val="en" w:eastAsia="en-US"/>
        </w:rPr>
        <w:t>Roadmap for development of competition in agricultural sector</w:t>
      </w:r>
      <w:r w:rsidRPr="00DA0A83">
        <w:rPr>
          <w:rFonts w:eastAsiaTheme="minorHAnsi"/>
          <w:lang w:val="en" w:eastAsia="en-US"/>
        </w:rPr>
        <w:t xml:space="preserve">, adopted on December 29, 2022, provides for measures to develop </w:t>
      </w:r>
      <w:r w:rsidRPr="00DA0A83">
        <w:rPr>
          <w:rFonts w:eastAsiaTheme="minorHAnsi"/>
          <w:b/>
          <w:lang w:val="en" w:eastAsia="en-US"/>
        </w:rPr>
        <w:t>sectional rules</w:t>
      </w:r>
      <w:r w:rsidRPr="00DA0A83">
        <w:rPr>
          <w:rFonts w:eastAsiaTheme="minorHAnsi"/>
          <w:lang w:val="en" w:eastAsia="en-US"/>
        </w:rPr>
        <w:t xml:space="preserve"> for sugar exchange trading and amending the List of exchange-traded goods in terms of determining </w:t>
      </w:r>
      <w:r w:rsidRPr="00DA0A83">
        <w:rPr>
          <w:rFonts w:eastAsiaTheme="minorHAnsi"/>
          <w:b/>
          <w:lang w:val="en" w:eastAsia="en-US"/>
        </w:rPr>
        <w:t xml:space="preserve">category of entities </w:t>
      </w:r>
      <w:r w:rsidRPr="00DA0A83">
        <w:rPr>
          <w:rFonts w:eastAsiaTheme="minorHAnsi"/>
          <w:lang w:val="en" w:eastAsia="en-US"/>
        </w:rPr>
        <w:t xml:space="preserve"> to which sugar exchange trading will apply. Ministry of Trade and Integration is making appropriate changes to implementation of these measures </w:t>
      </w:r>
      <w:r w:rsidRPr="00DA0A83">
        <w:rPr>
          <w:rFonts w:eastAsiaTheme="minorHAnsi"/>
          <w:i/>
          <w:iCs/>
          <w:sz w:val="24"/>
          <w:szCs w:val="24"/>
          <w:lang w:val="en" w:eastAsia="en-US"/>
        </w:rPr>
        <w:t>(they are being approved by state bodies).</w:t>
      </w:r>
    </w:p>
    <w:p w14:paraId="492163F1" w14:textId="2A7AD86D" w:rsidR="00323B1C" w:rsidRPr="00A57506" w:rsidRDefault="004C4BA9" w:rsidP="00323B1C">
      <w:pPr>
        <w:widowControl w:val="0"/>
        <w:pBdr>
          <w:bottom w:val="single" w:sz="4" w:space="31" w:color="FFFFFF"/>
        </w:pBdr>
        <w:adjustRightInd w:val="0"/>
        <w:ind w:firstLine="0"/>
        <w:rPr>
          <w:rFonts w:eastAsiaTheme="minorHAnsi"/>
          <w:i/>
          <w:iCs/>
          <w:sz w:val="24"/>
          <w:szCs w:val="24"/>
          <w:lang w:val="en-US" w:eastAsia="en-US"/>
        </w:rPr>
      </w:pPr>
      <w:r w:rsidRPr="00DA0A83">
        <w:rPr>
          <w:bCs/>
          <w:lang w:val="en"/>
        </w:rPr>
        <w:tab/>
        <w:t xml:space="preserve">Also, Agency has agreed </w:t>
      </w:r>
      <w:r w:rsidRPr="00DA0A83">
        <w:rPr>
          <w:b/>
          <w:lang w:val="en"/>
        </w:rPr>
        <w:t>act of antimonopoly</w:t>
      </w:r>
      <w:r w:rsidRPr="00DA0A83">
        <w:rPr>
          <w:bCs/>
          <w:lang w:val="en"/>
        </w:rPr>
        <w:t xml:space="preserve"> </w:t>
      </w:r>
      <w:r w:rsidRPr="00DA0A83">
        <w:rPr>
          <w:b/>
          <w:bCs/>
          <w:lang w:val="en"/>
        </w:rPr>
        <w:t>compliance</w:t>
      </w:r>
      <w:r w:rsidRPr="00DA0A83">
        <w:rPr>
          <w:bCs/>
          <w:lang w:val="en"/>
        </w:rPr>
        <w:t xml:space="preserve"> with large wholesale supplier of sugar, </w:t>
      </w:r>
      <w:r w:rsidRPr="00DA0A83">
        <w:rPr>
          <w:b/>
          <w:bCs/>
          <w:lang w:val="en"/>
        </w:rPr>
        <w:t>KaIs-Invest LLP,</w:t>
      </w:r>
      <w:r w:rsidRPr="00DA0A83">
        <w:rPr>
          <w:bCs/>
          <w:lang w:val="en"/>
        </w:rPr>
        <w:t xml:space="preserve"> which provides for policy and rules of fair competition of market entity at relevant commodity market, as well as conditions of </w:t>
      </w:r>
      <w:r w:rsidR="00AF59F7" w:rsidRPr="00DA0A83">
        <w:rPr>
          <w:bCs/>
          <w:lang w:val="en"/>
        </w:rPr>
        <w:t>behavior</w:t>
      </w:r>
      <w:r w:rsidRPr="00DA0A83">
        <w:rPr>
          <w:bCs/>
          <w:lang w:val="en"/>
        </w:rPr>
        <w:t xml:space="preserve"> of dominant entity to ensure registration of accepted and rejected requests, transparent terms of specifications, establishment of trade allowances, sale of sugar through commodity exchanges, etc. </w:t>
      </w:r>
    </w:p>
    <w:p w14:paraId="2103FA28" w14:textId="6F87CFCF" w:rsidR="00323B1C" w:rsidRPr="00A57506" w:rsidRDefault="004C4BA9" w:rsidP="00323B1C">
      <w:pPr>
        <w:widowControl w:val="0"/>
        <w:pBdr>
          <w:bottom w:val="single" w:sz="4" w:space="31" w:color="FFFFFF"/>
        </w:pBdr>
        <w:adjustRightInd w:val="0"/>
        <w:spacing w:before="120"/>
        <w:rPr>
          <w:rFonts w:eastAsiaTheme="minorEastAsia"/>
          <w:lang w:val="en-US"/>
        </w:rPr>
      </w:pPr>
      <w:r w:rsidRPr="00DA0A83">
        <w:rPr>
          <w:bCs/>
          <w:color w:val="000000" w:themeColor="text1"/>
          <w:lang w:val="en"/>
        </w:rPr>
        <w:t>2. Analysis of market for sale</w:t>
      </w:r>
      <w:r w:rsidRPr="00DA0A83">
        <w:rPr>
          <w:rFonts w:eastAsiaTheme="minorEastAsia"/>
          <w:b/>
          <w:color w:val="000000" w:themeColor="text1"/>
          <w:lang w:val="en"/>
        </w:rPr>
        <w:t xml:space="preserve"> of processed milk</w:t>
      </w:r>
      <w:r w:rsidRPr="00DA0A83">
        <w:rPr>
          <w:rFonts w:eastAsiaTheme="minorEastAsia"/>
          <w:bCs/>
          <w:i/>
          <w:color w:val="000000" w:themeColor="text1"/>
          <w:sz w:val="24"/>
          <w:lang w:val="en"/>
        </w:rPr>
        <w:t xml:space="preserve"> (dairy products)</w:t>
      </w:r>
      <w:r w:rsidRPr="00DA0A83">
        <w:rPr>
          <w:bCs/>
          <w:color w:val="000000" w:themeColor="text1"/>
          <w:lang w:val="en"/>
        </w:rPr>
        <w:t xml:space="preserve"> was carried out in accordance with the Agency's Work Plan for 2022. </w:t>
      </w:r>
      <w:r w:rsidRPr="00DA0A83">
        <w:rPr>
          <w:rFonts w:eastAsiaTheme="minorEastAsia"/>
          <w:lang w:val="en"/>
        </w:rPr>
        <w:t xml:space="preserve">The criteria for analyzing this commodity market of wholesale sale of milk </w:t>
      </w:r>
      <w:r w:rsidR="00035D14" w:rsidRPr="00DA0A83">
        <w:rPr>
          <w:rFonts w:eastAsiaTheme="minorEastAsia"/>
          <w:lang w:val="en"/>
        </w:rPr>
        <w:t>were</w:t>
      </w:r>
      <w:r w:rsidRPr="00DA0A83">
        <w:rPr>
          <w:rFonts w:eastAsiaTheme="minorEastAsia"/>
          <w:lang w:val="en"/>
        </w:rPr>
        <w:t xml:space="preserve"> social significance of the goods, complaints, media publications indicating signs of violation.</w:t>
      </w:r>
      <w:bookmarkStart w:id="62" w:name="_Hlk131770552"/>
    </w:p>
    <w:p w14:paraId="30A08FB2" w14:textId="77777777" w:rsidR="00323B1C" w:rsidRPr="00A57506" w:rsidRDefault="004C4BA9" w:rsidP="00323B1C">
      <w:pPr>
        <w:widowControl w:val="0"/>
        <w:pBdr>
          <w:bottom w:val="single" w:sz="4" w:space="31" w:color="FFFFFF"/>
        </w:pBdr>
        <w:adjustRightInd w:val="0"/>
        <w:rPr>
          <w:rFonts w:eastAsiaTheme="minorEastAsia"/>
          <w:lang w:val="en-US"/>
        </w:rPr>
      </w:pPr>
      <w:r w:rsidRPr="00DA0A83">
        <w:rPr>
          <w:rFonts w:eastAsia="Calibri"/>
          <w:lang w:val="en"/>
        </w:rPr>
        <w:t xml:space="preserve">The market by regions is characterized as highly </w:t>
      </w:r>
      <w:r w:rsidRPr="00DA0A83">
        <w:rPr>
          <w:rFonts w:eastAsia="Calibri"/>
          <w:b/>
          <w:i/>
          <w:lang w:val="en"/>
        </w:rPr>
        <w:t>concentrated</w:t>
      </w:r>
      <w:r w:rsidRPr="00DA0A83">
        <w:rPr>
          <w:rFonts w:eastAsia="Calibri"/>
          <w:lang w:val="en"/>
        </w:rPr>
        <w:t>. As part of analysis, more than 70 producers of processed milk</w:t>
      </w:r>
      <w:bookmarkEnd w:id="62"/>
      <w:r w:rsidRPr="00DA0A83">
        <w:rPr>
          <w:rFonts w:eastAsia="Calibri"/>
          <w:lang w:val="en"/>
        </w:rPr>
        <w:t xml:space="preserve">, more than 160 market entities that carry out wholesale sale of processed milk were identified. According to market balance, domestic milk production mainly covers needs of the republic </w:t>
      </w:r>
      <w:r w:rsidRPr="00DA0A83">
        <w:rPr>
          <w:bCs/>
          <w:i/>
          <w:sz w:val="24"/>
          <w:lang w:val="en"/>
        </w:rPr>
        <w:t>(production – 279,938 tons, export – 7,640.2 tons, import – 11,920,2,02 tons, sales – 284,218 tons)</w:t>
      </w:r>
      <w:r w:rsidRPr="00DA0A83">
        <w:rPr>
          <w:bCs/>
          <w:i/>
          <w:lang w:val="en"/>
        </w:rPr>
        <w:t>.</w:t>
      </w:r>
    </w:p>
    <w:p w14:paraId="1AB57E3A" w14:textId="77777777" w:rsidR="00323B1C" w:rsidRPr="00A57506" w:rsidRDefault="004C4BA9" w:rsidP="00323B1C">
      <w:pPr>
        <w:widowControl w:val="0"/>
        <w:pBdr>
          <w:bottom w:val="single" w:sz="4" w:space="31" w:color="FFFFFF"/>
        </w:pBdr>
        <w:adjustRightInd w:val="0"/>
        <w:rPr>
          <w:rFonts w:eastAsiaTheme="minorEastAsia"/>
          <w:lang w:val="en-US"/>
        </w:rPr>
      </w:pPr>
      <w:r w:rsidRPr="00DA0A83">
        <w:rPr>
          <w:rFonts w:eastAsia="Calibri"/>
          <w:lang w:val="en"/>
        </w:rPr>
        <w:t xml:space="preserve">In 2022, increase in milk prices amounted to </w:t>
      </w:r>
      <w:r w:rsidRPr="00DA0A83">
        <w:rPr>
          <w:rFonts w:eastAsia="Calibri"/>
          <w:b/>
          <w:lang w:val="en"/>
        </w:rPr>
        <w:t>22.9%</w:t>
      </w:r>
      <w:r w:rsidRPr="00DA0A83">
        <w:rPr>
          <w:rFonts w:eastAsia="Calibri"/>
          <w:lang w:val="en"/>
        </w:rPr>
        <w:t xml:space="preserve">, whereas over the past 3 years, price of milk has risen at the level of </w:t>
      </w:r>
      <w:r w:rsidRPr="00DA0A83">
        <w:rPr>
          <w:rFonts w:eastAsia="Calibri"/>
          <w:b/>
          <w:lang w:val="en"/>
        </w:rPr>
        <w:t>5-7%</w:t>
      </w:r>
      <w:r w:rsidRPr="00DA0A83">
        <w:rPr>
          <w:rFonts w:eastAsia="Calibri"/>
          <w:lang w:val="en"/>
        </w:rPr>
        <w:t xml:space="preserve">. Significant increase in milk price is associated with increase in prices for raw milk by 19.1%. The state allocated 18.6 billion KZT to subsidize milk production in 2022. </w:t>
      </w:r>
    </w:p>
    <w:p w14:paraId="3FB83363" w14:textId="77777777" w:rsidR="00323B1C" w:rsidRPr="00A57506" w:rsidRDefault="004C4BA9" w:rsidP="00323B1C">
      <w:pPr>
        <w:widowControl w:val="0"/>
        <w:pBdr>
          <w:bottom w:val="single" w:sz="4" w:space="31" w:color="FFFFFF"/>
        </w:pBdr>
        <w:adjustRightInd w:val="0"/>
        <w:rPr>
          <w:lang w:val="en-US"/>
        </w:rPr>
      </w:pPr>
      <w:r w:rsidRPr="00DA0A83">
        <w:rPr>
          <w:rFonts w:eastAsia="Calibri"/>
          <w:lang w:val="en"/>
        </w:rPr>
        <w:t xml:space="preserve">As part of monitoring dynamics of selling prices,  </w:t>
      </w:r>
      <w:r w:rsidRPr="00DA0A83">
        <w:rPr>
          <w:rFonts w:eastAsia="Calibri"/>
          <w:b/>
          <w:lang w:val="en"/>
        </w:rPr>
        <w:t>simultaneous increase in milk prices</w:t>
      </w:r>
      <w:r w:rsidRPr="00DA0A83">
        <w:rPr>
          <w:rFonts w:eastAsia="Calibri"/>
          <w:lang w:val="en"/>
        </w:rPr>
        <w:t xml:space="preserve"> </w:t>
      </w:r>
      <w:r w:rsidRPr="00DA0A83">
        <w:rPr>
          <w:rFonts w:eastAsia="Calibri"/>
          <w:i/>
          <w:sz w:val="24"/>
          <w:lang w:val="en"/>
        </w:rPr>
        <w:t>(2.5% fat content)</w:t>
      </w:r>
      <w:r w:rsidRPr="00DA0A83">
        <w:rPr>
          <w:rFonts w:eastAsia="Calibri"/>
          <w:lang w:val="en"/>
        </w:rPr>
        <w:t xml:space="preserve"> by </w:t>
      </w:r>
      <w:r w:rsidRPr="00DA0A83">
        <w:rPr>
          <w:rFonts w:eastAsia="Calibri"/>
          <w:b/>
          <w:lang w:val="en"/>
        </w:rPr>
        <w:t>14.2%</w:t>
      </w:r>
      <w:r w:rsidRPr="00DA0A83">
        <w:rPr>
          <w:rFonts w:eastAsia="Calibri"/>
          <w:lang w:val="en"/>
        </w:rPr>
        <w:t xml:space="preserve"> by large dairy producers was revealed, while increase in prices of raw material for the period from January to April did not exceed </w:t>
      </w:r>
      <w:r w:rsidRPr="00DA0A83">
        <w:rPr>
          <w:rFonts w:eastAsia="Calibri"/>
          <w:b/>
          <w:lang w:val="en"/>
        </w:rPr>
        <w:t>4.3%</w:t>
      </w:r>
      <w:r w:rsidRPr="00DA0A83">
        <w:rPr>
          <w:rFonts w:eastAsia="Calibri"/>
          <w:lang w:val="en"/>
        </w:rPr>
        <w:t xml:space="preserve">. With that, other circumstances were taken into account, like dominant position, simultaneous increase in prices by producers, volume of dairy product sales, etc. There are also facts of equality and simultaneous price increases for different packaging volumes </w:t>
      </w:r>
      <w:r w:rsidRPr="00DA0A83">
        <w:rPr>
          <w:rFonts w:eastAsia="Calibri"/>
          <w:i/>
          <w:sz w:val="24"/>
          <w:lang w:val="en"/>
        </w:rPr>
        <w:t>(0.9 liters compared to 1 liter)</w:t>
      </w:r>
      <w:r w:rsidRPr="00DA0A83">
        <w:rPr>
          <w:rFonts w:eastAsia="Calibri"/>
          <w:lang w:val="en"/>
        </w:rPr>
        <w:t xml:space="preserve">. As a result, signs of </w:t>
      </w:r>
      <w:r w:rsidRPr="00DA0A83">
        <w:rPr>
          <w:rFonts w:eastAsia="Calibri"/>
          <w:b/>
          <w:lang w:val="en"/>
        </w:rPr>
        <w:t>anticompetitive coordinated actions</w:t>
      </w:r>
      <w:r w:rsidRPr="00DA0A83">
        <w:rPr>
          <w:rFonts w:eastAsia="Calibri"/>
          <w:lang w:val="en"/>
        </w:rPr>
        <w:t xml:space="preserve"> of market participants were revealed. Based on results of analysis, </w:t>
      </w:r>
      <w:r w:rsidRPr="00DA0A83">
        <w:rPr>
          <w:b/>
          <w:bCs/>
          <w:lang w:val="en"/>
        </w:rPr>
        <w:t>14 notifications</w:t>
      </w:r>
      <w:r w:rsidRPr="00DA0A83">
        <w:rPr>
          <w:rFonts w:eastAsia="Calibri"/>
          <w:lang w:val="en"/>
        </w:rPr>
        <w:t xml:space="preserve"> were issued, </w:t>
      </w:r>
      <w:r w:rsidRPr="00DA0A83">
        <w:rPr>
          <w:b/>
          <w:bCs/>
          <w:lang w:val="en"/>
        </w:rPr>
        <w:t>3 investigations</w:t>
      </w:r>
      <w:r w:rsidRPr="00DA0A83">
        <w:rPr>
          <w:rFonts w:eastAsia="Calibri"/>
          <w:lang w:val="en"/>
        </w:rPr>
        <w:t xml:space="preserve"> were appointed and </w:t>
      </w:r>
      <w:r w:rsidRPr="00DA0A83">
        <w:rPr>
          <w:b/>
          <w:bCs/>
          <w:lang w:val="en"/>
        </w:rPr>
        <w:t>7 external acts</w:t>
      </w:r>
      <w:r w:rsidRPr="00DA0A83">
        <w:rPr>
          <w:rFonts w:eastAsia="Calibri"/>
          <w:lang w:val="en"/>
        </w:rPr>
        <w:t xml:space="preserve"> of antimonopoly compliance were approved. As a result of execution of notifications, price of milk was </w:t>
      </w:r>
      <w:r w:rsidRPr="00DA0A83">
        <w:rPr>
          <w:b/>
          <w:lang w:val="en"/>
        </w:rPr>
        <w:t>reduced to 10%</w:t>
      </w:r>
      <w:r w:rsidRPr="00DA0A83">
        <w:rPr>
          <w:rFonts w:eastAsia="Calibri"/>
          <w:lang w:val="en"/>
        </w:rPr>
        <w:t xml:space="preserve">, consumer </w:t>
      </w:r>
      <w:r w:rsidRPr="00DA0A83">
        <w:rPr>
          <w:b/>
          <w:lang w:val="en"/>
        </w:rPr>
        <w:t>savings</w:t>
      </w:r>
      <w:r w:rsidRPr="00DA0A83">
        <w:rPr>
          <w:rFonts w:eastAsia="Calibri"/>
          <w:lang w:val="en"/>
        </w:rPr>
        <w:t xml:space="preserve"> reached </w:t>
      </w:r>
      <w:r w:rsidRPr="00DA0A83">
        <w:rPr>
          <w:b/>
          <w:lang w:val="en"/>
        </w:rPr>
        <w:t>more than 82 million KZT</w:t>
      </w:r>
      <w:r w:rsidRPr="00DA0A83">
        <w:rPr>
          <w:rFonts w:eastAsia="Calibri"/>
          <w:lang w:val="en"/>
        </w:rPr>
        <w:t xml:space="preserve">, state budget received </w:t>
      </w:r>
      <w:r w:rsidRPr="00DA0A83">
        <w:rPr>
          <w:b/>
          <w:lang w:val="en"/>
        </w:rPr>
        <w:t>more than 16 million KZT</w:t>
      </w:r>
      <w:r w:rsidRPr="00DA0A83">
        <w:rPr>
          <w:rFonts w:eastAsia="Calibri"/>
          <w:lang w:val="en"/>
        </w:rPr>
        <w:t xml:space="preserve"> based on results of completed investigations.</w:t>
      </w:r>
    </w:p>
    <w:p w14:paraId="18983F46"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The analysis identifies both economic</w:t>
      </w:r>
      <w:r w:rsidRPr="00DA0A83">
        <w:rPr>
          <w:rFonts w:eastAsiaTheme="minorHAnsi"/>
          <w:i/>
          <w:iCs/>
          <w:sz w:val="24"/>
          <w:lang w:val="en" w:eastAsia="en-US"/>
        </w:rPr>
        <w:t xml:space="preserve"> (significant initial investments to enter the market, </w:t>
      </w:r>
      <w:r w:rsidRPr="00DA0A83">
        <w:rPr>
          <w:rFonts w:eastAsiaTheme="minorHAnsi"/>
          <w:i/>
          <w:iCs/>
          <w:sz w:val="24"/>
          <w:lang w:val="en" w:eastAsia="en-US"/>
        </w:rPr>
        <w:lastRenderedPageBreak/>
        <w:t xml:space="preserve">high cost of lending, etc.) </w:t>
      </w:r>
      <w:r w:rsidRPr="00DA0A83">
        <w:rPr>
          <w:rFonts w:eastAsiaTheme="minorHAnsi"/>
          <w:lang w:val="en" w:eastAsia="en-US"/>
        </w:rPr>
        <w:t>and administrative</w:t>
      </w:r>
      <w:r w:rsidRPr="00DA0A83">
        <w:rPr>
          <w:rFonts w:eastAsiaTheme="minorHAnsi"/>
          <w:i/>
          <w:iCs/>
          <w:sz w:val="24"/>
          <w:lang w:val="en" w:eastAsia="en-US"/>
        </w:rPr>
        <w:t xml:space="preserve"> (standards and quality requirements) </w:t>
      </w:r>
      <w:r w:rsidRPr="00DA0A83">
        <w:rPr>
          <w:rFonts w:eastAsiaTheme="minorHAnsi"/>
          <w:iCs/>
          <w:lang w:val="en" w:eastAsia="en-US"/>
        </w:rPr>
        <w:t>barriers.</w:t>
      </w:r>
    </w:p>
    <w:p w14:paraId="23C01FE5"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Taking into account the above, the Agency proposed:</w:t>
      </w:r>
    </w:p>
    <w:p w14:paraId="1C946843"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 xml:space="preserve">- development of domestic production of packaging material in order to </w:t>
      </w:r>
      <w:r w:rsidRPr="00DA0A83">
        <w:rPr>
          <w:rFonts w:eastAsiaTheme="minorHAnsi"/>
          <w:b/>
          <w:lang w:val="en" w:eastAsia="en-US"/>
        </w:rPr>
        <w:t>reduce import dependence</w:t>
      </w:r>
      <w:r w:rsidRPr="00DA0A83">
        <w:rPr>
          <w:rFonts w:eastAsiaTheme="minorHAnsi"/>
          <w:lang w:val="en" w:eastAsia="en-US"/>
        </w:rPr>
        <w:t>;</w:t>
      </w:r>
    </w:p>
    <w:p w14:paraId="0470A48A"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 xml:space="preserve">- implementation of joint investment projects, increasing provision of livestock farming with high-energy balanced feed due to development of feed production system. For these purposes, it is advisable to develop  </w:t>
      </w:r>
      <w:r w:rsidRPr="00DA0A83">
        <w:rPr>
          <w:rFonts w:eastAsiaTheme="minorHAnsi"/>
          <w:b/>
          <w:lang w:val="en" w:eastAsia="en-US"/>
        </w:rPr>
        <w:t>feed balance</w:t>
      </w:r>
      <w:r w:rsidRPr="00DA0A83">
        <w:rPr>
          <w:rFonts w:eastAsiaTheme="minorHAnsi"/>
          <w:lang w:val="en" w:eastAsia="en-US"/>
        </w:rPr>
        <w:t xml:space="preserve"> and update basic animal feeding rations taking into account natural climatic features, as well as determining optimal structure for sowing forage crops and promising forage and pasture crops;</w:t>
      </w:r>
    </w:p>
    <w:p w14:paraId="7064FF92"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 xml:space="preserve">- introduction of </w:t>
      </w:r>
      <w:r w:rsidRPr="00DA0A83">
        <w:rPr>
          <w:rFonts w:eastAsiaTheme="minorHAnsi"/>
          <w:b/>
          <w:lang w:val="en" w:eastAsia="en-US"/>
        </w:rPr>
        <w:t>counter obligations</w:t>
      </w:r>
      <w:r w:rsidRPr="00DA0A83">
        <w:rPr>
          <w:rFonts w:eastAsiaTheme="minorHAnsi"/>
          <w:lang w:val="en" w:eastAsia="en-US"/>
        </w:rPr>
        <w:t xml:space="preserve"> at providing state support measures to market entities with development of </w:t>
      </w:r>
      <w:r w:rsidRPr="00DA0A83">
        <w:rPr>
          <w:rFonts w:eastAsiaTheme="minorHAnsi"/>
          <w:b/>
          <w:lang w:val="en" w:eastAsia="en-US"/>
        </w:rPr>
        <w:t>indicative figures</w:t>
      </w:r>
      <w:r w:rsidRPr="00DA0A83">
        <w:rPr>
          <w:rFonts w:eastAsiaTheme="minorHAnsi"/>
          <w:lang w:val="en" w:eastAsia="en-US"/>
        </w:rPr>
        <w:t xml:space="preserve"> for development of competition.</w:t>
      </w:r>
    </w:p>
    <w:p w14:paraId="6DAD8224"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On February 28, 2023, the Agency sent proposals to the Ministries of Agriculture, Trade and Integration, and Health. The Ministry of Agriculture supported Agency's proposals, in particular:</w:t>
      </w:r>
    </w:p>
    <w:p w14:paraId="346693E4"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rFonts w:eastAsiaTheme="minorHAnsi"/>
          <w:lang w:val="en" w:eastAsia="en-US"/>
        </w:rPr>
        <w:t xml:space="preserve">1) currently, it is planned to amend Rules for subsidizing costs of processing enterprises for purchase of agricultural products for production of high-value products </w:t>
      </w:r>
      <w:r>
        <w:rPr>
          <w:rStyle w:val="FootnoteReference"/>
          <w:color w:val="000000" w:themeColor="text1"/>
        </w:rPr>
        <w:footnoteReference w:id="26"/>
      </w:r>
      <w:r w:rsidRPr="00DA0A83">
        <w:rPr>
          <w:rFonts w:eastAsiaTheme="minorHAnsi"/>
          <w:lang w:val="en" w:eastAsia="en-US"/>
        </w:rPr>
        <w:t xml:space="preserve">by introducing provisions on </w:t>
      </w:r>
      <w:r w:rsidRPr="00DA0A83">
        <w:rPr>
          <w:rFonts w:eastAsiaTheme="minorHAnsi"/>
          <w:b/>
          <w:lang w:val="en" w:eastAsia="en-US"/>
        </w:rPr>
        <w:t>counter obligations</w:t>
      </w:r>
      <w:r w:rsidRPr="00DA0A83">
        <w:rPr>
          <w:rFonts w:eastAsiaTheme="minorHAnsi"/>
          <w:lang w:val="en" w:eastAsia="en-US"/>
        </w:rPr>
        <w:t xml:space="preserve"> for sale of finished products;</w:t>
      </w:r>
    </w:p>
    <w:p w14:paraId="5E44728F"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lang w:val="en"/>
        </w:rPr>
        <w:t xml:space="preserve">2) in order to reduce production costs, the Ministry of Agriculture is working to </w:t>
      </w:r>
      <w:r w:rsidRPr="00DA0A83">
        <w:rPr>
          <w:b/>
          <w:lang w:val="en"/>
        </w:rPr>
        <w:t>increase and improve volume of raw milk production</w:t>
      </w:r>
      <w:r w:rsidRPr="00DA0A83">
        <w:rPr>
          <w:lang w:val="en"/>
        </w:rPr>
        <w:t xml:space="preserve">. </w:t>
      </w:r>
      <w:r w:rsidRPr="00DA0A83">
        <w:rPr>
          <w:color w:val="212121"/>
          <w:shd w:val="clear" w:color="auto" w:fill="FFFFFF"/>
          <w:lang w:val="en"/>
        </w:rPr>
        <w:t xml:space="preserve">In 2023, local executive bodies of regions plan to create and modernize 24 dairy farms with total production capacity of about 87.3 thousand tons of milk per annum. </w:t>
      </w:r>
      <w:r w:rsidRPr="00DA0A83">
        <w:rPr>
          <w:lang w:val="en"/>
        </w:rPr>
        <w:t>In addition, experience of the North Kazakhstan Region on financing dairy commodity farms through SEC will be replicated;</w:t>
      </w:r>
    </w:p>
    <w:p w14:paraId="02EBC4E6" w14:textId="77777777" w:rsidR="00323B1C" w:rsidRPr="00A57506" w:rsidRDefault="004C4BA9" w:rsidP="00323B1C">
      <w:pPr>
        <w:widowControl w:val="0"/>
        <w:pBdr>
          <w:bottom w:val="single" w:sz="4" w:space="31" w:color="FFFFFF"/>
        </w:pBdr>
        <w:adjustRightInd w:val="0"/>
        <w:rPr>
          <w:rFonts w:eastAsiaTheme="minorHAnsi"/>
          <w:lang w:val="en-US" w:eastAsia="en-US"/>
        </w:rPr>
      </w:pPr>
      <w:r w:rsidRPr="00DA0A83">
        <w:rPr>
          <w:lang w:val="en"/>
        </w:rPr>
        <w:t xml:space="preserve">3) in order to solve the problem of </w:t>
      </w:r>
      <w:r w:rsidRPr="00DA0A83">
        <w:rPr>
          <w:b/>
          <w:lang w:val="en"/>
        </w:rPr>
        <w:t>remoteness</w:t>
      </w:r>
      <w:r w:rsidRPr="00DA0A83">
        <w:rPr>
          <w:lang w:val="en"/>
        </w:rPr>
        <w:t xml:space="preserve"> of processing enterprises from production places of dairy raw materials and transport restrictions, Ministry of Agriculture has created favorable conditions by the following mechanisms: investment subsidies </w:t>
      </w:r>
      <w:r w:rsidRPr="00DA0A83">
        <w:rPr>
          <w:i/>
          <w:sz w:val="24"/>
          <w:lang w:val="en"/>
        </w:rPr>
        <w:t>(up to 25% of its cost)</w:t>
      </w:r>
      <w:r w:rsidRPr="00DA0A83">
        <w:rPr>
          <w:lang w:val="en"/>
        </w:rPr>
        <w:t>, subsidizing interest rates of loans and/or leasing for purchase of equipment;</w:t>
      </w:r>
    </w:p>
    <w:p w14:paraId="29ED6314" w14:textId="77777777" w:rsidR="00323B1C" w:rsidRPr="00A57506" w:rsidRDefault="004C4BA9" w:rsidP="00323B1C">
      <w:pPr>
        <w:widowControl w:val="0"/>
        <w:pBdr>
          <w:bottom w:val="single" w:sz="4" w:space="31" w:color="FFFFFF"/>
        </w:pBdr>
        <w:adjustRightInd w:val="0"/>
        <w:rPr>
          <w:lang w:val="en-US"/>
        </w:rPr>
      </w:pPr>
      <w:r w:rsidRPr="00DA0A83">
        <w:rPr>
          <w:lang w:val="en"/>
        </w:rPr>
        <w:t xml:space="preserve">4) regarding issues of production and provision of packaging material, Ministry of Agriculture of the Republic of Kazakhstan has reported that it is ready to assist in </w:t>
      </w:r>
      <w:r w:rsidRPr="00DA0A83">
        <w:rPr>
          <w:b/>
          <w:lang w:val="en"/>
        </w:rPr>
        <w:t>opening of production</w:t>
      </w:r>
      <w:r w:rsidRPr="00DA0A83">
        <w:rPr>
          <w:lang w:val="en"/>
        </w:rPr>
        <w:t>.</w:t>
      </w:r>
    </w:p>
    <w:p w14:paraId="12FEC09A" w14:textId="77777777" w:rsidR="00323B1C" w:rsidRPr="00A57506" w:rsidRDefault="004C4BA9" w:rsidP="00323B1C">
      <w:pPr>
        <w:pBdr>
          <w:bottom w:val="single" w:sz="4" w:space="31" w:color="FFFFFF"/>
        </w:pBdr>
        <w:autoSpaceDE w:val="0"/>
        <w:autoSpaceDN w:val="0"/>
        <w:adjustRightInd w:val="0"/>
        <w:rPr>
          <w:b/>
          <w:bCs/>
          <w:i/>
          <w:iCs/>
          <w:color w:val="000000"/>
          <w:lang w:val="en-US"/>
        </w:rPr>
      </w:pPr>
      <w:r w:rsidRPr="00DA0A83">
        <w:rPr>
          <w:b/>
          <w:bCs/>
          <w:i/>
          <w:iCs/>
          <w:color w:val="000000"/>
          <w:lang w:val="en"/>
        </w:rPr>
        <w:t>Mechanisms for price stabilization</w:t>
      </w:r>
    </w:p>
    <w:p w14:paraId="522F7F41" w14:textId="77777777" w:rsidR="00323B1C" w:rsidRPr="00A57506" w:rsidRDefault="004C4BA9" w:rsidP="00323B1C">
      <w:pPr>
        <w:pBdr>
          <w:bottom w:val="single" w:sz="4" w:space="31" w:color="FFFFFF"/>
        </w:pBdr>
        <w:autoSpaceDE w:val="0"/>
        <w:autoSpaceDN w:val="0"/>
        <w:adjustRightInd w:val="0"/>
        <w:rPr>
          <w:b/>
          <w:bCs/>
          <w:i/>
          <w:iCs/>
          <w:color w:val="000000"/>
          <w:lang w:val="en-US"/>
        </w:rPr>
      </w:pPr>
      <w:r w:rsidRPr="00DA0A83">
        <w:rPr>
          <w:iCs/>
          <w:color w:val="000000"/>
          <w:lang w:val="en"/>
        </w:rPr>
        <w:t xml:space="preserve">The Agency, as part of executing orders of Presidential Administration order to assess measures taken to stabilize prices for </w:t>
      </w:r>
      <w:r w:rsidRPr="00DA0A83">
        <w:rPr>
          <w:i/>
          <w:color w:val="000000"/>
          <w:sz w:val="24"/>
          <w:lang w:val="en"/>
        </w:rPr>
        <w:t>food staples</w:t>
      </w:r>
      <w:r w:rsidRPr="00DA0A83">
        <w:rPr>
          <w:iCs/>
          <w:color w:val="000000"/>
          <w:lang w:val="en"/>
        </w:rPr>
        <w:t>, analyzed existing tools and identified the following problems.</w:t>
      </w:r>
    </w:p>
    <w:p w14:paraId="0331BA02" w14:textId="4E23B8F7" w:rsidR="00323B1C" w:rsidRPr="00A57506" w:rsidRDefault="004C4BA9" w:rsidP="00323B1C">
      <w:pPr>
        <w:pBdr>
          <w:bottom w:val="single" w:sz="4" w:space="31" w:color="FFFFFF"/>
        </w:pBdr>
        <w:autoSpaceDE w:val="0"/>
        <w:autoSpaceDN w:val="0"/>
        <w:adjustRightInd w:val="0"/>
        <w:rPr>
          <w:bCs/>
          <w:iCs/>
          <w:color w:val="000000" w:themeColor="text1"/>
          <w:lang w:val="en-US"/>
        </w:rPr>
      </w:pPr>
      <w:r w:rsidRPr="00DA0A83">
        <w:rPr>
          <w:iCs/>
          <w:color w:val="000000" w:themeColor="text1"/>
          <w:lang w:val="en"/>
        </w:rPr>
        <w:t xml:space="preserve">1) in high level of dependence on imports, instead of import substitution policies, </w:t>
      </w:r>
      <w:r w:rsidR="00035D14" w:rsidRPr="00DA0A83">
        <w:rPr>
          <w:iCs/>
          <w:color w:val="000000" w:themeColor="text1"/>
          <w:lang w:val="en"/>
        </w:rPr>
        <w:t>i.e.,</w:t>
      </w:r>
      <w:r w:rsidRPr="00DA0A83">
        <w:rPr>
          <w:iCs/>
          <w:color w:val="000000" w:themeColor="text1"/>
          <w:lang w:val="en"/>
        </w:rPr>
        <w:t xml:space="preserve"> measures to increase supply in markets and commodity production, </w:t>
      </w:r>
      <w:r w:rsidRPr="00DA0A83">
        <w:rPr>
          <w:b/>
          <w:bCs/>
          <w:iCs/>
          <w:color w:val="000000" w:themeColor="text1"/>
          <w:lang w:val="en"/>
        </w:rPr>
        <w:t>direct and indirect price regulation</w:t>
      </w:r>
      <w:r w:rsidRPr="00DA0A83">
        <w:rPr>
          <w:iCs/>
          <w:color w:val="000000" w:themeColor="text1"/>
          <w:lang w:val="en"/>
        </w:rPr>
        <w:t xml:space="preserve"> of food commodity markets, including use of revolving schemes, introduction of prohibitions and restrictions, are most used.</w:t>
      </w:r>
    </w:p>
    <w:p w14:paraId="25B98697" w14:textId="77777777" w:rsidR="00323B1C" w:rsidRPr="00A57506" w:rsidRDefault="004C4BA9" w:rsidP="00323B1C">
      <w:pPr>
        <w:pBdr>
          <w:bottom w:val="single" w:sz="4" w:space="31" w:color="FFFFFF"/>
        </w:pBdr>
        <w:autoSpaceDE w:val="0"/>
        <w:autoSpaceDN w:val="0"/>
        <w:adjustRightInd w:val="0"/>
        <w:rPr>
          <w:bCs/>
          <w:iCs/>
          <w:color w:val="000000" w:themeColor="text1"/>
          <w:lang w:val="en-US"/>
        </w:rPr>
      </w:pPr>
      <w:r w:rsidRPr="00DA0A83">
        <w:rPr>
          <w:bCs/>
          <w:iCs/>
          <w:color w:val="000000" w:themeColor="text1"/>
          <w:lang w:val="en"/>
        </w:rPr>
        <w:lastRenderedPageBreak/>
        <w:t xml:space="preserve">Their active use, along with restriction of trade price mark-ups for social products, concluding agreements on price restraint, introduction of prohibitions and restrictions, </w:t>
      </w:r>
      <w:r w:rsidRPr="00DA0A83">
        <w:rPr>
          <w:b/>
          <w:bCs/>
          <w:iCs/>
          <w:color w:val="000000" w:themeColor="text1"/>
          <w:lang w:val="en"/>
        </w:rPr>
        <w:t>reduces marginality</w:t>
      </w:r>
      <w:r w:rsidRPr="00DA0A83">
        <w:rPr>
          <w:bCs/>
          <w:iCs/>
          <w:color w:val="000000" w:themeColor="text1"/>
          <w:lang w:val="en"/>
        </w:rPr>
        <w:t xml:space="preserve"> of market participants, possibility of subsequent investment in modernization or increase of existing production capacities, increases the risks of entrepreneurial activity and reduces investment attractiveness of the food market;</w:t>
      </w:r>
    </w:p>
    <w:p w14:paraId="596D1A9C" w14:textId="77777777" w:rsidR="00323B1C" w:rsidRPr="00A57506" w:rsidRDefault="004C4BA9" w:rsidP="00323B1C">
      <w:pPr>
        <w:pBdr>
          <w:bottom w:val="single" w:sz="4" w:space="31" w:color="FFFFFF"/>
        </w:pBdr>
        <w:autoSpaceDE w:val="0"/>
        <w:autoSpaceDN w:val="0"/>
        <w:adjustRightInd w:val="0"/>
        <w:rPr>
          <w:i/>
          <w:color w:val="000000"/>
          <w:sz w:val="24"/>
          <w:lang w:val="en-US"/>
        </w:rPr>
      </w:pPr>
      <w:r w:rsidRPr="00DA0A83">
        <w:rPr>
          <w:iCs/>
          <w:color w:val="000000" w:themeColor="text1"/>
          <w:lang w:val="en"/>
        </w:rPr>
        <w:t xml:space="preserve">2) emphasis on administrative measures for stabilization of prices leaves </w:t>
      </w:r>
      <w:r w:rsidRPr="00DA0A83">
        <w:rPr>
          <w:b/>
          <w:iCs/>
          <w:color w:val="000000" w:themeColor="text1"/>
          <w:lang w:val="en"/>
        </w:rPr>
        <w:t>measures for development and saturation</w:t>
      </w:r>
      <w:r w:rsidRPr="00DA0A83">
        <w:rPr>
          <w:iCs/>
          <w:color w:val="000000" w:themeColor="text1"/>
          <w:lang w:val="en"/>
        </w:rPr>
        <w:t xml:space="preserve"> of commodity markets in the background. In particular, state support of agricultural entities has turned into permanent support mechanism for farmers – recipients of subsidies, that does not stimulate growth of production volumes, capacities and emergence of new producers;</w:t>
      </w:r>
    </w:p>
    <w:p w14:paraId="49A2B5A7" w14:textId="77777777" w:rsidR="00323B1C" w:rsidRPr="00A57506" w:rsidRDefault="004C4BA9" w:rsidP="00323B1C">
      <w:pPr>
        <w:widowControl w:val="0"/>
        <w:pBdr>
          <w:bottom w:val="single" w:sz="4" w:space="31" w:color="FFFFFF"/>
        </w:pBdr>
        <w:adjustRightInd w:val="0"/>
        <w:rPr>
          <w:bCs/>
          <w:iCs/>
          <w:color w:val="000000" w:themeColor="text1"/>
          <w:lang w:val="en-US"/>
        </w:rPr>
      </w:pPr>
      <w:r w:rsidRPr="00DA0A83">
        <w:rPr>
          <w:lang w:val="en"/>
        </w:rPr>
        <w:t>2)</w:t>
      </w:r>
      <w:r w:rsidRPr="00DA0A83">
        <w:rPr>
          <w:bCs/>
          <w:iCs/>
          <w:color w:val="000000" w:themeColor="text1"/>
          <w:lang w:val="en"/>
        </w:rPr>
        <w:t xml:space="preserve"> every year, the state allocates significant financial resources to contain and stabilize prices for food staples, providing state support to </w:t>
      </w:r>
      <w:r w:rsidRPr="00DA0A83">
        <w:rPr>
          <w:b/>
          <w:iCs/>
          <w:color w:val="000000" w:themeColor="text1"/>
          <w:lang w:val="en"/>
        </w:rPr>
        <w:t>all</w:t>
      </w:r>
      <w:r w:rsidRPr="00DA0A83">
        <w:rPr>
          <w:bCs/>
          <w:iCs/>
          <w:color w:val="000000" w:themeColor="text1"/>
          <w:lang w:val="en"/>
        </w:rPr>
        <w:t xml:space="preserve"> segments of the population, depriving really needy strata </w:t>
      </w:r>
      <w:r w:rsidRPr="00DA0A83">
        <w:rPr>
          <w:bCs/>
          <w:i/>
          <w:iCs/>
          <w:color w:val="000000" w:themeColor="text1"/>
          <w:sz w:val="24"/>
          <w:lang w:val="en"/>
        </w:rPr>
        <w:t>(vulnerable social groups)</w:t>
      </w:r>
      <w:r w:rsidRPr="00DA0A83">
        <w:rPr>
          <w:bCs/>
          <w:iCs/>
          <w:color w:val="000000" w:themeColor="text1"/>
          <w:lang w:val="en"/>
        </w:rPr>
        <w:t xml:space="preserve"> of the opportunity to receive targeted equivalent assistance from state; </w:t>
      </w:r>
    </w:p>
    <w:p w14:paraId="021F9F7D" w14:textId="77777777" w:rsidR="00323B1C" w:rsidRPr="00A57506" w:rsidRDefault="004C4BA9" w:rsidP="00323B1C">
      <w:pPr>
        <w:widowControl w:val="0"/>
        <w:pBdr>
          <w:bottom w:val="single" w:sz="4" w:space="31" w:color="FFFFFF"/>
        </w:pBdr>
        <w:adjustRightInd w:val="0"/>
        <w:rPr>
          <w:b/>
          <w:bCs/>
          <w:iCs/>
          <w:color w:val="000000"/>
          <w:lang w:val="en-US"/>
        </w:rPr>
      </w:pPr>
      <w:r w:rsidRPr="00DA0A83">
        <w:rPr>
          <w:bCs/>
          <w:lang w:val="en"/>
        </w:rPr>
        <w:t>3)</w:t>
      </w:r>
      <w:r w:rsidRPr="00DA0A83">
        <w:rPr>
          <w:iCs/>
          <w:color w:val="000000"/>
          <w:lang w:val="en"/>
        </w:rPr>
        <w:t xml:space="preserve"> work on </w:t>
      </w:r>
      <w:r w:rsidRPr="00DA0A83">
        <w:rPr>
          <w:b/>
          <w:iCs/>
          <w:color w:val="000000"/>
          <w:lang w:val="en"/>
        </w:rPr>
        <w:t>price containment</w:t>
      </w:r>
      <w:r w:rsidRPr="00DA0A83">
        <w:rPr>
          <w:iCs/>
          <w:color w:val="000000"/>
          <w:lang w:val="en"/>
        </w:rPr>
        <w:t xml:space="preserve"> is focused on conducting commodity interventions </w:t>
      </w:r>
      <w:r w:rsidRPr="00DA0A83">
        <w:rPr>
          <w:i/>
          <w:iCs/>
          <w:color w:val="000000"/>
          <w:sz w:val="24"/>
          <w:lang w:val="en"/>
        </w:rPr>
        <w:t>(through stabilization funds, SEC and Food Corporation)</w:t>
      </w:r>
      <w:r w:rsidRPr="00DA0A83">
        <w:rPr>
          <w:iCs/>
          <w:color w:val="000000"/>
          <w:lang w:val="en"/>
        </w:rPr>
        <w:t xml:space="preserve"> and allocation of preferential loans </w:t>
      </w:r>
      <w:r w:rsidRPr="00DA0A83">
        <w:rPr>
          <w:i/>
          <w:iCs/>
          <w:color w:val="000000"/>
          <w:sz w:val="24"/>
          <w:lang w:val="en"/>
        </w:rPr>
        <w:t>(revolving schemes)</w:t>
      </w:r>
      <w:r w:rsidRPr="00DA0A83">
        <w:rPr>
          <w:iCs/>
          <w:color w:val="000000"/>
          <w:lang w:val="en"/>
        </w:rPr>
        <w:t xml:space="preserve"> to retail chains, suppliers and manufacturers. Unlike subsidies, revolving schemes and stabilization funds are not aimed at supporting agro-industrial complex, saturating commodity markets, increasing supply in food markets as main tool for price stabilization, but at reducing the cost of food products, that does </w:t>
      </w:r>
      <w:r w:rsidRPr="00DA0A83">
        <w:rPr>
          <w:b/>
          <w:bCs/>
          <w:iCs/>
          <w:color w:val="000000"/>
          <w:lang w:val="en"/>
        </w:rPr>
        <w:t>not have</w:t>
      </w:r>
      <w:r w:rsidRPr="00DA0A83">
        <w:rPr>
          <w:iCs/>
          <w:color w:val="000000"/>
          <w:lang w:val="en"/>
        </w:rPr>
        <w:t xml:space="preserve">  significant economic effect, continuing to demonstrate annual dynamic price increase;</w:t>
      </w:r>
    </w:p>
    <w:p w14:paraId="12362D65"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iCs/>
          <w:color w:val="000000"/>
          <w:lang w:val="en"/>
        </w:rPr>
        <w:t xml:space="preserve">4) Funds allocated for stabilization funds and revolving schemes account for </w:t>
      </w:r>
      <w:r w:rsidRPr="0083522E">
        <w:rPr>
          <w:b/>
          <w:iCs/>
          <w:color w:val="000000"/>
          <w:lang w:val="en"/>
        </w:rPr>
        <w:t>about 5%</w:t>
      </w:r>
      <w:r w:rsidRPr="00DA0A83">
        <w:rPr>
          <w:iCs/>
          <w:color w:val="000000"/>
          <w:lang w:val="en"/>
        </w:rPr>
        <w:t xml:space="preserve"> of total market volume, making this approach extremely inefficient to ensure price stabilization;</w:t>
      </w:r>
    </w:p>
    <w:p w14:paraId="43782AE6" w14:textId="77777777" w:rsidR="00323B1C" w:rsidRPr="00A57506" w:rsidRDefault="004C4BA9" w:rsidP="00323B1C">
      <w:pPr>
        <w:widowControl w:val="0"/>
        <w:pBdr>
          <w:bottom w:val="single" w:sz="4" w:space="31" w:color="FFFFFF"/>
        </w:pBdr>
        <w:adjustRightInd w:val="0"/>
        <w:ind w:firstLine="0"/>
        <w:rPr>
          <w:bCs/>
          <w:i/>
          <w:sz w:val="24"/>
          <w:szCs w:val="24"/>
          <w:lang w:val="en-US"/>
        </w:rPr>
      </w:pPr>
      <w:r w:rsidRPr="00DA0A83">
        <w:rPr>
          <w:bCs/>
          <w:iCs/>
          <w:lang w:val="en"/>
        </w:rPr>
        <w:t xml:space="preserve">        5) despite annual increase in subsidies </w:t>
      </w:r>
      <w:r w:rsidRPr="00DA0A83">
        <w:rPr>
          <w:bCs/>
          <w:i/>
          <w:iCs/>
          <w:sz w:val="24"/>
          <w:szCs w:val="24"/>
          <w:lang w:val="en"/>
        </w:rPr>
        <w:t>(450 billion KZT in 2022)</w:t>
      </w:r>
      <w:r w:rsidRPr="00DA0A83">
        <w:rPr>
          <w:bCs/>
          <w:iCs/>
          <w:lang w:val="en"/>
        </w:rPr>
        <w:t xml:space="preserve">, </w:t>
      </w:r>
      <w:bookmarkStart w:id="63" w:name="_Hlk135754040"/>
      <w:r w:rsidRPr="00DA0A83">
        <w:rPr>
          <w:b/>
          <w:lang w:val="en"/>
        </w:rPr>
        <w:t>there</w:t>
      </w:r>
      <w:r w:rsidRPr="00DA0A83">
        <w:rPr>
          <w:bCs/>
          <w:iCs/>
          <w:lang w:val="en"/>
        </w:rPr>
        <w:t xml:space="preserve"> is no positive effect in agro-industrial complex, including recipients </w:t>
      </w:r>
      <w:bookmarkEnd w:id="63"/>
      <w:r w:rsidRPr="00DA0A83">
        <w:rPr>
          <w:bCs/>
          <w:iCs/>
          <w:lang w:val="en"/>
        </w:rPr>
        <w:t>of subsidies;</w:t>
      </w:r>
    </w:p>
    <w:p w14:paraId="741294AA" w14:textId="7D584876" w:rsidR="00323B1C" w:rsidRPr="00A57506" w:rsidRDefault="004C4BA9" w:rsidP="00323B1C">
      <w:pPr>
        <w:widowControl w:val="0"/>
        <w:pBdr>
          <w:bottom w:val="single" w:sz="4" w:space="31" w:color="FFFFFF"/>
        </w:pBdr>
        <w:adjustRightInd w:val="0"/>
        <w:ind w:firstLine="0"/>
        <w:rPr>
          <w:i/>
          <w:iCs/>
          <w:sz w:val="24"/>
          <w:szCs w:val="24"/>
          <w:lang w:val="en-US"/>
        </w:rPr>
      </w:pPr>
      <w:r w:rsidRPr="00DA0A83">
        <w:rPr>
          <w:bCs/>
          <w:i/>
          <w:sz w:val="24"/>
          <w:szCs w:val="24"/>
          <w:lang w:val="en"/>
        </w:rPr>
        <w:tab/>
      </w:r>
      <w:r w:rsidRPr="00DA0A83">
        <w:rPr>
          <w:rFonts w:eastAsia="Calibri"/>
          <w:lang w:val="en" w:eastAsia="en-US"/>
        </w:rPr>
        <w:t>6) difficult economic situation has developed in almost all agricultural commodity markets on subsidizing issues:</w:t>
      </w:r>
      <w:r w:rsidRPr="00DA0A83">
        <w:rPr>
          <w:rFonts w:eastAsia="Calibri"/>
          <w:b/>
          <w:lang w:val="en" w:eastAsia="en-US"/>
        </w:rPr>
        <w:t xml:space="preserve"> late allocation</w:t>
      </w:r>
      <w:r w:rsidRPr="00DA0A83">
        <w:rPr>
          <w:rFonts w:eastAsia="Calibri"/>
          <w:lang w:val="en" w:eastAsia="en-US"/>
        </w:rPr>
        <w:t xml:space="preserve"> of funds and</w:t>
      </w:r>
      <w:r w:rsidRPr="00DA0A83">
        <w:rPr>
          <w:rFonts w:eastAsia="Calibri"/>
          <w:b/>
          <w:lang w:val="en" w:eastAsia="en-US"/>
        </w:rPr>
        <w:t xml:space="preserve"> unequal distribution</w:t>
      </w:r>
      <w:r w:rsidRPr="00DA0A83">
        <w:rPr>
          <w:rFonts w:eastAsia="Calibri"/>
          <w:lang w:val="en" w:eastAsia="en-US"/>
        </w:rPr>
        <w:t xml:space="preserve"> of subsidies</w:t>
      </w:r>
      <w:r w:rsidRPr="00DA0A83">
        <w:rPr>
          <w:bCs/>
          <w:i/>
          <w:sz w:val="24"/>
          <w:szCs w:val="24"/>
          <w:lang w:val="en"/>
        </w:rPr>
        <w:t xml:space="preserve"> (in 2020, in the context of regions, out of 9 regions, 3 regions did not receive </w:t>
      </w:r>
      <w:r w:rsidR="00AF59F7" w:rsidRPr="00DA0A83">
        <w:rPr>
          <w:bCs/>
          <w:i/>
          <w:sz w:val="24"/>
          <w:szCs w:val="24"/>
          <w:lang w:val="en"/>
        </w:rPr>
        <w:t>declared</w:t>
      </w:r>
      <w:r w:rsidRPr="00DA0A83">
        <w:rPr>
          <w:bCs/>
          <w:i/>
          <w:sz w:val="24"/>
          <w:szCs w:val="24"/>
          <w:lang w:val="en"/>
        </w:rPr>
        <w:t xml:space="preserve"> necessary subsidies as follows: North Kazakhstan - 32%, Akmola - 31%, Almaty region - 48%. The rest of the regions received 100% subsidies.</w:t>
      </w:r>
    </w:p>
    <w:p w14:paraId="07DE392B"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In addition, there are following problems: low availability of subsidies for major part of agricultural enterprises, no link of subsidies to final result and specialization of regions, imperfection of subsidy mechanism, as today the agro-industrial complex entities, whose business is not large by definition, do not have opportunity to receive subsidies.</w:t>
      </w:r>
    </w:p>
    <w:p w14:paraId="7343E063" w14:textId="77777777" w:rsidR="00323B1C" w:rsidRPr="00A57506" w:rsidRDefault="004C4BA9" w:rsidP="00323B1C">
      <w:pPr>
        <w:widowControl w:val="0"/>
        <w:pBdr>
          <w:bottom w:val="single" w:sz="4" w:space="31" w:color="FFFFFF"/>
        </w:pBdr>
        <w:adjustRightInd w:val="0"/>
        <w:ind w:firstLine="0"/>
        <w:rPr>
          <w:lang w:val="en-US"/>
        </w:rPr>
      </w:pPr>
      <w:r w:rsidRPr="00DA0A83">
        <w:rPr>
          <w:lang w:val="en"/>
        </w:rPr>
        <w:tab/>
        <w:t xml:space="preserve">The amount of funds is distributed annually among limited number of large commodity producers, small and medium-sized businesses are subsidized on </w:t>
      </w:r>
      <w:r w:rsidRPr="00DA0A83">
        <w:rPr>
          <w:b/>
          <w:lang w:val="en"/>
        </w:rPr>
        <w:t>residual basis</w:t>
      </w:r>
      <w:r w:rsidRPr="00DA0A83">
        <w:rPr>
          <w:lang w:val="en"/>
        </w:rPr>
        <w:t xml:space="preserve">. Access to individual subsidies for new market participants is completely closed, since </w:t>
      </w:r>
      <w:r w:rsidRPr="00DA0A83">
        <w:rPr>
          <w:b/>
          <w:lang w:val="en"/>
        </w:rPr>
        <w:t>criteria have been established that are focused on large participants</w:t>
      </w:r>
      <w:r w:rsidRPr="00DA0A83">
        <w:rPr>
          <w:lang w:val="en"/>
        </w:rPr>
        <w:t xml:space="preserve">. There is instability in subsidizing agro-industrial complex in its main directions. For example, in egg production, the rules of subsidy provision have </w:t>
      </w:r>
      <w:r w:rsidRPr="00DA0A83">
        <w:rPr>
          <w:b/>
          <w:lang w:val="en"/>
        </w:rPr>
        <w:t>changed 7 times</w:t>
      </w:r>
      <w:r w:rsidRPr="00DA0A83">
        <w:rPr>
          <w:lang w:val="en"/>
        </w:rPr>
        <w:t>.</w:t>
      </w:r>
    </w:p>
    <w:p w14:paraId="0E0437E5" w14:textId="77777777" w:rsidR="00323B1C" w:rsidRPr="00A57506" w:rsidRDefault="004C4BA9" w:rsidP="00323B1C">
      <w:pPr>
        <w:pBdr>
          <w:bottom w:val="single" w:sz="4" w:space="31" w:color="FFFFFF"/>
        </w:pBdr>
        <w:autoSpaceDE w:val="0"/>
        <w:autoSpaceDN w:val="0"/>
        <w:adjustRightInd w:val="0"/>
        <w:rPr>
          <w:b/>
          <w:bCs/>
          <w:shd w:val="clear" w:color="auto" w:fill="FFFFFF"/>
          <w:lang w:val="en-US"/>
        </w:rPr>
      </w:pPr>
      <w:r w:rsidRPr="00DA0A83">
        <w:rPr>
          <w:b/>
          <w:bCs/>
          <w:lang w:val="en"/>
        </w:rPr>
        <w:lastRenderedPageBreak/>
        <w:t>Foreign experience</w:t>
      </w:r>
      <w:r w:rsidRPr="00DA0A83">
        <w:rPr>
          <w:lang w:val="en"/>
        </w:rPr>
        <w:t xml:space="preserve"> of Italy and France </w:t>
      </w:r>
      <w:r w:rsidRPr="00DA0A83">
        <w:rPr>
          <w:i/>
          <w:sz w:val="24"/>
          <w:lang w:val="en"/>
        </w:rPr>
        <w:t>(direct regulation)</w:t>
      </w:r>
      <w:r w:rsidRPr="00DA0A83">
        <w:rPr>
          <w:lang w:val="en"/>
        </w:rPr>
        <w:t xml:space="preserve"> has shown that direct government intervention ultimately leads to </w:t>
      </w:r>
      <w:r w:rsidRPr="00DA0A83">
        <w:rPr>
          <w:b/>
          <w:lang w:val="en"/>
        </w:rPr>
        <w:t>reduction in trade productivity</w:t>
      </w:r>
      <w:r w:rsidRPr="00DA0A83">
        <w:rPr>
          <w:lang w:val="en"/>
        </w:rPr>
        <w:t xml:space="preserve"> by average </w:t>
      </w:r>
      <w:r w:rsidRPr="00DA0A83">
        <w:rPr>
          <w:b/>
          <w:lang w:val="en"/>
        </w:rPr>
        <w:t>of 15%</w:t>
      </w:r>
      <w:r w:rsidRPr="00DA0A83">
        <w:rPr>
          <w:lang w:val="en"/>
        </w:rPr>
        <w:t xml:space="preserve"> and to </w:t>
      </w:r>
      <w:r w:rsidRPr="00DA0A83">
        <w:rPr>
          <w:b/>
          <w:lang w:val="en"/>
        </w:rPr>
        <w:t>overall increase</w:t>
      </w:r>
      <w:r w:rsidRPr="00DA0A83">
        <w:rPr>
          <w:lang w:val="en"/>
        </w:rPr>
        <w:t xml:space="preserve"> in retail prices. European Union is withdrawing from state regulation of retail food prices </w:t>
      </w:r>
      <w:r w:rsidRPr="00DA0A83">
        <w:rPr>
          <w:i/>
          <w:iCs/>
          <w:sz w:val="24"/>
          <w:szCs w:val="24"/>
          <w:lang w:val="en"/>
        </w:rPr>
        <w:t>(it is still in effect in some countries, but mainly concerns tariffs of natural monopolies).</w:t>
      </w:r>
    </w:p>
    <w:p w14:paraId="52E0FE78" w14:textId="77777777" w:rsidR="00323B1C" w:rsidRPr="00A57506" w:rsidRDefault="004C4BA9" w:rsidP="00323B1C">
      <w:pPr>
        <w:widowControl w:val="0"/>
        <w:pBdr>
          <w:bottom w:val="single" w:sz="4" w:space="31" w:color="FFFFFF"/>
        </w:pBdr>
        <w:adjustRightInd w:val="0"/>
        <w:rPr>
          <w:rFonts w:eastAsia="Calibri"/>
          <w:lang w:val="en-US"/>
        </w:rPr>
      </w:pPr>
      <w:r w:rsidRPr="00DA0A83">
        <w:rPr>
          <w:rFonts w:eastAsia="Calibri"/>
          <w:lang w:val="en"/>
        </w:rPr>
        <w:t xml:space="preserve">In </w:t>
      </w:r>
      <w:r w:rsidRPr="00DA0A83">
        <w:rPr>
          <w:rFonts w:eastAsia="Calibri"/>
          <w:b/>
          <w:lang w:val="en"/>
        </w:rPr>
        <w:t>Turkey</w:t>
      </w:r>
      <w:r w:rsidRPr="00DA0A83">
        <w:rPr>
          <w:rFonts w:eastAsia="Calibri"/>
          <w:bCs/>
          <w:i/>
          <w:sz w:val="24"/>
          <w:lang w:val="en"/>
        </w:rPr>
        <w:t xml:space="preserve"> (Konya – indirect regulation)</w:t>
      </w:r>
      <w:r w:rsidRPr="00DA0A83">
        <w:rPr>
          <w:rFonts w:eastAsia="Calibri"/>
          <w:lang w:val="en"/>
        </w:rPr>
        <w:t xml:space="preserve">, main principle of subsidies is allocating subsidies for </w:t>
      </w:r>
      <w:r w:rsidRPr="00DA0A83">
        <w:rPr>
          <w:rFonts w:eastAsia="Calibri"/>
          <w:b/>
          <w:lang w:val="en"/>
        </w:rPr>
        <w:t>final result</w:t>
      </w:r>
      <w:r w:rsidRPr="00DA0A83">
        <w:rPr>
          <w:rFonts w:eastAsia="Calibri"/>
          <w:lang w:val="en"/>
        </w:rPr>
        <w:t xml:space="preserve"> - finished agricultural products that have entered commercial circulation. This significantly improved sphere of state subsidies in Turkey and gave a significant increase in finished products. Transparency and quality of statistical data on stock trading allows government agencies to correctly and timely plan budget for next year with targeted identification of state program users to support agricultural producers. </w:t>
      </w:r>
    </w:p>
    <w:p w14:paraId="1C8F16DD" w14:textId="77777777" w:rsidR="00323B1C" w:rsidRPr="00A57506" w:rsidRDefault="004C4BA9" w:rsidP="00323B1C">
      <w:pPr>
        <w:widowControl w:val="0"/>
        <w:pBdr>
          <w:bottom w:val="single" w:sz="4" w:space="31" w:color="FFFFFF"/>
        </w:pBdr>
        <w:adjustRightInd w:val="0"/>
        <w:rPr>
          <w:lang w:val="en-US"/>
        </w:rPr>
      </w:pPr>
      <w:r w:rsidRPr="00DA0A83">
        <w:rPr>
          <w:rFonts w:eastAsia="Calibri"/>
          <w:bCs/>
          <w:lang w:val="en"/>
        </w:rPr>
        <w:t xml:space="preserve">In </w:t>
      </w:r>
      <w:r w:rsidRPr="00DA0A83">
        <w:rPr>
          <w:b/>
          <w:bCs/>
          <w:lang w:val="en"/>
        </w:rPr>
        <w:t>Moldova</w:t>
      </w:r>
      <w:r w:rsidRPr="00DA0A83">
        <w:rPr>
          <w:rFonts w:eastAsia="Calibri"/>
          <w:bCs/>
          <w:i/>
          <w:sz w:val="24"/>
          <w:lang w:val="en"/>
        </w:rPr>
        <w:t xml:space="preserve"> (indirect regulation)</w:t>
      </w:r>
      <w:r w:rsidRPr="00DA0A83">
        <w:rPr>
          <w:rFonts w:eastAsia="Calibri"/>
          <w:bCs/>
          <w:lang w:val="en"/>
        </w:rPr>
        <w:t xml:space="preserve">, there are criteria for AGP: subsidy applicant cannot receive support from state if over the past 3 calendar years it has received subsidies totaling 9.0 million lei </w:t>
      </w:r>
      <w:r w:rsidRPr="00DA0A83">
        <w:rPr>
          <w:bCs/>
          <w:i/>
          <w:sz w:val="24"/>
          <w:lang w:val="en"/>
        </w:rPr>
        <w:t>(219 million KZT)</w:t>
      </w:r>
      <w:r w:rsidRPr="00DA0A83">
        <w:rPr>
          <w:rFonts w:eastAsia="Calibri"/>
          <w:bCs/>
          <w:lang w:val="en"/>
        </w:rPr>
        <w:t xml:space="preserve">. Also, state support has been established for </w:t>
      </w:r>
      <w:bookmarkStart w:id="64" w:name="_Hlk94720410"/>
      <w:r w:rsidRPr="00DA0A83">
        <w:rPr>
          <w:b/>
          <w:bCs/>
          <w:lang w:val="en"/>
        </w:rPr>
        <w:t xml:space="preserve">starting </w:t>
      </w:r>
      <w:bookmarkEnd w:id="64"/>
      <w:r w:rsidRPr="00DA0A83">
        <w:rPr>
          <w:b/>
          <w:bCs/>
          <w:lang w:val="en"/>
        </w:rPr>
        <w:t xml:space="preserve">AGPs </w:t>
      </w:r>
      <w:r w:rsidRPr="00DA0A83">
        <w:rPr>
          <w:rFonts w:eastAsia="Calibri"/>
          <w:bCs/>
          <w:lang w:val="en"/>
        </w:rPr>
        <w:t xml:space="preserve">, which is 65% of project cost and should not exceed 1 million lei </w:t>
      </w:r>
      <w:r w:rsidRPr="00DA0A83">
        <w:rPr>
          <w:bCs/>
          <w:i/>
          <w:sz w:val="24"/>
          <w:lang w:val="en"/>
        </w:rPr>
        <w:t>(24 million KZT)</w:t>
      </w:r>
      <w:r w:rsidRPr="00DA0A83">
        <w:rPr>
          <w:rFonts w:eastAsia="Calibri"/>
          <w:bCs/>
          <w:lang w:val="en"/>
        </w:rPr>
        <w:t xml:space="preserve">. </w:t>
      </w:r>
    </w:p>
    <w:p w14:paraId="386CEAE3"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In this regard, due to ineffectiveness of instruments for restraining food prices by the end of 2021 and the first half of 2022, the </w:t>
      </w:r>
      <w:r w:rsidRPr="00DA0A83">
        <w:rPr>
          <w:rFonts w:eastAsia="Calibri"/>
          <w:b/>
          <w:lang w:val="en"/>
        </w:rPr>
        <w:t>Government</w:t>
      </w:r>
      <w:r w:rsidRPr="00DA0A83">
        <w:rPr>
          <w:rFonts w:eastAsia="Calibri"/>
          <w:lang w:val="en"/>
        </w:rPr>
        <w:t xml:space="preserve"> was asked to provide the following measures:</w:t>
      </w:r>
    </w:p>
    <w:p w14:paraId="457BCEB2"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lang w:val="en"/>
        </w:rPr>
        <w:t>-</w:t>
      </w:r>
      <w:r w:rsidRPr="00DA0A83">
        <w:rPr>
          <w:b/>
          <w:lang w:val="en"/>
        </w:rPr>
        <w:t>abolition</w:t>
      </w:r>
      <w:r w:rsidRPr="00DA0A83">
        <w:rPr>
          <w:lang w:val="en"/>
        </w:rPr>
        <w:t xml:space="preserve"> of state price regulation, except in cases of food security threats;</w:t>
      </w:r>
    </w:p>
    <w:p w14:paraId="39B56066"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using </w:t>
      </w:r>
      <w:r w:rsidRPr="00DA0A83">
        <w:rPr>
          <w:rFonts w:eastAsia="TimesNewRomanPSMT"/>
          <w:b/>
          <w:lang w:val="en"/>
        </w:rPr>
        <w:t>competitive advantages of region's agricultural sector</w:t>
      </w:r>
      <w:r w:rsidRPr="00DA0A83">
        <w:rPr>
          <w:rFonts w:eastAsia="Calibri"/>
          <w:lang w:val="en"/>
        </w:rPr>
        <w:t xml:space="preserve"> and developing its own local strategy for developing agricultural sector of economy, focusing on development of commodity production in markets with high share of import dependence;</w:t>
      </w:r>
    </w:p>
    <w:p w14:paraId="7E400BCF"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w:t>
      </w:r>
      <w:r w:rsidRPr="00DA0A83">
        <w:rPr>
          <w:rFonts w:eastAsia="Calibri"/>
          <w:b/>
          <w:lang w:val="en"/>
        </w:rPr>
        <w:t xml:space="preserve"> revision of </w:t>
      </w:r>
      <w:r w:rsidRPr="00DA0A83">
        <w:rPr>
          <w:rFonts w:eastAsia="Calibri"/>
          <w:lang w:val="en"/>
        </w:rPr>
        <w:t>subsidizing agro-industrial complex with a focus on</w:t>
      </w:r>
      <w:r w:rsidRPr="00DA0A83">
        <w:rPr>
          <w:rFonts w:eastAsia="Calibri"/>
          <w:b/>
          <w:lang w:val="en"/>
        </w:rPr>
        <w:t xml:space="preserve"> problematic </w:t>
      </w:r>
      <w:r w:rsidRPr="00DA0A83">
        <w:rPr>
          <w:rFonts w:eastAsia="Calibri"/>
          <w:lang w:val="en"/>
        </w:rPr>
        <w:t>commodity markets,</w:t>
      </w:r>
      <w:r w:rsidRPr="00DA0A83">
        <w:rPr>
          <w:rFonts w:eastAsia="Calibri"/>
          <w:b/>
          <w:lang w:val="en"/>
        </w:rPr>
        <w:t xml:space="preserve"> new </w:t>
      </w:r>
      <w:r w:rsidRPr="00DA0A83">
        <w:rPr>
          <w:rFonts w:eastAsia="Calibri"/>
          <w:lang w:val="en"/>
        </w:rPr>
        <w:t>market participants,</w:t>
      </w:r>
      <w:r w:rsidRPr="00DA0A83">
        <w:rPr>
          <w:rFonts w:eastAsia="Calibri"/>
          <w:b/>
          <w:lang w:val="en"/>
        </w:rPr>
        <w:t xml:space="preserve"> determination of period for receiving subsidies – 3 years</w:t>
      </w:r>
      <w:r w:rsidRPr="00DA0A83">
        <w:rPr>
          <w:bCs/>
          <w:lang w:val="en"/>
        </w:rPr>
        <w:t>;</w:t>
      </w:r>
    </w:p>
    <w:p w14:paraId="7A11ED78"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w:t>
      </w:r>
      <w:r w:rsidRPr="00DA0A83">
        <w:rPr>
          <w:rFonts w:eastAsia="Calibri"/>
          <w:b/>
          <w:lang w:val="en"/>
        </w:rPr>
        <w:t>gradual transition</w:t>
      </w:r>
      <w:r w:rsidRPr="00DA0A83">
        <w:rPr>
          <w:rFonts w:eastAsia="Calibri"/>
          <w:lang w:val="en"/>
        </w:rPr>
        <w:t xml:space="preserve"> from subsidizing to concessional lending;</w:t>
      </w:r>
    </w:p>
    <w:p w14:paraId="1CD01CBE"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w:t>
      </w:r>
      <w:r w:rsidRPr="00DA0A83">
        <w:rPr>
          <w:rFonts w:eastAsia="Calibri"/>
          <w:b/>
          <w:lang w:val="en"/>
        </w:rPr>
        <w:t>support of effective projects</w:t>
      </w:r>
      <w:r w:rsidRPr="00DA0A83">
        <w:rPr>
          <w:rFonts w:eastAsia="Calibri"/>
          <w:lang w:val="en"/>
        </w:rPr>
        <w:t xml:space="preserve"> aimed not at reducing cost of goods, but at development of production infrastructure;</w:t>
      </w:r>
    </w:p>
    <w:p w14:paraId="76EB5A25"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w:t>
      </w:r>
      <w:r w:rsidRPr="00DA0A83">
        <w:rPr>
          <w:rFonts w:eastAsia="Calibri"/>
          <w:b/>
          <w:lang w:val="en"/>
        </w:rPr>
        <w:t>automated</w:t>
      </w:r>
      <w:r w:rsidRPr="00DA0A83">
        <w:rPr>
          <w:rFonts w:eastAsia="Calibri"/>
          <w:lang w:val="en"/>
        </w:rPr>
        <w:t xml:space="preserve"> regional balances of food products </w:t>
      </w:r>
      <w:r w:rsidRPr="00DA0A83">
        <w:rPr>
          <w:rFonts w:eastAsia="Calibri"/>
          <w:i/>
          <w:sz w:val="24"/>
          <w:lang w:val="en"/>
        </w:rPr>
        <w:t>(supply and demand)</w:t>
      </w:r>
      <w:r w:rsidRPr="00DA0A83">
        <w:rPr>
          <w:rFonts w:eastAsia="Calibri"/>
          <w:lang w:val="en"/>
        </w:rPr>
        <w:t xml:space="preserve"> in order to predict situation;</w:t>
      </w:r>
    </w:p>
    <w:p w14:paraId="3DEE3554"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improvement of tariff regulation, introduction of automated system for distribution of quantitative restrictions </w:t>
      </w:r>
      <w:r w:rsidRPr="00DA0A83">
        <w:rPr>
          <w:rFonts w:eastAsia="Calibri"/>
          <w:i/>
          <w:sz w:val="24"/>
          <w:lang w:val="en"/>
        </w:rPr>
        <w:t>(quotas, prohibitions)</w:t>
      </w:r>
      <w:r w:rsidRPr="00DA0A83">
        <w:rPr>
          <w:rFonts w:eastAsia="Calibri"/>
          <w:lang w:val="en"/>
        </w:rPr>
        <w:t>;</w:t>
      </w:r>
    </w:p>
    <w:p w14:paraId="7680A2F7" w14:textId="77777777"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rFonts w:eastAsia="Calibri"/>
          <w:lang w:val="en"/>
        </w:rPr>
        <w:t xml:space="preserve">- introduction of </w:t>
      </w:r>
      <w:r w:rsidRPr="00DA0A83">
        <w:rPr>
          <w:rFonts w:eastAsia="Calibri"/>
          <w:b/>
          <w:lang w:val="en"/>
        </w:rPr>
        <w:t>digital accounting</w:t>
      </w:r>
      <w:r w:rsidRPr="00DA0A83">
        <w:rPr>
          <w:rFonts w:eastAsia="Calibri"/>
          <w:lang w:val="en"/>
        </w:rPr>
        <w:t xml:space="preserve"> of goods </w:t>
      </w:r>
      <w:r w:rsidRPr="00DA0A83">
        <w:rPr>
          <w:rFonts w:eastAsia="Calibri"/>
          <w:i/>
          <w:sz w:val="24"/>
          <w:lang w:val="en"/>
        </w:rPr>
        <w:t>(from production to sale)</w:t>
      </w:r>
      <w:r w:rsidRPr="00DA0A83">
        <w:rPr>
          <w:rFonts w:eastAsia="Calibri"/>
          <w:lang w:val="en"/>
        </w:rPr>
        <w:t xml:space="preserve"> through exchange system in order to exclude shadow turnover of agricultural products, stimulating state support measures related to development of exchange trading of agricultural products.</w:t>
      </w:r>
    </w:p>
    <w:p w14:paraId="3FF8DA90" w14:textId="50297BFF" w:rsidR="00323B1C" w:rsidRPr="00A57506" w:rsidRDefault="004C4BA9" w:rsidP="00323B1C">
      <w:pPr>
        <w:pBdr>
          <w:bottom w:val="single" w:sz="4" w:space="31" w:color="FFFFFF"/>
        </w:pBdr>
        <w:autoSpaceDE w:val="0"/>
        <w:autoSpaceDN w:val="0"/>
        <w:adjustRightInd w:val="0"/>
        <w:rPr>
          <w:b/>
          <w:bCs/>
          <w:iCs/>
          <w:color w:val="000000"/>
          <w:lang w:val="en-US"/>
        </w:rPr>
      </w:pPr>
      <w:r w:rsidRPr="00DA0A83">
        <w:rPr>
          <w:lang w:val="en"/>
        </w:rPr>
        <w:t xml:space="preserve">Also, activity of </w:t>
      </w:r>
      <w:r w:rsidRPr="00DA0A83">
        <w:rPr>
          <w:b/>
          <w:bCs/>
          <w:lang w:val="en"/>
        </w:rPr>
        <w:t>"NC "Food Corporation" JSC</w:t>
      </w:r>
      <w:r w:rsidRPr="00DA0A83">
        <w:rPr>
          <w:lang w:val="en"/>
        </w:rPr>
        <w:t xml:space="preserve"> </w:t>
      </w:r>
      <w:r w:rsidRPr="00DA0A83">
        <w:rPr>
          <w:i/>
          <w:iCs/>
          <w:sz w:val="24"/>
          <w:lang w:val="en"/>
        </w:rPr>
        <w:t>(hereinafter referred to as the Company)</w:t>
      </w:r>
      <w:r w:rsidRPr="00DA0A83">
        <w:rPr>
          <w:lang w:val="en"/>
        </w:rPr>
        <w:t xml:space="preserve"> was analyzed for compliance with competition protection </w:t>
      </w:r>
      <w:r w:rsidR="00AF59F7" w:rsidRPr="00DA0A83">
        <w:rPr>
          <w:lang w:val="en"/>
        </w:rPr>
        <w:t>legislation</w:t>
      </w:r>
      <w:r w:rsidRPr="00DA0A83">
        <w:rPr>
          <w:lang w:val="en"/>
        </w:rPr>
        <w:t xml:space="preserve"> in terms of concluding forward contracts with AGPs.</w:t>
      </w:r>
    </w:p>
    <w:p w14:paraId="48E59177" w14:textId="77777777" w:rsidR="00323B1C" w:rsidRPr="00A57506" w:rsidRDefault="004C4BA9" w:rsidP="00323B1C">
      <w:pPr>
        <w:pBdr>
          <w:bottom w:val="single" w:sz="4" w:space="31" w:color="FFFFFF"/>
        </w:pBdr>
        <w:autoSpaceDE w:val="0"/>
        <w:autoSpaceDN w:val="0"/>
        <w:adjustRightInd w:val="0"/>
        <w:rPr>
          <w:iCs/>
          <w:color w:val="000000"/>
          <w:lang w:val="en-US"/>
        </w:rPr>
      </w:pPr>
      <w:r w:rsidRPr="00DA0A83">
        <w:rPr>
          <w:b/>
          <w:color w:val="000000"/>
          <w:lang w:val="en"/>
        </w:rPr>
        <w:lastRenderedPageBreak/>
        <w:t xml:space="preserve">Based on results of the work, the Agency considered signs of anticompetitive actions of organizations, empowered by state with functions of regulating market entities, expressed in providing certain market entities with </w:t>
      </w:r>
      <w:r w:rsidRPr="00DA0A83">
        <w:rPr>
          <w:color w:val="000000"/>
          <w:lang w:val="en"/>
        </w:rPr>
        <w:t>benefits or other advantages</w:t>
      </w:r>
      <w:r w:rsidRPr="00DA0A83">
        <w:rPr>
          <w:i/>
          <w:iCs/>
          <w:color w:val="000000"/>
          <w:sz w:val="24"/>
          <w:lang w:val="en"/>
        </w:rPr>
        <w:t xml:space="preserve"> that put them in a privileged position relative to competitors (pp.9 paragraph 2 of Article 194 of the Code)</w:t>
      </w:r>
      <w:r w:rsidRPr="00DA0A83">
        <w:rPr>
          <w:color w:val="000000"/>
          <w:lang w:val="en"/>
        </w:rPr>
        <w:t xml:space="preserve"> and </w:t>
      </w:r>
      <w:r w:rsidRPr="00DA0A83">
        <w:rPr>
          <w:b/>
          <w:color w:val="000000"/>
          <w:lang w:val="en"/>
        </w:rPr>
        <w:t>failure</w:t>
      </w:r>
      <w:r w:rsidRPr="00DA0A83">
        <w:rPr>
          <w:color w:val="000000"/>
          <w:lang w:val="en"/>
        </w:rPr>
        <w:t xml:space="preserve"> to provide market entities with equal access to state support measures </w:t>
      </w:r>
      <w:r w:rsidRPr="00DA0A83">
        <w:rPr>
          <w:i/>
          <w:iCs/>
          <w:color w:val="000000"/>
          <w:sz w:val="24"/>
          <w:lang w:val="en"/>
        </w:rPr>
        <w:t>(paragraph 9, paragraph 2 of the Code)</w:t>
      </w:r>
      <w:r w:rsidRPr="00DA0A83">
        <w:rPr>
          <w:color w:val="000000"/>
          <w:lang w:val="en"/>
        </w:rPr>
        <w:t>in Forward Procurement Rules for 2022, approved by the decision of the Company's Management Board No. 17 dated May 27, 2022.</w:t>
      </w:r>
    </w:p>
    <w:p w14:paraId="2A0A6330" w14:textId="77777777" w:rsidR="00323B1C" w:rsidRPr="00A57506" w:rsidRDefault="004C4BA9" w:rsidP="00323B1C">
      <w:pPr>
        <w:pBdr>
          <w:bottom w:val="single" w:sz="4" w:space="31" w:color="FFFFFF"/>
        </w:pBdr>
        <w:autoSpaceDE w:val="0"/>
        <w:autoSpaceDN w:val="0"/>
        <w:adjustRightInd w:val="0"/>
        <w:rPr>
          <w:iCs/>
          <w:color w:val="000000"/>
          <w:lang w:val="en-US"/>
        </w:rPr>
      </w:pPr>
      <w:r w:rsidRPr="00DA0A83">
        <w:rPr>
          <w:color w:val="000000"/>
          <w:lang w:val="en"/>
        </w:rPr>
        <w:t>In particular,</w:t>
      </w:r>
      <w:r w:rsidRPr="00DA0A83">
        <w:rPr>
          <w:lang w:val="en"/>
        </w:rPr>
        <w:t xml:space="preserve"> the Agency studied </w:t>
      </w:r>
      <w:r w:rsidRPr="00DA0A83">
        <w:rPr>
          <w:b/>
          <w:bCs/>
          <w:lang w:val="en"/>
        </w:rPr>
        <w:t>675 contracts</w:t>
      </w:r>
      <w:r w:rsidRPr="00DA0A83">
        <w:rPr>
          <w:lang w:val="en"/>
        </w:rPr>
        <w:t xml:space="preserve"> and </w:t>
      </w:r>
      <w:r w:rsidRPr="00DA0A83">
        <w:rPr>
          <w:b/>
          <w:bCs/>
          <w:lang w:val="en"/>
        </w:rPr>
        <w:t>294 additional agreements</w:t>
      </w:r>
      <w:r w:rsidRPr="00DA0A83">
        <w:rPr>
          <w:lang w:val="en"/>
        </w:rPr>
        <w:t xml:space="preserve"> between the Company and suppliers on purchased types of crops, concluded in the republic. As a result, </w:t>
      </w:r>
      <w:r w:rsidRPr="00DA0A83">
        <w:rPr>
          <w:b/>
          <w:bCs/>
          <w:lang w:val="en"/>
        </w:rPr>
        <w:t>facts</w:t>
      </w:r>
      <w:r w:rsidRPr="00DA0A83">
        <w:rPr>
          <w:lang w:val="en"/>
        </w:rPr>
        <w:t xml:space="preserve"> of concluding contracts financed at different costs for the same qualitative characteristics, as well as providing </w:t>
      </w:r>
      <w:r w:rsidRPr="00DA0A83">
        <w:rPr>
          <w:b/>
          <w:lang w:val="en"/>
        </w:rPr>
        <w:t>unequal access</w:t>
      </w:r>
      <w:r w:rsidRPr="00DA0A83">
        <w:rPr>
          <w:lang w:val="en"/>
        </w:rPr>
        <w:t xml:space="preserve"> to measures of state support for private entrepreneurship, were established. </w:t>
      </w:r>
    </w:p>
    <w:p w14:paraId="6B8C03EC" w14:textId="77777777" w:rsidR="00323B1C" w:rsidRPr="00A57506" w:rsidRDefault="004C4BA9" w:rsidP="00323B1C">
      <w:pPr>
        <w:pBdr>
          <w:bottom w:val="single" w:sz="4" w:space="31" w:color="FFFFFF"/>
        </w:pBdr>
        <w:autoSpaceDE w:val="0"/>
        <w:autoSpaceDN w:val="0"/>
        <w:adjustRightInd w:val="0"/>
        <w:rPr>
          <w:color w:val="000000"/>
          <w:lang w:val="en-US"/>
        </w:rPr>
      </w:pPr>
      <w:r w:rsidRPr="00DA0A83">
        <w:rPr>
          <w:iCs/>
          <w:lang w:val="en"/>
        </w:rPr>
        <w:t xml:space="preserve">Thus, the Rules establish that payment is calculated on the basis of standards that contradict competition protection legislation in terms of providing certain market entities with </w:t>
      </w:r>
      <w:r w:rsidRPr="00DA0A83">
        <w:rPr>
          <w:b/>
          <w:iCs/>
          <w:lang w:val="en"/>
        </w:rPr>
        <w:t>advantages</w:t>
      </w:r>
      <w:r w:rsidRPr="00DA0A83">
        <w:rPr>
          <w:iCs/>
          <w:lang w:val="en"/>
        </w:rPr>
        <w:t xml:space="preserve">. In addition, the Company's actions show signs of applying different conditions to equivalent agreements in forward purchases. In this regard, the Company </w:t>
      </w:r>
      <w:r w:rsidRPr="00DA0A83">
        <w:rPr>
          <w:color w:val="000000"/>
          <w:lang w:val="en"/>
        </w:rPr>
        <w:t xml:space="preserve">has been notified to eliminate violations of competition protection legislation. Due to non-execution of notification, an investigation has been initiated against the Company. </w:t>
      </w:r>
    </w:p>
    <w:p w14:paraId="757F6C9E" w14:textId="77777777" w:rsidR="00323B1C" w:rsidRPr="00A57506" w:rsidRDefault="004C4BA9" w:rsidP="00323B1C">
      <w:pPr>
        <w:pBdr>
          <w:bottom w:val="single" w:sz="4" w:space="31" w:color="FFFFFF"/>
        </w:pBdr>
        <w:autoSpaceDE w:val="0"/>
        <w:autoSpaceDN w:val="0"/>
        <w:adjustRightInd w:val="0"/>
        <w:rPr>
          <w:iCs/>
          <w:color w:val="000000"/>
          <w:lang w:val="en-US"/>
        </w:rPr>
      </w:pPr>
      <w:r w:rsidRPr="00DA0A83">
        <w:rPr>
          <w:color w:val="000000"/>
          <w:lang w:val="en"/>
        </w:rPr>
        <w:t>According to</w:t>
      </w:r>
      <w:r w:rsidRPr="00DA0A83">
        <w:rPr>
          <w:lang w:val="en"/>
        </w:rPr>
        <w:t xml:space="preserve"> results of investigation, an Order was issued to stop violating norms of the </w:t>
      </w:r>
      <w:r w:rsidRPr="00DA0A83">
        <w:rPr>
          <w:color w:val="000000"/>
          <w:lang w:val="en"/>
        </w:rPr>
        <w:t>Code</w:t>
      </w:r>
      <w:r w:rsidRPr="00DA0A83">
        <w:rPr>
          <w:lang w:val="en"/>
        </w:rPr>
        <w:t xml:space="preserve"> and ensure actions aimed at eliminating violations of competition protection legislation by excluding calculation of advance payment depending on categories of suppliers in subsequent annual forward procurement rules </w:t>
      </w:r>
      <w:r w:rsidRPr="00DA0A83">
        <w:rPr>
          <w:i/>
          <w:sz w:val="24"/>
          <w:lang w:val="en"/>
        </w:rPr>
        <w:t xml:space="preserve">(deadline - </w:t>
      </w:r>
      <w:r w:rsidRPr="00DA0A83">
        <w:rPr>
          <w:b/>
          <w:bCs/>
          <w:i/>
          <w:sz w:val="24"/>
          <w:lang w:val="en"/>
        </w:rPr>
        <w:t xml:space="preserve"> June 1, 2023)</w:t>
      </w:r>
      <w:r w:rsidRPr="00DA0A83">
        <w:rPr>
          <w:lang w:val="en"/>
        </w:rPr>
        <w:t xml:space="preserve">. Based on results of executing the Order, gradation for provision of financial resources for agricultural enterprises </w:t>
      </w:r>
      <w:r w:rsidRPr="00DA0A83">
        <w:rPr>
          <w:rFonts w:eastAsia="Calibri"/>
          <w:i/>
          <w:iCs/>
          <w:sz w:val="24"/>
          <w:lang w:val="en"/>
        </w:rPr>
        <w:t>(fulfilled, not fulfilled, partially fulfilled, extended term of execution (prolongation) and new entities that have concluded contracts for obligations to the Company)</w:t>
      </w:r>
      <w:r w:rsidRPr="00DA0A83">
        <w:rPr>
          <w:lang w:val="en"/>
        </w:rPr>
        <w:t xml:space="preserve"> will be eliminated by ensuring equal access to state support measures.</w:t>
      </w:r>
    </w:p>
    <w:p w14:paraId="3476DB37" w14:textId="77777777" w:rsidR="00323B1C" w:rsidRPr="00A57506" w:rsidRDefault="00323B1C" w:rsidP="00043A46">
      <w:pPr>
        <w:rPr>
          <w:lang w:val="en-US"/>
        </w:rPr>
      </w:pPr>
    </w:p>
    <w:p w14:paraId="4EC4A386" w14:textId="77777777" w:rsidR="00043A46" w:rsidRPr="00A57506" w:rsidRDefault="00043A46" w:rsidP="00043A46">
      <w:pPr>
        <w:rPr>
          <w:lang w:val="en-US"/>
        </w:rPr>
      </w:pPr>
    </w:p>
    <w:p w14:paraId="68C21DA6" w14:textId="77777777" w:rsidR="00DE36A0" w:rsidRPr="001529C7" w:rsidRDefault="004C4BA9" w:rsidP="00901D92">
      <w:pPr>
        <w:pStyle w:val="Heading2"/>
        <w:numPr>
          <w:ilvl w:val="1"/>
          <w:numId w:val="8"/>
        </w:numPr>
        <w:tabs>
          <w:tab w:val="left" w:pos="0"/>
          <w:tab w:val="left" w:pos="1134"/>
        </w:tabs>
        <w:spacing w:after="240"/>
        <w:ind w:left="0" w:firstLine="567"/>
        <w:rPr>
          <w:rFonts w:cs="Times New Roman"/>
          <w:szCs w:val="28"/>
        </w:rPr>
      </w:pPr>
      <w:r w:rsidRPr="00E907C9">
        <w:rPr>
          <w:rFonts w:cs="Times New Roman"/>
          <w:szCs w:val="28"/>
          <w:lang w:val="en"/>
        </w:rPr>
        <w:t xml:space="preserve"> </w:t>
      </w:r>
      <w:bookmarkStart w:id="65" w:name="_Toc142467921"/>
      <w:r w:rsidRPr="00E907C9">
        <w:rPr>
          <w:rFonts w:cs="Times New Roman"/>
          <w:szCs w:val="28"/>
          <w:lang w:val="en"/>
        </w:rPr>
        <w:t>Medicines sales market</w:t>
      </w:r>
      <w:bookmarkEnd w:id="65"/>
    </w:p>
    <w:p w14:paraId="79F85E90" w14:textId="77777777" w:rsidR="00576F4F" w:rsidRPr="00A57506" w:rsidRDefault="004C4BA9" w:rsidP="00F411E1">
      <w:pPr>
        <w:rPr>
          <w:rFonts w:eastAsia="Calibri"/>
          <w:color w:val="000000" w:themeColor="text1"/>
          <w:lang w:val="en-US" w:eastAsia="en-US"/>
        </w:rPr>
      </w:pPr>
      <w:bookmarkStart w:id="66" w:name="z292"/>
      <w:r w:rsidRPr="001529C7">
        <w:rPr>
          <w:color w:val="000000" w:themeColor="text1"/>
          <w:lang w:val="en"/>
        </w:rPr>
        <w:t>Analysis of medicines sales market was carried out in accordance with the Agency's Work Plan for 2022.</w:t>
      </w:r>
    </w:p>
    <w:p w14:paraId="4850C4C8" w14:textId="62FA3ED5" w:rsidR="00C20C2C" w:rsidRPr="00A57506" w:rsidRDefault="004C4BA9" w:rsidP="00F411E1">
      <w:pPr>
        <w:tabs>
          <w:tab w:val="clear" w:pos="567"/>
          <w:tab w:val="left" w:pos="1134"/>
        </w:tabs>
        <w:autoSpaceDE w:val="0"/>
        <w:autoSpaceDN w:val="0"/>
        <w:adjustRightInd w:val="0"/>
        <w:contextualSpacing/>
        <w:rPr>
          <w:rFonts w:eastAsia="Calibri"/>
          <w:color w:val="000000"/>
          <w:sz w:val="14"/>
          <w:szCs w:val="10"/>
          <w:lang w:val="en-US" w:eastAsia="en-US"/>
        </w:rPr>
      </w:pPr>
      <w:bookmarkStart w:id="67" w:name="z293"/>
      <w:bookmarkEnd w:id="66"/>
      <w:r w:rsidRPr="001529C7">
        <w:rPr>
          <w:rFonts w:eastAsia="Calibri"/>
          <w:lang w:val="en" w:eastAsia="en-US"/>
        </w:rPr>
        <w:t xml:space="preserve">Boundaries of commodity market for medicines sales are defined </w:t>
      </w:r>
      <w:r w:rsidR="00035D14" w:rsidRPr="001529C7">
        <w:rPr>
          <w:rFonts w:eastAsia="Calibri"/>
          <w:lang w:val="en" w:eastAsia="en-US"/>
        </w:rPr>
        <w:t>by</w:t>
      </w:r>
      <w:r w:rsidRPr="001529C7">
        <w:rPr>
          <w:rFonts w:eastAsia="Calibri"/>
          <w:lang w:val="en" w:eastAsia="en-US"/>
        </w:rPr>
        <w:t xml:space="preserve"> regions - in wholesale sales, cities of regional significance – in retail sales.</w:t>
      </w:r>
    </w:p>
    <w:p w14:paraId="5D99F9E8" w14:textId="77777777" w:rsidR="00C20C2C" w:rsidRPr="00A57506" w:rsidRDefault="004C4BA9" w:rsidP="00F411E1">
      <w:pPr>
        <w:tabs>
          <w:tab w:val="clear" w:pos="567"/>
          <w:tab w:val="left" w:pos="1134"/>
        </w:tabs>
        <w:autoSpaceDE w:val="0"/>
        <w:autoSpaceDN w:val="0"/>
        <w:adjustRightInd w:val="0"/>
        <w:contextualSpacing/>
        <w:rPr>
          <w:rFonts w:eastAsia="Calibri"/>
          <w:color w:val="000000"/>
          <w:szCs w:val="22"/>
          <w:lang w:val="en-US" w:eastAsia="en-US"/>
        </w:rPr>
      </w:pPr>
      <w:r w:rsidRPr="001529C7">
        <w:rPr>
          <w:rFonts w:eastAsia="Calibri"/>
          <w:color w:val="000000"/>
          <w:lang w:val="en" w:eastAsia="en-US"/>
        </w:rPr>
        <w:t xml:space="preserve">In the commodity market under consideration, </w:t>
      </w:r>
      <w:r w:rsidRPr="00EB475D">
        <w:rPr>
          <w:rFonts w:eastAsia="Calibri"/>
          <w:b/>
          <w:color w:val="000000"/>
          <w:lang w:val="en" w:eastAsia="en-US"/>
        </w:rPr>
        <w:t>22 domestic manufacturers</w:t>
      </w:r>
      <w:r w:rsidRPr="001529C7">
        <w:rPr>
          <w:rFonts w:eastAsia="Calibri"/>
          <w:color w:val="000000"/>
          <w:lang w:val="en" w:eastAsia="en-US"/>
        </w:rPr>
        <w:t xml:space="preserve"> of medicines operated during the analyzed period.</w:t>
      </w:r>
    </w:p>
    <w:p w14:paraId="77151D88" w14:textId="77777777" w:rsidR="00C20C2C" w:rsidRPr="00A57506" w:rsidRDefault="004C4BA9" w:rsidP="00F411E1">
      <w:pPr>
        <w:rPr>
          <w:color w:val="000000" w:themeColor="text1"/>
          <w:lang w:val="en-US"/>
        </w:rPr>
      </w:pPr>
      <w:r w:rsidRPr="001529C7">
        <w:rPr>
          <w:color w:val="000000" w:themeColor="text1"/>
          <w:kern w:val="24"/>
          <w:lang w:val="en"/>
        </w:rPr>
        <w:t xml:space="preserve">Share of domestically produced medicines in proportion to the volume of </w:t>
      </w:r>
      <w:r w:rsidRPr="00EB475D">
        <w:rPr>
          <w:i/>
          <w:color w:val="000000" w:themeColor="text1"/>
          <w:kern w:val="24"/>
          <w:sz w:val="24"/>
          <w:lang w:val="en"/>
        </w:rPr>
        <w:t>(imported)</w:t>
      </w:r>
      <w:r w:rsidRPr="001529C7">
        <w:rPr>
          <w:color w:val="000000" w:themeColor="text1"/>
          <w:kern w:val="24"/>
          <w:lang w:val="en"/>
        </w:rPr>
        <w:t xml:space="preserve"> medicines from 2019 to 2021 increased from 20.7% to 31.9%. The share of imported products accounts for 71%. </w:t>
      </w:r>
    </w:p>
    <w:p w14:paraId="001AEBF6" w14:textId="77777777" w:rsidR="00C20C2C" w:rsidRPr="00A57506" w:rsidRDefault="004C4BA9" w:rsidP="00F411E1">
      <w:pPr>
        <w:tabs>
          <w:tab w:val="clear" w:pos="567"/>
        </w:tabs>
        <w:rPr>
          <w:rFonts w:eastAsia="Calibri"/>
          <w:color w:val="000000"/>
          <w:szCs w:val="22"/>
          <w:lang w:val="en-US" w:eastAsia="en-US"/>
        </w:rPr>
      </w:pPr>
      <w:r w:rsidRPr="001529C7">
        <w:rPr>
          <w:rFonts w:eastAsia="Calibri"/>
          <w:color w:val="000000"/>
          <w:szCs w:val="22"/>
          <w:lang w:val="en" w:eastAsia="en-US"/>
        </w:rPr>
        <w:lastRenderedPageBreak/>
        <w:t xml:space="preserve">155 licenses were issued in country's </w:t>
      </w:r>
      <w:r w:rsidRPr="00C6602D">
        <w:rPr>
          <w:rFonts w:eastAsia="Calibri"/>
          <w:b/>
          <w:color w:val="000000"/>
          <w:szCs w:val="22"/>
          <w:lang w:val="en" w:eastAsia="en-US"/>
        </w:rPr>
        <w:t>wholesale market</w:t>
      </w:r>
      <w:r w:rsidRPr="001529C7">
        <w:rPr>
          <w:rFonts w:eastAsia="Calibri"/>
          <w:color w:val="000000"/>
          <w:szCs w:val="22"/>
          <w:lang w:val="en" w:eastAsia="en-US"/>
        </w:rPr>
        <w:t xml:space="preserve">, according to results of analysis, </w:t>
      </w:r>
      <w:r w:rsidRPr="00C6602D">
        <w:rPr>
          <w:rFonts w:eastAsia="Calibri"/>
          <w:b/>
          <w:color w:val="000000"/>
          <w:szCs w:val="22"/>
          <w:lang w:val="en" w:eastAsia="en-US"/>
        </w:rPr>
        <w:t>149 entities</w:t>
      </w:r>
      <w:r w:rsidRPr="001529C7">
        <w:rPr>
          <w:rFonts w:eastAsia="Calibri"/>
          <w:color w:val="000000"/>
          <w:szCs w:val="22"/>
          <w:lang w:val="en" w:eastAsia="en-US"/>
        </w:rPr>
        <w:t xml:space="preserve"> were identified. </w:t>
      </w:r>
    </w:p>
    <w:p w14:paraId="23DAF218" w14:textId="75C2EAE1" w:rsidR="00C6602D" w:rsidRPr="00A57506" w:rsidRDefault="00C6602D" w:rsidP="00F411E1">
      <w:pPr>
        <w:tabs>
          <w:tab w:val="clear" w:pos="567"/>
        </w:tabs>
        <w:rPr>
          <w:rFonts w:eastAsia="Calibri"/>
          <w:color w:val="000000"/>
          <w:szCs w:val="22"/>
          <w:lang w:val="en-US" w:eastAsia="en-US"/>
        </w:rPr>
      </w:pPr>
    </w:p>
    <w:p w14:paraId="21863F44" w14:textId="51B9B90A" w:rsidR="00C20C2C" w:rsidRPr="001529C7" w:rsidRDefault="001B04D0" w:rsidP="00F411E1">
      <w:pPr>
        <w:tabs>
          <w:tab w:val="clear" w:pos="567"/>
        </w:tabs>
        <w:ind w:firstLine="0"/>
        <w:jc w:val="center"/>
        <w:rPr>
          <w:rFonts w:eastAsia="Calibri"/>
          <w:color w:val="000000"/>
          <w:szCs w:val="22"/>
          <w:lang w:eastAsia="en-US"/>
        </w:rPr>
      </w:pPr>
      <w:r>
        <w:rPr>
          <w:noProof/>
        </w:rPr>
        <w:drawing>
          <wp:anchor distT="0" distB="0" distL="114300" distR="114300" simplePos="0" relativeHeight="251680768" behindDoc="0" locked="0" layoutInCell="1" allowOverlap="1" wp14:anchorId="7F3B587C" wp14:editId="63736147">
            <wp:simplePos x="0" y="0"/>
            <wp:positionH relativeFrom="column">
              <wp:posOffset>436245</wp:posOffset>
            </wp:positionH>
            <wp:positionV relativeFrom="paragraph">
              <wp:posOffset>203835</wp:posOffset>
            </wp:positionV>
            <wp:extent cx="5609590" cy="2319020"/>
            <wp:effectExtent l="0" t="0" r="10160" b="5080"/>
            <wp:wrapSquare wrapText="bothSides"/>
            <wp:docPr id="27" name="Chart 27">
              <a:extLst xmlns:a="http://schemas.openxmlformats.org/drawingml/2006/main">
                <a:ext uri="{FF2B5EF4-FFF2-40B4-BE49-F238E27FC236}">
                  <a16:creationId xmlns:a16="http://schemas.microsoft.com/office/drawing/2014/main" id="{E2EB78D3-518D-4A80-955A-FF56782EB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19B3385" w14:textId="77777777" w:rsidR="007F61A3" w:rsidRPr="007F61A3" w:rsidRDefault="007F61A3" w:rsidP="007F61A3">
      <w:pPr>
        <w:tabs>
          <w:tab w:val="clear" w:pos="567"/>
        </w:tabs>
        <w:rPr>
          <w:rFonts w:eastAsia="Calibri"/>
          <w:b/>
          <w:bCs/>
          <w:sz w:val="22"/>
          <w:szCs w:val="22"/>
          <w:lang w:eastAsia="en-US"/>
        </w:rPr>
      </w:pPr>
    </w:p>
    <w:p w14:paraId="3635CC93" w14:textId="77777777" w:rsidR="00487952" w:rsidRPr="00A57506" w:rsidRDefault="004C4BA9" w:rsidP="00F411E1">
      <w:pPr>
        <w:pStyle w:val="Caption"/>
        <w:spacing w:after="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15</w:t>
      </w:r>
      <w:r w:rsidRPr="001529C7">
        <w:rPr>
          <w:b w:val="0"/>
          <w:color w:val="000000" w:themeColor="text1"/>
          <w:sz w:val="28"/>
          <w:szCs w:val="28"/>
        </w:rPr>
        <w:fldChar w:fldCharType="end"/>
      </w:r>
      <w:r w:rsidRPr="001529C7">
        <w:rPr>
          <w:b w:val="0"/>
          <w:color w:val="000000" w:themeColor="text1"/>
          <w:sz w:val="28"/>
          <w:szCs w:val="28"/>
          <w:lang w:val="en"/>
        </w:rPr>
        <w:t>- Number of licenses issued by region.</w:t>
      </w:r>
    </w:p>
    <w:p w14:paraId="1F3AAE1F" w14:textId="4CE28A13" w:rsidR="0056211E" w:rsidRPr="00A57506" w:rsidRDefault="004C4BA9" w:rsidP="0056211E">
      <w:pPr>
        <w:tabs>
          <w:tab w:val="clear" w:pos="567"/>
        </w:tabs>
        <w:rPr>
          <w:rFonts w:eastAsia="Calibri"/>
          <w:lang w:val="en-US" w:eastAsia="en-US"/>
        </w:rPr>
      </w:pPr>
      <w:r w:rsidRPr="00DB6ACF">
        <w:rPr>
          <w:rFonts w:eastAsia="Calibri"/>
          <w:lang w:val="en" w:eastAsia="en-US"/>
        </w:rPr>
        <w:t>Market entities that occupy dominant position in wholesale market of medicines within borders of individual regions are as follows: "KFK "Medservice plus" LLP, "Inkar" LLP,  "L-pharma" LLP, "Medin" LLP, "Amanat" LLP, "SK-Pharmacy" LLP, "Sto-pharm"LLP, Makil LLP, Selmur Pharmacy LLP, Amity LLP, Alliance Farm LLP, Green Line LLP, Spectrum Pharma LLP, Medin LLP, NPO Zerde LLP, INKAR LLP Group and Medin LLP.</w:t>
      </w:r>
    </w:p>
    <w:p w14:paraId="29369E19" w14:textId="77777777" w:rsidR="00C20C2C" w:rsidRPr="00A57506" w:rsidRDefault="004C4BA9" w:rsidP="00F411E1">
      <w:pPr>
        <w:tabs>
          <w:tab w:val="clear" w:pos="567"/>
        </w:tabs>
        <w:suppressAutoHyphens/>
        <w:rPr>
          <w:rFonts w:eastAsia="Calibri"/>
          <w:bCs/>
          <w:color w:val="000000"/>
          <w:lang w:val="en-US" w:eastAsia="ar-SA"/>
        </w:rPr>
      </w:pPr>
      <w:r w:rsidRPr="001529C7">
        <w:rPr>
          <w:rFonts w:eastAsia="Calibri"/>
          <w:bCs/>
          <w:color w:val="000000"/>
          <w:lang w:val="en" w:eastAsia="ar-SA"/>
        </w:rPr>
        <w:t>The wholesale market is characterized as:</w:t>
      </w:r>
    </w:p>
    <w:p w14:paraId="2F5BFFD2" w14:textId="77777777" w:rsidR="00C20C2C" w:rsidRPr="00A57506" w:rsidRDefault="004C4BA9" w:rsidP="00F411E1">
      <w:pPr>
        <w:tabs>
          <w:tab w:val="clear" w:pos="567"/>
        </w:tabs>
        <w:suppressAutoHyphens/>
        <w:rPr>
          <w:rFonts w:eastAsia="Calibri"/>
          <w:color w:val="000000"/>
          <w:lang w:val="en-US" w:eastAsia="ar-SA"/>
        </w:rPr>
      </w:pPr>
      <w:r w:rsidRPr="001529C7">
        <w:rPr>
          <w:rFonts w:eastAsia="Calibri"/>
          <w:color w:val="000000"/>
          <w:lang w:val="en" w:eastAsia="ar-SA"/>
        </w:rPr>
        <w:t xml:space="preserve">- highly </w:t>
      </w:r>
      <w:r w:rsidRPr="001529C7">
        <w:rPr>
          <w:rFonts w:eastAsia="Calibri"/>
          <w:b/>
          <w:bCs/>
          <w:i/>
          <w:iCs/>
          <w:color w:val="000000"/>
          <w:lang w:val="en" w:eastAsia="ar-SA"/>
        </w:rPr>
        <w:t>concentrated</w:t>
      </w:r>
      <w:r w:rsidRPr="001529C7">
        <w:rPr>
          <w:rFonts w:eastAsia="Calibri"/>
          <w:color w:val="000000"/>
          <w:lang w:val="en" w:eastAsia="ar-SA"/>
        </w:rPr>
        <w:t xml:space="preserve"> with undeveloped competition in the following regions: Kostanay, Pavlodar, West Kazakhstan, Karaganda, Almaty, Aktobe, Atyrau, Mangistau, North Kazakhstan regions and Astana.</w:t>
      </w:r>
    </w:p>
    <w:p w14:paraId="7771F3DA" w14:textId="77777777" w:rsidR="00C20C2C" w:rsidRPr="00A57506" w:rsidRDefault="004C4BA9" w:rsidP="00F411E1">
      <w:pPr>
        <w:tabs>
          <w:tab w:val="clear" w:pos="567"/>
        </w:tabs>
        <w:suppressAutoHyphens/>
        <w:rPr>
          <w:rFonts w:eastAsia="Calibri"/>
          <w:color w:val="000000"/>
          <w:lang w:val="en-US" w:eastAsia="ar-SA"/>
        </w:rPr>
      </w:pPr>
      <w:r w:rsidRPr="001529C7">
        <w:rPr>
          <w:rFonts w:eastAsia="Calibri"/>
          <w:color w:val="000000"/>
          <w:lang w:val="en" w:eastAsia="ar-SA"/>
        </w:rPr>
        <w:t xml:space="preserve">- </w:t>
      </w:r>
      <w:r w:rsidRPr="001529C7">
        <w:rPr>
          <w:rFonts w:eastAsia="Calibri"/>
          <w:b/>
          <w:bCs/>
          <w:i/>
          <w:iCs/>
          <w:color w:val="000000"/>
          <w:lang w:val="en" w:eastAsia="ar-SA"/>
        </w:rPr>
        <w:t>moderately</w:t>
      </w:r>
      <w:r w:rsidRPr="001529C7">
        <w:rPr>
          <w:rFonts w:eastAsia="Calibri"/>
          <w:color w:val="000000"/>
          <w:lang w:val="en" w:eastAsia="ar-SA"/>
        </w:rPr>
        <w:t xml:space="preserve"> concentrated in East Kazakhstan region.</w:t>
      </w:r>
    </w:p>
    <w:p w14:paraId="69A4E6DB" w14:textId="77777777" w:rsidR="00C6602D" w:rsidRPr="00A57506" w:rsidRDefault="004C4BA9" w:rsidP="00C6602D">
      <w:pPr>
        <w:tabs>
          <w:tab w:val="clear" w:pos="567"/>
        </w:tabs>
        <w:rPr>
          <w:rFonts w:eastAsia="Calibri"/>
          <w:color w:val="000000"/>
          <w:szCs w:val="22"/>
          <w:lang w:val="en-US" w:eastAsia="en-US"/>
        </w:rPr>
      </w:pPr>
      <w:r w:rsidRPr="001529C7">
        <w:rPr>
          <w:rFonts w:eastAsia="Calibri"/>
          <w:color w:val="000000"/>
          <w:szCs w:val="22"/>
          <w:lang w:val="en" w:eastAsia="en-US"/>
        </w:rPr>
        <w:t>According to analysis results, 16 market entities occupying a dominant position were identified in wholesale market of medicines.</w:t>
      </w:r>
    </w:p>
    <w:p w14:paraId="763958B7" w14:textId="77777777" w:rsidR="009B7D2A" w:rsidRDefault="004C4BA9" w:rsidP="00C6602D">
      <w:pPr>
        <w:tabs>
          <w:tab w:val="clear" w:pos="567"/>
        </w:tabs>
        <w:rPr>
          <w:rFonts w:eastAsia="Calibri"/>
          <w:color w:val="000000"/>
          <w:szCs w:val="22"/>
          <w:lang w:val="kk-KZ" w:eastAsia="en-US"/>
        </w:rPr>
      </w:pPr>
      <w:r w:rsidRPr="001529C7">
        <w:rPr>
          <w:rFonts w:eastAsia="Calibri"/>
          <w:color w:val="000000"/>
          <w:szCs w:val="22"/>
          <w:lang w:val="en" w:eastAsia="en-US"/>
        </w:rPr>
        <w:t xml:space="preserve">In </w:t>
      </w:r>
      <w:r w:rsidRPr="00C6602D">
        <w:rPr>
          <w:rFonts w:eastAsia="Calibri"/>
          <w:b/>
          <w:color w:val="000000"/>
          <w:szCs w:val="22"/>
          <w:lang w:val="en" w:eastAsia="en-US"/>
        </w:rPr>
        <w:t>retail market</w:t>
      </w:r>
      <w:r w:rsidRPr="001529C7">
        <w:rPr>
          <w:rFonts w:eastAsia="Calibri"/>
          <w:color w:val="000000"/>
          <w:szCs w:val="22"/>
          <w:lang w:val="en" w:eastAsia="en-US"/>
        </w:rPr>
        <w:t xml:space="preserve">, 3,717 licenses were issued across the country, according to results of the analysis, </w:t>
      </w:r>
      <w:r w:rsidRPr="00C6602D">
        <w:rPr>
          <w:rFonts w:eastAsia="Calibri"/>
          <w:b/>
          <w:color w:val="000000"/>
          <w:szCs w:val="22"/>
          <w:lang w:val="en" w:eastAsia="en-US"/>
        </w:rPr>
        <w:t>1,108 entities</w:t>
      </w:r>
      <w:r w:rsidRPr="001529C7">
        <w:rPr>
          <w:rFonts w:eastAsia="Calibri"/>
          <w:color w:val="000000"/>
          <w:szCs w:val="22"/>
          <w:lang w:val="en" w:eastAsia="en-US"/>
        </w:rPr>
        <w:t xml:space="preserve"> were identified. In 2022, the number of pharmacies and pharmacy outlets was </w:t>
      </w:r>
      <w:r w:rsidRPr="00C6602D">
        <w:rPr>
          <w:rFonts w:eastAsia="Calibri"/>
          <w:b/>
          <w:color w:val="000000"/>
          <w:szCs w:val="22"/>
          <w:lang w:val="en" w:eastAsia="en-US"/>
        </w:rPr>
        <w:t>9,861</w:t>
      </w:r>
      <w:r w:rsidRPr="001529C7">
        <w:rPr>
          <w:rFonts w:eastAsia="Calibri"/>
          <w:color w:val="000000"/>
          <w:szCs w:val="22"/>
          <w:lang w:val="en" w:eastAsia="en-US"/>
        </w:rPr>
        <w:t xml:space="preserve">. </w:t>
      </w:r>
    </w:p>
    <w:p w14:paraId="110D59AC" w14:textId="77777777" w:rsidR="0056211E" w:rsidRPr="00C6602D" w:rsidRDefault="0056211E" w:rsidP="00C6602D">
      <w:pPr>
        <w:tabs>
          <w:tab w:val="clear" w:pos="567"/>
        </w:tabs>
        <w:rPr>
          <w:rFonts w:eastAsia="Calibri"/>
          <w:color w:val="000000"/>
          <w:szCs w:val="22"/>
          <w:lang w:eastAsia="en-US"/>
        </w:rPr>
      </w:pPr>
    </w:p>
    <w:p w14:paraId="4835D242" w14:textId="4D14C27E" w:rsidR="00C20C2C" w:rsidRPr="001529C7" w:rsidRDefault="001B04D0" w:rsidP="00F411E1">
      <w:pPr>
        <w:tabs>
          <w:tab w:val="clear" w:pos="567"/>
        </w:tabs>
        <w:ind w:firstLine="0"/>
        <w:rPr>
          <w:rFonts w:eastAsia="Calibri"/>
          <w:sz w:val="22"/>
          <w:szCs w:val="22"/>
          <w:lang w:eastAsia="en-US"/>
        </w:rPr>
      </w:pPr>
      <w:r>
        <w:rPr>
          <w:noProof/>
        </w:rPr>
        <w:lastRenderedPageBreak/>
        <w:drawing>
          <wp:anchor distT="0" distB="0" distL="114300" distR="114300" simplePos="0" relativeHeight="251678720" behindDoc="0" locked="0" layoutInCell="1" allowOverlap="1" wp14:anchorId="30763491" wp14:editId="41CB5B85">
            <wp:simplePos x="0" y="0"/>
            <wp:positionH relativeFrom="column">
              <wp:posOffset>0</wp:posOffset>
            </wp:positionH>
            <wp:positionV relativeFrom="paragraph">
              <wp:posOffset>158115</wp:posOffset>
            </wp:positionV>
            <wp:extent cx="6105525" cy="2195511"/>
            <wp:effectExtent l="0" t="0" r="9525" b="14605"/>
            <wp:wrapSquare wrapText="bothSides"/>
            <wp:docPr id="26" name="Chart 26">
              <a:extLst xmlns:a="http://schemas.openxmlformats.org/drawingml/2006/main">
                <a:ext uri="{FF2B5EF4-FFF2-40B4-BE49-F238E27FC236}">
                  <a16:creationId xmlns:a16="http://schemas.microsoft.com/office/drawing/2014/main" id="{8A0441FC-B753-4DCA-AFED-D5A9F500A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D83DD36" w14:textId="65B48AD8" w:rsidR="0037790F" w:rsidRPr="00A57506" w:rsidRDefault="004C4BA9" w:rsidP="00C6602D">
      <w:pPr>
        <w:pStyle w:val="Caption"/>
        <w:spacing w:after="240"/>
        <w:ind w:firstLine="0"/>
        <w:jc w:val="center"/>
        <w:rPr>
          <w:b w:val="0"/>
          <w:color w:val="000000" w:themeColor="text1"/>
          <w:sz w:val="28"/>
          <w:szCs w:val="28"/>
          <w:lang w:val="en-US"/>
        </w:rPr>
      </w:pPr>
      <w:bookmarkStart w:id="68" w:name="z295"/>
      <w:bookmarkEnd w:id="67"/>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16</w:t>
      </w:r>
      <w:r w:rsidRPr="001529C7">
        <w:rPr>
          <w:b w:val="0"/>
          <w:color w:val="000000" w:themeColor="text1"/>
          <w:sz w:val="28"/>
          <w:szCs w:val="28"/>
        </w:rPr>
        <w:fldChar w:fldCharType="end"/>
      </w:r>
      <w:r w:rsidRPr="001529C7">
        <w:rPr>
          <w:b w:val="0"/>
          <w:color w:val="000000" w:themeColor="text1"/>
          <w:sz w:val="28"/>
          <w:szCs w:val="28"/>
          <w:lang w:val="en"/>
        </w:rPr>
        <w:t>- Number of licenses issued by region in retail medicines market.</w:t>
      </w:r>
    </w:p>
    <w:p w14:paraId="76CA3F53" w14:textId="77777777" w:rsidR="00C20C2C" w:rsidRPr="00A57506" w:rsidRDefault="004C4BA9" w:rsidP="00F411E1">
      <w:pPr>
        <w:tabs>
          <w:tab w:val="clear" w:pos="567"/>
        </w:tabs>
        <w:suppressAutoHyphens/>
        <w:rPr>
          <w:rFonts w:eastAsia="Calibri"/>
          <w:bCs/>
          <w:color w:val="000000"/>
          <w:lang w:val="en-US" w:eastAsia="ar-SA"/>
        </w:rPr>
      </w:pPr>
      <w:bookmarkStart w:id="69" w:name="z296"/>
      <w:bookmarkEnd w:id="68"/>
      <w:r w:rsidRPr="001529C7">
        <w:rPr>
          <w:rFonts w:eastAsia="Calibri"/>
          <w:bCs/>
          <w:color w:val="000000"/>
          <w:lang w:val="en" w:eastAsia="ar-SA"/>
        </w:rPr>
        <w:t>The retail market is characterized as:</w:t>
      </w:r>
    </w:p>
    <w:p w14:paraId="47EC43C5" w14:textId="77777777" w:rsidR="00C20C2C" w:rsidRPr="00A57506" w:rsidRDefault="004C4BA9" w:rsidP="00F411E1">
      <w:pPr>
        <w:tabs>
          <w:tab w:val="clear" w:pos="567"/>
        </w:tabs>
        <w:suppressAutoHyphens/>
        <w:rPr>
          <w:rFonts w:eastAsia="Calibri"/>
          <w:color w:val="000000"/>
          <w:lang w:val="en-US" w:eastAsia="ar-SA"/>
        </w:rPr>
      </w:pPr>
      <w:r w:rsidRPr="001529C7">
        <w:rPr>
          <w:rFonts w:eastAsia="Calibri"/>
          <w:color w:val="000000"/>
          <w:lang w:val="en" w:eastAsia="ar-SA"/>
        </w:rPr>
        <w:t xml:space="preserve">- highly </w:t>
      </w:r>
      <w:r w:rsidRPr="00F82DB8">
        <w:rPr>
          <w:rFonts w:eastAsia="Calibri"/>
          <w:b/>
          <w:i/>
          <w:color w:val="000000"/>
          <w:lang w:val="en" w:eastAsia="ar-SA"/>
        </w:rPr>
        <w:t>concentrated</w:t>
      </w:r>
      <w:r w:rsidRPr="001529C7">
        <w:rPr>
          <w:rFonts w:eastAsia="Calibri"/>
          <w:color w:val="000000"/>
          <w:lang w:val="en" w:eastAsia="ar-SA"/>
        </w:rPr>
        <w:t xml:space="preserve"> with undeveloped competition in the following regions: Kostanay, Shymkent, Zhambyl, Pavlodar, WKR, Aktobe, Atyrau, Mangistau, Almaty; </w:t>
      </w:r>
    </w:p>
    <w:p w14:paraId="4DF0B6B4" w14:textId="77777777" w:rsidR="00C20C2C" w:rsidRPr="00A57506" w:rsidRDefault="004C4BA9" w:rsidP="00F411E1">
      <w:pPr>
        <w:tabs>
          <w:tab w:val="clear" w:pos="567"/>
        </w:tabs>
        <w:suppressAutoHyphens/>
        <w:rPr>
          <w:rFonts w:eastAsia="Calibri"/>
          <w:color w:val="000000"/>
          <w:lang w:val="en-US" w:eastAsia="ar-SA"/>
        </w:rPr>
      </w:pPr>
      <w:r w:rsidRPr="001529C7">
        <w:rPr>
          <w:rFonts w:eastAsia="Calibri"/>
          <w:color w:val="000000"/>
          <w:lang w:val="en" w:eastAsia="ar-SA"/>
        </w:rPr>
        <w:t xml:space="preserve">- </w:t>
      </w:r>
      <w:r w:rsidRPr="00F82DB8">
        <w:rPr>
          <w:rFonts w:eastAsia="Calibri"/>
          <w:b/>
          <w:i/>
          <w:color w:val="000000"/>
          <w:lang w:val="en" w:eastAsia="ar-SA"/>
        </w:rPr>
        <w:t>moderately</w:t>
      </w:r>
      <w:r w:rsidRPr="001529C7">
        <w:rPr>
          <w:rFonts w:eastAsia="Calibri"/>
          <w:color w:val="000000"/>
          <w:lang w:val="en" w:eastAsia="ar-SA"/>
        </w:rPr>
        <w:t xml:space="preserve"> concentrated in Astana, East Kazakhstan region, Turkestan, Akmola, North Kazakhstan Region, Almaty;</w:t>
      </w:r>
    </w:p>
    <w:p w14:paraId="269E04F0" w14:textId="77777777" w:rsidR="00C20C2C" w:rsidRPr="00A57506" w:rsidRDefault="004C4BA9" w:rsidP="00F411E1">
      <w:pPr>
        <w:tabs>
          <w:tab w:val="clear" w:pos="567"/>
        </w:tabs>
        <w:suppressAutoHyphens/>
        <w:rPr>
          <w:rFonts w:eastAsia="Calibri"/>
          <w:iCs/>
          <w:lang w:val="en-US" w:eastAsia="ar-SA"/>
        </w:rPr>
      </w:pPr>
      <w:r w:rsidRPr="001529C7">
        <w:rPr>
          <w:rFonts w:eastAsia="Calibri"/>
          <w:color w:val="000000"/>
          <w:lang w:val="en" w:eastAsia="ar-SA"/>
        </w:rPr>
        <w:t>- low-</w:t>
      </w:r>
      <w:r w:rsidRPr="00F82DB8">
        <w:rPr>
          <w:rFonts w:eastAsia="Calibri"/>
          <w:b/>
          <w:i/>
          <w:color w:val="000000"/>
          <w:lang w:val="en" w:eastAsia="ar-SA"/>
        </w:rPr>
        <w:t xml:space="preserve">concentrated </w:t>
      </w:r>
      <w:r w:rsidRPr="001529C7">
        <w:rPr>
          <w:rFonts w:eastAsia="Calibri"/>
          <w:color w:val="000000"/>
          <w:lang w:val="en" w:eastAsia="ar-SA"/>
        </w:rPr>
        <w:t xml:space="preserve"> in Karaganda region</w:t>
      </w:r>
      <w:r w:rsidRPr="001529C7">
        <w:rPr>
          <w:rFonts w:eastAsia="Calibri"/>
          <w:i/>
          <w:iCs/>
          <w:color w:val="000000"/>
          <w:sz w:val="24"/>
          <w:lang w:val="en" w:eastAsia="ar-SA"/>
        </w:rPr>
        <w:t>.</w:t>
      </w:r>
    </w:p>
    <w:p w14:paraId="17303418" w14:textId="77777777" w:rsidR="009B7D2A" w:rsidRPr="00A57506" w:rsidRDefault="004C4BA9" w:rsidP="009B7D2A">
      <w:pPr>
        <w:tabs>
          <w:tab w:val="clear" w:pos="567"/>
        </w:tabs>
        <w:contextualSpacing/>
        <w:rPr>
          <w:lang w:val="en-US"/>
        </w:rPr>
      </w:pPr>
      <w:r w:rsidRPr="001529C7">
        <w:rPr>
          <w:lang w:val="en"/>
        </w:rPr>
        <w:t>According to results of analysis, 34 entities occupying dominant position were identified in the retail sale of medicines.</w:t>
      </w:r>
    </w:p>
    <w:p w14:paraId="2F4B4C72" w14:textId="77777777" w:rsidR="0037790F" w:rsidRPr="00A57506" w:rsidRDefault="004C4BA9" w:rsidP="00F411E1">
      <w:pPr>
        <w:tabs>
          <w:tab w:val="clear" w:pos="567"/>
        </w:tabs>
        <w:contextualSpacing/>
        <w:rPr>
          <w:lang w:val="en-US"/>
        </w:rPr>
      </w:pPr>
      <w:r w:rsidRPr="001529C7">
        <w:rPr>
          <w:lang w:val="en"/>
        </w:rPr>
        <w:t xml:space="preserve">Despite large number of licenses issued throughout the republic </w:t>
      </w:r>
      <w:r w:rsidRPr="001529C7">
        <w:rPr>
          <w:lang w:val="en"/>
        </w:rPr>
        <w:br/>
      </w:r>
      <w:r w:rsidR="00F82DB8" w:rsidRPr="00F82DB8">
        <w:rPr>
          <w:i/>
          <w:sz w:val="24"/>
          <w:lang w:val="en"/>
        </w:rPr>
        <w:t>(in wholesale market - 155, in retail market - 3717)</w:t>
      </w:r>
      <w:r w:rsidRPr="001529C7">
        <w:rPr>
          <w:lang w:val="en"/>
        </w:rPr>
        <w:t xml:space="preserve">, allowing sales of medicines, the market in most regions is highly </w:t>
      </w:r>
      <w:r w:rsidRPr="0083522E">
        <w:rPr>
          <w:b/>
          <w:bCs/>
          <w:i/>
          <w:iCs/>
          <w:lang w:val="en"/>
        </w:rPr>
        <w:t>concentrated</w:t>
      </w:r>
      <w:r w:rsidRPr="001529C7">
        <w:rPr>
          <w:lang w:val="en"/>
        </w:rPr>
        <w:t xml:space="preserve">. </w:t>
      </w:r>
    </w:p>
    <w:p w14:paraId="76C06F14" w14:textId="77777777" w:rsidR="00C20C2C" w:rsidRPr="00A57506" w:rsidRDefault="004C4BA9" w:rsidP="00F411E1">
      <w:pPr>
        <w:tabs>
          <w:tab w:val="clear" w:pos="567"/>
        </w:tabs>
        <w:contextualSpacing/>
        <w:rPr>
          <w:lang w:val="en-US"/>
        </w:rPr>
      </w:pPr>
      <w:r w:rsidRPr="001529C7">
        <w:rPr>
          <w:lang w:val="en"/>
        </w:rPr>
        <w:t xml:space="preserve">In accordance with Article 247 of the Code "On Health of People and Healthcare System", within guaranteed volume of free medical care and </w:t>
      </w:r>
      <w:r w:rsidRPr="00F82DB8">
        <w:rPr>
          <w:i/>
          <w:sz w:val="24"/>
          <w:lang w:val="en"/>
        </w:rPr>
        <w:t>(or)</w:t>
      </w:r>
      <w:r w:rsidRPr="001529C7">
        <w:rPr>
          <w:lang w:val="en"/>
        </w:rPr>
        <w:t xml:space="preserve"> in system of compulsory social health insurance, a single distributor represented by SK-Pharmacy LLP performs centralized </w:t>
      </w:r>
      <w:r w:rsidRPr="001529C7">
        <w:rPr>
          <w:color w:val="000000" w:themeColor="text1"/>
          <w:kern w:val="24"/>
          <w:lang w:val="en"/>
        </w:rPr>
        <w:t>procurement for 2 thousand medical organizations (inpatient and outpatient provision), providing patients with equally high-quality medicines at equal price</w:t>
      </w:r>
      <w:r w:rsidRPr="001529C7">
        <w:rPr>
          <w:lang w:val="en"/>
        </w:rPr>
        <w:t xml:space="preserve"> </w:t>
      </w:r>
      <w:r w:rsidRPr="001529C7">
        <w:rPr>
          <w:color w:val="000000" w:themeColor="text1"/>
          <w:kern w:val="24"/>
          <w:lang w:val="en"/>
        </w:rPr>
        <w:t>.</w:t>
      </w:r>
      <w:r w:rsidRPr="001529C7">
        <w:rPr>
          <w:lang w:val="en"/>
        </w:rPr>
        <w:t xml:space="preserve"> </w:t>
      </w:r>
    </w:p>
    <w:p w14:paraId="4F723EE9" w14:textId="77777777" w:rsidR="00C20C2C" w:rsidRPr="001529C7" w:rsidRDefault="004C4BA9" w:rsidP="00F411E1">
      <w:pPr>
        <w:ind w:firstLine="0"/>
        <w:jc w:val="center"/>
        <w:rPr>
          <w:color w:val="000000" w:themeColor="text1"/>
          <w:kern w:val="24"/>
        </w:rPr>
      </w:pPr>
      <w:r w:rsidRPr="001529C7">
        <w:rPr>
          <w:noProof/>
          <w:color w:val="000000" w:themeColor="text1"/>
          <w:kern w:val="24"/>
        </w:rPr>
        <w:drawing>
          <wp:inline distT="0" distB="0" distL="0" distR="0" wp14:anchorId="56DBC317" wp14:editId="47D82657">
            <wp:extent cx="5831205" cy="857250"/>
            <wp:effectExtent l="0" t="0" r="0" b="0"/>
            <wp:docPr id="18" name="Диаграмма 18">
              <a:extLst xmlns:a="http://schemas.openxmlformats.org/drawingml/2006/main">
                <a:ext uri="{FF2B5EF4-FFF2-40B4-BE49-F238E27FC236}">
                  <a16:creationId xmlns:a16="http://schemas.microsoft.com/office/drawing/2014/main" id="{CE90AC24-BC57-4DD6-9CD2-CF15D1D77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E4592B" w14:textId="77777777" w:rsidR="00C20C2C" w:rsidRPr="001529C7" w:rsidRDefault="00C20C2C" w:rsidP="00F411E1">
      <w:pPr>
        <w:ind w:firstLine="0"/>
        <w:rPr>
          <w:color w:val="000000" w:themeColor="text1"/>
          <w:kern w:val="24"/>
        </w:rPr>
      </w:pPr>
    </w:p>
    <w:p w14:paraId="0F3DAF60" w14:textId="62AB6E54" w:rsidR="0037790F" w:rsidRPr="00A57506" w:rsidRDefault="004C4BA9" w:rsidP="00C6602D">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17</w:t>
      </w:r>
      <w:r w:rsidRPr="001529C7">
        <w:rPr>
          <w:b w:val="0"/>
          <w:color w:val="000000" w:themeColor="text1"/>
          <w:sz w:val="28"/>
          <w:szCs w:val="28"/>
        </w:rPr>
        <w:fldChar w:fldCharType="end"/>
      </w:r>
      <w:r w:rsidRPr="001529C7">
        <w:rPr>
          <w:b w:val="0"/>
          <w:color w:val="000000" w:themeColor="text1"/>
          <w:sz w:val="28"/>
          <w:szCs w:val="28"/>
          <w:lang w:val="en"/>
        </w:rPr>
        <w:t>- Dynamics of purchase of medicines by SK-Pharmacy LLP, billion KZT.</w:t>
      </w:r>
    </w:p>
    <w:p w14:paraId="4C7DA6F4" w14:textId="5775F100" w:rsidR="009B7D2A" w:rsidRPr="00A57506" w:rsidRDefault="004C4BA9" w:rsidP="009B7D2A">
      <w:pPr>
        <w:rPr>
          <w:color w:val="000000" w:themeColor="text1"/>
          <w:kern w:val="24"/>
          <w:lang w:val="en-US"/>
        </w:rPr>
      </w:pPr>
      <w:r w:rsidRPr="001529C7">
        <w:rPr>
          <w:color w:val="000000" w:themeColor="text1"/>
          <w:kern w:val="24"/>
          <w:lang w:val="en"/>
        </w:rPr>
        <w:t xml:space="preserve">Out of 62 suppliers of medicines, purchased by single distributor in 2021 and 2022, more than 45% of volume of medicines was supplied by "Nobel Almaty Pharmaceutical Factory" JSC, "Chimpharm" JSC, "AK NIET" LLP, "KFK "MEDSERVICE PLUS" LLP, "Karaganda Pharmaceutical Complex" LLP, "STO-PHARM" LLP. </w:t>
      </w:r>
    </w:p>
    <w:p w14:paraId="0B7AB782" w14:textId="09AEA246" w:rsidR="0037790F" w:rsidRDefault="00A22DA1" w:rsidP="00F411E1">
      <w:pPr>
        <w:ind w:firstLine="0"/>
        <w:jc w:val="center"/>
        <w:rPr>
          <w:color w:val="000000"/>
        </w:rPr>
      </w:pPr>
      <w:r>
        <w:rPr>
          <w:noProof/>
        </w:rPr>
        <w:lastRenderedPageBreak/>
        <w:drawing>
          <wp:anchor distT="0" distB="0" distL="114300" distR="114300" simplePos="0" relativeHeight="251676672" behindDoc="0" locked="0" layoutInCell="1" allowOverlap="1" wp14:anchorId="0B94116D" wp14:editId="4C627484">
            <wp:simplePos x="0" y="0"/>
            <wp:positionH relativeFrom="column">
              <wp:posOffset>-2540</wp:posOffset>
            </wp:positionH>
            <wp:positionV relativeFrom="paragraph">
              <wp:posOffset>204470</wp:posOffset>
            </wp:positionV>
            <wp:extent cx="6265545" cy="2295525"/>
            <wp:effectExtent l="0" t="0" r="1905" b="9525"/>
            <wp:wrapSquare wrapText="bothSides"/>
            <wp:docPr id="22" name="Chart 22">
              <a:extLst xmlns:a="http://schemas.openxmlformats.org/drawingml/2006/main">
                <a:ext uri="{FF2B5EF4-FFF2-40B4-BE49-F238E27FC236}">
                  <a16:creationId xmlns:a16="http://schemas.microsoft.com/office/drawing/2014/main" id="{F5BAAB56-0887-4E5A-A793-769B0F15C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DDEBA09" w14:textId="77777777" w:rsidR="000B0746" w:rsidRPr="00A57506" w:rsidRDefault="004C4BA9" w:rsidP="00F82DB8">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18</w:t>
      </w:r>
      <w:r w:rsidRPr="001529C7">
        <w:rPr>
          <w:b w:val="0"/>
          <w:color w:val="000000" w:themeColor="text1"/>
          <w:sz w:val="28"/>
          <w:szCs w:val="28"/>
        </w:rPr>
        <w:fldChar w:fldCharType="end"/>
      </w:r>
      <w:r w:rsidRPr="001529C7">
        <w:rPr>
          <w:b w:val="0"/>
          <w:color w:val="000000" w:themeColor="text1"/>
          <w:sz w:val="28"/>
          <w:szCs w:val="28"/>
          <w:lang w:val="en"/>
        </w:rPr>
        <w:t>- Distribution of volume of medicines by consumption groups, billion KZT.</w:t>
      </w:r>
    </w:p>
    <w:p w14:paraId="6493D3DE" w14:textId="77777777" w:rsidR="00C20C2C" w:rsidRPr="00A57506" w:rsidRDefault="004C4BA9" w:rsidP="00F411E1">
      <w:pPr>
        <w:tabs>
          <w:tab w:val="clear" w:pos="567"/>
        </w:tabs>
        <w:rPr>
          <w:lang w:val="en-US"/>
        </w:rPr>
      </w:pPr>
      <w:r w:rsidRPr="001529C7">
        <w:rPr>
          <w:lang w:val="en"/>
        </w:rPr>
        <w:t xml:space="preserve">In 2022, in comparison with 2019, there was an increase in volume of medicine consumption within guaranteed volume of free medical care by 22.3%, in retail by 7.5%. </w:t>
      </w:r>
    </w:p>
    <w:p w14:paraId="1633DB5F" w14:textId="5924E603" w:rsidR="009B7D2A" w:rsidRPr="00A57506" w:rsidRDefault="004C4BA9" w:rsidP="009B7D2A">
      <w:pPr>
        <w:tabs>
          <w:tab w:val="clear" w:pos="567"/>
        </w:tabs>
        <w:rPr>
          <w:lang w:val="en-US"/>
        </w:rPr>
      </w:pPr>
      <w:r w:rsidRPr="001529C7">
        <w:rPr>
          <w:lang w:val="en"/>
        </w:rPr>
        <w:t xml:space="preserve">Volume of medicines purchased at the expense of public funds amounted </w:t>
      </w:r>
      <w:r w:rsidR="00035D14" w:rsidRPr="001529C7">
        <w:rPr>
          <w:lang w:val="en"/>
        </w:rPr>
        <w:t>to</w:t>
      </w:r>
      <w:r w:rsidRPr="001529C7">
        <w:rPr>
          <w:lang w:val="en"/>
        </w:rPr>
        <w:t xml:space="preserve"> 203.1 billion KZT in 2019, 257.3 billion KZT in 2020, 299.2 billion KZT in 2021.</w:t>
      </w:r>
    </w:p>
    <w:p w14:paraId="5E737851" w14:textId="77777777" w:rsidR="00C20C2C" w:rsidRPr="00A57506" w:rsidRDefault="004C4BA9" w:rsidP="00F411E1">
      <w:pPr>
        <w:rPr>
          <w:color w:val="000000" w:themeColor="text1"/>
          <w:kern w:val="24"/>
          <w:lang w:val="en-US"/>
        </w:rPr>
      </w:pPr>
      <w:r w:rsidRPr="001529C7">
        <w:rPr>
          <w:color w:val="000000" w:themeColor="text1"/>
          <w:kern w:val="24"/>
          <w:lang w:val="en"/>
        </w:rPr>
        <w:t xml:space="preserve">One of the tools for supporting and developing pharmaceutical industry is conclusion of long-term contracts within guaranteed volume of free medical care and Compulsory Social Health Insurance system with domestic manufacturers.  </w:t>
      </w:r>
    </w:p>
    <w:p w14:paraId="0EDBAD18" w14:textId="77777777" w:rsidR="00C20C2C" w:rsidRPr="001529C7" w:rsidRDefault="004C4BA9" w:rsidP="00F411E1">
      <w:pPr>
        <w:ind w:firstLine="0"/>
        <w:rPr>
          <w:b/>
          <w:bCs/>
          <w:color w:val="000000"/>
        </w:rPr>
      </w:pPr>
      <w:r w:rsidRPr="001529C7">
        <w:rPr>
          <w:b/>
          <w:bCs/>
          <w:noProof/>
          <w:color w:val="000000"/>
        </w:rPr>
        <w:drawing>
          <wp:inline distT="0" distB="0" distL="0" distR="0" wp14:anchorId="7DA02417" wp14:editId="03957E05">
            <wp:extent cx="6130290" cy="1285336"/>
            <wp:effectExtent l="0" t="0" r="3810" b="0"/>
            <wp:docPr id="475" name="Диаграмма 475">
              <a:extLst xmlns:a="http://schemas.openxmlformats.org/drawingml/2006/main">
                <a:ext uri="{FF2B5EF4-FFF2-40B4-BE49-F238E27FC236}">
                  <a16:creationId xmlns:a16="http://schemas.microsoft.com/office/drawing/2014/main" id="{5CDABE5C-260E-47FF-A4E9-2DB4F5304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8C3A40" w14:textId="77777777" w:rsidR="00C20C2C" w:rsidRPr="001529C7" w:rsidRDefault="00C20C2C" w:rsidP="00F411E1">
      <w:pPr>
        <w:rPr>
          <w:rFonts w:ascii="Arial" w:hAnsi="Arial" w:cs="Arial"/>
          <w:i/>
          <w:iCs/>
          <w:color w:val="002060"/>
          <w:kern w:val="24"/>
          <w:sz w:val="14"/>
          <w:szCs w:val="14"/>
        </w:rPr>
      </w:pPr>
    </w:p>
    <w:p w14:paraId="4AA37C7F" w14:textId="77777777" w:rsidR="000B0746" w:rsidRPr="00A57506" w:rsidRDefault="004C4BA9" w:rsidP="00C6602D">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19</w:t>
      </w:r>
      <w:r w:rsidRPr="001529C7">
        <w:rPr>
          <w:b w:val="0"/>
          <w:color w:val="000000" w:themeColor="text1"/>
          <w:sz w:val="28"/>
          <w:szCs w:val="28"/>
        </w:rPr>
        <w:fldChar w:fldCharType="end"/>
      </w:r>
      <w:r w:rsidRPr="001529C7">
        <w:rPr>
          <w:b w:val="0"/>
          <w:color w:val="000000" w:themeColor="text1"/>
          <w:sz w:val="28"/>
          <w:szCs w:val="28"/>
          <w:lang w:val="en"/>
        </w:rPr>
        <w:t>- Purchase of medicines by TOP under DD, billion KZT.</w:t>
      </w:r>
    </w:p>
    <w:p w14:paraId="7CEBE668" w14:textId="77777777" w:rsidR="009B7D2A" w:rsidRPr="00A57506" w:rsidRDefault="004C4BA9" w:rsidP="009B7D2A">
      <w:pPr>
        <w:rPr>
          <w:bCs/>
          <w:color w:val="000000"/>
          <w:lang w:val="en-US"/>
        </w:rPr>
      </w:pPr>
      <w:r w:rsidRPr="001529C7">
        <w:rPr>
          <w:bCs/>
          <w:color w:val="000000"/>
          <w:lang w:val="en"/>
        </w:rPr>
        <w:t>In 2022, in comparison with 2019, there is an increase in volume of procurement of domestically produced medicines, increase amounted to 49.4 billion KZT. For 13 years of OTP support in the form of DD, production of 317 medicines or 39.3% of range of medicines has been established.</w:t>
      </w:r>
    </w:p>
    <w:p w14:paraId="00F30E8F" w14:textId="77777777" w:rsidR="00A10452" w:rsidRPr="00A57506" w:rsidRDefault="004C4BA9" w:rsidP="00A10452">
      <w:pPr>
        <w:rPr>
          <w:b/>
          <w:bCs/>
          <w:i/>
          <w:color w:val="000000" w:themeColor="text1"/>
          <w:lang w:val="en-US"/>
        </w:rPr>
      </w:pPr>
      <w:r w:rsidRPr="001529C7">
        <w:rPr>
          <w:b/>
          <w:bCs/>
          <w:i/>
          <w:color w:val="000000" w:themeColor="text1"/>
          <w:lang w:val="en"/>
        </w:rPr>
        <w:t>Barriers for competition development</w:t>
      </w:r>
    </w:p>
    <w:p w14:paraId="07823149" w14:textId="77777777" w:rsidR="00A10452" w:rsidRPr="00A57506" w:rsidRDefault="004C4BA9" w:rsidP="00A10452">
      <w:pPr>
        <w:rPr>
          <w:rFonts w:eastAsia="Calibri"/>
          <w:lang w:val="en-US" w:eastAsia="en-US"/>
        </w:rPr>
      </w:pPr>
      <w:r>
        <w:rPr>
          <w:rFonts w:eastAsia="Calibri"/>
          <w:lang w:val="en" w:eastAsia="en-US"/>
        </w:rPr>
        <w:t>According to the results of Agency 's analysis, the following barriers to development of competition were identified:</w:t>
      </w:r>
    </w:p>
    <w:p w14:paraId="28A96CE1" w14:textId="77777777" w:rsidR="000B0746" w:rsidRPr="00A57506" w:rsidRDefault="004C4BA9" w:rsidP="00F411E1">
      <w:pPr>
        <w:rPr>
          <w:bCs/>
          <w:color w:val="000000" w:themeColor="text1"/>
          <w:lang w:val="en-US"/>
        </w:rPr>
      </w:pPr>
      <w:bookmarkStart w:id="70" w:name="z297"/>
      <w:bookmarkEnd w:id="69"/>
      <w:r w:rsidRPr="001529C7">
        <w:rPr>
          <w:bCs/>
          <w:color w:val="000000" w:themeColor="text1"/>
          <w:lang w:val="en"/>
        </w:rPr>
        <w:t xml:space="preserve">1) </w:t>
      </w:r>
      <w:r w:rsidR="009B7D2A" w:rsidRPr="00E52ABB">
        <w:rPr>
          <w:b/>
          <w:color w:val="000000" w:themeColor="text1"/>
          <w:kern w:val="24"/>
          <w:lang w:val="en"/>
        </w:rPr>
        <w:t>excessive price regulation</w:t>
      </w:r>
      <w:r w:rsidRPr="001529C7">
        <w:rPr>
          <w:bCs/>
          <w:color w:val="000000" w:themeColor="text1"/>
          <w:lang w:val="en"/>
        </w:rPr>
        <w:t xml:space="preserve"> </w:t>
      </w:r>
      <w:r w:rsidR="009B7D2A" w:rsidRPr="001529C7">
        <w:rPr>
          <w:i/>
          <w:sz w:val="24"/>
          <w:lang w:val="en"/>
        </w:rPr>
        <w:t>(</w:t>
      </w:r>
      <w:r w:rsidR="00C20C2C" w:rsidRPr="001529C7">
        <w:rPr>
          <w:i/>
          <w:color w:val="000000" w:themeColor="text1"/>
          <w:kern w:val="24"/>
          <w:sz w:val="24"/>
          <w:lang w:val="en"/>
        </w:rPr>
        <w:t>6715 registered trade names of medicines)</w:t>
      </w:r>
      <w:r w:rsidRPr="001529C7">
        <w:rPr>
          <w:bCs/>
          <w:color w:val="000000" w:themeColor="text1"/>
          <w:lang w:val="en"/>
        </w:rPr>
        <w:t xml:space="preserve">, that does not correspond to international practice. Kazakhstan is the only country that regulates prices of all medicines. If compared with other partners in the EAEU, in the Republic of Belarus only medicines used for treatment of oncological and cardiovascular diseases are regulated, in Kyrgyzstan - medicines for treatment of COVID 19, in Russia </w:t>
      </w:r>
      <w:r w:rsidRPr="001529C7">
        <w:rPr>
          <w:bCs/>
          <w:color w:val="000000" w:themeColor="text1"/>
          <w:lang w:val="en"/>
        </w:rPr>
        <w:lastRenderedPageBreak/>
        <w:t>only vital and important medicines are regulated, in Armenia there is no price regulation;</w:t>
      </w:r>
    </w:p>
    <w:p w14:paraId="06C2AAED" w14:textId="77777777" w:rsidR="00C20C2C" w:rsidRPr="00A57506" w:rsidRDefault="004C4BA9" w:rsidP="00F411E1">
      <w:pPr>
        <w:rPr>
          <w:rFonts w:eastAsia="Calibri"/>
          <w:lang w:val="en-US" w:eastAsia="en-US"/>
        </w:rPr>
      </w:pPr>
      <w:r w:rsidRPr="001529C7">
        <w:rPr>
          <w:bCs/>
          <w:color w:val="000000" w:themeColor="text1"/>
          <w:lang w:val="en"/>
        </w:rPr>
        <w:t>2)</w:t>
      </w:r>
      <w:r w:rsidR="009B7D2A" w:rsidRPr="00E52ABB">
        <w:rPr>
          <w:b/>
          <w:color w:val="000000" w:themeColor="text1"/>
          <w:kern w:val="24"/>
          <w:lang w:val="en"/>
        </w:rPr>
        <w:t xml:space="preserve"> long term</w:t>
      </w:r>
      <w:r w:rsidRPr="001529C7">
        <w:rPr>
          <w:color w:val="000000" w:themeColor="text1"/>
          <w:kern w:val="24"/>
          <w:lang w:val="en"/>
        </w:rPr>
        <w:t xml:space="preserve"> for entry of medicines into country's market ranging from 3 to 5 years, which is due, among other things, to non-compliance</w:t>
      </w:r>
      <w:r w:rsidRPr="001529C7">
        <w:rPr>
          <w:rFonts w:eastAsia="Calibri"/>
          <w:lang w:val="en" w:eastAsia="en-US"/>
        </w:rPr>
        <w:t xml:space="preserve"> with deadlines regulated in NLA, absence of possibility for simultaneous passage of procedure for inclusion of medicines in various lists of medicines  </w:t>
      </w:r>
      <w:r w:rsidRPr="00C6602D">
        <w:rPr>
          <w:rFonts w:eastAsia="Calibri"/>
          <w:i/>
          <w:sz w:val="24"/>
          <w:lang w:val="en" w:eastAsia="en-US"/>
        </w:rPr>
        <w:t>(KNF, ALO, ED, etc.)</w:t>
      </w:r>
      <w:r w:rsidRPr="001529C7">
        <w:rPr>
          <w:rFonts w:eastAsia="Calibri"/>
          <w:lang w:val="en" w:eastAsia="en-US"/>
        </w:rPr>
        <w:t>, absence of deadlines for meetings of Formulary Commission, as well as absence of transparency in drug registration procedures;</w:t>
      </w:r>
    </w:p>
    <w:p w14:paraId="7524043F" w14:textId="77777777" w:rsidR="000B0746" w:rsidRPr="00A57506" w:rsidRDefault="004C4BA9" w:rsidP="00F411E1">
      <w:pPr>
        <w:tabs>
          <w:tab w:val="clear" w:pos="567"/>
          <w:tab w:val="left" w:pos="851"/>
        </w:tabs>
        <w:textAlignment w:val="bottom"/>
        <w:rPr>
          <w:rFonts w:eastAsia="Calibri"/>
          <w:kern w:val="24"/>
          <w:sz w:val="24"/>
          <w:szCs w:val="24"/>
          <w:lang w:val="en-US" w:eastAsia="en-US"/>
        </w:rPr>
      </w:pPr>
      <w:r w:rsidRPr="001529C7">
        <w:rPr>
          <w:color w:val="000000" w:themeColor="text1"/>
          <w:kern w:val="24"/>
          <w:lang w:val="en"/>
        </w:rPr>
        <w:t xml:space="preserve">3) import </w:t>
      </w:r>
      <w:r w:rsidR="008F64D6" w:rsidRPr="00E52ABB">
        <w:rPr>
          <w:b/>
          <w:color w:val="000000" w:themeColor="text1"/>
          <w:kern w:val="24"/>
          <w:lang w:val="en"/>
        </w:rPr>
        <w:t>dependence</w:t>
      </w:r>
      <w:r w:rsidRPr="001529C7">
        <w:rPr>
          <w:color w:val="000000" w:themeColor="text1"/>
          <w:kern w:val="24"/>
          <w:lang w:val="en"/>
        </w:rPr>
        <w:t xml:space="preserve"> of about </w:t>
      </w:r>
      <w:r w:rsidR="00C20C2C" w:rsidRPr="001529C7">
        <w:rPr>
          <w:b/>
          <w:bCs/>
          <w:color w:val="000000" w:themeColor="text1"/>
          <w:kern w:val="24"/>
          <w:lang w:val="en"/>
        </w:rPr>
        <w:t>71%</w:t>
      </w:r>
      <w:r w:rsidRPr="001529C7">
        <w:rPr>
          <w:color w:val="000000" w:themeColor="text1"/>
          <w:kern w:val="24"/>
          <w:lang w:val="en"/>
        </w:rPr>
        <w:t xml:space="preserve"> due to  absence of effectively built system for support and development of domestic manufacturers of medicines</w:t>
      </w:r>
      <w:bookmarkStart w:id="71" w:name="z298"/>
      <w:bookmarkEnd w:id="70"/>
      <w:r w:rsidRPr="001529C7">
        <w:rPr>
          <w:color w:val="000000" w:themeColor="text1"/>
          <w:kern w:val="24"/>
          <w:lang w:val="en"/>
        </w:rPr>
        <w:t>;</w:t>
      </w:r>
    </w:p>
    <w:p w14:paraId="01C3EBA6" w14:textId="77777777" w:rsidR="00C20C2C" w:rsidRPr="00A57506" w:rsidRDefault="004C4BA9" w:rsidP="00F411E1">
      <w:pPr>
        <w:tabs>
          <w:tab w:val="clear" w:pos="567"/>
          <w:tab w:val="left" w:pos="851"/>
        </w:tabs>
        <w:textAlignment w:val="bottom"/>
        <w:rPr>
          <w:bCs/>
          <w:lang w:val="en-US"/>
        </w:rPr>
      </w:pPr>
      <w:r w:rsidRPr="001529C7">
        <w:rPr>
          <w:bCs/>
          <w:lang w:val="en"/>
        </w:rPr>
        <w:t xml:space="preserve">4) distortion of competition in terms of including generics produced in Kazakhstan in </w:t>
      </w:r>
      <w:r w:rsidR="009B7D2A" w:rsidRPr="00E52ABB">
        <w:rPr>
          <w:b/>
          <w:bCs/>
          <w:lang w:val="en"/>
        </w:rPr>
        <w:t>long-term contracts</w:t>
      </w:r>
      <w:r w:rsidRPr="001529C7">
        <w:rPr>
          <w:bCs/>
          <w:lang w:val="en"/>
        </w:rPr>
        <w:t xml:space="preserve"> concluded for 10 years by including medicines and medical devices already registered by domestic producers in nomenclature of the competition. This issue was considered at Council for Identifying and Removing Barriers for Entry to Commodity Markets </w:t>
      </w:r>
      <w:r w:rsidR="00E52ABB" w:rsidRPr="00E52ABB">
        <w:rPr>
          <w:bCs/>
          <w:i/>
          <w:sz w:val="24"/>
          <w:lang w:val="en"/>
        </w:rPr>
        <w:t>(hereinafter referred to as Barrier Council, Crowd-sourcing platform under the Agency)</w:t>
      </w:r>
      <w:r>
        <w:rPr>
          <w:rStyle w:val="FootnoteReference"/>
          <w:color w:val="000000" w:themeColor="text1"/>
        </w:rPr>
        <w:footnoteReference w:id="27"/>
      </w:r>
      <w:r w:rsidRPr="001529C7">
        <w:rPr>
          <w:bCs/>
          <w:lang w:val="en"/>
        </w:rPr>
        <w:t xml:space="preserve">. Based on results of work, amendments were made to the Rules for organizing and conducting procurement medicines and medical devices, for exclusion of participation of domestic producers who already have long-term contracts in competition. Thus, the </w:t>
      </w:r>
      <w:r w:rsidR="009B7D2A" w:rsidRPr="00E52ABB">
        <w:rPr>
          <w:b/>
          <w:bCs/>
          <w:lang w:val="en"/>
        </w:rPr>
        <w:t>barrier has now been eliminated</w:t>
      </w:r>
      <w:r w:rsidRPr="001529C7">
        <w:rPr>
          <w:bCs/>
          <w:lang w:val="en"/>
        </w:rPr>
        <w:t>;</w:t>
      </w:r>
    </w:p>
    <w:p w14:paraId="5433F9D3" w14:textId="77777777" w:rsidR="008F64D6" w:rsidRPr="001529C7" w:rsidRDefault="004C4BA9" w:rsidP="008F64D6">
      <w:pPr>
        <w:tabs>
          <w:tab w:val="clear" w:pos="567"/>
          <w:tab w:val="left" w:pos="851"/>
        </w:tabs>
        <w:textAlignment w:val="bottom"/>
        <w:rPr>
          <w:bCs/>
          <w:lang w:val="kk-KZ"/>
        </w:rPr>
      </w:pPr>
      <w:r w:rsidRPr="001529C7">
        <w:rPr>
          <w:bCs/>
          <w:lang w:val="en"/>
        </w:rPr>
        <w:t xml:space="preserve">5) individual wholesale pharmaceutical companies sell medicines to their affiliated retail chains </w:t>
      </w:r>
      <w:r w:rsidRPr="00E52ABB">
        <w:rPr>
          <w:b/>
          <w:bCs/>
          <w:lang w:val="en"/>
        </w:rPr>
        <w:t>at lower retail prices</w:t>
      </w:r>
      <w:r w:rsidRPr="001529C7">
        <w:rPr>
          <w:bCs/>
          <w:lang w:val="en"/>
        </w:rPr>
        <w:t xml:space="preserve"> than wholesale ones, that, according to small pharmacy organizations, limits competition in the market. </w:t>
      </w:r>
    </w:p>
    <w:p w14:paraId="6903E82C" w14:textId="6B6C7914" w:rsidR="008F64D6" w:rsidRPr="001529C7" w:rsidRDefault="004C4BA9" w:rsidP="008F64D6">
      <w:pPr>
        <w:tabs>
          <w:tab w:val="clear" w:pos="567"/>
          <w:tab w:val="left" w:pos="851"/>
        </w:tabs>
        <w:textAlignment w:val="bottom"/>
        <w:rPr>
          <w:bCs/>
          <w:lang w:val="kk-KZ"/>
        </w:rPr>
      </w:pPr>
      <w:bookmarkStart w:id="72" w:name="_Hlk135989959"/>
      <w:r w:rsidRPr="001529C7">
        <w:rPr>
          <w:bCs/>
          <w:lang w:val="en"/>
        </w:rPr>
        <w:t xml:space="preserve">Almaty Department of the Agency addressed to "KFK "Medservice plus" LLP on identified signs of </w:t>
      </w:r>
      <w:r w:rsidRPr="00E52ABB">
        <w:rPr>
          <w:b/>
          <w:bCs/>
          <w:lang w:val="en"/>
        </w:rPr>
        <w:t>applying of different prices or different conditions</w:t>
      </w:r>
      <w:r w:rsidRPr="001529C7">
        <w:rPr>
          <w:bCs/>
          <w:lang w:val="en"/>
        </w:rPr>
        <w:t xml:space="preserve"> to equivalent agreements with market entities or consumers without objectively justified reasons, notification on signs of violation of subparagraph 2 of Article 174 of the Code was i</w:t>
      </w:r>
      <w:r w:rsidR="00AF59F7">
        <w:rPr>
          <w:bCs/>
          <w:lang w:val="en"/>
        </w:rPr>
        <w:t>s</w:t>
      </w:r>
      <w:r w:rsidRPr="001529C7">
        <w:rPr>
          <w:bCs/>
          <w:lang w:val="en"/>
        </w:rPr>
        <w:t xml:space="preserve">sued. </w:t>
      </w:r>
      <w:bookmarkEnd w:id="72"/>
      <w:r w:rsidRPr="001529C7">
        <w:rPr>
          <w:bCs/>
          <w:lang w:val="en"/>
        </w:rPr>
        <w:t>Currently, the notification is being appealed in court;</w:t>
      </w:r>
    </w:p>
    <w:p w14:paraId="55EECCA1" w14:textId="63FFBBE6" w:rsidR="008F64D6" w:rsidRPr="00A57506" w:rsidRDefault="004C4BA9" w:rsidP="008F64D6">
      <w:pPr>
        <w:tabs>
          <w:tab w:val="clear" w:pos="567"/>
          <w:tab w:val="left" w:pos="851"/>
        </w:tabs>
        <w:textAlignment w:val="bottom"/>
        <w:rPr>
          <w:bCs/>
          <w:lang w:val="en-US"/>
        </w:rPr>
      </w:pPr>
      <w:r w:rsidRPr="001529C7">
        <w:rPr>
          <w:bCs/>
          <w:lang w:val="en"/>
        </w:rPr>
        <w:t xml:space="preserve">6) requirement stating that retail pharmaceutical market entities need to comply with </w:t>
      </w:r>
      <w:r w:rsidRPr="00E52ABB">
        <w:rPr>
          <w:b/>
          <w:bCs/>
          <w:lang w:val="en"/>
        </w:rPr>
        <w:t>standard of good pharmacy practice</w:t>
      </w:r>
      <w:r w:rsidRPr="001529C7">
        <w:rPr>
          <w:bCs/>
          <w:lang w:val="en"/>
        </w:rPr>
        <w:t xml:space="preserve">, provided for in Code "On Health of people and healthcare system". According to representatives of pharmacy business, non-compliance with GPP standards </w:t>
      </w:r>
      <w:r w:rsidR="00E52ABB" w:rsidRPr="001529C7">
        <w:rPr>
          <w:bCs/>
          <w:i/>
          <w:iCs/>
          <w:sz w:val="24"/>
          <w:lang w:val="en"/>
        </w:rPr>
        <w:t>(about 10 thousand pharmacies operate in republic, 564 of them meet GPP requirements, that is 5%)</w:t>
      </w:r>
      <w:r w:rsidRPr="001529C7">
        <w:rPr>
          <w:bCs/>
          <w:lang w:val="en"/>
        </w:rPr>
        <w:t xml:space="preserve"> could lead to withdrawal of significant number of pharmacies and monopolization of market from January 1, 2023. In this regard, the Associations initiated extension of transition period to GPP requirements until 2025, as well as amendments to current standard of good pharmacy practice.</w:t>
      </w:r>
    </w:p>
    <w:p w14:paraId="452D24DD" w14:textId="77777777" w:rsidR="008F64D6" w:rsidRPr="00A57506" w:rsidRDefault="004C4BA9" w:rsidP="008F64D6">
      <w:pPr>
        <w:tabs>
          <w:tab w:val="clear" w:pos="567"/>
          <w:tab w:val="left" w:pos="851"/>
        </w:tabs>
        <w:textAlignment w:val="bottom"/>
        <w:rPr>
          <w:bCs/>
          <w:lang w:val="en-US"/>
        </w:rPr>
      </w:pPr>
      <w:r w:rsidRPr="001529C7">
        <w:rPr>
          <w:bCs/>
          <w:lang w:val="en"/>
        </w:rPr>
        <w:t>Committee of Medical and Pharmaceutical Control of the Ministry of Health of the Republic of Kazakhstan is working on compliance with GPP standard by pharmacy organizations, a schedule has been drawn up for transition of pharmacies to compliance with GPP standard until 2025.</w:t>
      </w:r>
    </w:p>
    <w:p w14:paraId="6FEC0D18" w14:textId="77777777" w:rsidR="00433889" w:rsidRPr="00A57506" w:rsidRDefault="004C4BA9" w:rsidP="00433889">
      <w:pPr>
        <w:rPr>
          <w:b/>
          <w:bCs/>
          <w:i/>
          <w:color w:val="000000" w:themeColor="text1"/>
          <w:lang w:val="en-US"/>
        </w:rPr>
      </w:pPr>
      <w:r w:rsidRPr="001529C7">
        <w:rPr>
          <w:b/>
          <w:bCs/>
          <w:i/>
          <w:color w:val="000000" w:themeColor="text1"/>
          <w:lang w:val="en"/>
        </w:rPr>
        <w:t xml:space="preserve">Proposals and recommendations for competition development </w:t>
      </w:r>
    </w:p>
    <w:p w14:paraId="4DBF579D" w14:textId="77777777" w:rsidR="00433889" w:rsidRPr="00A57506" w:rsidRDefault="004C4BA9" w:rsidP="00433889">
      <w:pPr>
        <w:rPr>
          <w:rFonts w:eastAsia="Calibri"/>
          <w:lang w:val="en-US" w:eastAsia="en-US"/>
        </w:rPr>
      </w:pPr>
      <w:r>
        <w:rPr>
          <w:rFonts w:eastAsia="Calibri"/>
          <w:lang w:val="en" w:eastAsia="en-US"/>
        </w:rPr>
        <w:lastRenderedPageBreak/>
        <w:t>Taking into account identified barriers for development of competition, the Agency proposes:</w:t>
      </w:r>
    </w:p>
    <w:p w14:paraId="409112A7" w14:textId="77777777" w:rsidR="00C20C2C" w:rsidRPr="00A57506" w:rsidRDefault="004C4BA9" w:rsidP="00F411E1">
      <w:pPr>
        <w:rPr>
          <w:rFonts w:eastAsia="Calibri"/>
          <w:lang w:val="en-US" w:eastAsia="en-US"/>
        </w:rPr>
      </w:pPr>
      <w:r w:rsidRPr="001529C7">
        <w:rPr>
          <w:rFonts w:eastAsia="Calibri"/>
          <w:lang w:val="en" w:eastAsia="en-US"/>
        </w:rPr>
        <w:t>1)</w:t>
      </w:r>
      <w:r w:rsidR="000D0F96">
        <w:rPr>
          <w:rFonts w:eastAsia="Barlow Condensed"/>
          <w:color w:val="000000" w:themeColor="text1"/>
          <w:kern w:val="24"/>
          <w:lang w:val="en"/>
        </w:rPr>
        <w:t xml:space="preserve"> until 2026, in stages </w:t>
      </w:r>
      <w:r w:rsidRPr="001529C7">
        <w:rPr>
          <w:rFonts w:eastAsia="Barlow Condensed"/>
          <w:bCs/>
          <w:i/>
          <w:iCs/>
          <w:color w:val="000000" w:themeColor="text1"/>
          <w:kern w:val="24"/>
          <w:sz w:val="24"/>
          <w:lang w:val="en"/>
        </w:rPr>
        <w:t>(</w:t>
      </w:r>
      <w:r w:rsidRPr="001529C7">
        <w:rPr>
          <w:rFonts w:eastAsia="Calibri"/>
          <w:bCs/>
          <w:i/>
          <w:iCs/>
          <w:sz w:val="24"/>
          <w:lang w:val="en" w:eastAsia="en-US"/>
        </w:rPr>
        <w:t>stage 1: 2022/2023,</w:t>
      </w:r>
      <w:r w:rsidR="000D0F96">
        <w:rPr>
          <w:rFonts w:eastAsia="Barlow Condensed"/>
          <w:color w:val="000000" w:themeColor="text1"/>
          <w:kern w:val="24"/>
          <w:lang w:val="en"/>
        </w:rPr>
        <w:t xml:space="preserve"> </w:t>
      </w:r>
      <w:r w:rsidRPr="001529C7">
        <w:rPr>
          <w:rFonts w:eastAsia="Calibri"/>
          <w:bCs/>
          <w:i/>
          <w:iCs/>
          <w:sz w:val="24"/>
          <w:lang w:val="en" w:eastAsia="en-US"/>
        </w:rPr>
        <w:t>stage 2: 2023/2024,</w:t>
      </w:r>
      <w:r w:rsidR="000D0F96">
        <w:rPr>
          <w:rFonts w:eastAsia="Barlow Condensed"/>
          <w:color w:val="000000" w:themeColor="text1"/>
          <w:kern w:val="24"/>
          <w:lang w:val="en"/>
        </w:rPr>
        <w:t xml:space="preserve"> </w:t>
      </w:r>
      <w:r w:rsidRPr="001529C7">
        <w:rPr>
          <w:rFonts w:eastAsia="Calibri"/>
          <w:bCs/>
          <w:i/>
          <w:iCs/>
          <w:sz w:val="24"/>
          <w:lang w:val="en" w:eastAsia="en-US"/>
        </w:rPr>
        <w:t>stage 3: 2024/2025)</w:t>
      </w:r>
      <w:r w:rsidR="000D0F96">
        <w:rPr>
          <w:rFonts w:eastAsia="Barlow Condensed"/>
          <w:color w:val="000000" w:themeColor="text1"/>
          <w:kern w:val="24"/>
          <w:lang w:val="en"/>
        </w:rPr>
        <w:t xml:space="preserve">, to </w:t>
      </w:r>
      <w:r w:rsidRPr="000D0F96">
        <w:rPr>
          <w:rFonts w:eastAsia="Barlow Condensed"/>
          <w:b/>
          <w:color w:val="000000" w:themeColor="text1"/>
          <w:kern w:val="24"/>
          <w:lang w:val="en"/>
        </w:rPr>
        <w:t>abandon state intervention in pricing</w:t>
      </w:r>
      <w:r w:rsidR="000D0F96">
        <w:rPr>
          <w:rFonts w:eastAsia="Barlow Condensed"/>
          <w:color w:val="000000" w:themeColor="text1"/>
          <w:kern w:val="24"/>
          <w:lang w:val="en"/>
        </w:rPr>
        <w:t xml:space="preserve"> of medicines, while maintaining price regulation for medicines  purchased within guaranteed volume of free medical care </w:t>
      </w:r>
      <w:r w:rsidRPr="001529C7">
        <w:rPr>
          <w:rFonts w:eastAsia="Calibri"/>
          <w:lang w:val="en" w:eastAsia="en-US"/>
        </w:rPr>
        <w:t>and</w:t>
      </w:r>
      <w:r w:rsidRPr="000D0F96">
        <w:rPr>
          <w:rFonts w:eastAsia="Calibri"/>
          <w:i/>
          <w:sz w:val="24"/>
          <w:lang w:val="en" w:eastAsia="en-US"/>
        </w:rPr>
        <w:t xml:space="preserve"> (or)</w:t>
      </w:r>
      <w:r w:rsidRPr="001529C7">
        <w:rPr>
          <w:rFonts w:eastAsia="Calibri"/>
          <w:lang w:val="en" w:eastAsia="en-US"/>
        </w:rPr>
        <w:t xml:space="preserve"> in compulsory social health insurance system.</w:t>
      </w:r>
    </w:p>
    <w:p w14:paraId="18856ABC" w14:textId="77777777" w:rsidR="008F64D6" w:rsidRPr="00A57506" w:rsidRDefault="004C4BA9" w:rsidP="008F64D6">
      <w:pPr>
        <w:rPr>
          <w:rFonts w:eastAsia="SimSun"/>
          <w:lang w:val="en-US" w:eastAsia="zh-CN"/>
        </w:rPr>
      </w:pPr>
      <w:r w:rsidRPr="001529C7">
        <w:rPr>
          <w:rFonts w:eastAsia="SimSun"/>
          <w:lang w:val="en" w:eastAsia="zh-CN"/>
        </w:rPr>
        <w:t xml:space="preserve">As systemic measures within the framework of the work carried out by the Agency to improve pricing of medicines in 2022, amendments were made to the Code "On Health of People and the Healthcare System", within which the Ministry of Health approves maximum prices for medicines for retail and wholesale sales included in list of medicines subject to price regulation by agreement with antimonopoly authority no more than once every six months </w:t>
      </w:r>
      <w:r w:rsidRPr="00C6602D">
        <w:rPr>
          <w:rFonts w:eastAsia="SimSun"/>
          <w:i/>
          <w:sz w:val="24"/>
          <w:lang w:val="en" w:eastAsia="zh-CN"/>
        </w:rPr>
        <w:t>(amendments entered into force on March 7, 2022)</w:t>
      </w:r>
      <w:r w:rsidRPr="001529C7">
        <w:rPr>
          <w:rFonts w:eastAsia="SimSun"/>
          <w:lang w:val="en" w:eastAsia="zh-CN"/>
        </w:rPr>
        <w:t xml:space="preserve">, as well as in relevant Rules </w:t>
      </w:r>
      <w:r w:rsidR="00052A8A" w:rsidRPr="00052A8A">
        <w:rPr>
          <w:rFonts w:eastAsia="SimSun"/>
          <w:i/>
          <w:sz w:val="24"/>
          <w:lang w:val="en" w:eastAsia="zh-CN"/>
        </w:rPr>
        <w:t>(hereinafter referred to as Rules 247)</w:t>
      </w:r>
      <w:r>
        <w:rPr>
          <w:rStyle w:val="FootnoteReference"/>
          <w:color w:val="000000" w:themeColor="text1"/>
        </w:rPr>
        <w:footnoteReference w:id="28"/>
      </w:r>
      <w:r w:rsidRPr="001529C7">
        <w:rPr>
          <w:rFonts w:eastAsia="SimSun"/>
          <w:lang w:val="en" w:eastAsia="zh-CN"/>
        </w:rPr>
        <w:t xml:space="preserve"> regarding definition of criteria for inclusion in the list of medicines subject to price regulation. </w:t>
      </w:r>
    </w:p>
    <w:p w14:paraId="515C6E82" w14:textId="77777777" w:rsidR="008F64D6" w:rsidRPr="00A57506" w:rsidRDefault="004C4BA9" w:rsidP="008F64D6">
      <w:pPr>
        <w:rPr>
          <w:rFonts w:eastAsia="SimSun"/>
          <w:lang w:val="en-US" w:eastAsia="zh-CN"/>
        </w:rPr>
      </w:pPr>
      <w:r w:rsidRPr="001529C7">
        <w:rPr>
          <w:rFonts w:eastAsia="SimSun"/>
          <w:lang w:val="en" w:eastAsia="zh-CN"/>
        </w:rPr>
        <w:t xml:space="preserve">In addition, on December 29, 2022, the Agency, together with the Ministry of Health, approved </w:t>
      </w:r>
      <w:r w:rsidRPr="000D0F96">
        <w:rPr>
          <w:rFonts w:eastAsia="SimSun"/>
          <w:b/>
          <w:lang w:val="en" w:eastAsia="zh-CN"/>
        </w:rPr>
        <w:t>Roadmap for development of competition in the healthcare sector</w:t>
      </w:r>
      <w:r w:rsidRPr="001529C7">
        <w:rPr>
          <w:rFonts w:eastAsia="SimSun"/>
          <w:lang w:val="en" w:eastAsia="zh-CN"/>
        </w:rPr>
        <w:t>, which provides for measures to address problematic issues in medicines sales market, including reducing excessive price regulation, and ensuring access to public procurement of medicines within the guaranteed volume of free medical care and (or) in the system of compulsory social health insurance.</w:t>
      </w:r>
    </w:p>
    <w:p w14:paraId="6208649D" w14:textId="77777777" w:rsidR="0056211E" w:rsidRPr="00A57506" w:rsidRDefault="004C4BA9" w:rsidP="0056211E">
      <w:pPr>
        <w:rPr>
          <w:lang w:val="en-US"/>
        </w:rPr>
      </w:pPr>
      <w:r w:rsidRPr="00DB6ACF">
        <w:rPr>
          <w:rFonts w:eastAsia="SimSun"/>
          <w:lang w:val="en" w:eastAsia="zh-CN"/>
        </w:rPr>
        <w:t xml:space="preserve">With that, the first stage of withdrawal of medicines from state regulation should be decisive for making decisions on the rest. In fact, since January 2023, prices for 376 trade names of over-the-counter medicines </w:t>
      </w:r>
      <w:r w:rsidRPr="00DB6ACF">
        <w:rPr>
          <w:rFonts w:eastAsia="SimSun"/>
          <w:i/>
          <w:iCs/>
          <w:sz w:val="24"/>
          <w:lang w:val="en" w:eastAsia="zh-CN"/>
        </w:rPr>
        <w:t>(homeopathic remedies, biologically active additives, vitamins and medicines for treatment of simple diseases)</w:t>
      </w:r>
      <w:r w:rsidRPr="00DB6ACF">
        <w:rPr>
          <w:rFonts w:eastAsia="SimSun"/>
          <w:lang w:val="en" w:eastAsia="zh-CN"/>
        </w:rPr>
        <w:t xml:space="preserve"> have been deregulated. Deregulation of prices for medicines will open access to the market of Kazakhstan to many analogues of medicines, will promote competitive pricing, return of medicines that have left the market;</w:t>
      </w:r>
    </w:p>
    <w:p w14:paraId="7708D0BF" w14:textId="77777777" w:rsidR="00554EC6" w:rsidRPr="00A57506" w:rsidRDefault="004C4BA9" w:rsidP="0056211E">
      <w:pPr>
        <w:tabs>
          <w:tab w:val="clear" w:pos="567"/>
        </w:tabs>
        <w:rPr>
          <w:rFonts w:eastAsia="Calibri"/>
          <w:lang w:val="en-US" w:eastAsia="en-US"/>
        </w:rPr>
      </w:pPr>
      <w:r w:rsidRPr="00DB6ACF">
        <w:rPr>
          <w:rFonts w:eastAsia="Calibri"/>
          <w:lang w:val="en" w:eastAsia="en-US"/>
        </w:rPr>
        <w:t xml:space="preserve">2) to simplify </w:t>
      </w:r>
      <w:r w:rsidRPr="00DB6ACF">
        <w:rPr>
          <w:rFonts w:eastAsia="Calibri"/>
          <w:b/>
          <w:lang w:val="en" w:eastAsia="en-US"/>
        </w:rPr>
        <w:t>entry into the market</w:t>
      </w:r>
      <w:r w:rsidRPr="00DB6ACF">
        <w:rPr>
          <w:rFonts w:eastAsia="Calibri"/>
          <w:lang w:val="en" w:eastAsia="en-US"/>
        </w:rPr>
        <w:t>, it is necessary to amend the Code "On Health of People and Healthcare System" and Rules 247, to approve uniform rules for formation of KNF, register of ceiling prices for medicines for INN purchased within the guaranteed volume of free medical care and (or) in the system of compulsory social health insurance, parallel inclusion in the list of IPS and ID, to regulate periods of meetings of formulary commission;</w:t>
      </w:r>
    </w:p>
    <w:p w14:paraId="283D16F0" w14:textId="4DD4BBC5" w:rsidR="00C6602D" w:rsidRPr="00A57506" w:rsidRDefault="004C4BA9" w:rsidP="00C6602D">
      <w:pPr>
        <w:tabs>
          <w:tab w:val="clear" w:pos="567"/>
        </w:tabs>
        <w:rPr>
          <w:iCs/>
          <w:lang w:val="en-US"/>
        </w:rPr>
      </w:pPr>
      <w:r w:rsidRPr="00DB6ACF">
        <w:rPr>
          <w:rFonts w:eastAsia="Calibri"/>
          <w:lang w:val="en" w:eastAsia="en-US"/>
        </w:rPr>
        <w:t xml:space="preserve">3) to ensure </w:t>
      </w:r>
      <w:r w:rsidR="00C20C2C" w:rsidRPr="00DB6ACF">
        <w:rPr>
          <w:rFonts w:eastAsia="Barlow Condensed"/>
          <w:color w:val="000000" w:themeColor="text1"/>
          <w:kern w:val="24"/>
          <w:lang w:val="en"/>
        </w:rPr>
        <w:t xml:space="preserve">complete </w:t>
      </w:r>
      <w:r w:rsidR="00C20C2C" w:rsidRPr="00DB6ACF">
        <w:rPr>
          <w:rFonts w:eastAsia="Barlow Condensed"/>
          <w:b/>
          <w:color w:val="000000" w:themeColor="text1"/>
          <w:kern w:val="24"/>
          <w:lang w:val="en"/>
        </w:rPr>
        <w:t>digitalization</w:t>
      </w:r>
      <w:r w:rsidR="00C20C2C" w:rsidRPr="00DB6ACF">
        <w:rPr>
          <w:rFonts w:eastAsia="Barlow Condensed"/>
          <w:color w:val="000000" w:themeColor="text1"/>
          <w:kern w:val="24"/>
          <w:lang w:val="en"/>
        </w:rPr>
        <w:t xml:space="preserve"> of all business processes of the "entry" of medicines and medical devices into the Kazakh market on the principle of "one window" as public service </w:t>
      </w:r>
      <w:r w:rsidR="00C20C2C" w:rsidRPr="00DB6ACF">
        <w:rPr>
          <w:i/>
          <w:iCs/>
          <w:sz w:val="24"/>
          <w:lang w:val="en"/>
        </w:rPr>
        <w:t>(in order to eliminate human factor and accelerate registration in all lists)</w:t>
      </w:r>
      <w:r w:rsidR="00C20C2C" w:rsidRPr="00DB6ACF">
        <w:rPr>
          <w:iCs/>
          <w:lang w:val="en"/>
        </w:rPr>
        <w:t>.</w:t>
      </w:r>
      <w:bookmarkEnd w:id="71"/>
    </w:p>
    <w:p w14:paraId="4AA5D03A" w14:textId="77777777" w:rsidR="00554EC6" w:rsidRPr="00A57506" w:rsidRDefault="004C4BA9" w:rsidP="00554EC6">
      <w:pPr>
        <w:rPr>
          <w:rFonts w:cs="Courier New"/>
          <w:lang w:val="en-US"/>
        </w:rPr>
      </w:pPr>
      <w:r w:rsidRPr="00DB6ACF">
        <w:rPr>
          <w:lang w:val="en"/>
        </w:rPr>
        <w:lastRenderedPageBreak/>
        <w:t xml:space="preserve">Implementation of proposed measures will lead to emergence of new innovative medicines, attraction of BIG PHARMA, localization of production, reduction of import dependence. </w:t>
      </w:r>
    </w:p>
    <w:p w14:paraId="56320F25" w14:textId="77777777" w:rsidR="00554EC6" w:rsidRPr="00A57506" w:rsidRDefault="004C4BA9" w:rsidP="00554EC6">
      <w:pPr>
        <w:rPr>
          <w:lang w:val="en-US"/>
        </w:rPr>
      </w:pPr>
      <w:r w:rsidRPr="00DB6ACF">
        <w:rPr>
          <w:rFonts w:cs="Courier New"/>
          <w:lang w:val="en"/>
        </w:rPr>
        <w:t xml:space="preserve">The projected increase in volume of sales of medicines in retail segment may reach </w:t>
      </w:r>
      <w:r w:rsidRPr="00DB6ACF">
        <w:rPr>
          <w:rFonts w:cs="Courier New"/>
          <w:b/>
          <w:lang w:val="en"/>
        </w:rPr>
        <w:t>22 billion KZT</w:t>
      </w:r>
      <w:r w:rsidRPr="00DB6ACF">
        <w:rPr>
          <w:rFonts w:cs="Courier New"/>
          <w:lang w:val="en"/>
        </w:rPr>
        <w:t>.</w:t>
      </w:r>
    </w:p>
    <w:p w14:paraId="597BE29F" w14:textId="77777777" w:rsidR="00DE36A0"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bookmarkStart w:id="73" w:name="_Toc71897817"/>
      <w:bookmarkStart w:id="74" w:name="_Hlk103163955"/>
      <w:r>
        <w:rPr>
          <w:rFonts w:cs="Times New Roman"/>
          <w:szCs w:val="28"/>
          <w:lang w:val="en"/>
        </w:rPr>
        <w:t xml:space="preserve"> </w:t>
      </w:r>
      <w:bookmarkStart w:id="75" w:name="_Toc142467922"/>
      <w:r>
        <w:rPr>
          <w:rFonts w:cs="Times New Roman"/>
          <w:szCs w:val="28"/>
          <w:lang w:val="en"/>
        </w:rPr>
        <w:t xml:space="preserve">Market of </w:t>
      </w:r>
      <w:bookmarkEnd w:id="73"/>
      <w:bookmarkEnd w:id="74"/>
      <w:r>
        <w:rPr>
          <w:rFonts w:cs="Times New Roman"/>
          <w:szCs w:val="28"/>
          <w:lang w:val="en"/>
        </w:rPr>
        <w:t>services for conducting PCR diagnostics of coronavirus infection;</w:t>
      </w:r>
      <w:bookmarkEnd w:id="75"/>
    </w:p>
    <w:p w14:paraId="00B1C1FC" w14:textId="77777777" w:rsidR="0053755E" w:rsidRPr="00A57506" w:rsidRDefault="004C4BA9" w:rsidP="00F411E1">
      <w:pPr>
        <w:rPr>
          <w:color w:val="000000" w:themeColor="text1"/>
          <w:lang w:val="en-US"/>
        </w:rPr>
      </w:pPr>
      <w:r w:rsidRPr="001529C7">
        <w:rPr>
          <w:color w:val="000000" w:themeColor="text1"/>
          <w:lang w:val="en"/>
        </w:rPr>
        <w:t>The analysis of the markets for PCR diagnostics of coronavirus infection was carried out in accordance with the Agency's Work Plan for 2022.</w:t>
      </w:r>
    </w:p>
    <w:p w14:paraId="3E6B9A51" w14:textId="77777777" w:rsidR="00C20C2C" w:rsidRPr="00A57506" w:rsidRDefault="004C4BA9" w:rsidP="00F411E1">
      <w:pPr>
        <w:rPr>
          <w:lang w:val="en-US"/>
        </w:rPr>
      </w:pPr>
      <w:r w:rsidRPr="001529C7">
        <w:rPr>
          <w:lang w:val="en"/>
        </w:rPr>
        <w:t xml:space="preserve">As part of the analysis, it was found that 96 medical laboratories operated in the market of services for conducting PCR diagnostics of coronavirus infection in 2020, and more than 130 medical laboratories in 2021. That is, there is an increase in medical laboratories for laboratory diagnostics for COVID-19 by PCR in 2021 by 35%. </w:t>
      </w:r>
    </w:p>
    <w:p w14:paraId="410BF0FD" w14:textId="77777777" w:rsidR="00C20C2C" w:rsidRPr="00A57506" w:rsidRDefault="004C4BA9" w:rsidP="00F411E1">
      <w:pPr>
        <w:pStyle w:val="BodyText2"/>
        <w:spacing w:after="0" w:line="240" w:lineRule="auto"/>
        <w:rPr>
          <w:lang w:val="en-US"/>
        </w:rPr>
      </w:pPr>
      <w:r w:rsidRPr="001529C7">
        <w:rPr>
          <w:lang w:val="en"/>
        </w:rPr>
        <w:t>In total, 134 market entities in the republic provide services for conducting PCR diagnostics of coronavirus infection.</w:t>
      </w:r>
    </w:p>
    <w:p w14:paraId="0228FDDE" w14:textId="77777777" w:rsidR="00BB5EB6" w:rsidRPr="001529C7" w:rsidRDefault="004C4BA9" w:rsidP="00F411E1">
      <w:pPr>
        <w:tabs>
          <w:tab w:val="clear" w:pos="567"/>
        </w:tabs>
        <w:ind w:firstLine="0"/>
        <w:rPr>
          <w:rFonts w:eastAsia="Calibri"/>
          <w:bCs/>
          <w:iCs/>
          <w:lang w:eastAsia="en-US"/>
        </w:rPr>
      </w:pPr>
      <w:r w:rsidRPr="001529C7">
        <w:rPr>
          <w:rFonts w:ascii="Calibri" w:eastAsia="Calibri" w:hAnsi="Calibri"/>
          <w:noProof/>
          <w:sz w:val="22"/>
          <w:szCs w:val="22"/>
        </w:rPr>
        <w:drawing>
          <wp:inline distT="0" distB="0" distL="0" distR="0" wp14:anchorId="19103C71" wp14:editId="42821584">
            <wp:extent cx="6119495" cy="2976113"/>
            <wp:effectExtent l="0" t="0" r="0" b="0"/>
            <wp:docPr id="39" name="Диаграмма 39">
              <a:extLst xmlns:a="http://schemas.openxmlformats.org/drawingml/2006/main">
                <a:ext uri="{FF2B5EF4-FFF2-40B4-BE49-F238E27FC236}">
                  <a16:creationId xmlns:a16="http://schemas.microsoft.com/office/drawing/2014/main" id="{636F9C69-E9C2-423A-B466-3C45B0211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9FECF6" w14:textId="77777777" w:rsidR="00BB5EB6" w:rsidRPr="00A57506" w:rsidRDefault="004C4BA9" w:rsidP="009C4D8B">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20</w:t>
      </w:r>
      <w:r w:rsidRPr="001529C7">
        <w:rPr>
          <w:b w:val="0"/>
          <w:color w:val="000000" w:themeColor="text1"/>
          <w:sz w:val="28"/>
          <w:szCs w:val="28"/>
        </w:rPr>
        <w:fldChar w:fldCharType="end"/>
      </w:r>
      <w:r w:rsidRPr="001529C7">
        <w:rPr>
          <w:b w:val="0"/>
          <w:color w:val="000000" w:themeColor="text1"/>
          <w:sz w:val="28"/>
          <w:szCs w:val="28"/>
          <w:lang w:val="en"/>
        </w:rPr>
        <w:t>- The number of market entities by region.</w:t>
      </w:r>
    </w:p>
    <w:p w14:paraId="075285DF" w14:textId="411BCB37" w:rsidR="008F64D6" w:rsidRPr="00A57506" w:rsidRDefault="004C4BA9" w:rsidP="008F64D6">
      <w:pPr>
        <w:shd w:val="clear" w:color="auto" w:fill="FFFFFF"/>
        <w:tabs>
          <w:tab w:val="clear" w:pos="567"/>
          <w:tab w:val="left" w:pos="0"/>
        </w:tabs>
        <w:contextualSpacing/>
        <w:rPr>
          <w:lang w:val="en-US"/>
        </w:rPr>
      </w:pPr>
      <w:r w:rsidRPr="001529C7">
        <w:rPr>
          <w:lang w:val="en"/>
        </w:rPr>
        <w:t xml:space="preserve">Competition in the market of services for conducting PCR diagnostics of coronavirus infection has been developing since 2021. New medical laboratories are being </w:t>
      </w:r>
      <w:r w:rsidR="00035D14" w:rsidRPr="001529C7">
        <w:rPr>
          <w:lang w:val="en"/>
        </w:rPr>
        <w:t>created;</w:t>
      </w:r>
      <w:r w:rsidRPr="001529C7">
        <w:rPr>
          <w:lang w:val="en"/>
        </w:rPr>
        <w:t xml:space="preserve"> branches are being opened in the regions.</w:t>
      </w:r>
    </w:p>
    <w:p w14:paraId="03E660CE" w14:textId="77777777" w:rsidR="008F64D6" w:rsidRPr="00A57506" w:rsidRDefault="004C4BA9" w:rsidP="008F64D6">
      <w:pPr>
        <w:tabs>
          <w:tab w:val="clear" w:pos="567"/>
        </w:tabs>
        <w:rPr>
          <w:lang w:val="en-US"/>
        </w:rPr>
      </w:pPr>
      <w:r w:rsidRPr="001529C7">
        <w:rPr>
          <w:lang w:val="en"/>
        </w:rPr>
        <w:t>Basically, number of market entities has increased in Aktobe, Almaty, Atyrau, East Kazakhstan, West Kazakhstan, Zhambyl, Turkestan regions and Astana and Almaty. This happened due to opening of new branches of medical laboratories in the regions, as well as emergence of new players on the market.</w:t>
      </w:r>
    </w:p>
    <w:p w14:paraId="381C796E" w14:textId="1F906C6E" w:rsidR="00C20C2C" w:rsidRPr="00A57506" w:rsidRDefault="004C4BA9" w:rsidP="009C4D8B">
      <w:pPr>
        <w:rPr>
          <w:lang w:val="en-US"/>
        </w:rPr>
      </w:pPr>
      <w:r w:rsidRPr="001529C7">
        <w:rPr>
          <w:lang w:val="en"/>
        </w:rPr>
        <w:t xml:space="preserve">In 2020, the main market share was occupied by companies with branches: "KDL "Olymp" LLP, "National Center of Expertise" and "Invivo" LLP, and in 2021 "KDL </w:t>
      </w:r>
      <w:r w:rsidRPr="001529C7">
        <w:rPr>
          <w:lang w:val="en"/>
        </w:rPr>
        <w:lastRenderedPageBreak/>
        <w:t xml:space="preserve">"Olymp" LLP and "Invivo" LLP. The most developed market is in Astana and Almaty cities, in these regions the market is </w:t>
      </w:r>
      <w:r w:rsidRPr="00E25CB3">
        <w:rPr>
          <w:b/>
          <w:bCs/>
          <w:i/>
          <w:iCs/>
          <w:lang w:val="en"/>
        </w:rPr>
        <w:t>low</w:t>
      </w:r>
      <w:r w:rsidRPr="001529C7">
        <w:rPr>
          <w:lang w:val="en"/>
        </w:rPr>
        <w:t>-</w:t>
      </w:r>
      <w:r w:rsidRPr="0083522E">
        <w:rPr>
          <w:b/>
          <w:bCs/>
          <w:i/>
          <w:iCs/>
          <w:lang w:val="en"/>
        </w:rPr>
        <w:t>concentrated</w:t>
      </w:r>
      <w:r w:rsidRPr="001529C7">
        <w:rPr>
          <w:lang w:val="en"/>
        </w:rPr>
        <w:t>.</w:t>
      </w:r>
    </w:p>
    <w:p w14:paraId="376B4C73" w14:textId="77777777" w:rsidR="00C20C2C" w:rsidRPr="00A57506" w:rsidRDefault="004C4BA9" w:rsidP="00F411E1">
      <w:pPr>
        <w:tabs>
          <w:tab w:val="clear" w:pos="567"/>
        </w:tabs>
        <w:rPr>
          <w:lang w:val="en-US"/>
        </w:rPr>
      </w:pPr>
      <w:r w:rsidRPr="0083522E">
        <w:rPr>
          <w:lang w:val="en"/>
        </w:rPr>
        <w:t xml:space="preserve">With that , the markets in Akmola, Aktobe, Almaty, Atyrau, Karaganda, Kostanay, Kyzylorda, North Kazakhstan regions continued to remain highly </w:t>
      </w:r>
      <w:r w:rsidRPr="0083522E">
        <w:rPr>
          <w:b/>
          <w:i/>
          <w:lang w:val="en"/>
        </w:rPr>
        <w:t>concentrated</w:t>
      </w:r>
      <w:r w:rsidRPr="0083522E">
        <w:rPr>
          <w:lang w:val="en"/>
        </w:rPr>
        <w:t>.</w:t>
      </w:r>
    </w:p>
    <w:p w14:paraId="2A60A94D" w14:textId="77777777" w:rsidR="008F64D6" w:rsidRPr="00A57506" w:rsidRDefault="004C4BA9" w:rsidP="008F64D6">
      <w:pPr>
        <w:tabs>
          <w:tab w:val="clear" w:pos="567"/>
          <w:tab w:val="left" w:pos="0"/>
        </w:tabs>
        <w:contextualSpacing/>
        <w:rPr>
          <w:lang w:val="en-US"/>
        </w:rPr>
      </w:pPr>
      <w:r w:rsidRPr="0083522E">
        <w:rPr>
          <w:lang w:val="en"/>
        </w:rPr>
        <w:t xml:space="preserve">During the analysis, territorial departments of the Agency studied the price situation in market of services for conducting PCR diagnostics of coronavirus infection. </w:t>
      </w:r>
    </w:p>
    <w:p w14:paraId="594BBA6D" w14:textId="77777777" w:rsidR="003F6BA3" w:rsidRPr="00A57506" w:rsidRDefault="004C4BA9" w:rsidP="008F64D6">
      <w:pPr>
        <w:tabs>
          <w:tab w:val="clear" w:pos="567"/>
          <w:tab w:val="left" w:pos="0"/>
        </w:tabs>
        <w:contextualSpacing/>
        <w:rPr>
          <w:iCs/>
          <w:lang w:val="en-US"/>
        </w:rPr>
      </w:pPr>
      <w:r w:rsidRPr="003F6BA3">
        <w:rPr>
          <w:iCs/>
          <w:lang w:val="en"/>
        </w:rPr>
        <w:t>Dynamics of prices for laboratory diagnostics of Covid-</w:t>
      </w:r>
      <w:r w:rsidRPr="003F6BA3">
        <w:rPr>
          <w:b/>
          <w:iCs/>
          <w:lang w:val="en"/>
        </w:rPr>
        <w:t xml:space="preserve">19 by PCR for the period of 2020-2021 tends to </w:t>
      </w:r>
      <w:r w:rsidRPr="003F6BA3">
        <w:rPr>
          <w:iCs/>
          <w:lang w:val="en"/>
        </w:rPr>
        <w:t>decrease</w:t>
      </w:r>
      <w:r w:rsidRPr="003F6BA3">
        <w:rPr>
          <w:b/>
          <w:iCs/>
          <w:lang w:val="en"/>
        </w:rPr>
        <w:t xml:space="preserve"> from 19,220 to 9,000 KZT</w:t>
      </w:r>
      <w:r w:rsidRPr="003F6BA3">
        <w:rPr>
          <w:iCs/>
          <w:lang w:val="en"/>
        </w:rPr>
        <w:t xml:space="preserve">, or by </w:t>
      </w:r>
      <w:r w:rsidRPr="003F6BA3">
        <w:rPr>
          <w:b/>
          <w:iCs/>
          <w:lang w:val="en"/>
        </w:rPr>
        <w:t>53.1%</w:t>
      </w:r>
      <w:r w:rsidRPr="003F6BA3">
        <w:rPr>
          <w:iCs/>
          <w:lang w:val="en"/>
        </w:rPr>
        <w:t xml:space="preserve">. During the pandemic, work carried out by the Agency in 2020 to conclude antimonopoly compliance with large market entities contributed to price reduction. In the period of 2021-2022, there is a tendency in some laboratories to reduce the cost of PCR diagnostics </w:t>
      </w:r>
      <w:r w:rsidRPr="003F6BA3">
        <w:rPr>
          <w:b/>
          <w:iCs/>
          <w:lang w:val="en"/>
        </w:rPr>
        <w:t>by 67.8%</w:t>
      </w:r>
      <w:r w:rsidRPr="003F6BA3">
        <w:rPr>
          <w:iCs/>
          <w:lang w:val="en"/>
        </w:rPr>
        <w:t xml:space="preserve"> </w:t>
      </w:r>
      <w:r w:rsidRPr="003F6BA3">
        <w:rPr>
          <w:b/>
          <w:iCs/>
          <w:lang w:val="en"/>
        </w:rPr>
        <w:t>from 9,000 to 2,900 KZT</w:t>
      </w:r>
      <w:r w:rsidRPr="003F6BA3">
        <w:rPr>
          <w:iCs/>
          <w:lang w:val="en"/>
        </w:rPr>
        <w:t>.</w:t>
      </w:r>
    </w:p>
    <w:p w14:paraId="493BBE11" w14:textId="77777777" w:rsidR="008F64D6" w:rsidRPr="00A57506" w:rsidRDefault="004C4BA9" w:rsidP="008F64D6">
      <w:pPr>
        <w:tabs>
          <w:tab w:val="clear" w:pos="567"/>
          <w:tab w:val="left" w:pos="0"/>
        </w:tabs>
        <w:contextualSpacing/>
        <w:rPr>
          <w:i/>
          <w:iCs/>
          <w:sz w:val="24"/>
          <w:lang w:val="en-US"/>
        </w:rPr>
      </w:pPr>
      <w:r w:rsidRPr="009C4D8B">
        <w:rPr>
          <w:b/>
          <w:i/>
          <w:iCs/>
          <w:sz w:val="24"/>
          <w:lang w:val="en"/>
        </w:rPr>
        <w:t>For reference</w:t>
      </w:r>
      <w:r w:rsidRPr="009C4D8B">
        <w:rPr>
          <w:i/>
          <w:iCs/>
          <w:sz w:val="24"/>
          <w:lang w:val="en"/>
        </w:rPr>
        <w:t>: In 2020, the Agency concluded antimonopoly compliance agreements with 36 market entities, including "KDL "Olymp" LLP and "Invivo" LLP with selling price not exceeding 9,000 KZT. With that, certain laboratories of "Sunkar" LLP and "Aigerim" LLP reduced prices to 6 000 and 7 000 KZT, respectively.</w:t>
      </w:r>
    </w:p>
    <w:p w14:paraId="13F75D2F" w14:textId="77777777" w:rsidR="008F64D6" w:rsidRPr="00A57506" w:rsidRDefault="004C4BA9" w:rsidP="008F64D6">
      <w:pPr>
        <w:tabs>
          <w:tab w:val="clear" w:pos="567"/>
          <w:tab w:val="left" w:pos="0"/>
        </w:tabs>
        <w:contextualSpacing/>
        <w:rPr>
          <w:i/>
          <w:iCs/>
          <w:lang w:val="en-US"/>
        </w:rPr>
      </w:pPr>
      <w:r w:rsidRPr="001529C7">
        <w:rPr>
          <w:lang w:val="en"/>
        </w:rPr>
        <w:t xml:space="preserve">Mangistau regional Department of the Agency, based on the results of analysis, sent a notification to Firm Cha-Kur LLP on signs of applying different prices or different conditions to equivalent agreements with market entities or consumers without objectively justified reasons for signs of violation of subparagraph 2 of Article 174 of the Code </w:t>
      </w:r>
      <w:r w:rsidRPr="009C4D8B">
        <w:rPr>
          <w:i/>
          <w:iCs/>
          <w:sz w:val="24"/>
          <w:lang w:val="en"/>
        </w:rPr>
        <w:t>(in 2020 and 2021 there were contracts, concluded with legal entities for services for conducting PCR diagnostics of coronavirus infection, in which price for services ranged from 8,300 to 6,000 KZT)</w:t>
      </w:r>
      <w:r w:rsidRPr="001529C7">
        <w:rPr>
          <w:i/>
          <w:iCs/>
          <w:lang w:val="en"/>
        </w:rPr>
        <w:t>.</w:t>
      </w:r>
      <w:r w:rsidRPr="001529C7">
        <w:rPr>
          <w:lang w:val="en"/>
        </w:rPr>
        <w:t xml:space="preserve"> Notification has been fully executed. </w:t>
      </w:r>
    </w:p>
    <w:p w14:paraId="13BE80BC" w14:textId="77777777" w:rsidR="00CF27C2" w:rsidRPr="00A57506" w:rsidRDefault="004C4BA9" w:rsidP="008F64D6">
      <w:pPr>
        <w:tabs>
          <w:tab w:val="clear" w:pos="567"/>
          <w:tab w:val="left" w:pos="0"/>
        </w:tabs>
        <w:contextualSpacing/>
        <w:rPr>
          <w:lang w:val="en-US"/>
        </w:rPr>
      </w:pPr>
      <w:r w:rsidRPr="001529C7">
        <w:rPr>
          <w:lang w:val="en"/>
        </w:rPr>
        <w:t xml:space="preserve">During the analysis, </w:t>
      </w:r>
      <w:r w:rsidRPr="00CF27C2">
        <w:rPr>
          <w:b/>
          <w:lang w:val="en"/>
        </w:rPr>
        <w:t>administrative barrier</w:t>
      </w:r>
      <w:r w:rsidRPr="001529C7">
        <w:rPr>
          <w:lang w:val="en"/>
        </w:rPr>
        <w:t xml:space="preserve"> for entry to market was identified. In accordance with sanitary regulations of the Ministry of Health No. 684 dated September 8, 2017, materials containing erosive pathogens </w:t>
      </w:r>
      <w:r w:rsidRPr="00CF27C2">
        <w:rPr>
          <w:i/>
          <w:sz w:val="24"/>
          <w:lang w:val="en"/>
        </w:rPr>
        <w:t>(including SARS-CoV-2)</w:t>
      </w:r>
      <w:r w:rsidRPr="001529C7">
        <w:rPr>
          <w:lang w:val="en"/>
        </w:rPr>
        <w:t xml:space="preserve"> must be processed in laboratories that have conditions for working with risk group II microorganisms </w:t>
      </w:r>
      <w:r w:rsidRPr="00CF27C2">
        <w:rPr>
          <w:i/>
          <w:sz w:val="24"/>
          <w:lang w:val="en"/>
        </w:rPr>
        <w:t>(only state laboratories)</w:t>
      </w:r>
      <w:r w:rsidRPr="001529C7">
        <w:rPr>
          <w:lang w:val="en"/>
        </w:rPr>
        <w:t xml:space="preserve">. With that, during the pandemic, private laboratories provided diagnostic services for coronavirus infection </w:t>
      </w:r>
      <w:r w:rsidRPr="00CF27C2">
        <w:rPr>
          <w:i/>
          <w:sz w:val="24"/>
          <w:lang w:val="en"/>
        </w:rPr>
        <w:t>(SARS-CoV-2)</w:t>
      </w:r>
      <w:r w:rsidRPr="001529C7">
        <w:rPr>
          <w:lang w:val="en"/>
        </w:rPr>
        <w:t xml:space="preserve"> with temporary permission of authorized body </w:t>
      </w:r>
      <w:r>
        <w:rPr>
          <w:i/>
          <w:sz w:val="24"/>
          <w:lang w:val="en"/>
        </w:rPr>
        <w:t>(due to admission to work with risk group III-IV microorganisms)</w:t>
      </w:r>
      <w:r w:rsidRPr="001529C7">
        <w:rPr>
          <w:lang w:val="en"/>
        </w:rPr>
        <w:t xml:space="preserve">. Based on results of analysis, proposals were sent to the Ministry of Health on the need to eliminate this barrier. </w:t>
      </w:r>
    </w:p>
    <w:p w14:paraId="0E5D69AB" w14:textId="03BA5D0D" w:rsidR="008F64D6" w:rsidRPr="00A57506" w:rsidRDefault="004C4BA9" w:rsidP="008F64D6">
      <w:pPr>
        <w:tabs>
          <w:tab w:val="clear" w:pos="567"/>
          <w:tab w:val="left" w:pos="0"/>
        </w:tabs>
        <w:contextualSpacing/>
        <w:rPr>
          <w:lang w:val="en-US"/>
        </w:rPr>
      </w:pPr>
      <w:r w:rsidRPr="00DB6ACF">
        <w:rPr>
          <w:lang w:val="en"/>
        </w:rPr>
        <w:t xml:space="preserve">This barrier was discussed at the Republican Council on barriers, and also considered within framework of the Law "On biological safety". According to the new Law "On Biological Safety", risk group II is divided into pathogens of particularly dangerous infections and pathogens of infectious diseases. Within the framework of this law, Decree of the Government of the Republic of Kazakhstan dated November 11, 2022 No. 895 approved List of pathogenic biological agents, taking into account classification of pathogenic biological agents by risk and degree of danger, according to which SARS-CoV-2 is classified as pathogens of risk group II infectious diseases, that allows conducting research in laboratories that have conditions for working </w:t>
      </w:r>
      <w:bookmarkStart w:id="76" w:name="_Hlk135989592"/>
      <w:r w:rsidRPr="00DB6ACF">
        <w:rPr>
          <w:lang w:val="en"/>
        </w:rPr>
        <w:t>with risk group III-IV microorganisms</w:t>
      </w:r>
      <w:bookmarkEnd w:id="76"/>
      <w:r w:rsidRPr="00DB6ACF">
        <w:rPr>
          <w:lang w:val="en"/>
        </w:rPr>
        <w:t xml:space="preserve">.   </w:t>
      </w:r>
    </w:p>
    <w:p w14:paraId="30AB6F88" w14:textId="77777777" w:rsidR="00595174" w:rsidRPr="00A57506" w:rsidRDefault="004C4BA9" w:rsidP="00F411E1">
      <w:pPr>
        <w:tabs>
          <w:tab w:val="clear" w:pos="567"/>
          <w:tab w:val="left" w:pos="0"/>
        </w:tabs>
        <w:contextualSpacing/>
        <w:rPr>
          <w:i/>
          <w:sz w:val="24"/>
          <w:lang w:val="en-US"/>
        </w:rPr>
      </w:pPr>
      <w:r w:rsidRPr="001529C7">
        <w:rPr>
          <w:lang w:val="en"/>
        </w:rPr>
        <w:lastRenderedPageBreak/>
        <w:t xml:space="preserve">Thus, </w:t>
      </w:r>
      <w:r w:rsidRPr="000E6CA4">
        <w:rPr>
          <w:b/>
          <w:lang w:val="en"/>
        </w:rPr>
        <w:t>administrative barrier has been eliminated</w:t>
      </w:r>
      <w:r w:rsidRPr="001529C7">
        <w:rPr>
          <w:lang w:val="en"/>
        </w:rPr>
        <w:t xml:space="preserve">. In accordance with these legal acts, private laboratories are </w:t>
      </w:r>
      <w:r w:rsidRPr="003F6BA3">
        <w:rPr>
          <w:b/>
          <w:lang w:val="en"/>
        </w:rPr>
        <w:t>allowed</w:t>
      </w:r>
      <w:r w:rsidRPr="001529C7">
        <w:rPr>
          <w:lang w:val="en"/>
        </w:rPr>
        <w:t xml:space="preserve"> to diagnose coronavirus infection. Lifted restrictions on entities' access to laboratory research market led to an </w:t>
      </w:r>
      <w:r w:rsidRPr="00595174">
        <w:rPr>
          <w:b/>
          <w:lang w:val="en"/>
        </w:rPr>
        <w:t>increase</w:t>
      </w:r>
      <w:r w:rsidRPr="001529C7">
        <w:rPr>
          <w:lang w:val="en"/>
        </w:rPr>
        <w:t xml:space="preserve"> in number of medical laboratories conducting COVID-19 diagnostics by PCR </w:t>
      </w:r>
      <w:r w:rsidRPr="00595174">
        <w:rPr>
          <w:b/>
          <w:lang w:val="en"/>
        </w:rPr>
        <w:t>by 30%</w:t>
      </w:r>
      <w:r w:rsidRPr="001529C7">
        <w:rPr>
          <w:lang w:val="en"/>
        </w:rPr>
        <w:t xml:space="preserve"> </w:t>
      </w:r>
      <w:r w:rsidRPr="00595174">
        <w:rPr>
          <w:i/>
          <w:sz w:val="24"/>
          <w:lang w:val="en"/>
        </w:rPr>
        <w:t>(from 156 to 203 units)</w:t>
      </w:r>
      <w:r w:rsidRPr="001529C7">
        <w:rPr>
          <w:lang w:val="en"/>
        </w:rPr>
        <w:t xml:space="preserve">, as well as </w:t>
      </w:r>
      <w:r w:rsidRPr="00595174">
        <w:rPr>
          <w:b/>
          <w:lang w:val="en"/>
        </w:rPr>
        <w:t>decrease in cost</w:t>
      </w:r>
      <w:r w:rsidRPr="001529C7">
        <w:rPr>
          <w:lang w:val="en"/>
        </w:rPr>
        <w:t xml:space="preserve"> of PCR diagnostic services by an average of </w:t>
      </w:r>
      <w:r w:rsidRPr="00595174">
        <w:rPr>
          <w:b/>
          <w:lang w:val="en"/>
        </w:rPr>
        <w:t>8,700 KZT</w:t>
      </w:r>
      <w:r w:rsidRPr="001529C7">
        <w:rPr>
          <w:lang w:val="en"/>
        </w:rPr>
        <w:t xml:space="preserve">. According to preliminary data, savings of population as result of reduction in cost of services can reach more than </w:t>
      </w:r>
      <w:r w:rsidRPr="00CD0967">
        <w:rPr>
          <w:b/>
          <w:lang w:val="en"/>
        </w:rPr>
        <w:t>13 billion KZT</w:t>
      </w:r>
      <w:r w:rsidRPr="00CD0967">
        <w:rPr>
          <w:i/>
          <w:sz w:val="24"/>
          <w:lang w:val="en"/>
        </w:rPr>
        <w:t>.</w:t>
      </w:r>
    </w:p>
    <w:p w14:paraId="3BE286E7" w14:textId="77777777" w:rsidR="00E96417" w:rsidRPr="00A57506" w:rsidRDefault="004C4BA9" w:rsidP="00901D92">
      <w:pPr>
        <w:pStyle w:val="Heading2"/>
        <w:numPr>
          <w:ilvl w:val="1"/>
          <w:numId w:val="8"/>
        </w:numPr>
        <w:tabs>
          <w:tab w:val="left" w:pos="0"/>
          <w:tab w:val="left" w:pos="1134"/>
        </w:tabs>
        <w:spacing w:before="240" w:after="240"/>
        <w:ind w:left="0" w:firstLine="567"/>
        <w:rPr>
          <w:rFonts w:cs="Times New Roman"/>
          <w:szCs w:val="28"/>
          <w:lang w:val="en-US"/>
        </w:rPr>
      </w:pPr>
      <w:r w:rsidRPr="001529C7">
        <w:rPr>
          <w:rFonts w:cs="Times New Roman"/>
          <w:szCs w:val="28"/>
          <w:lang w:val="en"/>
        </w:rPr>
        <w:t xml:space="preserve"> </w:t>
      </w:r>
      <w:bookmarkStart w:id="77" w:name="_Toc142467923"/>
      <w:r w:rsidRPr="001529C7">
        <w:rPr>
          <w:rFonts w:cs="Times New Roman"/>
          <w:szCs w:val="28"/>
          <w:lang w:val="en"/>
        </w:rPr>
        <w:t xml:space="preserve">Market </w:t>
      </w:r>
      <w:bookmarkStart w:id="78" w:name="_Hlk103164094"/>
      <w:r w:rsidRPr="001529C7">
        <w:rPr>
          <w:rFonts w:cs="Times New Roman"/>
          <w:szCs w:val="28"/>
          <w:lang w:val="en"/>
        </w:rPr>
        <w:t>of services for collection, removal, sorting and disposal of solid waste;</w:t>
      </w:r>
      <w:bookmarkEnd w:id="77"/>
      <w:bookmarkEnd w:id="78"/>
    </w:p>
    <w:p w14:paraId="7C5E253B" w14:textId="77777777" w:rsidR="0053755E" w:rsidRPr="00A57506" w:rsidRDefault="004C4BA9" w:rsidP="00F411E1">
      <w:pPr>
        <w:rPr>
          <w:color w:val="000000" w:themeColor="text1"/>
          <w:lang w:val="en-US"/>
        </w:rPr>
      </w:pPr>
      <w:r w:rsidRPr="001529C7">
        <w:rPr>
          <w:color w:val="000000" w:themeColor="text1"/>
          <w:lang w:val="en"/>
        </w:rPr>
        <w:t xml:space="preserve">The analysis of the market of services for collection, removal, sorting and disposal of solid household waste </w:t>
      </w:r>
      <w:r w:rsidR="00B34B90" w:rsidRPr="00B34B90">
        <w:rPr>
          <w:i/>
          <w:color w:val="000000" w:themeColor="text1"/>
          <w:sz w:val="24"/>
          <w:lang w:val="en"/>
        </w:rPr>
        <w:t>(hereinafter referred to as MSW)</w:t>
      </w:r>
      <w:r w:rsidRPr="001529C7">
        <w:rPr>
          <w:color w:val="000000" w:themeColor="text1"/>
          <w:lang w:val="en"/>
        </w:rPr>
        <w:t xml:space="preserve"> was carried out in accordance with the Agency's Work Plan for 2022.</w:t>
      </w:r>
    </w:p>
    <w:p w14:paraId="42C7360E" w14:textId="77777777" w:rsidR="00C20C2C" w:rsidRPr="00A57506" w:rsidRDefault="004C4BA9" w:rsidP="00F411E1">
      <w:pPr>
        <w:rPr>
          <w:color w:val="000000"/>
          <w:lang w:val="en-US"/>
        </w:rPr>
      </w:pPr>
      <w:r w:rsidRPr="001529C7">
        <w:rPr>
          <w:color w:val="000000"/>
          <w:lang w:val="en"/>
        </w:rPr>
        <w:t xml:space="preserve">As part of the analysis, it was found that in 2022, 379 entities carried out activities in the market for collection and disposal of solid waste </w:t>
      </w:r>
      <w:r w:rsidR="00B34B90" w:rsidRPr="00B34B90">
        <w:rPr>
          <w:i/>
          <w:color w:val="000000"/>
          <w:sz w:val="24"/>
          <w:lang w:val="en"/>
        </w:rPr>
        <w:t>(composition of market entities by region is indicated in Table 16)</w:t>
      </w:r>
      <w:r w:rsidRPr="001529C7">
        <w:rPr>
          <w:color w:val="000000"/>
          <w:lang w:val="en"/>
        </w:rPr>
        <w:t>, of which 13 organizations had state participation, 100 entities were operating at landfill market, 8 organizations from this number had state participation, and there were 20 entities at solid waste sorting market, including 2 organizations with state participation.</w:t>
      </w:r>
    </w:p>
    <w:p w14:paraId="6F718708" w14:textId="77777777" w:rsidR="004A09EC" w:rsidRPr="00A57506" w:rsidRDefault="004A09EC" w:rsidP="00F411E1">
      <w:pPr>
        <w:pStyle w:val="Caption"/>
        <w:keepNext/>
        <w:spacing w:after="0"/>
        <w:ind w:firstLine="0"/>
        <w:rPr>
          <w:b w:val="0"/>
          <w:color w:val="000000" w:themeColor="text1"/>
          <w:sz w:val="28"/>
          <w:szCs w:val="28"/>
          <w:lang w:val="en-US"/>
        </w:rPr>
      </w:pPr>
    </w:p>
    <w:p w14:paraId="715636D6" w14:textId="77777777" w:rsidR="004A09EC" w:rsidRPr="00A57506" w:rsidRDefault="004C4BA9" w:rsidP="00F411E1">
      <w:pPr>
        <w:pStyle w:val="Caption"/>
        <w:keepNext/>
        <w:spacing w:after="0"/>
        <w:ind w:firstLine="0"/>
        <w:rPr>
          <w:b w:val="0"/>
          <w:color w:val="000000" w:themeColor="text1"/>
          <w:sz w:val="28"/>
          <w:szCs w:val="28"/>
          <w:lang w:val="en-US"/>
        </w:rPr>
      </w:pPr>
      <w:r w:rsidRPr="001529C7">
        <w:rPr>
          <w:b w:val="0"/>
          <w:color w:val="000000" w:themeColor="text1"/>
          <w:sz w:val="28"/>
          <w:szCs w:val="28"/>
          <w:lang w:val="en"/>
        </w:rPr>
        <w:t>Table 16. The composition of market for collection and disposal of solid waste.</w:t>
      </w:r>
    </w:p>
    <w:tbl>
      <w:tblPr>
        <w:tblW w:w="5000" w:type="pct"/>
        <w:tblCellMar>
          <w:left w:w="0" w:type="dxa"/>
          <w:right w:w="0" w:type="dxa"/>
        </w:tblCellMar>
        <w:tblLook w:val="0600" w:firstRow="0" w:lastRow="0" w:firstColumn="0" w:lastColumn="0" w:noHBand="1" w:noVBand="1"/>
      </w:tblPr>
      <w:tblGrid>
        <w:gridCol w:w="3943"/>
        <w:gridCol w:w="1764"/>
        <w:gridCol w:w="1504"/>
        <w:gridCol w:w="2406"/>
      </w:tblGrid>
      <w:tr w:rsidR="00706070" w14:paraId="14A6A9F2"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382B68B" w14:textId="77777777" w:rsidR="00C20C2C" w:rsidRPr="001529C7" w:rsidRDefault="004C4BA9" w:rsidP="00F411E1">
            <w:pPr>
              <w:ind w:firstLine="17"/>
              <w:jc w:val="center"/>
              <w:rPr>
                <w:b/>
                <w:bCs/>
                <w:color w:val="000000"/>
                <w:sz w:val="20"/>
              </w:rPr>
            </w:pPr>
            <w:r w:rsidRPr="001529C7">
              <w:rPr>
                <w:b/>
                <w:bCs/>
                <w:color w:val="000000"/>
                <w:sz w:val="20"/>
                <w:lang w:val="en"/>
              </w:rPr>
              <w:t>Region, city, oblast</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8A19D48" w14:textId="77777777" w:rsidR="00C20C2C" w:rsidRPr="001529C7" w:rsidRDefault="004C4BA9" w:rsidP="00F411E1">
            <w:pPr>
              <w:ind w:firstLine="0"/>
              <w:jc w:val="center"/>
              <w:rPr>
                <w:b/>
                <w:bCs/>
                <w:color w:val="000000"/>
                <w:sz w:val="20"/>
              </w:rPr>
            </w:pPr>
            <w:r w:rsidRPr="001529C7">
              <w:rPr>
                <w:b/>
                <w:bCs/>
                <w:color w:val="000000"/>
                <w:sz w:val="20"/>
                <w:lang w:val="en"/>
              </w:rPr>
              <w:t>2020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B1BA222" w14:textId="77777777" w:rsidR="00C20C2C" w:rsidRPr="001529C7" w:rsidRDefault="004C4BA9" w:rsidP="00F411E1">
            <w:pPr>
              <w:ind w:firstLine="0"/>
              <w:jc w:val="center"/>
              <w:rPr>
                <w:b/>
                <w:bCs/>
                <w:color w:val="000000"/>
                <w:sz w:val="20"/>
              </w:rPr>
            </w:pPr>
            <w:r w:rsidRPr="001529C7">
              <w:rPr>
                <w:b/>
                <w:bCs/>
                <w:color w:val="000000"/>
                <w:sz w:val="20"/>
                <w:lang w:val="en"/>
              </w:rPr>
              <w:t>2021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27B710" w14:textId="77777777" w:rsidR="00C20C2C" w:rsidRPr="001529C7" w:rsidRDefault="004C4BA9" w:rsidP="00F411E1">
            <w:pPr>
              <w:ind w:firstLine="3"/>
              <w:jc w:val="center"/>
              <w:rPr>
                <w:b/>
                <w:bCs/>
                <w:color w:val="000000"/>
                <w:sz w:val="20"/>
              </w:rPr>
            </w:pPr>
            <w:r w:rsidRPr="001529C7">
              <w:rPr>
                <w:b/>
                <w:bCs/>
                <w:color w:val="000000"/>
                <w:sz w:val="20"/>
                <w:lang w:val="en"/>
              </w:rPr>
              <w:t>8 month of 2022</w:t>
            </w:r>
          </w:p>
        </w:tc>
      </w:tr>
      <w:tr w:rsidR="00706070" w14:paraId="20371D7A"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8D2672E" w14:textId="77777777" w:rsidR="00C20C2C" w:rsidRPr="001529C7" w:rsidRDefault="004C4BA9" w:rsidP="00F411E1">
            <w:pPr>
              <w:ind w:firstLine="0"/>
              <w:jc w:val="left"/>
              <w:rPr>
                <w:color w:val="000000"/>
                <w:sz w:val="20"/>
              </w:rPr>
            </w:pPr>
            <w:r w:rsidRPr="001529C7">
              <w:rPr>
                <w:color w:val="000000"/>
                <w:sz w:val="20"/>
                <w:lang w:val="en"/>
              </w:rPr>
              <w:t>Astana</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ACD2761" w14:textId="77777777" w:rsidR="00C20C2C" w:rsidRPr="001529C7" w:rsidRDefault="004C4BA9" w:rsidP="00F411E1">
            <w:pPr>
              <w:ind w:firstLine="0"/>
              <w:jc w:val="center"/>
              <w:rPr>
                <w:color w:val="000000"/>
                <w:sz w:val="20"/>
              </w:rPr>
            </w:pPr>
            <w:r w:rsidRPr="001529C7">
              <w:rPr>
                <w:color w:val="000000"/>
                <w:sz w:val="20"/>
                <w:lang w:val="en"/>
              </w:rPr>
              <w:t>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B6C7BA5" w14:textId="77777777" w:rsidR="00C20C2C" w:rsidRPr="001529C7" w:rsidRDefault="004C4BA9" w:rsidP="00F411E1">
            <w:pPr>
              <w:ind w:firstLine="0"/>
              <w:jc w:val="center"/>
              <w:rPr>
                <w:color w:val="000000"/>
                <w:sz w:val="20"/>
              </w:rPr>
            </w:pPr>
            <w:r w:rsidRPr="001529C7">
              <w:rPr>
                <w:color w:val="000000"/>
                <w:sz w:val="20"/>
                <w:lang w:val="en"/>
              </w:rPr>
              <w:t>5</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D046C1" w14:textId="77777777" w:rsidR="00C20C2C" w:rsidRPr="001529C7" w:rsidRDefault="004C4BA9" w:rsidP="00F411E1">
            <w:pPr>
              <w:ind w:firstLine="3"/>
              <w:jc w:val="center"/>
              <w:rPr>
                <w:color w:val="000000"/>
                <w:sz w:val="20"/>
              </w:rPr>
            </w:pPr>
            <w:r w:rsidRPr="001529C7">
              <w:rPr>
                <w:color w:val="000000"/>
                <w:sz w:val="20"/>
                <w:lang w:val="en"/>
              </w:rPr>
              <w:t>5</w:t>
            </w:r>
          </w:p>
        </w:tc>
      </w:tr>
      <w:tr w:rsidR="00706070" w14:paraId="14E63FDB"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D72901B" w14:textId="77777777" w:rsidR="00C20C2C" w:rsidRPr="001529C7" w:rsidRDefault="004C4BA9" w:rsidP="00F411E1">
            <w:pPr>
              <w:ind w:firstLine="17"/>
              <w:jc w:val="left"/>
              <w:rPr>
                <w:color w:val="000000"/>
                <w:sz w:val="20"/>
              </w:rPr>
            </w:pPr>
            <w:r w:rsidRPr="001529C7">
              <w:rPr>
                <w:color w:val="000000"/>
                <w:sz w:val="20"/>
                <w:lang w:val="en"/>
              </w:rPr>
              <w:t>Almaty</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F0F6441" w14:textId="77777777" w:rsidR="00C20C2C" w:rsidRPr="001529C7" w:rsidRDefault="004C4BA9" w:rsidP="00F411E1">
            <w:pPr>
              <w:ind w:firstLine="0"/>
              <w:jc w:val="center"/>
              <w:rPr>
                <w:color w:val="000000"/>
                <w:sz w:val="20"/>
              </w:rPr>
            </w:pPr>
            <w:r w:rsidRPr="001529C7">
              <w:rPr>
                <w:color w:val="000000"/>
                <w:sz w:val="20"/>
                <w:lang w:val="en"/>
              </w:rPr>
              <w:t>41</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85E29B" w14:textId="77777777" w:rsidR="00C20C2C" w:rsidRPr="001529C7" w:rsidRDefault="004C4BA9" w:rsidP="00F411E1">
            <w:pPr>
              <w:ind w:firstLine="0"/>
              <w:jc w:val="center"/>
              <w:rPr>
                <w:color w:val="000000"/>
                <w:sz w:val="20"/>
              </w:rPr>
            </w:pPr>
            <w:r w:rsidRPr="001529C7">
              <w:rPr>
                <w:color w:val="000000"/>
                <w:sz w:val="20"/>
                <w:lang w:val="en"/>
              </w:rPr>
              <w:t>41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7536213" w14:textId="77777777" w:rsidR="00C20C2C" w:rsidRPr="001529C7" w:rsidRDefault="004C4BA9" w:rsidP="00F411E1">
            <w:pPr>
              <w:ind w:firstLine="3"/>
              <w:jc w:val="center"/>
              <w:rPr>
                <w:color w:val="000000"/>
                <w:sz w:val="20"/>
              </w:rPr>
            </w:pPr>
            <w:r w:rsidRPr="001529C7">
              <w:rPr>
                <w:color w:val="000000"/>
                <w:sz w:val="20"/>
                <w:lang w:val="en"/>
              </w:rPr>
              <w:t>41</w:t>
            </w:r>
          </w:p>
        </w:tc>
      </w:tr>
      <w:tr w:rsidR="00706070" w14:paraId="195B94FF"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2C7CF0" w14:textId="77777777" w:rsidR="00C20C2C" w:rsidRPr="001529C7" w:rsidRDefault="004C4BA9" w:rsidP="00F411E1">
            <w:pPr>
              <w:ind w:firstLine="17"/>
              <w:jc w:val="left"/>
              <w:rPr>
                <w:color w:val="000000"/>
                <w:sz w:val="20"/>
              </w:rPr>
            </w:pPr>
            <w:r w:rsidRPr="001529C7">
              <w:rPr>
                <w:color w:val="000000"/>
                <w:sz w:val="20"/>
                <w:lang w:val="en"/>
              </w:rPr>
              <w:t>Shymkent</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5C1EEDD" w14:textId="77777777" w:rsidR="00C20C2C" w:rsidRPr="001529C7" w:rsidRDefault="004C4BA9" w:rsidP="00F411E1">
            <w:pPr>
              <w:ind w:firstLine="0"/>
              <w:jc w:val="center"/>
              <w:rPr>
                <w:color w:val="000000"/>
                <w:sz w:val="20"/>
              </w:rPr>
            </w:pPr>
            <w:r w:rsidRPr="001529C7">
              <w:rPr>
                <w:color w:val="000000"/>
                <w:sz w:val="20"/>
                <w:lang w:val="en"/>
              </w:rPr>
              <w:t>-</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F54870" w14:textId="77777777" w:rsidR="00C20C2C" w:rsidRPr="001529C7" w:rsidRDefault="004C4BA9" w:rsidP="00F411E1">
            <w:pPr>
              <w:ind w:firstLine="0"/>
              <w:jc w:val="center"/>
              <w:rPr>
                <w:color w:val="000000"/>
                <w:sz w:val="20"/>
              </w:rPr>
            </w:pPr>
            <w:r w:rsidRPr="001529C7">
              <w:rPr>
                <w:color w:val="000000"/>
                <w:sz w:val="20"/>
                <w:lang w:val="en"/>
              </w:rPr>
              <w:t>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BE8B459" w14:textId="77777777" w:rsidR="00C20C2C" w:rsidRPr="001529C7" w:rsidRDefault="004C4BA9" w:rsidP="00F411E1">
            <w:pPr>
              <w:ind w:firstLine="3"/>
              <w:jc w:val="center"/>
              <w:rPr>
                <w:color w:val="000000"/>
                <w:sz w:val="20"/>
              </w:rPr>
            </w:pPr>
            <w:r w:rsidRPr="001529C7">
              <w:rPr>
                <w:color w:val="000000"/>
                <w:sz w:val="20"/>
                <w:lang w:val="en"/>
              </w:rPr>
              <w:t>9</w:t>
            </w:r>
          </w:p>
        </w:tc>
      </w:tr>
      <w:tr w:rsidR="00706070" w14:paraId="16415D37"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6FCC3B" w14:textId="77777777" w:rsidR="00C20C2C" w:rsidRPr="001529C7" w:rsidRDefault="004C4BA9" w:rsidP="00F411E1">
            <w:pPr>
              <w:ind w:firstLine="17"/>
              <w:jc w:val="left"/>
              <w:rPr>
                <w:color w:val="000000"/>
                <w:sz w:val="20"/>
              </w:rPr>
            </w:pPr>
            <w:r w:rsidRPr="001529C7">
              <w:rPr>
                <w:color w:val="000000"/>
                <w:sz w:val="20"/>
                <w:lang w:val="en"/>
              </w:rPr>
              <w:t xml:space="preserve">Akmola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0FAEC39" w14:textId="77777777" w:rsidR="00C20C2C" w:rsidRPr="001529C7" w:rsidRDefault="004C4BA9" w:rsidP="00F411E1">
            <w:pPr>
              <w:ind w:firstLine="0"/>
              <w:jc w:val="center"/>
              <w:rPr>
                <w:color w:val="000000"/>
                <w:sz w:val="20"/>
              </w:rPr>
            </w:pPr>
            <w:r w:rsidRPr="001529C7">
              <w:rPr>
                <w:color w:val="000000"/>
                <w:sz w:val="20"/>
                <w:lang w:val="en"/>
              </w:rPr>
              <w:t>30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544F2B1" w14:textId="77777777" w:rsidR="00C20C2C" w:rsidRPr="001529C7" w:rsidRDefault="004C4BA9" w:rsidP="00F411E1">
            <w:pPr>
              <w:ind w:firstLine="0"/>
              <w:jc w:val="center"/>
              <w:rPr>
                <w:color w:val="000000"/>
                <w:sz w:val="20"/>
              </w:rPr>
            </w:pPr>
            <w:r w:rsidRPr="001529C7">
              <w:rPr>
                <w:color w:val="000000"/>
                <w:sz w:val="20"/>
                <w:lang w:val="en"/>
              </w:rPr>
              <w:t>31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11F3BAE" w14:textId="77777777" w:rsidR="00C20C2C" w:rsidRPr="001529C7" w:rsidRDefault="004C4BA9" w:rsidP="00F411E1">
            <w:pPr>
              <w:ind w:firstLine="3"/>
              <w:jc w:val="center"/>
              <w:rPr>
                <w:color w:val="000000"/>
                <w:sz w:val="20"/>
              </w:rPr>
            </w:pPr>
            <w:r w:rsidRPr="001529C7">
              <w:rPr>
                <w:color w:val="000000"/>
                <w:sz w:val="20"/>
                <w:lang w:val="en"/>
              </w:rPr>
              <w:t>34</w:t>
            </w:r>
          </w:p>
        </w:tc>
      </w:tr>
      <w:tr w:rsidR="00706070" w14:paraId="6EA1FB08"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4A1BE63" w14:textId="77777777" w:rsidR="00C20C2C" w:rsidRPr="001529C7" w:rsidRDefault="004C4BA9" w:rsidP="00F411E1">
            <w:pPr>
              <w:ind w:firstLine="17"/>
              <w:jc w:val="left"/>
              <w:rPr>
                <w:color w:val="000000"/>
                <w:sz w:val="20"/>
              </w:rPr>
            </w:pPr>
            <w:r w:rsidRPr="001529C7">
              <w:rPr>
                <w:color w:val="000000"/>
                <w:sz w:val="20"/>
                <w:lang w:val="en"/>
              </w:rPr>
              <w:t xml:space="preserve">Aktobe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C11D563" w14:textId="77777777" w:rsidR="00C20C2C" w:rsidRPr="001529C7" w:rsidRDefault="004C4BA9" w:rsidP="00F411E1">
            <w:pPr>
              <w:ind w:firstLine="0"/>
              <w:jc w:val="center"/>
              <w:rPr>
                <w:color w:val="000000"/>
                <w:sz w:val="20"/>
              </w:rPr>
            </w:pPr>
            <w:r w:rsidRPr="001529C7">
              <w:rPr>
                <w:color w:val="000000"/>
                <w:sz w:val="20"/>
                <w:lang w:val="en"/>
              </w:rPr>
              <w:t>13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3340B09" w14:textId="77777777" w:rsidR="00C20C2C" w:rsidRPr="001529C7" w:rsidRDefault="004C4BA9" w:rsidP="00F411E1">
            <w:pPr>
              <w:ind w:firstLine="0"/>
              <w:jc w:val="center"/>
              <w:rPr>
                <w:color w:val="000000"/>
                <w:sz w:val="20"/>
              </w:rPr>
            </w:pPr>
            <w:r w:rsidRPr="001529C7">
              <w:rPr>
                <w:color w:val="000000"/>
                <w:sz w:val="20"/>
                <w:lang w:val="en"/>
              </w:rPr>
              <w:t>14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982A77" w14:textId="77777777" w:rsidR="00C20C2C" w:rsidRPr="001529C7" w:rsidRDefault="004C4BA9" w:rsidP="00F411E1">
            <w:pPr>
              <w:ind w:firstLine="3"/>
              <w:jc w:val="center"/>
              <w:rPr>
                <w:color w:val="000000"/>
                <w:sz w:val="20"/>
              </w:rPr>
            </w:pPr>
            <w:r w:rsidRPr="001529C7">
              <w:rPr>
                <w:color w:val="000000"/>
                <w:sz w:val="20"/>
                <w:lang w:val="en"/>
              </w:rPr>
              <w:t>15</w:t>
            </w:r>
          </w:p>
        </w:tc>
      </w:tr>
      <w:tr w:rsidR="00706070" w14:paraId="42FA6D6E"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7286002" w14:textId="77777777" w:rsidR="00C20C2C" w:rsidRPr="001529C7" w:rsidRDefault="004C4BA9" w:rsidP="00F411E1">
            <w:pPr>
              <w:ind w:firstLine="17"/>
              <w:jc w:val="left"/>
              <w:rPr>
                <w:color w:val="000000"/>
                <w:sz w:val="20"/>
              </w:rPr>
            </w:pPr>
            <w:r w:rsidRPr="001529C7">
              <w:rPr>
                <w:color w:val="000000"/>
                <w:sz w:val="20"/>
                <w:lang w:val="en"/>
              </w:rPr>
              <w:t xml:space="preserve">Almaty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F8218A" w14:textId="77777777" w:rsidR="00C20C2C" w:rsidRPr="001529C7" w:rsidRDefault="004C4BA9" w:rsidP="00F411E1">
            <w:pPr>
              <w:ind w:firstLine="0"/>
              <w:jc w:val="center"/>
              <w:rPr>
                <w:color w:val="000000"/>
                <w:sz w:val="20"/>
              </w:rPr>
            </w:pPr>
            <w:r w:rsidRPr="001529C7">
              <w:rPr>
                <w:color w:val="000000"/>
                <w:sz w:val="20"/>
                <w:lang w:val="en"/>
              </w:rPr>
              <w:t>29</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42B8BCA" w14:textId="77777777" w:rsidR="00C20C2C" w:rsidRPr="001529C7" w:rsidRDefault="004C4BA9" w:rsidP="00F411E1">
            <w:pPr>
              <w:ind w:firstLine="0"/>
              <w:jc w:val="center"/>
              <w:rPr>
                <w:color w:val="000000"/>
                <w:sz w:val="20"/>
              </w:rPr>
            </w:pPr>
            <w:r w:rsidRPr="001529C7">
              <w:rPr>
                <w:color w:val="000000"/>
                <w:sz w:val="20"/>
                <w:lang w:val="en"/>
              </w:rPr>
              <w:t>33</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59EAA5C" w14:textId="77777777" w:rsidR="00C20C2C" w:rsidRPr="001529C7" w:rsidRDefault="004C4BA9" w:rsidP="00F411E1">
            <w:pPr>
              <w:ind w:firstLine="3"/>
              <w:jc w:val="center"/>
              <w:rPr>
                <w:color w:val="000000"/>
                <w:sz w:val="20"/>
              </w:rPr>
            </w:pPr>
            <w:r w:rsidRPr="001529C7">
              <w:rPr>
                <w:color w:val="000000"/>
                <w:sz w:val="20"/>
                <w:lang w:val="en"/>
              </w:rPr>
              <w:t>35</w:t>
            </w:r>
          </w:p>
        </w:tc>
      </w:tr>
      <w:tr w:rsidR="00706070" w14:paraId="6B9D64D5"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C44DEEB" w14:textId="77777777" w:rsidR="00C20C2C" w:rsidRPr="001529C7" w:rsidRDefault="004C4BA9" w:rsidP="00F411E1">
            <w:pPr>
              <w:ind w:firstLine="17"/>
              <w:jc w:val="left"/>
              <w:rPr>
                <w:color w:val="000000"/>
                <w:sz w:val="20"/>
              </w:rPr>
            </w:pPr>
            <w:r w:rsidRPr="001529C7">
              <w:rPr>
                <w:color w:val="000000"/>
                <w:sz w:val="20"/>
                <w:lang w:val="en"/>
              </w:rPr>
              <w:t xml:space="preserve">East Kazakhstan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9289B90" w14:textId="77777777" w:rsidR="00C20C2C" w:rsidRPr="001529C7" w:rsidRDefault="004C4BA9" w:rsidP="00F411E1">
            <w:pPr>
              <w:ind w:firstLine="0"/>
              <w:jc w:val="center"/>
              <w:rPr>
                <w:color w:val="000000"/>
                <w:sz w:val="20"/>
              </w:rPr>
            </w:pPr>
            <w:r w:rsidRPr="001529C7">
              <w:rPr>
                <w:color w:val="000000"/>
                <w:sz w:val="20"/>
                <w:lang w:val="en"/>
              </w:rPr>
              <w:t>10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5E4B403" w14:textId="77777777" w:rsidR="00C20C2C" w:rsidRPr="001529C7" w:rsidRDefault="004C4BA9" w:rsidP="00F411E1">
            <w:pPr>
              <w:ind w:firstLine="0"/>
              <w:jc w:val="center"/>
              <w:rPr>
                <w:color w:val="000000"/>
                <w:sz w:val="20"/>
              </w:rPr>
            </w:pPr>
            <w:r w:rsidRPr="001529C7">
              <w:rPr>
                <w:color w:val="000000"/>
                <w:sz w:val="20"/>
                <w:lang w:val="en"/>
              </w:rPr>
              <w:t>11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1DAA29D" w14:textId="77777777" w:rsidR="00C20C2C" w:rsidRPr="001529C7" w:rsidRDefault="004C4BA9" w:rsidP="00F411E1">
            <w:pPr>
              <w:ind w:firstLine="3"/>
              <w:jc w:val="center"/>
              <w:rPr>
                <w:color w:val="000000"/>
                <w:sz w:val="20"/>
              </w:rPr>
            </w:pPr>
            <w:r w:rsidRPr="001529C7">
              <w:rPr>
                <w:color w:val="000000"/>
                <w:sz w:val="20"/>
                <w:lang w:val="en"/>
              </w:rPr>
              <w:t>13</w:t>
            </w:r>
          </w:p>
        </w:tc>
      </w:tr>
      <w:tr w:rsidR="00706070" w14:paraId="430D3960"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322CB4" w14:textId="77777777" w:rsidR="00C20C2C" w:rsidRPr="001529C7" w:rsidRDefault="004C4BA9" w:rsidP="00F411E1">
            <w:pPr>
              <w:ind w:firstLine="17"/>
              <w:jc w:val="left"/>
              <w:rPr>
                <w:color w:val="000000"/>
                <w:sz w:val="20"/>
              </w:rPr>
            </w:pPr>
            <w:r w:rsidRPr="001529C7">
              <w:rPr>
                <w:color w:val="000000"/>
                <w:sz w:val="20"/>
                <w:lang w:val="en"/>
              </w:rPr>
              <w:t xml:space="preserve">Zhambyl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FE9A977" w14:textId="77777777" w:rsidR="00C20C2C" w:rsidRPr="001529C7" w:rsidRDefault="004C4BA9" w:rsidP="00F411E1">
            <w:pPr>
              <w:ind w:firstLine="0"/>
              <w:jc w:val="center"/>
              <w:rPr>
                <w:color w:val="000000"/>
                <w:sz w:val="20"/>
              </w:rPr>
            </w:pPr>
            <w:r w:rsidRPr="001529C7">
              <w:rPr>
                <w:color w:val="000000"/>
                <w:sz w:val="20"/>
                <w:lang w:val="en"/>
              </w:rPr>
              <w:t>25</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2171D48" w14:textId="77777777" w:rsidR="00C20C2C" w:rsidRPr="001529C7" w:rsidRDefault="004C4BA9" w:rsidP="00F411E1">
            <w:pPr>
              <w:ind w:firstLine="0"/>
              <w:jc w:val="center"/>
              <w:rPr>
                <w:color w:val="000000"/>
                <w:sz w:val="20"/>
              </w:rPr>
            </w:pPr>
            <w:r w:rsidRPr="001529C7">
              <w:rPr>
                <w:color w:val="000000"/>
                <w:sz w:val="20"/>
                <w:lang w:val="en"/>
              </w:rPr>
              <w:t>28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BCB5873" w14:textId="77777777" w:rsidR="00C20C2C" w:rsidRPr="001529C7" w:rsidRDefault="004C4BA9" w:rsidP="00F411E1">
            <w:pPr>
              <w:ind w:firstLine="3"/>
              <w:jc w:val="center"/>
              <w:rPr>
                <w:color w:val="000000"/>
                <w:sz w:val="20"/>
              </w:rPr>
            </w:pPr>
            <w:r w:rsidRPr="001529C7">
              <w:rPr>
                <w:color w:val="000000"/>
                <w:sz w:val="20"/>
                <w:lang w:val="en"/>
              </w:rPr>
              <w:t>29</w:t>
            </w:r>
          </w:p>
        </w:tc>
      </w:tr>
      <w:tr w:rsidR="00706070" w14:paraId="724EC4BC"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5EEC9E" w14:textId="77777777" w:rsidR="00C20C2C" w:rsidRPr="001529C7" w:rsidRDefault="004C4BA9" w:rsidP="00F411E1">
            <w:pPr>
              <w:ind w:firstLine="17"/>
              <w:jc w:val="left"/>
              <w:rPr>
                <w:color w:val="000000"/>
                <w:sz w:val="20"/>
              </w:rPr>
            </w:pPr>
            <w:r w:rsidRPr="001529C7">
              <w:rPr>
                <w:color w:val="000000"/>
                <w:sz w:val="20"/>
                <w:lang w:val="en"/>
              </w:rPr>
              <w:t xml:space="preserve">Zhetysu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A853F2" w14:textId="77777777" w:rsidR="00C20C2C" w:rsidRPr="001529C7" w:rsidRDefault="004C4BA9" w:rsidP="00F411E1">
            <w:pPr>
              <w:ind w:firstLine="0"/>
              <w:jc w:val="center"/>
              <w:rPr>
                <w:color w:val="000000"/>
                <w:sz w:val="20"/>
              </w:rPr>
            </w:pPr>
            <w:r w:rsidRPr="001529C7">
              <w:rPr>
                <w:color w:val="000000"/>
                <w:sz w:val="20"/>
                <w:lang w:val="en"/>
              </w:rPr>
              <w:t>6</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A95024" w14:textId="77777777" w:rsidR="00C20C2C" w:rsidRPr="001529C7" w:rsidRDefault="004C4BA9" w:rsidP="00F411E1">
            <w:pPr>
              <w:ind w:firstLine="0"/>
              <w:jc w:val="center"/>
              <w:rPr>
                <w:color w:val="000000"/>
                <w:sz w:val="20"/>
              </w:rPr>
            </w:pPr>
            <w:r w:rsidRPr="001529C7">
              <w:rPr>
                <w:color w:val="000000"/>
                <w:sz w:val="20"/>
                <w:lang w:val="en"/>
              </w:rPr>
              <w:t>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3745E35" w14:textId="77777777" w:rsidR="00C20C2C" w:rsidRPr="001529C7" w:rsidRDefault="004C4BA9" w:rsidP="00F411E1">
            <w:pPr>
              <w:ind w:firstLine="3"/>
              <w:jc w:val="center"/>
              <w:rPr>
                <w:color w:val="000000"/>
                <w:sz w:val="20"/>
              </w:rPr>
            </w:pPr>
            <w:r w:rsidRPr="001529C7">
              <w:rPr>
                <w:color w:val="000000"/>
                <w:sz w:val="20"/>
                <w:lang w:val="en"/>
              </w:rPr>
              <w:t>12</w:t>
            </w:r>
          </w:p>
        </w:tc>
      </w:tr>
      <w:tr w:rsidR="00706070" w14:paraId="39ECB017"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2DE43F3" w14:textId="77777777" w:rsidR="00C20C2C" w:rsidRPr="001529C7" w:rsidRDefault="004C4BA9" w:rsidP="00F411E1">
            <w:pPr>
              <w:ind w:firstLine="17"/>
              <w:jc w:val="left"/>
              <w:rPr>
                <w:color w:val="000000"/>
                <w:sz w:val="20"/>
              </w:rPr>
            </w:pPr>
            <w:r w:rsidRPr="001529C7">
              <w:rPr>
                <w:color w:val="000000"/>
                <w:sz w:val="20"/>
                <w:lang w:val="en"/>
              </w:rPr>
              <w:t xml:space="preserve">West Kazakhstan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3E1B199" w14:textId="77777777" w:rsidR="00C20C2C" w:rsidRPr="001529C7" w:rsidRDefault="004C4BA9" w:rsidP="00F411E1">
            <w:pPr>
              <w:ind w:firstLine="0"/>
              <w:jc w:val="center"/>
              <w:rPr>
                <w:color w:val="000000"/>
                <w:sz w:val="20"/>
              </w:rPr>
            </w:pPr>
            <w:r w:rsidRPr="001529C7">
              <w:rPr>
                <w:color w:val="000000"/>
                <w:sz w:val="20"/>
                <w:lang w:val="en"/>
              </w:rPr>
              <w:t>14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66F8C5" w14:textId="77777777" w:rsidR="00C20C2C" w:rsidRPr="001529C7" w:rsidRDefault="004C4BA9" w:rsidP="00F411E1">
            <w:pPr>
              <w:ind w:firstLine="0"/>
              <w:jc w:val="center"/>
              <w:rPr>
                <w:color w:val="000000"/>
                <w:sz w:val="20"/>
              </w:rPr>
            </w:pPr>
            <w:r w:rsidRPr="001529C7">
              <w:rPr>
                <w:color w:val="000000"/>
                <w:sz w:val="20"/>
                <w:lang w:val="en"/>
              </w:rPr>
              <w:t>15</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D6294A1" w14:textId="77777777" w:rsidR="00C20C2C" w:rsidRPr="001529C7" w:rsidRDefault="004C4BA9" w:rsidP="00F411E1">
            <w:pPr>
              <w:ind w:firstLine="3"/>
              <w:jc w:val="center"/>
              <w:rPr>
                <w:color w:val="000000"/>
                <w:sz w:val="20"/>
              </w:rPr>
            </w:pPr>
            <w:r w:rsidRPr="001529C7">
              <w:rPr>
                <w:color w:val="000000"/>
                <w:sz w:val="20"/>
                <w:lang w:val="en"/>
              </w:rPr>
              <w:t>14</w:t>
            </w:r>
          </w:p>
        </w:tc>
      </w:tr>
      <w:tr w:rsidR="00706070" w14:paraId="4E80308C"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82C46C2" w14:textId="77777777" w:rsidR="00C20C2C" w:rsidRPr="001529C7" w:rsidRDefault="004C4BA9" w:rsidP="00F411E1">
            <w:pPr>
              <w:ind w:firstLine="17"/>
              <w:jc w:val="left"/>
              <w:rPr>
                <w:color w:val="000000"/>
                <w:sz w:val="20"/>
              </w:rPr>
            </w:pPr>
            <w:r w:rsidRPr="001529C7">
              <w:rPr>
                <w:color w:val="000000"/>
                <w:sz w:val="20"/>
                <w:lang w:val="en"/>
              </w:rPr>
              <w:t xml:space="preserve">Karaganda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5A36999" w14:textId="77777777" w:rsidR="00C20C2C" w:rsidRPr="001529C7" w:rsidRDefault="004C4BA9" w:rsidP="00F411E1">
            <w:pPr>
              <w:ind w:firstLine="0"/>
              <w:jc w:val="center"/>
              <w:rPr>
                <w:color w:val="000000"/>
                <w:sz w:val="20"/>
              </w:rPr>
            </w:pPr>
            <w:r w:rsidRPr="001529C7">
              <w:rPr>
                <w:color w:val="000000"/>
                <w:sz w:val="20"/>
                <w:lang w:val="en"/>
              </w:rPr>
              <w:t>22</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9170CB7" w14:textId="77777777" w:rsidR="00C20C2C" w:rsidRPr="001529C7" w:rsidRDefault="004C4BA9" w:rsidP="00F411E1">
            <w:pPr>
              <w:ind w:firstLine="0"/>
              <w:jc w:val="center"/>
              <w:rPr>
                <w:color w:val="000000"/>
                <w:sz w:val="20"/>
              </w:rPr>
            </w:pPr>
            <w:r w:rsidRPr="001529C7">
              <w:rPr>
                <w:color w:val="000000"/>
                <w:sz w:val="20"/>
                <w:lang w:val="en"/>
              </w:rPr>
              <w:t>29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44FA52B" w14:textId="77777777" w:rsidR="00C20C2C" w:rsidRPr="001529C7" w:rsidRDefault="004C4BA9" w:rsidP="00F411E1">
            <w:pPr>
              <w:ind w:firstLine="3"/>
              <w:jc w:val="center"/>
              <w:rPr>
                <w:color w:val="000000"/>
                <w:sz w:val="20"/>
              </w:rPr>
            </w:pPr>
            <w:r w:rsidRPr="001529C7">
              <w:rPr>
                <w:color w:val="000000"/>
                <w:sz w:val="20"/>
                <w:lang w:val="en"/>
              </w:rPr>
              <w:t>30</w:t>
            </w:r>
          </w:p>
        </w:tc>
      </w:tr>
      <w:tr w:rsidR="00706070" w14:paraId="4D2B081F"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6D3411B" w14:textId="77777777" w:rsidR="00C20C2C" w:rsidRPr="001529C7" w:rsidRDefault="004C4BA9" w:rsidP="00F411E1">
            <w:pPr>
              <w:ind w:firstLine="17"/>
              <w:jc w:val="left"/>
              <w:rPr>
                <w:color w:val="000000"/>
                <w:sz w:val="20"/>
              </w:rPr>
            </w:pPr>
            <w:r w:rsidRPr="001529C7">
              <w:rPr>
                <w:color w:val="000000"/>
                <w:sz w:val="20"/>
                <w:lang w:val="en"/>
              </w:rPr>
              <w:t xml:space="preserve">Kostanay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1755EE9" w14:textId="77777777" w:rsidR="00C20C2C" w:rsidRPr="001529C7" w:rsidRDefault="004C4BA9" w:rsidP="00F411E1">
            <w:pPr>
              <w:ind w:firstLine="0"/>
              <w:jc w:val="center"/>
              <w:rPr>
                <w:color w:val="000000"/>
                <w:sz w:val="20"/>
              </w:rPr>
            </w:pPr>
            <w:r w:rsidRPr="001529C7">
              <w:rPr>
                <w:color w:val="000000"/>
                <w:sz w:val="20"/>
                <w:lang w:val="en"/>
              </w:rPr>
              <w:t>20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EC6C9AA" w14:textId="77777777" w:rsidR="00C20C2C" w:rsidRPr="001529C7" w:rsidRDefault="004C4BA9" w:rsidP="00F411E1">
            <w:pPr>
              <w:ind w:firstLine="0"/>
              <w:jc w:val="center"/>
              <w:rPr>
                <w:color w:val="000000"/>
                <w:sz w:val="20"/>
              </w:rPr>
            </w:pPr>
            <w:r w:rsidRPr="001529C7">
              <w:rPr>
                <w:color w:val="000000"/>
                <w:sz w:val="20"/>
                <w:lang w:val="en"/>
              </w:rPr>
              <w:t>21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B33615E" w14:textId="77777777" w:rsidR="00C20C2C" w:rsidRPr="001529C7" w:rsidRDefault="004C4BA9" w:rsidP="00F411E1">
            <w:pPr>
              <w:ind w:firstLine="3"/>
              <w:jc w:val="center"/>
              <w:rPr>
                <w:color w:val="000000"/>
                <w:sz w:val="20"/>
              </w:rPr>
            </w:pPr>
            <w:r w:rsidRPr="001529C7">
              <w:rPr>
                <w:color w:val="000000"/>
                <w:sz w:val="20"/>
                <w:lang w:val="en"/>
              </w:rPr>
              <w:t>22</w:t>
            </w:r>
          </w:p>
        </w:tc>
      </w:tr>
      <w:tr w:rsidR="00706070" w14:paraId="2FCBD142"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6E37737" w14:textId="77777777" w:rsidR="00C20C2C" w:rsidRPr="001529C7" w:rsidRDefault="004C4BA9" w:rsidP="00F411E1">
            <w:pPr>
              <w:ind w:firstLine="17"/>
              <w:jc w:val="left"/>
              <w:rPr>
                <w:color w:val="000000"/>
                <w:sz w:val="20"/>
              </w:rPr>
            </w:pPr>
            <w:r w:rsidRPr="001529C7">
              <w:rPr>
                <w:color w:val="000000"/>
                <w:sz w:val="20"/>
                <w:lang w:val="en"/>
              </w:rPr>
              <w:t xml:space="preserve">Kyzylorda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F61264F" w14:textId="77777777" w:rsidR="00C20C2C" w:rsidRPr="001529C7" w:rsidRDefault="004C4BA9" w:rsidP="00F411E1">
            <w:pPr>
              <w:ind w:firstLine="0"/>
              <w:jc w:val="center"/>
              <w:rPr>
                <w:color w:val="000000"/>
                <w:sz w:val="20"/>
              </w:rPr>
            </w:pPr>
            <w:r w:rsidRPr="001529C7">
              <w:rPr>
                <w:color w:val="000000"/>
                <w:sz w:val="20"/>
                <w:lang w:val="en"/>
              </w:rPr>
              <w:t>14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D07A0C8" w14:textId="77777777" w:rsidR="00C20C2C" w:rsidRPr="001529C7" w:rsidRDefault="004C4BA9" w:rsidP="00F411E1">
            <w:pPr>
              <w:ind w:firstLine="0"/>
              <w:jc w:val="center"/>
              <w:rPr>
                <w:color w:val="000000"/>
                <w:sz w:val="20"/>
              </w:rPr>
            </w:pPr>
            <w:r w:rsidRPr="001529C7">
              <w:rPr>
                <w:color w:val="000000"/>
                <w:sz w:val="20"/>
                <w:lang w:val="en"/>
              </w:rPr>
              <w:t>13</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8AFEAB5" w14:textId="77777777" w:rsidR="00C20C2C" w:rsidRPr="001529C7" w:rsidRDefault="004C4BA9" w:rsidP="00F411E1">
            <w:pPr>
              <w:ind w:firstLine="3"/>
              <w:jc w:val="center"/>
              <w:rPr>
                <w:color w:val="000000"/>
                <w:sz w:val="20"/>
              </w:rPr>
            </w:pPr>
            <w:r w:rsidRPr="001529C7">
              <w:rPr>
                <w:color w:val="000000"/>
                <w:sz w:val="20"/>
                <w:lang w:val="en"/>
              </w:rPr>
              <w:t>15</w:t>
            </w:r>
          </w:p>
        </w:tc>
      </w:tr>
      <w:tr w:rsidR="00706070" w14:paraId="3995D69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927B0F6" w14:textId="77777777" w:rsidR="00C20C2C" w:rsidRPr="001529C7" w:rsidRDefault="004C4BA9" w:rsidP="00F411E1">
            <w:pPr>
              <w:ind w:firstLine="17"/>
              <w:jc w:val="left"/>
              <w:rPr>
                <w:color w:val="000000"/>
                <w:sz w:val="20"/>
              </w:rPr>
            </w:pPr>
            <w:r w:rsidRPr="001529C7">
              <w:rPr>
                <w:color w:val="000000"/>
                <w:sz w:val="20"/>
                <w:lang w:val="en"/>
              </w:rPr>
              <w:t xml:space="preserve">Mangystau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BC9AFE" w14:textId="77777777" w:rsidR="00C20C2C" w:rsidRPr="001529C7" w:rsidRDefault="004C4BA9" w:rsidP="00F411E1">
            <w:pPr>
              <w:ind w:firstLine="0"/>
              <w:jc w:val="center"/>
              <w:rPr>
                <w:color w:val="000000"/>
                <w:sz w:val="20"/>
              </w:rPr>
            </w:pPr>
            <w:r w:rsidRPr="001529C7">
              <w:rPr>
                <w:color w:val="000000"/>
                <w:sz w:val="20"/>
                <w:lang w:val="en"/>
              </w:rPr>
              <w:t>15</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892E301" w14:textId="77777777" w:rsidR="00C20C2C" w:rsidRPr="001529C7" w:rsidRDefault="004C4BA9" w:rsidP="00F411E1">
            <w:pPr>
              <w:ind w:firstLine="0"/>
              <w:jc w:val="center"/>
              <w:rPr>
                <w:color w:val="000000"/>
                <w:sz w:val="20"/>
              </w:rPr>
            </w:pPr>
            <w:r w:rsidRPr="001529C7">
              <w:rPr>
                <w:color w:val="000000"/>
                <w:sz w:val="20"/>
                <w:lang w:val="en"/>
              </w:rPr>
              <w:t>16</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61B8A50" w14:textId="77777777" w:rsidR="00C20C2C" w:rsidRPr="001529C7" w:rsidRDefault="004C4BA9" w:rsidP="00F411E1">
            <w:pPr>
              <w:ind w:firstLine="3"/>
              <w:jc w:val="center"/>
              <w:rPr>
                <w:color w:val="000000"/>
                <w:sz w:val="20"/>
              </w:rPr>
            </w:pPr>
            <w:r w:rsidRPr="001529C7">
              <w:rPr>
                <w:color w:val="000000"/>
                <w:sz w:val="20"/>
                <w:lang w:val="en"/>
              </w:rPr>
              <w:t>18</w:t>
            </w:r>
          </w:p>
        </w:tc>
      </w:tr>
      <w:tr w:rsidR="00706070" w14:paraId="1D0B53B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45602D2" w14:textId="77777777" w:rsidR="00C20C2C" w:rsidRPr="001529C7" w:rsidRDefault="004C4BA9" w:rsidP="00F411E1">
            <w:pPr>
              <w:ind w:firstLine="17"/>
              <w:jc w:val="left"/>
              <w:rPr>
                <w:color w:val="000000"/>
                <w:sz w:val="20"/>
              </w:rPr>
            </w:pPr>
            <w:r w:rsidRPr="001529C7">
              <w:rPr>
                <w:color w:val="000000"/>
                <w:sz w:val="20"/>
                <w:lang w:val="en"/>
              </w:rPr>
              <w:t xml:space="preserve">Pavlodar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2B71353" w14:textId="77777777" w:rsidR="00C20C2C" w:rsidRPr="001529C7" w:rsidRDefault="004C4BA9" w:rsidP="00F411E1">
            <w:pPr>
              <w:ind w:firstLine="0"/>
              <w:jc w:val="center"/>
              <w:rPr>
                <w:color w:val="000000"/>
                <w:sz w:val="20"/>
              </w:rPr>
            </w:pPr>
            <w:r w:rsidRPr="001529C7">
              <w:rPr>
                <w:color w:val="000000"/>
                <w:sz w:val="20"/>
                <w:lang w:val="en"/>
              </w:rPr>
              <w:t>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46D133F" w14:textId="77777777" w:rsidR="00C20C2C" w:rsidRPr="001529C7" w:rsidRDefault="004C4BA9" w:rsidP="00F411E1">
            <w:pPr>
              <w:ind w:firstLine="0"/>
              <w:jc w:val="center"/>
              <w:rPr>
                <w:color w:val="000000"/>
                <w:sz w:val="20"/>
              </w:rPr>
            </w:pPr>
            <w:r w:rsidRPr="001529C7">
              <w:rPr>
                <w:color w:val="000000"/>
                <w:sz w:val="20"/>
                <w:lang w:val="en"/>
              </w:rPr>
              <w:t>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7882549" w14:textId="77777777" w:rsidR="00C20C2C" w:rsidRPr="001529C7" w:rsidRDefault="004C4BA9" w:rsidP="00F411E1">
            <w:pPr>
              <w:ind w:firstLine="3"/>
              <w:jc w:val="center"/>
              <w:rPr>
                <w:color w:val="000000"/>
                <w:sz w:val="20"/>
              </w:rPr>
            </w:pPr>
            <w:r w:rsidRPr="001529C7">
              <w:rPr>
                <w:color w:val="000000"/>
                <w:sz w:val="20"/>
                <w:lang w:val="en"/>
              </w:rPr>
              <w:t>4</w:t>
            </w:r>
          </w:p>
        </w:tc>
      </w:tr>
      <w:tr w:rsidR="00706070" w14:paraId="1EB469C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6974010" w14:textId="77777777" w:rsidR="00C20C2C" w:rsidRPr="001529C7" w:rsidRDefault="004C4BA9" w:rsidP="00F411E1">
            <w:pPr>
              <w:ind w:firstLine="17"/>
              <w:jc w:val="left"/>
              <w:rPr>
                <w:color w:val="000000"/>
                <w:sz w:val="20"/>
              </w:rPr>
            </w:pPr>
            <w:r w:rsidRPr="001529C7">
              <w:rPr>
                <w:color w:val="000000"/>
                <w:sz w:val="20"/>
                <w:lang w:val="en"/>
              </w:rPr>
              <w:t xml:space="preserve">North Kazakhstan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818294" w14:textId="77777777" w:rsidR="00C20C2C" w:rsidRPr="001529C7" w:rsidRDefault="004C4BA9" w:rsidP="00F411E1">
            <w:pPr>
              <w:ind w:firstLine="0"/>
              <w:jc w:val="center"/>
              <w:rPr>
                <w:color w:val="000000"/>
                <w:sz w:val="20"/>
              </w:rPr>
            </w:pPr>
            <w:r w:rsidRPr="001529C7">
              <w:rPr>
                <w:color w:val="000000"/>
                <w:sz w:val="20"/>
                <w:lang w:val="en"/>
              </w:rPr>
              <w:t>13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A7B164C" w14:textId="77777777" w:rsidR="00C20C2C" w:rsidRPr="001529C7" w:rsidRDefault="004C4BA9" w:rsidP="00F411E1">
            <w:pPr>
              <w:ind w:firstLine="0"/>
              <w:jc w:val="center"/>
              <w:rPr>
                <w:color w:val="000000"/>
                <w:sz w:val="20"/>
              </w:rPr>
            </w:pPr>
            <w:r w:rsidRPr="001529C7">
              <w:rPr>
                <w:color w:val="000000"/>
                <w:sz w:val="20"/>
                <w:lang w:val="en"/>
              </w:rPr>
              <w:t>14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F1333BA" w14:textId="77777777" w:rsidR="00C20C2C" w:rsidRPr="001529C7" w:rsidRDefault="004C4BA9" w:rsidP="00F411E1">
            <w:pPr>
              <w:ind w:firstLine="3"/>
              <w:jc w:val="center"/>
              <w:rPr>
                <w:color w:val="000000"/>
                <w:sz w:val="20"/>
              </w:rPr>
            </w:pPr>
            <w:r w:rsidRPr="001529C7">
              <w:rPr>
                <w:color w:val="000000"/>
                <w:sz w:val="20"/>
                <w:lang w:val="en"/>
              </w:rPr>
              <w:t>15</w:t>
            </w:r>
          </w:p>
        </w:tc>
      </w:tr>
      <w:tr w:rsidR="00706070" w14:paraId="3D07CDF0"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A4A8682" w14:textId="77777777" w:rsidR="00C20C2C" w:rsidRPr="001529C7" w:rsidRDefault="004C4BA9" w:rsidP="00F411E1">
            <w:pPr>
              <w:ind w:firstLine="17"/>
              <w:jc w:val="left"/>
              <w:rPr>
                <w:color w:val="000000"/>
                <w:sz w:val="20"/>
              </w:rPr>
            </w:pPr>
            <w:r w:rsidRPr="001529C7">
              <w:rPr>
                <w:color w:val="000000"/>
                <w:sz w:val="20"/>
                <w:lang w:val="en"/>
              </w:rPr>
              <w:t xml:space="preserve">Turkestan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816D7D4" w14:textId="77777777" w:rsidR="00C20C2C" w:rsidRPr="001529C7" w:rsidRDefault="004C4BA9" w:rsidP="00F411E1">
            <w:pPr>
              <w:ind w:firstLine="0"/>
              <w:jc w:val="center"/>
              <w:rPr>
                <w:color w:val="000000"/>
                <w:sz w:val="20"/>
              </w:rPr>
            </w:pPr>
            <w:r w:rsidRPr="001529C7">
              <w:rPr>
                <w:color w:val="000000"/>
                <w:sz w:val="20"/>
                <w:lang w:val="en"/>
              </w:rPr>
              <w:t>49</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F62DF78" w14:textId="77777777" w:rsidR="00C20C2C" w:rsidRPr="001529C7" w:rsidRDefault="004C4BA9" w:rsidP="00F411E1">
            <w:pPr>
              <w:ind w:firstLine="0"/>
              <w:jc w:val="center"/>
              <w:rPr>
                <w:color w:val="000000"/>
                <w:sz w:val="20"/>
              </w:rPr>
            </w:pPr>
            <w:r w:rsidRPr="001529C7">
              <w:rPr>
                <w:color w:val="000000"/>
                <w:sz w:val="20"/>
                <w:lang w:val="en"/>
              </w:rPr>
              <w:t>48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23D750" w14:textId="77777777" w:rsidR="00C20C2C" w:rsidRPr="001529C7" w:rsidRDefault="004C4BA9" w:rsidP="00F411E1">
            <w:pPr>
              <w:ind w:firstLine="3"/>
              <w:jc w:val="center"/>
              <w:rPr>
                <w:color w:val="000000"/>
                <w:sz w:val="20"/>
              </w:rPr>
            </w:pPr>
            <w:r w:rsidRPr="001529C7">
              <w:rPr>
                <w:color w:val="000000"/>
                <w:sz w:val="20"/>
                <w:lang w:val="en"/>
              </w:rPr>
              <w:t>49</w:t>
            </w:r>
          </w:p>
        </w:tc>
      </w:tr>
      <w:tr w:rsidR="00706070" w14:paraId="73E782A8"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F743AAA" w14:textId="77777777" w:rsidR="00C20C2C" w:rsidRPr="001529C7" w:rsidRDefault="004C4BA9" w:rsidP="00F411E1">
            <w:pPr>
              <w:ind w:firstLine="17"/>
              <w:jc w:val="left"/>
              <w:rPr>
                <w:color w:val="000000"/>
                <w:sz w:val="20"/>
              </w:rPr>
            </w:pPr>
            <w:r w:rsidRPr="001529C7">
              <w:rPr>
                <w:color w:val="000000"/>
                <w:sz w:val="20"/>
                <w:lang w:val="en"/>
              </w:rPr>
              <w:t xml:space="preserve">Atyrau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8FB7ABA" w14:textId="77777777" w:rsidR="00C20C2C" w:rsidRPr="001529C7" w:rsidRDefault="004C4BA9" w:rsidP="00F411E1">
            <w:pPr>
              <w:ind w:firstLine="0"/>
              <w:jc w:val="center"/>
              <w:rPr>
                <w:color w:val="000000"/>
                <w:sz w:val="20"/>
              </w:rPr>
            </w:pPr>
            <w:r w:rsidRPr="001529C7">
              <w:rPr>
                <w:color w:val="000000"/>
                <w:sz w:val="20"/>
                <w:lang w:val="en"/>
              </w:rPr>
              <w:t>16</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A00BDC" w14:textId="77777777" w:rsidR="00C20C2C" w:rsidRPr="001529C7" w:rsidRDefault="004C4BA9" w:rsidP="00F411E1">
            <w:pPr>
              <w:ind w:firstLine="0"/>
              <w:jc w:val="center"/>
              <w:rPr>
                <w:color w:val="000000"/>
                <w:sz w:val="20"/>
              </w:rPr>
            </w:pPr>
            <w:r w:rsidRPr="001529C7">
              <w:rPr>
                <w:color w:val="000000"/>
                <w:sz w:val="20"/>
                <w:lang w:val="en"/>
              </w:rPr>
              <w:t>18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F3CC0B" w14:textId="77777777" w:rsidR="00C20C2C" w:rsidRPr="001529C7" w:rsidRDefault="004C4BA9" w:rsidP="00F411E1">
            <w:pPr>
              <w:ind w:firstLine="3"/>
              <w:jc w:val="center"/>
              <w:rPr>
                <w:color w:val="000000"/>
                <w:sz w:val="20"/>
              </w:rPr>
            </w:pPr>
            <w:r w:rsidRPr="001529C7">
              <w:rPr>
                <w:color w:val="000000"/>
                <w:sz w:val="20"/>
                <w:lang w:val="en"/>
              </w:rPr>
              <w:t>19</w:t>
            </w:r>
          </w:p>
        </w:tc>
      </w:tr>
      <w:tr w:rsidR="00706070" w14:paraId="030D31F8"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38C5DDF" w14:textId="77777777" w:rsidR="00C20C2C" w:rsidRPr="001529C7" w:rsidRDefault="004C4BA9" w:rsidP="00F411E1">
            <w:pPr>
              <w:ind w:firstLine="17"/>
              <w:jc w:val="center"/>
              <w:rPr>
                <w:color w:val="000000"/>
                <w:sz w:val="20"/>
              </w:rPr>
            </w:pPr>
            <w:r w:rsidRPr="001529C7">
              <w:rPr>
                <w:b/>
                <w:bCs/>
                <w:color w:val="000000"/>
                <w:sz w:val="20"/>
                <w:lang w:val="en"/>
              </w:rPr>
              <w:t>Total:</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AF9EACA" w14:textId="77777777" w:rsidR="00C20C2C" w:rsidRPr="001529C7" w:rsidRDefault="004C4BA9" w:rsidP="00F411E1">
            <w:pPr>
              <w:ind w:firstLine="0"/>
              <w:jc w:val="center"/>
              <w:rPr>
                <w:color w:val="000000"/>
                <w:sz w:val="20"/>
              </w:rPr>
            </w:pPr>
            <w:r w:rsidRPr="001529C7">
              <w:rPr>
                <w:b/>
                <w:bCs/>
                <w:color w:val="000000"/>
                <w:sz w:val="20"/>
                <w:lang w:val="en"/>
              </w:rPr>
              <w:t>324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0B0F265" w14:textId="77777777" w:rsidR="00C20C2C" w:rsidRPr="001529C7" w:rsidRDefault="004C4BA9" w:rsidP="00F411E1">
            <w:pPr>
              <w:ind w:firstLine="0"/>
              <w:jc w:val="center"/>
              <w:rPr>
                <w:color w:val="000000"/>
                <w:sz w:val="20"/>
              </w:rPr>
            </w:pPr>
            <w:r w:rsidRPr="001529C7">
              <w:rPr>
                <w:b/>
                <w:bCs/>
                <w:color w:val="000000"/>
                <w:sz w:val="20"/>
                <w:lang w:val="en"/>
              </w:rPr>
              <w:t>359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F4FCA36" w14:textId="77777777" w:rsidR="00C20C2C" w:rsidRPr="001529C7" w:rsidRDefault="004C4BA9" w:rsidP="00F411E1">
            <w:pPr>
              <w:ind w:firstLine="3"/>
              <w:jc w:val="center"/>
              <w:rPr>
                <w:color w:val="000000"/>
                <w:sz w:val="20"/>
              </w:rPr>
            </w:pPr>
            <w:r w:rsidRPr="001529C7">
              <w:rPr>
                <w:b/>
                <w:bCs/>
                <w:color w:val="000000"/>
                <w:sz w:val="20"/>
                <w:lang w:val="en"/>
              </w:rPr>
              <w:t>379</w:t>
            </w:r>
          </w:p>
        </w:tc>
      </w:tr>
    </w:tbl>
    <w:p w14:paraId="2C429AFC" w14:textId="77777777" w:rsidR="00C20C2C" w:rsidRPr="001529C7" w:rsidRDefault="00C20C2C" w:rsidP="00F411E1">
      <w:pPr>
        <w:rPr>
          <w:color w:val="000000"/>
        </w:rPr>
      </w:pPr>
    </w:p>
    <w:p w14:paraId="12408F9E" w14:textId="77777777" w:rsidR="009F61F1" w:rsidRPr="00A57506" w:rsidRDefault="004C4BA9" w:rsidP="008F64D6">
      <w:pPr>
        <w:rPr>
          <w:color w:val="000000"/>
          <w:lang w:val="en-US"/>
        </w:rPr>
      </w:pPr>
      <w:r w:rsidRPr="001529C7">
        <w:rPr>
          <w:color w:val="000000"/>
          <w:lang w:val="en"/>
        </w:rPr>
        <w:t xml:space="preserve">In general, the market of services for collection, removal , sorting and disposal of solid waste is highly </w:t>
      </w:r>
      <w:r w:rsidRPr="0083522E">
        <w:rPr>
          <w:b/>
          <w:bCs/>
          <w:i/>
          <w:iCs/>
          <w:color w:val="000000"/>
          <w:lang w:val="en"/>
        </w:rPr>
        <w:t>concentrated</w:t>
      </w:r>
      <w:r w:rsidRPr="001529C7">
        <w:rPr>
          <w:color w:val="000000"/>
          <w:lang w:val="en"/>
        </w:rPr>
        <w:t xml:space="preserve"> with undeveloped competition, 62 subjects of market for collection, removal of solid waste occupy dominant position </w:t>
      </w:r>
      <w:r w:rsidRPr="00B34B90">
        <w:rPr>
          <w:i/>
          <w:color w:val="000000"/>
          <w:sz w:val="24"/>
          <w:lang w:val="en"/>
        </w:rPr>
        <w:t>(CP – 1 &gt; 80%)</w:t>
      </w:r>
      <w:r w:rsidRPr="001529C7">
        <w:rPr>
          <w:color w:val="000000"/>
          <w:lang w:val="en"/>
        </w:rPr>
        <w:t>.</w:t>
      </w:r>
    </w:p>
    <w:p w14:paraId="51D25140" w14:textId="77777777" w:rsidR="008F64D6" w:rsidRPr="00A57506" w:rsidRDefault="004C4BA9" w:rsidP="008F64D6">
      <w:pPr>
        <w:rPr>
          <w:color w:val="000000"/>
          <w:lang w:val="en-US"/>
        </w:rPr>
      </w:pPr>
      <w:r w:rsidRPr="00A57506">
        <w:rPr>
          <w:color w:val="000000"/>
          <w:lang w:val="en-US"/>
        </w:rPr>
        <w:t xml:space="preserve"> </w:t>
      </w:r>
    </w:p>
    <w:p w14:paraId="0C83EE94" w14:textId="77777777" w:rsidR="00C20C2C" w:rsidRPr="001529C7" w:rsidRDefault="004C4BA9" w:rsidP="008F64D6">
      <w:pPr>
        <w:ind w:firstLine="0"/>
        <w:rPr>
          <w:color w:val="000000"/>
        </w:rPr>
      </w:pPr>
      <w:r w:rsidRPr="001529C7">
        <w:rPr>
          <w:noProof/>
          <w:color w:val="000000"/>
        </w:rPr>
        <w:lastRenderedPageBreak/>
        <w:drawing>
          <wp:inline distT="0" distB="0" distL="0" distR="0" wp14:anchorId="4B60472B" wp14:editId="450675D4">
            <wp:extent cx="6089650" cy="3735237"/>
            <wp:effectExtent l="0" t="0" r="6350" b="0"/>
            <wp:docPr id="19" name="Диаграмма 19">
              <a:extLst xmlns:a="http://schemas.openxmlformats.org/drawingml/2006/main">
                <a:ext uri="{FF2B5EF4-FFF2-40B4-BE49-F238E27FC236}">
                  <a16:creationId xmlns:a16="http://schemas.microsoft.com/office/drawing/2014/main" id="{50065890-A678-4109-A3FE-342AE9869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644D93" w14:textId="77777777" w:rsidR="00BB5EB6" w:rsidRPr="00A57506" w:rsidRDefault="004C4BA9" w:rsidP="00B34B90">
      <w:pPr>
        <w:pStyle w:val="Caption"/>
        <w:spacing w:after="240"/>
        <w:ind w:firstLine="0"/>
        <w:jc w:val="center"/>
        <w:rPr>
          <w:b w:val="0"/>
          <w:color w:val="000000" w:themeColor="text1"/>
          <w:sz w:val="28"/>
          <w:szCs w:val="28"/>
          <w:lang w:val="en-US"/>
        </w:rPr>
      </w:pPr>
      <w:r w:rsidRPr="001529C7">
        <w:rPr>
          <w:b w:val="0"/>
          <w:color w:val="000000" w:themeColor="text1"/>
          <w:sz w:val="28"/>
          <w:szCs w:val="28"/>
          <w:lang w:val="en"/>
        </w:rPr>
        <w:t xml:space="preserve">Fig. </w:t>
      </w:r>
      <w:r w:rsidRPr="001529C7">
        <w:rPr>
          <w:b w:val="0"/>
          <w:color w:val="000000" w:themeColor="text1"/>
          <w:sz w:val="28"/>
          <w:szCs w:val="28"/>
        </w:rPr>
        <w:fldChar w:fldCharType="begin"/>
      </w:r>
      <w:r w:rsidRPr="001529C7">
        <w:rPr>
          <w:b w:val="0"/>
          <w:color w:val="000000" w:themeColor="text1"/>
          <w:sz w:val="28"/>
          <w:szCs w:val="28"/>
          <w:lang w:val="en"/>
        </w:rPr>
        <w:instrText xml:space="preserve"> SEQ Рис. \* ARABIC </w:instrText>
      </w:r>
      <w:r w:rsidRPr="001529C7">
        <w:rPr>
          <w:b w:val="0"/>
          <w:color w:val="000000" w:themeColor="text1"/>
          <w:sz w:val="28"/>
          <w:szCs w:val="28"/>
        </w:rPr>
        <w:fldChar w:fldCharType="separate"/>
      </w:r>
      <w:r w:rsidRPr="001529C7">
        <w:rPr>
          <w:b w:val="0"/>
          <w:color w:val="000000" w:themeColor="text1"/>
          <w:sz w:val="28"/>
          <w:szCs w:val="28"/>
          <w:lang w:val="en"/>
        </w:rPr>
        <w:t>21</w:t>
      </w:r>
      <w:r w:rsidRPr="001529C7">
        <w:rPr>
          <w:b w:val="0"/>
          <w:color w:val="000000" w:themeColor="text1"/>
          <w:sz w:val="28"/>
          <w:szCs w:val="28"/>
        </w:rPr>
        <w:fldChar w:fldCharType="end"/>
      </w:r>
      <w:r w:rsidRPr="001529C7">
        <w:rPr>
          <w:b w:val="0"/>
          <w:color w:val="000000" w:themeColor="text1"/>
          <w:sz w:val="28"/>
          <w:szCs w:val="28"/>
          <w:lang w:val="en"/>
        </w:rPr>
        <w:t>- Calculation of market shares.</w:t>
      </w:r>
    </w:p>
    <w:p w14:paraId="6F00E7E0" w14:textId="77777777" w:rsidR="008F64D6" w:rsidRPr="00A57506" w:rsidRDefault="004C4BA9" w:rsidP="00F411E1">
      <w:pPr>
        <w:rPr>
          <w:color w:val="000000"/>
          <w:lang w:val="en-US"/>
        </w:rPr>
      </w:pPr>
      <w:r>
        <w:rPr>
          <w:color w:val="000000"/>
          <w:lang w:val="en"/>
        </w:rPr>
        <w:t>As part of the analysis, it was found that 56 market entities for waste burial services and 18 market entities for solid waste sorting services occupy monopolistic position.</w:t>
      </w:r>
    </w:p>
    <w:p w14:paraId="10CC76A9" w14:textId="77777777" w:rsidR="009F61F1" w:rsidRPr="00A57506" w:rsidRDefault="004C4BA9" w:rsidP="009F61F1">
      <w:pPr>
        <w:rPr>
          <w:b/>
          <w:bCs/>
          <w:i/>
          <w:color w:val="000000" w:themeColor="text1"/>
          <w:lang w:val="en-US"/>
        </w:rPr>
      </w:pPr>
      <w:r w:rsidRPr="001529C7">
        <w:rPr>
          <w:b/>
          <w:bCs/>
          <w:i/>
          <w:color w:val="000000" w:themeColor="text1"/>
          <w:lang w:val="en"/>
        </w:rPr>
        <w:t>Barriers for competition development</w:t>
      </w:r>
    </w:p>
    <w:p w14:paraId="0EF0F5A8" w14:textId="77777777" w:rsidR="009F61F1" w:rsidRPr="00A57506" w:rsidRDefault="004C4BA9" w:rsidP="009F61F1">
      <w:pPr>
        <w:rPr>
          <w:rFonts w:eastAsia="Calibri"/>
          <w:lang w:val="en-US" w:eastAsia="en-US"/>
        </w:rPr>
      </w:pPr>
      <w:r>
        <w:rPr>
          <w:rFonts w:eastAsia="Calibri"/>
          <w:lang w:val="en" w:eastAsia="en-US"/>
        </w:rPr>
        <w:t>According to the results of Agency 's analysis, the following barriers to development of competition were identified:</w:t>
      </w:r>
    </w:p>
    <w:p w14:paraId="4D0CF3B7" w14:textId="77777777" w:rsidR="008F64D6" w:rsidRPr="00A57506" w:rsidRDefault="004C4BA9" w:rsidP="008F64D6">
      <w:pPr>
        <w:tabs>
          <w:tab w:val="clear" w:pos="567"/>
        </w:tabs>
        <w:ind w:right="-2"/>
        <w:rPr>
          <w:lang w:val="en-US"/>
        </w:rPr>
      </w:pPr>
      <w:r w:rsidRPr="001529C7">
        <w:rPr>
          <w:lang w:val="en"/>
        </w:rPr>
        <w:t xml:space="preserve">1) current system of tariff regulation aimed at </w:t>
      </w:r>
      <w:r w:rsidRPr="002106D0">
        <w:rPr>
          <w:b/>
          <w:lang w:val="en"/>
        </w:rPr>
        <w:t>curbing tariffs</w:t>
      </w:r>
      <w:r w:rsidRPr="001529C7">
        <w:rPr>
          <w:lang w:val="en"/>
        </w:rPr>
        <w:t xml:space="preserve"> hinders development of competition in the market and its investment attractiveness. The tariffs approved by maslikhats do not take into account real costs of companies. Many regions have not updated tariffs for collection of solid waste for years, despite increased costs and inflation. So, for example, the tariff in Kazakhstan varies from 94 (Taraz)</w:t>
      </w:r>
      <w:r w:rsidRPr="002106D0">
        <w:rPr>
          <w:i/>
          <w:iCs/>
          <w:sz w:val="24"/>
          <w:lang w:val="en"/>
        </w:rPr>
        <w:t xml:space="preserve"> to 595 KZT (Kosshy, Akmola region)</w:t>
      </w:r>
      <w:r w:rsidRPr="001529C7">
        <w:rPr>
          <w:i/>
          <w:iCs/>
          <w:lang w:val="en"/>
        </w:rPr>
        <w:t>,</w:t>
      </w:r>
      <w:r w:rsidRPr="001529C7">
        <w:rPr>
          <w:lang w:val="en"/>
        </w:rPr>
        <w:t xml:space="preserve"> with </w:t>
      </w:r>
      <w:r w:rsidRPr="002106D0">
        <w:rPr>
          <w:b/>
          <w:lang w:val="en"/>
        </w:rPr>
        <w:t>6 times difference</w:t>
      </w:r>
      <w:r w:rsidRPr="001529C7">
        <w:rPr>
          <w:lang w:val="en"/>
        </w:rPr>
        <w:t xml:space="preserve">. In addition, the use of single local tariff in solid waste market completely </w:t>
      </w:r>
      <w:r w:rsidRPr="002106D0">
        <w:rPr>
          <w:b/>
          <w:lang w:val="en"/>
        </w:rPr>
        <w:t>eliminates price competition</w:t>
      </w:r>
      <w:r w:rsidRPr="001529C7">
        <w:rPr>
          <w:lang w:val="en"/>
        </w:rPr>
        <w:t xml:space="preserve"> at the market;</w:t>
      </w:r>
    </w:p>
    <w:p w14:paraId="04EE8A7A" w14:textId="77777777" w:rsidR="00816CB0" w:rsidRPr="00A57506" w:rsidRDefault="004C4BA9" w:rsidP="008F64D6">
      <w:pPr>
        <w:tabs>
          <w:tab w:val="clear" w:pos="567"/>
        </w:tabs>
        <w:ind w:right="-2"/>
        <w:rPr>
          <w:lang w:val="en-US"/>
        </w:rPr>
      </w:pPr>
      <w:r w:rsidRPr="001529C7">
        <w:rPr>
          <w:lang w:val="en"/>
        </w:rPr>
        <w:t xml:space="preserve">2) conducting </w:t>
      </w:r>
      <w:r w:rsidRPr="002106D0">
        <w:rPr>
          <w:b/>
          <w:lang w:val="en"/>
        </w:rPr>
        <w:t>"formal" selection</w:t>
      </w:r>
      <w:r w:rsidRPr="001529C7">
        <w:rPr>
          <w:lang w:val="en"/>
        </w:rPr>
        <w:t xml:space="preserve"> of participants in solid waste market within the framework of procurement procedures conducted by local executive bodies, transfer of state property to trust management </w:t>
      </w:r>
      <w:r w:rsidRPr="002106D0">
        <w:rPr>
          <w:i/>
          <w:iCs/>
          <w:sz w:val="24"/>
          <w:lang w:val="en"/>
        </w:rPr>
        <w:t>(land plots, special equipment, containers)</w:t>
      </w:r>
      <w:r w:rsidRPr="001529C7">
        <w:rPr>
          <w:lang w:val="en"/>
        </w:rPr>
        <w:t xml:space="preserve">, implementation of PPP projects. With that , there are no uniform criteria for determining potential bidders, that leads to consolidation of procurement lots. </w:t>
      </w:r>
    </w:p>
    <w:p w14:paraId="4E431960" w14:textId="77777777" w:rsidR="00816CB0" w:rsidRPr="00A57506" w:rsidRDefault="004C4BA9" w:rsidP="008F64D6">
      <w:pPr>
        <w:tabs>
          <w:tab w:val="clear" w:pos="567"/>
        </w:tabs>
        <w:ind w:right="-2"/>
        <w:rPr>
          <w:lang w:val="en-US"/>
        </w:rPr>
      </w:pPr>
      <w:r w:rsidRPr="001529C7">
        <w:rPr>
          <w:lang w:val="en"/>
        </w:rPr>
        <w:t xml:space="preserve">An example of this is tender held by the Department of Environmental Protection and Nature Management in Astana, within the framework of which, during transfer of state property, </w:t>
      </w:r>
      <w:r w:rsidR="002106D0" w:rsidRPr="00816CB0">
        <w:rPr>
          <w:b/>
          <w:lang w:val="en"/>
        </w:rPr>
        <w:t>excessive requirements</w:t>
      </w:r>
      <w:r w:rsidRPr="001529C7">
        <w:rPr>
          <w:lang w:val="en"/>
        </w:rPr>
        <w:t xml:space="preserve"> were set for potential participants of competition </w:t>
      </w:r>
      <w:r w:rsidRPr="002106D0">
        <w:rPr>
          <w:i/>
          <w:iCs/>
          <w:sz w:val="24"/>
          <w:lang w:val="en"/>
        </w:rPr>
        <w:t xml:space="preserve">(to own 70 units of equipment for loading, compacting, transporting and unloading waste, purchase at least 600 new containers, renew equipment to Euro-4 and 5 levels, refresh up to </w:t>
      </w:r>
      <w:r w:rsidRPr="002106D0">
        <w:rPr>
          <w:i/>
          <w:iCs/>
          <w:sz w:val="24"/>
          <w:lang w:val="en"/>
        </w:rPr>
        <w:lastRenderedPageBreak/>
        <w:t>300 handed over garbage containers every year)</w:t>
      </w:r>
      <w:r w:rsidRPr="001529C7">
        <w:rPr>
          <w:i/>
          <w:iCs/>
          <w:lang w:val="en"/>
        </w:rPr>
        <w:t xml:space="preserve">. </w:t>
      </w:r>
      <w:r w:rsidRPr="001529C7">
        <w:rPr>
          <w:lang w:val="en"/>
        </w:rPr>
        <w:t xml:space="preserve">As a result, Clean City NC LLP was identified as the only supplier of solid waste removal services in this region, that is, requirements were prepared for a specific company. Astana Department of the Agency has submitted a notification according to which </w:t>
      </w:r>
      <w:bookmarkStart w:id="79" w:name="_Hlk135320211"/>
      <w:r w:rsidRPr="001529C7">
        <w:rPr>
          <w:lang w:val="en"/>
        </w:rPr>
        <w:t xml:space="preserve">Department of Environmental Protection and Nature Management in Astana is </w:t>
      </w:r>
      <w:bookmarkEnd w:id="79"/>
      <w:r w:rsidRPr="001529C7">
        <w:rPr>
          <w:lang w:val="en"/>
        </w:rPr>
        <w:t xml:space="preserve">ordered to conduct competitive procedures </w:t>
      </w:r>
      <w:r w:rsidRPr="002106D0">
        <w:rPr>
          <w:b/>
          <w:lang w:val="en"/>
        </w:rPr>
        <w:t>taking into account administrative and territorial boundaries</w:t>
      </w:r>
      <w:r w:rsidRPr="001529C7">
        <w:rPr>
          <w:lang w:val="en"/>
        </w:rPr>
        <w:t xml:space="preserve"> within the city </w:t>
      </w:r>
      <w:r w:rsidRPr="002106D0">
        <w:rPr>
          <w:i/>
          <w:sz w:val="24"/>
          <w:lang w:val="en"/>
        </w:rPr>
        <w:t>(split into sections) (repeated tender by the Department of Environmental Protection and Nature Management in Astana will be announced after the end of the court proceedings)</w:t>
      </w:r>
      <w:r w:rsidRPr="001529C7">
        <w:rPr>
          <w:lang w:val="en"/>
        </w:rPr>
        <w:t xml:space="preserve">. </w:t>
      </w:r>
    </w:p>
    <w:p w14:paraId="7F315468" w14:textId="19E78C7F" w:rsidR="008F64D6" w:rsidRPr="00A57506" w:rsidRDefault="004C4BA9" w:rsidP="008F64D6">
      <w:pPr>
        <w:tabs>
          <w:tab w:val="clear" w:pos="567"/>
        </w:tabs>
        <w:ind w:right="-2"/>
        <w:rPr>
          <w:lang w:val="en-US"/>
        </w:rPr>
      </w:pPr>
      <w:r w:rsidRPr="001529C7">
        <w:rPr>
          <w:lang w:val="en"/>
        </w:rPr>
        <w:t xml:space="preserve">In 2017, Almaty Department of Ecology and Environment signed an agreement with a consortium consisting of: AK Tartyp LLP, KazWasteConversion LLP, Green Recicle LLP through </w:t>
      </w:r>
      <w:r w:rsidRPr="00816CB0">
        <w:rPr>
          <w:b/>
          <w:lang w:val="en"/>
        </w:rPr>
        <w:t>direct negotiations</w:t>
      </w:r>
      <w:r w:rsidRPr="001529C7">
        <w:rPr>
          <w:lang w:val="en"/>
        </w:rPr>
        <w:t xml:space="preserve"> with 25-year period </w:t>
      </w:r>
      <w:r w:rsidRPr="002106D0">
        <w:rPr>
          <w:i/>
          <w:iCs/>
          <w:sz w:val="24"/>
          <w:lang w:val="en"/>
        </w:rPr>
        <w:t>(until December 31, 2042)</w:t>
      </w:r>
      <w:r w:rsidRPr="001529C7">
        <w:rPr>
          <w:lang w:val="en"/>
        </w:rPr>
        <w:t xml:space="preserve">, which limited access to solid waste market to other potential suppliers. Almaty Department of the Agency has submitted a notification to Almaty Department of Ecology and Environment about termination of PPP contract </w:t>
      </w:r>
      <w:r w:rsidRPr="00816CB0">
        <w:rPr>
          <w:i/>
          <w:iCs/>
          <w:sz w:val="24"/>
          <w:lang w:val="en"/>
        </w:rPr>
        <w:t>(Department filed a lawsuit to the court for termination of PPP contract. The court proceedings are currently ongoing)</w:t>
      </w:r>
      <w:r w:rsidRPr="001529C7">
        <w:rPr>
          <w:i/>
          <w:iCs/>
          <w:lang w:val="en"/>
        </w:rPr>
        <w:t>.</w:t>
      </w:r>
    </w:p>
    <w:p w14:paraId="22802680" w14:textId="7248FBA5" w:rsidR="008F64D6" w:rsidRPr="00A57506" w:rsidRDefault="004C4BA9" w:rsidP="008F64D6">
      <w:pPr>
        <w:tabs>
          <w:tab w:val="clear" w:pos="567"/>
        </w:tabs>
        <w:ind w:right="-2"/>
        <w:rPr>
          <w:lang w:val="en-US"/>
        </w:rPr>
      </w:pPr>
      <w:r w:rsidRPr="001529C7">
        <w:rPr>
          <w:lang w:val="en"/>
        </w:rPr>
        <w:t xml:space="preserve">There is also </w:t>
      </w:r>
      <w:r w:rsidRPr="00816CB0">
        <w:rPr>
          <w:b/>
          <w:lang w:val="en"/>
        </w:rPr>
        <w:t>restriction of access to landfills</w:t>
      </w:r>
      <w:r w:rsidRPr="001529C7">
        <w:rPr>
          <w:lang w:val="en"/>
        </w:rPr>
        <w:t xml:space="preserve"> for solid waste disposal. Practice shows that local executive bodies transfer landfills into possession for a long time. For example, in 2011, Kolkainar rural district of Zhambyl district akimat rented landfill to Zhasyl </w:t>
      </w:r>
      <w:r w:rsidR="00AF59F7" w:rsidRPr="001529C7">
        <w:rPr>
          <w:lang w:val="en"/>
        </w:rPr>
        <w:t xml:space="preserve">El </w:t>
      </w:r>
      <w:r w:rsidRPr="001529C7">
        <w:rPr>
          <w:lang w:val="en"/>
        </w:rPr>
        <w:t xml:space="preserve">Taraz LLP </w:t>
      </w:r>
      <w:r w:rsidRPr="00816CB0">
        <w:rPr>
          <w:i/>
          <w:iCs/>
          <w:sz w:val="24"/>
          <w:lang w:val="en"/>
        </w:rPr>
        <w:t>(100% state participation)</w:t>
      </w:r>
      <w:r w:rsidRPr="001529C7">
        <w:rPr>
          <w:lang w:val="en"/>
        </w:rPr>
        <w:t xml:space="preserve"> for 49 years.</w:t>
      </w:r>
    </w:p>
    <w:p w14:paraId="2951B4C6" w14:textId="77777777" w:rsidR="008F64D6" w:rsidRPr="00A57506" w:rsidRDefault="004C4BA9" w:rsidP="008F64D6">
      <w:pPr>
        <w:tabs>
          <w:tab w:val="clear" w:pos="567"/>
        </w:tabs>
        <w:ind w:right="-2"/>
        <w:rPr>
          <w:lang w:val="en-US"/>
        </w:rPr>
      </w:pPr>
      <w:r w:rsidRPr="001529C7">
        <w:rPr>
          <w:lang w:val="en"/>
        </w:rPr>
        <w:t xml:space="preserve">In addition, facts of determining participants of the solid waste market without conducting competitive procedures have been revealed. For example, Burabay district akimat by its resolution determined Clean City NC LLP as the only supplier in Shchuchinsk city. Akmola region Department of the Agency made a notification according to which the Burabay district akimat was ordered to cancel the abovementioned resolution </w:t>
      </w:r>
      <w:r w:rsidRPr="00816CB0">
        <w:rPr>
          <w:i/>
          <w:iCs/>
          <w:sz w:val="24"/>
          <w:lang w:val="en"/>
        </w:rPr>
        <w:t>(order was executed)</w:t>
      </w:r>
      <w:r w:rsidRPr="001529C7">
        <w:rPr>
          <w:lang w:val="en"/>
        </w:rPr>
        <w:t>;</w:t>
      </w:r>
    </w:p>
    <w:p w14:paraId="3E90D337" w14:textId="6FDFFD11" w:rsidR="008F64D6" w:rsidRPr="00A57506" w:rsidRDefault="004C4BA9" w:rsidP="008F64D6">
      <w:pPr>
        <w:tabs>
          <w:tab w:val="clear" w:pos="567"/>
        </w:tabs>
        <w:ind w:right="-2"/>
        <w:rPr>
          <w:lang w:val="en-US"/>
        </w:rPr>
      </w:pPr>
      <w:r w:rsidRPr="001529C7">
        <w:rPr>
          <w:lang w:val="en"/>
        </w:rPr>
        <w:t xml:space="preserve">3) </w:t>
      </w:r>
      <w:r w:rsidRPr="00816CB0">
        <w:rPr>
          <w:b/>
          <w:lang w:val="en"/>
        </w:rPr>
        <w:t>presence of the state</w:t>
      </w:r>
      <w:r w:rsidRPr="001529C7">
        <w:rPr>
          <w:lang w:val="en"/>
        </w:rPr>
        <w:t xml:space="preserve"> in solid waste market, despite the measures taken to reduce its participation. As of today, 379 enterprises in the country provide solid waste collection and removal services, more than 90% from their number are private organizations, that confirms lack non-expediency of state's presence on the market. However, local executive bodies initiate exclusion of their subordinate organizations from list of organizations subject to privatization. For example, Akimat of Zhambyl region proposes to exclude Zhasyl </w:t>
      </w:r>
      <w:r w:rsidR="00AF59F7" w:rsidRPr="001529C7">
        <w:rPr>
          <w:lang w:val="en"/>
        </w:rPr>
        <w:t xml:space="preserve">El </w:t>
      </w:r>
      <w:r w:rsidRPr="001529C7">
        <w:rPr>
          <w:lang w:val="en"/>
        </w:rPr>
        <w:t>Taraz LLP from Comprehensive Privatization Plan for 2021-2025 due to rehabilitation procedure and the risks of increasing tariffs by private company.</w:t>
      </w:r>
    </w:p>
    <w:p w14:paraId="5503C32A" w14:textId="77777777" w:rsidR="008F64D6" w:rsidRPr="00A57506" w:rsidRDefault="004C4BA9" w:rsidP="008F64D6">
      <w:pPr>
        <w:tabs>
          <w:tab w:val="clear" w:pos="567"/>
        </w:tabs>
        <w:ind w:right="-2"/>
        <w:rPr>
          <w:lang w:val="en-US"/>
        </w:rPr>
      </w:pPr>
      <w:r>
        <w:rPr>
          <w:lang w:val="en"/>
        </w:rPr>
        <w:t xml:space="preserve">In general, as part of analysis, 12 territorial departments of the Agency identified  </w:t>
      </w:r>
      <w:r w:rsidRPr="00816CB0">
        <w:rPr>
          <w:b/>
          <w:lang w:val="en"/>
        </w:rPr>
        <w:t>13 violations</w:t>
      </w:r>
      <w:r>
        <w:rPr>
          <w:lang w:val="en"/>
        </w:rPr>
        <w:t xml:space="preserve"> of competition protection legislation, including those related to identification of solid waste market participants </w:t>
      </w:r>
      <w:r w:rsidRPr="00816CB0">
        <w:rPr>
          <w:b/>
          <w:lang w:val="en"/>
        </w:rPr>
        <w:t>without competitive procedures</w:t>
      </w:r>
      <w:r>
        <w:rPr>
          <w:lang w:val="en"/>
        </w:rPr>
        <w:t xml:space="preserve"> and imposition of </w:t>
      </w:r>
      <w:r w:rsidRPr="00816CB0">
        <w:rPr>
          <w:b/>
          <w:lang w:val="en"/>
        </w:rPr>
        <w:t>excessive requirements</w:t>
      </w:r>
      <w:r>
        <w:rPr>
          <w:lang w:val="en"/>
        </w:rPr>
        <w:t xml:space="preserve"> to participants of the competition.</w:t>
      </w:r>
    </w:p>
    <w:p w14:paraId="0C630877" w14:textId="77777777" w:rsidR="00816CB0" w:rsidRPr="00A57506" w:rsidRDefault="004C4BA9" w:rsidP="00816CB0">
      <w:pPr>
        <w:rPr>
          <w:b/>
          <w:bCs/>
          <w:i/>
          <w:color w:val="000000" w:themeColor="text1"/>
          <w:lang w:val="en-US"/>
        </w:rPr>
      </w:pPr>
      <w:r w:rsidRPr="001529C7">
        <w:rPr>
          <w:b/>
          <w:bCs/>
          <w:i/>
          <w:color w:val="000000" w:themeColor="text1"/>
          <w:lang w:val="en"/>
        </w:rPr>
        <w:t xml:space="preserve">Proposals and recommendations for competition development </w:t>
      </w:r>
    </w:p>
    <w:p w14:paraId="4E48676A" w14:textId="77777777" w:rsidR="008F64D6" w:rsidRPr="00A57506" w:rsidRDefault="004C4BA9" w:rsidP="00816CB0">
      <w:pPr>
        <w:rPr>
          <w:lang w:val="en-US"/>
        </w:rPr>
      </w:pPr>
      <w:r>
        <w:rPr>
          <w:rFonts w:eastAsia="Calibri"/>
          <w:lang w:val="en" w:eastAsia="en-US"/>
        </w:rPr>
        <w:t xml:space="preserve">The Agency, taking into account the identified barriers to development of competition, proposes to develop, together with the Ministry of Ecology, Geology and Natural Resources, a draft roadmap for development of competition in the market for </w:t>
      </w:r>
      <w:r>
        <w:rPr>
          <w:rFonts w:eastAsia="Calibri"/>
          <w:lang w:val="en" w:eastAsia="en-US"/>
        </w:rPr>
        <w:lastRenderedPageBreak/>
        <w:t>collection, removal, sorting and disposal of solid waste, which should provide for the following activities:</w:t>
      </w:r>
    </w:p>
    <w:p w14:paraId="4AB43176" w14:textId="77777777" w:rsidR="008F64D6" w:rsidRPr="00A57506" w:rsidRDefault="004C4BA9" w:rsidP="008F64D6">
      <w:pPr>
        <w:tabs>
          <w:tab w:val="clear" w:pos="567"/>
        </w:tabs>
        <w:ind w:right="-2"/>
        <w:rPr>
          <w:lang w:val="en-US"/>
        </w:rPr>
      </w:pPr>
      <w:r>
        <w:rPr>
          <w:lang w:val="en"/>
        </w:rPr>
        <w:t>1)</w:t>
      </w:r>
      <w:r w:rsidRPr="00CD0967">
        <w:rPr>
          <w:b/>
          <w:lang w:val="en"/>
        </w:rPr>
        <w:t xml:space="preserve"> revising norms</w:t>
      </w:r>
      <w:r w:rsidRPr="001529C7">
        <w:rPr>
          <w:lang w:val="en"/>
        </w:rPr>
        <w:t xml:space="preserve"> of calculating tariff for collection, removal, processing and disposal of solid waste</w:t>
      </w:r>
      <w:r w:rsidRPr="00816CB0">
        <w:rPr>
          <w:i/>
          <w:iCs/>
          <w:sz w:val="24"/>
          <w:lang w:val="en"/>
        </w:rPr>
        <w:t xml:space="preserve"> (to introduce tariff indexation or establish deadlines and procedure for reviewing tariffs)</w:t>
      </w:r>
      <w:r w:rsidRPr="001529C7">
        <w:rPr>
          <w:lang w:val="en"/>
        </w:rPr>
        <w:t>;</w:t>
      </w:r>
    </w:p>
    <w:p w14:paraId="7DDA618B" w14:textId="77777777" w:rsidR="008F64D6" w:rsidRPr="00A57506" w:rsidRDefault="004C4BA9" w:rsidP="008F64D6">
      <w:pPr>
        <w:tabs>
          <w:tab w:val="clear" w:pos="567"/>
        </w:tabs>
        <w:ind w:right="-2"/>
        <w:rPr>
          <w:lang w:val="en-US"/>
        </w:rPr>
      </w:pPr>
      <w:r>
        <w:rPr>
          <w:lang w:val="en"/>
        </w:rPr>
        <w:t xml:space="preserve">2) make amendments and additions to the Rules of Municipal Waste management in terms of determining </w:t>
      </w:r>
      <w:r w:rsidRPr="00CD0967">
        <w:rPr>
          <w:b/>
          <w:iCs/>
          <w:lang w:val="en"/>
        </w:rPr>
        <w:t>criteria</w:t>
      </w:r>
      <w:r>
        <w:rPr>
          <w:lang w:val="en"/>
        </w:rPr>
        <w:t xml:space="preserve"> for selection of potential participants in solid waste market based on results of the competition, eliminate transferring state property </w:t>
      </w:r>
      <w:r w:rsidRPr="00816CB0">
        <w:rPr>
          <w:i/>
          <w:iCs/>
          <w:sz w:val="24"/>
          <w:lang w:val="en"/>
        </w:rPr>
        <w:t>(land plots, special equipment, containers)</w:t>
      </w:r>
      <w:r w:rsidRPr="00CD0967">
        <w:rPr>
          <w:b/>
          <w:iCs/>
          <w:lang w:val="en"/>
        </w:rPr>
        <w:t xml:space="preserve"> in one lot</w:t>
      </w:r>
      <w:r>
        <w:rPr>
          <w:lang w:val="en"/>
        </w:rPr>
        <w:t xml:space="preserve">, determine that validity of contracts concluded with service providers for collection, removal of solid waste should not exceed 5 years, for burial - no more than 10 years, regulate </w:t>
      </w:r>
      <w:r w:rsidRPr="00CD0967">
        <w:rPr>
          <w:b/>
          <w:iCs/>
          <w:lang w:val="en"/>
        </w:rPr>
        <w:t>division of boundaries</w:t>
      </w:r>
      <w:r>
        <w:rPr>
          <w:lang w:val="en"/>
        </w:rPr>
        <w:t xml:space="preserve"> of market for collection, removal of solid waste </w:t>
      </w:r>
      <w:r w:rsidRPr="00816CB0">
        <w:rPr>
          <w:i/>
          <w:iCs/>
          <w:sz w:val="24"/>
          <w:lang w:val="en"/>
        </w:rPr>
        <w:t>(by districts and plots)</w:t>
      </w:r>
      <w:r>
        <w:rPr>
          <w:lang w:val="en"/>
        </w:rPr>
        <w:t xml:space="preserve"> in cities of regional, republican significance by lots;</w:t>
      </w:r>
    </w:p>
    <w:p w14:paraId="3DDCFDFE" w14:textId="77777777" w:rsidR="008F64D6" w:rsidRPr="00A57506" w:rsidRDefault="004C4BA9" w:rsidP="008F64D6">
      <w:pPr>
        <w:tabs>
          <w:tab w:val="clear" w:pos="567"/>
        </w:tabs>
        <w:ind w:right="-2"/>
        <w:rPr>
          <w:lang w:val="en-US"/>
        </w:rPr>
      </w:pPr>
      <w:r>
        <w:rPr>
          <w:lang w:val="en"/>
        </w:rPr>
        <w:t xml:space="preserve">3) include into </w:t>
      </w:r>
      <w:r w:rsidRPr="00CD0967">
        <w:rPr>
          <w:b/>
          <w:lang w:val="en"/>
        </w:rPr>
        <w:t>Comprehensive Privatization Plan</w:t>
      </w:r>
      <w:r>
        <w:rPr>
          <w:lang w:val="en"/>
        </w:rPr>
        <w:t xml:space="preserve"> organizations with state participation that provide services for collection and removal of solid waste in regions with well-developed competition.</w:t>
      </w:r>
    </w:p>
    <w:p w14:paraId="6208D3B6" w14:textId="77777777" w:rsidR="008F64D6" w:rsidRPr="00A57506" w:rsidRDefault="004C4BA9" w:rsidP="008F64D6">
      <w:pPr>
        <w:tabs>
          <w:tab w:val="clear" w:pos="567"/>
        </w:tabs>
        <w:ind w:right="-2"/>
        <w:rPr>
          <w:i/>
          <w:iCs/>
          <w:sz w:val="24"/>
          <w:lang w:val="en-US"/>
        </w:rPr>
      </w:pPr>
      <w:r w:rsidRPr="009C4D8B">
        <w:rPr>
          <w:b/>
          <w:i/>
          <w:iCs/>
          <w:sz w:val="24"/>
          <w:lang w:val="en"/>
        </w:rPr>
        <w:t>For reference</w:t>
      </w:r>
      <w:r w:rsidRPr="009C4D8B">
        <w:rPr>
          <w:i/>
          <w:iCs/>
          <w:sz w:val="24"/>
          <w:lang w:val="en"/>
        </w:rPr>
        <w:t>: On January 23, 2023, discussion with experts of results of analyzing market for collection, removal, sorting and disposal of solid waste with participation of MEGNR, Kazakhstan Waste Management Association "KazWaste", "Atameken" NCE took place, following which experts supported the Agency's proposals.</w:t>
      </w:r>
    </w:p>
    <w:p w14:paraId="07AED02D" w14:textId="77777777" w:rsidR="00CD0967" w:rsidRPr="00A57506" w:rsidRDefault="004C4BA9" w:rsidP="00CD0967">
      <w:pPr>
        <w:tabs>
          <w:tab w:val="clear" w:pos="567"/>
        </w:tabs>
        <w:ind w:right="-2"/>
        <w:rPr>
          <w:rFonts w:eastAsia="Calibri"/>
          <w:iCs/>
          <w:lang w:val="en-US" w:eastAsia="en-US"/>
        </w:rPr>
      </w:pPr>
      <w:r w:rsidRPr="001529C7">
        <w:rPr>
          <w:lang w:val="en"/>
        </w:rPr>
        <w:t xml:space="preserve">Based on results of the analysis, the Agency, together with the Ministry of Ecology, Geology and Natural Resources, developed draft </w:t>
      </w:r>
      <w:r w:rsidRPr="009C4D8B">
        <w:rPr>
          <w:b/>
          <w:lang w:val="en"/>
        </w:rPr>
        <w:t>roadmap for development of competition in solid waste market</w:t>
      </w:r>
      <w:r w:rsidRPr="001529C7">
        <w:rPr>
          <w:lang w:val="en"/>
        </w:rPr>
        <w:t xml:space="preserve"> </w:t>
      </w:r>
      <w:r w:rsidRPr="009C4D8B">
        <w:rPr>
          <w:i/>
          <w:iCs/>
          <w:sz w:val="24"/>
          <w:lang w:val="en"/>
        </w:rPr>
        <w:t>(March 27, 2023, sent for approval to MEGNR)</w:t>
      </w:r>
      <w:r w:rsidRPr="001529C7">
        <w:rPr>
          <w:i/>
          <w:iCs/>
          <w:lang w:val="en"/>
        </w:rPr>
        <w:t>,</w:t>
      </w:r>
      <w:r w:rsidRPr="001529C7">
        <w:rPr>
          <w:lang w:val="en"/>
        </w:rPr>
        <w:t xml:space="preserve"> which includes measures aimed at reducing state participation, removing barriers to entry of subjects into market of collection, export, burial, sorting of solid waste. Implementation of these measures will reduce concentration of market for collection and removal of solid waste </w:t>
      </w:r>
      <w:r w:rsidR="009C4D8B" w:rsidRPr="00483CAC">
        <w:rPr>
          <w:i/>
          <w:sz w:val="24"/>
          <w:lang w:val="en"/>
        </w:rPr>
        <w:t>(CR-1)</w:t>
      </w:r>
      <w:r w:rsidRPr="001529C7">
        <w:rPr>
          <w:lang w:val="en"/>
        </w:rPr>
        <w:t xml:space="preserve"> from </w:t>
      </w:r>
      <w:r w:rsidR="009C4D8B" w:rsidRPr="00483CAC">
        <w:rPr>
          <w:b/>
          <w:lang w:val="en"/>
        </w:rPr>
        <w:t>80</w:t>
      </w:r>
      <w:r w:rsidRPr="001529C7">
        <w:rPr>
          <w:lang w:val="en"/>
        </w:rPr>
        <w:t xml:space="preserve"> to </w:t>
      </w:r>
      <w:r w:rsidR="009C4D8B" w:rsidRPr="00483CAC">
        <w:rPr>
          <w:b/>
          <w:lang w:val="en"/>
        </w:rPr>
        <w:t>35%</w:t>
      </w:r>
      <w:r w:rsidRPr="001529C7">
        <w:rPr>
          <w:lang w:val="en"/>
        </w:rPr>
        <w:t xml:space="preserve"> and volume of services for collection and removal of solid waste will be redistributed among its participants. According to forecast data, average volume of solid waste market will increase by 4 billion KZT.</w:t>
      </w:r>
    </w:p>
    <w:p w14:paraId="587506C4" w14:textId="77777777" w:rsidR="007C5A6C" w:rsidRPr="001529C7" w:rsidRDefault="004C4BA9" w:rsidP="00901D92">
      <w:pPr>
        <w:pStyle w:val="Heading2"/>
        <w:numPr>
          <w:ilvl w:val="1"/>
          <w:numId w:val="8"/>
        </w:numPr>
        <w:tabs>
          <w:tab w:val="left" w:pos="0"/>
          <w:tab w:val="left" w:pos="1134"/>
        </w:tabs>
        <w:spacing w:before="240" w:after="240"/>
        <w:ind w:left="0" w:firstLine="567"/>
        <w:rPr>
          <w:rFonts w:cs="Times New Roman"/>
          <w:szCs w:val="28"/>
        </w:rPr>
      </w:pPr>
      <w:bookmarkStart w:id="80" w:name="_Toc71897819"/>
      <w:r w:rsidRPr="001529C7">
        <w:rPr>
          <w:rFonts w:cs="Times New Roman"/>
          <w:szCs w:val="28"/>
          <w:lang w:val="en"/>
        </w:rPr>
        <w:t xml:space="preserve"> </w:t>
      </w:r>
      <w:bookmarkStart w:id="81" w:name="_Hlk103164013"/>
      <w:bookmarkStart w:id="82" w:name="_Toc142467924"/>
      <w:bookmarkStart w:id="83" w:name="_Hlk100584413"/>
      <w:bookmarkEnd w:id="80"/>
      <w:bookmarkEnd w:id="81"/>
      <w:r w:rsidRPr="001529C7">
        <w:rPr>
          <w:rFonts w:cs="Times New Roman"/>
          <w:szCs w:val="28"/>
          <w:lang w:val="en"/>
        </w:rPr>
        <w:t>Car lending services market.</w:t>
      </w:r>
      <w:bookmarkEnd w:id="82"/>
    </w:p>
    <w:p w14:paraId="1C9184CB" w14:textId="77777777" w:rsidR="0053755E" w:rsidRPr="00A57506" w:rsidRDefault="004C4BA9" w:rsidP="00D448FB">
      <w:pPr>
        <w:rPr>
          <w:bCs/>
          <w:color w:val="000000" w:themeColor="text1"/>
          <w:lang w:val="en-US"/>
        </w:rPr>
      </w:pPr>
      <w:r w:rsidRPr="001529C7">
        <w:rPr>
          <w:color w:val="000000" w:themeColor="text1"/>
          <w:lang w:val="en"/>
        </w:rPr>
        <w:t>Analysis of car lending services market was carried out in accordance with the Agency's Work Plan for 2022.</w:t>
      </w:r>
    </w:p>
    <w:p w14:paraId="15A00F54" w14:textId="77777777" w:rsidR="00483CAC" w:rsidRPr="00A57506" w:rsidRDefault="004C4BA9" w:rsidP="00483CAC">
      <w:pPr>
        <w:rPr>
          <w:rFonts w:eastAsia="Calibri"/>
          <w:lang w:val="en-US" w:eastAsia="en-US"/>
        </w:rPr>
      </w:pPr>
      <w:r w:rsidRPr="00045B4A">
        <w:rPr>
          <w:rFonts w:eastAsia="Calibri"/>
          <w:lang w:val="en" w:eastAsia="en-US"/>
        </w:rPr>
        <w:t xml:space="preserve">According to results of the analysis, it was found that the market of car lending services is highly </w:t>
      </w:r>
      <w:r w:rsidRPr="00483CAC">
        <w:rPr>
          <w:rFonts w:eastAsia="Calibri"/>
          <w:b/>
          <w:i/>
          <w:lang w:val="en" w:eastAsia="en-US"/>
        </w:rPr>
        <w:t>concentrated</w:t>
      </w:r>
      <w:r w:rsidRPr="00045B4A">
        <w:rPr>
          <w:rFonts w:eastAsia="Calibri"/>
          <w:lang w:val="en" w:eastAsia="en-US"/>
        </w:rPr>
        <w:t xml:space="preserve">. </w:t>
      </w:r>
    </w:p>
    <w:p w14:paraId="3878CA1B" w14:textId="77777777" w:rsidR="00483CAC" w:rsidRPr="00A57506" w:rsidRDefault="004C4BA9" w:rsidP="00483CAC">
      <w:pPr>
        <w:tabs>
          <w:tab w:val="clear" w:pos="567"/>
        </w:tabs>
        <w:rPr>
          <w:rFonts w:eastAsia="Calibri"/>
          <w:lang w:val="en-US" w:eastAsia="en-US"/>
        </w:rPr>
      </w:pPr>
      <w:r w:rsidRPr="00045B4A">
        <w:rPr>
          <w:rFonts w:eastAsia="Calibri"/>
          <w:lang w:val="en" w:eastAsia="en-US"/>
        </w:rPr>
        <w:t xml:space="preserve">For the period from 2020 and 2021, dominant position of </w:t>
      </w:r>
      <w:r w:rsidRPr="00045B4A">
        <w:rPr>
          <w:rFonts w:eastAsia="Calibri"/>
          <w:lang w:val="en" w:eastAsia="en-US"/>
        </w:rPr>
        <w:br/>
        <w:t xml:space="preserve">"Kaspi Bank" JSC, "Sberbank" </w:t>
      </w:r>
      <w:r w:rsidRPr="00483CAC">
        <w:rPr>
          <w:rFonts w:eastAsia="Calibri"/>
          <w:i/>
          <w:sz w:val="24"/>
          <w:lang w:val="en" w:eastAsia="en-US"/>
        </w:rPr>
        <w:t>(Bereke Bank)</w:t>
      </w:r>
      <w:r w:rsidRPr="00045B4A">
        <w:rPr>
          <w:rFonts w:eastAsia="Calibri"/>
          <w:lang w:val="en" w:eastAsia="en-US"/>
        </w:rPr>
        <w:t xml:space="preserve"> JSC, "Eurasian Bank" JSC has been identified, with combined share of dominance more than 70%. According to results of 9 months of 2022, "Eurasian Bank" JSC, "Kaspi Bank" JSC, "Bank Center Credit" JSC occupy dominant position with total share of 70%.</w:t>
      </w:r>
    </w:p>
    <w:p w14:paraId="0CEE3751" w14:textId="77777777" w:rsidR="000A77E8" w:rsidRPr="00A57506" w:rsidRDefault="004C4BA9" w:rsidP="000A77E8">
      <w:pPr>
        <w:tabs>
          <w:tab w:val="clear" w:pos="567"/>
          <w:tab w:val="left" w:pos="8222"/>
        </w:tabs>
        <w:rPr>
          <w:color w:val="000000"/>
          <w:lang w:val="en-US" w:eastAsia="en-US"/>
        </w:rPr>
      </w:pPr>
      <w:r>
        <w:rPr>
          <w:color w:val="000000"/>
          <w:lang w:val="en" w:eastAsia="en-US"/>
        </w:rPr>
        <w:t xml:space="preserve">In 2022, market share of "Eurasian Bank" JSC and "Bank Center Credit" JSC increased due to participation in program for preferential car loans without down payment </w:t>
      </w:r>
      <w:r w:rsidRPr="00483CAC">
        <w:rPr>
          <w:b/>
          <w:color w:val="000000"/>
          <w:lang w:val="en" w:eastAsia="en-US"/>
        </w:rPr>
        <w:t>at 4% interest rate</w:t>
      </w:r>
    </w:p>
    <w:p w14:paraId="29CCD92C" w14:textId="77777777" w:rsidR="000A77E8" w:rsidRPr="00A57506" w:rsidRDefault="004C4BA9" w:rsidP="000A77E8">
      <w:pPr>
        <w:pBdr>
          <w:top w:val="nil"/>
          <w:left w:val="nil"/>
          <w:bottom w:val="nil"/>
          <w:right w:val="nil"/>
          <w:between w:val="nil"/>
        </w:pBdr>
        <w:tabs>
          <w:tab w:val="clear" w:pos="567"/>
        </w:tabs>
        <w:ind w:firstLine="720"/>
        <w:rPr>
          <w:rFonts w:eastAsia="Calibri"/>
          <w:lang w:val="en-US" w:eastAsia="en-US"/>
        </w:rPr>
      </w:pPr>
      <w:r w:rsidRPr="00DB6ACF">
        <w:rPr>
          <w:color w:val="000000"/>
          <w:lang w:val="en" w:eastAsia="en-US"/>
        </w:rPr>
        <w:lastRenderedPageBreak/>
        <w:t xml:space="preserve">Outside preferential car loans, largest volume of car loans belongs to </w:t>
      </w:r>
      <w:r w:rsidRPr="00DB6ACF">
        <w:rPr>
          <w:rFonts w:eastAsia="Calibri"/>
          <w:lang w:val="en" w:eastAsia="en-US"/>
        </w:rPr>
        <w:t xml:space="preserve"> "Kaspi Bank" JSC. This bank provides car loan services at "Kolesa" digital platform, acquired in 2013. With that, interest rate at this platform was </w:t>
      </w:r>
      <w:r w:rsidRPr="00DB6ACF">
        <w:rPr>
          <w:rFonts w:eastAsia="Calibri"/>
          <w:b/>
          <w:lang w:val="en" w:eastAsia="en-US"/>
        </w:rPr>
        <w:t>34%</w:t>
      </w:r>
      <w:r w:rsidRPr="00DB6ACF">
        <w:rPr>
          <w:rFonts w:eastAsia="Calibri"/>
          <w:lang w:val="en" w:eastAsia="en-US"/>
        </w:rPr>
        <w:t>.</w:t>
      </w:r>
    </w:p>
    <w:p w14:paraId="32B4300C" w14:textId="77777777" w:rsidR="00483CAC" w:rsidRPr="00A57506" w:rsidRDefault="004C4BA9" w:rsidP="000A77E8">
      <w:pPr>
        <w:tabs>
          <w:tab w:val="clear" w:pos="567"/>
          <w:tab w:val="left" w:pos="8222"/>
        </w:tabs>
        <w:rPr>
          <w:color w:val="000000"/>
          <w:lang w:val="en-US" w:eastAsia="en-US"/>
        </w:rPr>
      </w:pPr>
      <w:r w:rsidRPr="00771ABB">
        <w:rPr>
          <w:color w:val="000000"/>
          <w:lang w:val="en" w:eastAsia="en-US"/>
        </w:rPr>
        <w:t xml:space="preserve">Along with this, practice shows that when a bank provides a loan, </w:t>
      </w:r>
      <w:r w:rsidRPr="00483CAC">
        <w:rPr>
          <w:b/>
          <w:color w:val="000000"/>
          <w:lang w:val="en" w:eastAsia="en-US"/>
        </w:rPr>
        <w:t>insurance products of affiliated company are imposed</w:t>
      </w:r>
      <w:r w:rsidRPr="00771ABB">
        <w:rPr>
          <w:color w:val="000000"/>
          <w:lang w:val="en" w:eastAsia="en-US"/>
        </w:rPr>
        <w:t>. For example, larger number of vehicles, purchased under car loans issued by "Eurasian Bank" JSC, are insured through its affiliated "SC Eurasia" JSC.</w:t>
      </w:r>
    </w:p>
    <w:p w14:paraId="45A405A4" w14:textId="77777777" w:rsidR="00483CAC" w:rsidRPr="00A57506" w:rsidRDefault="004C4BA9" w:rsidP="00483CAC">
      <w:pPr>
        <w:tabs>
          <w:tab w:val="clear" w:pos="567"/>
          <w:tab w:val="left" w:pos="8222"/>
        </w:tabs>
        <w:rPr>
          <w:color w:val="000000"/>
          <w:lang w:val="en-US" w:eastAsia="en-US"/>
        </w:rPr>
      </w:pPr>
      <w:r>
        <w:rPr>
          <w:color w:val="000000"/>
          <w:lang w:val="en" w:eastAsia="en-US"/>
        </w:rPr>
        <w:t xml:space="preserve">Thus, there is a </w:t>
      </w:r>
      <w:r w:rsidRPr="00483CAC">
        <w:rPr>
          <w:b/>
          <w:i/>
          <w:color w:val="000000"/>
          <w:lang w:val="en" w:eastAsia="en-US"/>
        </w:rPr>
        <w:t>low level of competition</w:t>
      </w:r>
      <w:r>
        <w:rPr>
          <w:color w:val="000000"/>
          <w:lang w:val="en" w:eastAsia="en-US"/>
        </w:rPr>
        <w:t xml:space="preserve"> in car loan services market, while market position of individual players is enhanced by expansion of their own digital platforms, as a result of which there are high interest rates in commercial segment, risks of restrictions in choosing financial institution.</w:t>
      </w:r>
    </w:p>
    <w:p w14:paraId="407930C8" w14:textId="77777777" w:rsidR="00483CAC" w:rsidRPr="00A57506" w:rsidRDefault="004C4BA9" w:rsidP="00483CAC">
      <w:pPr>
        <w:tabs>
          <w:tab w:val="clear" w:pos="567"/>
          <w:tab w:val="left" w:pos="8222"/>
        </w:tabs>
        <w:rPr>
          <w:color w:val="000000"/>
          <w:lang w:val="en-US" w:eastAsia="en-US"/>
        </w:rPr>
      </w:pPr>
      <w:r w:rsidRPr="00C64B1D">
        <w:rPr>
          <w:color w:val="000000"/>
          <w:lang w:val="en" w:eastAsia="en-US"/>
        </w:rPr>
        <w:t>With that, as part of the analysis, the Agency studied the mechanism of distributing funds within the framework of preferential car loans in 2022.</w:t>
      </w:r>
    </w:p>
    <w:p w14:paraId="04513816" w14:textId="77777777" w:rsidR="00483CAC" w:rsidRPr="00A57506" w:rsidRDefault="004C4BA9" w:rsidP="00483CAC">
      <w:pPr>
        <w:tabs>
          <w:tab w:val="clear" w:pos="567"/>
          <w:tab w:val="left" w:pos="8222"/>
        </w:tabs>
        <w:rPr>
          <w:color w:val="000000"/>
          <w:lang w:val="en-US" w:eastAsia="en-US"/>
        </w:rPr>
      </w:pPr>
      <w:r w:rsidRPr="00771ABB">
        <w:rPr>
          <w:color w:val="000000"/>
          <w:lang w:val="en" w:eastAsia="en-US"/>
        </w:rPr>
        <w:t xml:space="preserve">Within the framework of Rules for Financing by the operator of extended obligations of Producers </w:t>
      </w:r>
      <w:r w:rsidRPr="00483CAC">
        <w:rPr>
          <w:i/>
          <w:color w:val="000000"/>
          <w:sz w:val="24"/>
          <w:lang w:val="en" w:eastAsia="en-US"/>
        </w:rPr>
        <w:t>(importers)</w:t>
      </w:r>
      <w:r w:rsidRPr="00771ABB">
        <w:rPr>
          <w:color w:val="000000"/>
          <w:lang w:val="en" w:eastAsia="en-US"/>
        </w:rPr>
        <w:t xml:space="preserve"> of an organization, fifty or more percent of voting </w:t>
      </w:r>
      <w:r w:rsidRPr="00483CAC">
        <w:rPr>
          <w:i/>
          <w:color w:val="000000"/>
          <w:sz w:val="24"/>
          <w:lang w:val="en" w:eastAsia="en-US"/>
        </w:rPr>
        <w:t>shares (participation shares in authorized capital)</w:t>
      </w:r>
      <w:r w:rsidRPr="00771ABB">
        <w:rPr>
          <w:color w:val="000000"/>
          <w:lang w:val="en" w:eastAsia="en-US"/>
        </w:rPr>
        <w:t xml:space="preserve"> of which are directly or indirectly owned by state and </w:t>
      </w:r>
      <w:r w:rsidRPr="00483CAC">
        <w:rPr>
          <w:i/>
          <w:color w:val="000000"/>
          <w:sz w:val="24"/>
          <w:lang w:val="en" w:eastAsia="en-US"/>
        </w:rPr>
        <w:t>(or)</w:t>
      </w:r>
      <w:r w:rsidRPr="00771ABB">
        <w:rPr>
          <w:color w:val="000000"/>
          <w:lang w:val="en" w:eastAsia="en-US"/>
        </w:rPr>
        <w:t xml:space="preserve"> national management holding, for further financing of projects in the manufacturing industry aimed at improving environment condition</w:t>
      </w:r>
      <w:r w:rsidRPr="00771ABB">
        <w:rPr>
          <w:i/>
          <w:iCs/>
          <w:color w:val="000000"/>
          <w:sz w:val="24"/>
          <w:szCs w:val="24"/>
          <w:lang w:val="en" w:eastAsia="en-US"/>
        </w:rPr>
        <w:t>,</w:t>
      </w:r>
      <w:r w:rsidRPr="00771ABB">
        <w:rPr>
          <w:color w:val="000000"/>
          <w:lang w:val="en" w:eastAsia="en-US"/>
        </w:rPr>
        <w:t xml:space="preserve"> approved by Government's Decree on September 2, 2021, No. 604 </w:t>
      </w:r>
      <w:r w:rsidRPr="00771ABB">
        <w:rPr>
          <w:i/>
          <w:iCs/>
          <w:color w:val="000000"/>
          <w:sz w:val="24"/>
          <w:szCs w:val="24"/>
          <w:lang w:val="en" w:eastAsia="en-US"/>
        </w:rPr>
        <w:t>(hereinafter referred to as Rules 604)</w:t>
      </w:r>
      <w:r w:rsidRPr="00771ABB">
        <w:rPr>
          <w:color w:val="000000"/>
          <w:lang w:val="en" w:eastAsia="en-US"/>
        </w:rPr>
        <w:t xml:space="preserve">, </w:t>
      </w:r>
      <w:r w:rsidRPr="00483CAC">
        <w:rPr>
          <w:b/>
          <w:color w:val="000000"/>
          <w:lang w:val="en" w:eastAsia="en-US"/>
        </w:rPr>
        <w:t>100 billion KZT was allocated</w:t>
      </w:r>
      <w:r w:rsidRPr="00771ABB">
        <w:rPr>
          <w:color w:val="000000"/>
          <w:lang w:val="en" w:eastAsia="en-US"/>
        </w:rPr>
        <w:t xml:space="preserve"> for renewal of motor vehicles fleet by stimulating demand of population.</w:t>
      </w:r>
    </w:p>
    <w:p w14:paraId="3AE145C9" w14:textId="77777777" w:rsidR="00483CAC" w:rsidRPr="00A57506" w:rsidRDefault="004C4BA9" w:rsidP="00483CAC">
      <w:pPr>
        <w:tabs>
          <w:tab w:val="clear" w:pos="567"/>
          <w:tab w:val="left" w:pos="8222"/>
        </w:tabs>
        <w:rPr>
          <w:color w:val="000000"/>
          <w:lang w:val="en-US" w:eastAsia="en-US"/>
        </w:rPr>
      </w:pPr>
      <w:r>
        <w:rPr>
          <w:color w:val="000000"/>
          <w:lang w:val="en" w:eastAsia="en-US"/>
        </w:rPr>
        <w:t xml:space="preserve">In accordance with the abovementioned Rules 604, the Protocol of Commission of Industrial Enterprises dated May 13, 2022 established </w:t>
      </w:r>
      <w:r w:rsidRPr="00483CAC">
        <w:rPr>
          <w:b/>
          <w:color w:val="000000"/>
          <w:lang w:val="en" w:eastAsia="en-US"/>
        </w:rPr>
        <w:t>funding limits</w:t>
      </w:r>
      <w:r>
        <w:rPr>
          <w:color w:val="000000"/>
          <w:lang w:val="en" w:eastAsia="en-US"/>
        </w:rPr>
        <w:t xml:space="preserve"> between Saryarka Avtoprom LLP and Hyundai Trans Kazakhstan LLP in the amount of </w:t>
      </w:r>
      <w:r w:rsidRPr="00483CAC">
        <w:rPr>
          <w:b/>
          <w:color w:val="000000"/>
          <w:lang w:val="en" w:eastAsia="en-US"/>
        </w:rPr>
        <w:t>58.4</w:t>
      </w:r>
      <w:r>
        <w:rPr>
          <w:color w:val="000000"/>
          <w:lang w:val="en" w:eastAsia="en-US"/>
        </w:rPr>
        <w:t xml:space="preserve"> and </w:t>
      </w:r>
      <w:r w:rsidRPr="00483CAC">
        <w:rPr>
          <w:b/>
          <w:color w:val="000000"/>
          <w:lang w:val="en" w:eastAsia="en-US"/>
        </w:rPr>
        <w:t>41.6 billion KZT</w:t>
      </w:r>
      <w:r>
        <w:rPr>
          <w:color w:val="000000"/>
          <w:lang w:val="en" w:eastAsia="en-US"/>
        </w:rPr>
        <w:t>.</w:t>
      </w:r>
    </w:p>
    <w:p w14:paraId="6F3F06C9" w14:textId="77777777" w:rsidR="00483CAC" w:rsidRPr="00A57506" w:rsidRDefault="004C4BA9" w:rsidP="00483CAC">
      <w:pPr>
        <w:tabs>
          <w:tab w:val="clear" w:pos="567"/>
          <w:tab w:val="left" w:pos="8222"/>
        </w:tabs>
        <w:rPr>
          <w:rFonts w:eastAsia="Calibri"/>
          <w:lang w:val="en-US" w:eastAsia="en-US"/>
        </w:rPr>
      </w:pPr>
      <w:r>
        <w:rPr>
          <w:rFonts w:eastAsia="Calibri"/>
          <w:lang w:val="en" w:eastAsia="en-US"/>
        </w:rPr>
        <w:t>The abovementioned mechanism of distributing funds was carried out through lending by quasi-public sector entities to second-tier banks.</w:t>
      </w:r>
    </w:p>
    <w:p w14:paraId="5FF433E5" w14:textId="77777777" w:rsidR="00483CAC" w:rsidRPr="00A57506" w:rsidRDefault="004C4BA9" w:rsidP="00483CAC">
      <w:pPr>
        <w:tabs>
          <w:tab w:val="clear" w:pos="567"/>
          <w:tab w:val="left" w:pos="8222"/>
        </w:tabs>
        <w:rPr>
          <w:rFonts w:eastAsia="Calibri"/>
          <w:lang w:val="en-US" w:eastAsia="en-US"/>
        </w:rPr>
      </w:pPr>
      <w:r w:rsidRPr="00771ABB">
        <w:rPr>
          <w:rFonts w:eastAsia="Calibri"/>
          <w:lang w:val="en" w:eastAsia="en-US"/>
        </w:rPr>
        <w:t>"Zhasyl Damu" JSC provided a loan in amount of 100 billion KZT</w:t>
      </w:r>
      <w:r w:rsidRPr="00771ABB">
        <w:rPr>
          <w:color w:val="000000"/>
          <w:lang w:val="en" w:eastAsia="en-US"/>
        </w:rPr>
        <w:t xml:space="preserve"> to "Industrial Development Fund" JSC </w:t>
      </w:r>
      <w:r w:rsidRPr="00483CAC">
        <w:rPr>
          <w:i/>
          <w:color w:val="000000"/>
          <w:sz w:val="24"/>
          <w:szCs w:val="24"/>
          <w:lang w:val="en" w:eastAsia="en-US"/>
        </w:rPr>
        <w:t>(hereinafter – IDF)</w:t>
      </w:r>
      <w:r w:rsidRPr="00771ABB">
        <w:rPr>
          <w:color w:val="000000"/>
          <w:lang w:val="en" w:eastAsia="en-US"/>
        </w:rPr>
        <w:t xml:space="preserve"> with interest rate of 0.1% for further lending to second-tier banks.</w:t>
      </w:r>
    </w:p>
    <w:p w14:paraId="3677C12B" w14:textId="77777777" w:rsidR="00483CAC" w:rsidRPr="00A57506" w:rsidRDefault="004C4BA9" w:rsidP="00483CAC">
      <w:pPr>
        <w:tabs>
          <w:tab w:val="clear" w:pos="567"/>
          <w:tab w:val="left" w:pos="8222"/>
        </w:tabs>
        <w:rPr>
          <w:rFonts w:eastAsia="Calibri"/>
          <w:lang w:val="en-US" w:eastAsia="en-US"/>
        </w:rPr>
      </w:pPr>
      <w:r w:rsidRPr="00771ABB">
        <w:rPr>
          <w:rFonts w:eastAsia="Calibri"/>
          <w:lang w:val="en" w:eastAsia="en-US"/>
        </w:rPr>
        <w:t xml:space="preserve">One of IDF's conditions at granting loans to second-tier banks is availability of branch network in the Republic of Kazakhstan. This requirement limited number of participants </w:t>
      </w:r>
      <w:r w:rsidRPr="00771ABB">
        <w:rPr>
          <w:rFonts w:eastAsia="Calibri"/>
          <w:i/>
          <w:iCs/>
          <w:sz w:val="24"/>
          <w:szCs w:val="24"/>
          <w:lang w:val="en" w:eastAsia="en-US"/>
        </w:rPr>
        <w:t>(Freedom Finance Bank JSC did not meet this requirement).</w:t>
      </w:r>
      <w:r w:rsidRPr="00771ABB">
        <w:rPr>
          <w:rFonts w:eastAsia="Calibri"/>
          <w:lang w:val="en" w:eastAsia="en-US"/>
        </w:rPr>
        <w:t xml:space="preserve">  </w:t>
      </w:r>
    </w:p>
    <w:p w14:paraId="2B3A5475" w14:textId="36E2125F" w:rsidR="00483CAC" w:rsidRPr="00A57506" w:rsidRDefault="004C4BA9" w:rsidP="00483CAC">
      <w:pPr>
        <w:tabs>
          <w:tab w:val="clear" w:pos="567"/>
          <w:tab w:val="left" w:pos="8222"/>
        </w:tabs>
        <w:rPr>
          <w:rFonts w:eastAsia="Calibri"/>
          <w:lang w:val="en-US" w:eastAsia="en-US"/>
        </w:rPr>
      </w:pPr>
      <w:r w:rsidRPr="00771ABB">
        <w:rPr>
          <w:color w:val="000000"/>
          <w:lang w:val="en" w:eastAsia="en-US"/>
        </w:rPr>
        <w:t>Based on the results of considering applications, "Industrial Development Fund" JSC distributed 100 billion KZT among 4 second–tier banks</w:t>
      </w:r>
      <w:r>
        <w:rPr>
          <w:rFonts w:eastAsia="Calibri"/>
          <w:lang w:val="en" w:eastAsia="en-US"/>
        </w:rPr>
        <w:t xml:space="preserve"> "Eurasian Bank" </w:t>
      </w:r>
      <w:r w:rsidR="002019FC" w:rsidRPr="002019FC">
        <w:rPr>
          <w:color w:val="000000"/>
          <w:lang w:val="en" w:eastAsia="en-US"/>
        </w:rPr>
        <w:t>–</w:t>
      </w:r>
      <w:r>
        <w:rPr>
          <w:rFonts w:eastAsia="Calibri"/>
          <w:lang w:val="en" w:eastAsia="en-US"/>
        </w:rPr>
        <w:t xml:space="preserve"> 35 billion KZT, "Bank Center Credit" JSC </w:t>
      </w:r>
      <w:r w:rsidR="002019FC" w:rsidRPr="002019FC">
        <w:rPr>
          <w:color w:val="000000"/>
          <w:lang w:val="en" w:eastAsia="en-US"/>
        </w:rPr>
        <w:t>–</w:t>
      </w:r>
      <w:r>
        <w:rPr>
          <w:rFonts w:eastAsia="Calibri"/>
          <w:lang w:val="en" w:eastAsia="en-US"/>
        </w:rPr>
        <w:t xml:space="preserve"> 27.5 billion KZT, "Halyk Bank" JSC </w:t>
      </w:r>
      <w:r w:rsidR="002019FC" w:rsidRPr="002019FC">
        <w:rPr>
          <w:color w:val="000000"/>
          <w:lang w:val="en" w:eastAsia="en-US"/>
        </w:rPr>
        <w:t>–</w:t>
      </w:r>
      <w:r>
        <w:rPr>
          <w:rFonts w:eastAsia="Calibri"/>
          <w:lang w:val="en" w:eastAsia="en-US"/>
        </w:rPr>
        <w:t xml:space="preserve"> 22.5 billion KZT and "Forte Bank" JSC  </w:t>
      </w:r>
      <w:r w:rsidR="002019FC" w:rsidRPr="002019FC">
        <w:rPr>
          <w:color w:val="000000"/>
          <w:lang w:val="en" w:eastAsia="en-US"/>
        </w:rPr>
        <w:t>-</w:t>
      </w:r>
      <w:r>
        <w:rPr>
          <w:rFonts w:eastAsia="Calibri"/>
          <w:lang w:val="en" w:eastAsia="en-US"/>
        </w:rPr>
        <w:t xml:space="preserve"> 15 billion KZT by concluding long-term loan agreement for 30 years with interest rate of 1%.</w:t>
      </w:r>
    </w:p>
    <w:p w14:paraId="77C6CB11" w14:textId="77777777" w:rsidR="00483CAC" w:rsidRPr="00A57506" w:rsidRDefault="004C4BA9" w:rsidP="00483CAC">
      <w:pPr>
        <w:tabs>
          <w:tab w:val="clear" w:pos="567"/>
          <w:tab w:val="left" w:pos="8222"/>
        </w:tabs>
        <w:rPr>
          <w:rFonts w:eastAsia="Calibri"/>
          <w:b/>
          <w:bCs/>
          <w:lang w:val="en-US" w:eastAsia="en-US"/>
        </w:rPr>
      </w:pPr>
      <w:r w:rsidRPr="00771ABB">
        <w:rPr>
          <w:rFonts w:eastAsia="Calibri"/>
          <w:lang w:val="en" w:eastAsia="en-US"/>
        </w:rPr>
        <w:t xml:space="preserve">With that, according to the loan agreements, the IDF has determined financing limits for each automaker, which excludes </w:t>
      </w:r>
      <w:r w:rsidRPr="00FE3C1D">
        <w:rPr>
          <w:rFonts w:eastAsia="Calibri"/>
          <w:b/>
          <w:bCs/>
          <w:lang w:val="en" w:eastAsia="en-US"/>
        </w:rPr>
        <w:t>competition between these second-tier banks.</w:t>
      </w:r>
    </w:p>
    <w:p w14:paraId="20693EB8" w14:textId="77777777" w:rsidR="00483CAC" w:rsidRPr="00A57506" w:rsidRDefault="004C4BA9" w:rsidP="00483CAC">
      <w:pPr>
        <w:rPr>
          <w:lang w:val="en-US"/>
        </w:rPr>
      </w:pPr>
      <w:r>
        <w:rPr>
          <w:lang w:val="en"/>
        </w:rPr>
        <w:t>In general, it should be noted that, since 2015, preferential car loan financing programs had following problematic aspects.</w:t>
      </w:r>
    </w:p>
    <w:p w14:paraId="0097CFEC" w14:textId="77777777" w:rsidR="00483CAC" w:rsidRPr="00A57506" w:rsidRDefault="004C4BA9" w:rsidP="00483CAC">
      <w:pPr>
        <w:rPr>
          <w:lang w:val="en-US"/>
        </w:rPr>
      </w:pPr>
      <w:r>
        <w:rPr>
          <w:lang w:val="en"/>
        </w:rPr>
        <w:lastRenderedPageBreak/>
        <w:t xml:space="preserve">Main problem of preferential financing of car loans is related to </w:t>
      </w:r>
      <w:r w:rsidRPr="00FE3C1D">
        <w:rPr>
          <w:b/>
          <w:bCs/>
          <w:lang w:val="en"/>
        </w:rPr>
        <w:t>discrepancy between the supply and demand of cars</w:t>
      </w:r>
      <w:r>
        <w:rPr>
          <w:lang w:val="en"/>
        </w:rPr>
        <w:t xml:space="preserve">. Due to increased demand, preferential programs had to be suspended because allocated funds were running out.  </w:t>
      </w:r>
    </w:p>
    <w:p w14:paraId="5B103140" w14:textId="77777777" w:rsidR="00483CAC" w:rsidRPr="00A57506" w:rsidRDefault="004C4BA9" w:rsidP="00483CAC">
      <w:pPr>
        <w:rPr>
          <w:lang w:val="en-US"/>
        </w:rPr>
      </w:pPr>
      <w:r>
        <w:rPr>
          <w:lang w:val="en"/>
        </w:rPr>
        <w:t xml:space="preserve">As a result, borrowers has to </w:t>
      </w:r>
      <w:r w:rsidRPr="00483CAC">
        <w:rPr>
          <w:b/>
          <w:lang w:val="en"/>
        </w:rPr>
        <w:t>stand for a long time</w:t>
      </w:r>
      <w:r>
        <w:rPr>
          <w:lang w:val="en"/>
        </w:rPr>
        <w:t xml:space="preserve">  in line for considering application at the bank, waiting for receipt of revolving funds. </w:t>
      </w:r>
    </w:p>
    <w:p w14:paraId="173E5E03" w14:textId="77777777" w:rsidR="00483CAC" w:rsidRPr="00A57506" w:rsidRDefault="004C4BA9" w:rsidP="00483CAC">
      <w:pPr>
        <w:rPr>
          <w:lang w:val="en-US"/>
        </w:rPr>
      </w:pPr>
      <w:r>
        <w:rPr>
          <w:lang w:val="en"/>
        </w:rPr>
        <w:t xml:space="preserve">This situation was aggravated by </w:t>
      </w:r>
      <w:r w:rsidRPr="00483CAC">
        <w:rPr>
          <w:b/>
          <w:lang w:val="en"/>
        </w:rPr>
        <w:t>long delivery of spare parts</w:t>
      </w:r>
      <w:r>
        <w:rPr>
          <w:lang w:val="en"/>
        </w:rPr>
        <w:t xml:space="preserve"> due to lengthening of logistics routes during the pandemic, as well as </w:t>
      </w:r>
      <w:r w:rsidRPr="00483CAC">
        <w:rPr>
          <w:b/>
          <w:bCs/>
          <w:lang w:val="en"/>
        </w:rPr>
        <w:t>imposing additional equipment</w:t>
      </w:r>
      <w:r>
        <w:rPr>
          <w:lang w:val="en"/>
        </w:rPr>
        <w:t xml:space="preserve"> by car dealers selling cars of domestic assembly.</w:t>
      </w:r>
    </w:p>
    <w:p w14:paraId="4EA95E66" w14:textId="77777777" w:rsidR="00483CAC" w:rsidRPr="00A57506" w:rsidRDefault="004C4BA9" w:rsidP="00483CAC">
      <w:pPr>
        <w:rPr>
          <w:lang w:val="en-US"/>
        </w:rPr>
      </w:pPr>
      <w:r w:rsidRPr="00DB6ACF">
        <w:rPr>
          <w:lang w:val="en"/>
        </w:rPr>
        <w:t xml:space="preserve">Such actions constitute violation of paragraph 3 of Article 8-1 of the Law </w:t>
      </w:r>
      <w:r w:rsidRPr="00DB6ACF">
        <w:rPr>
          <w:lang w:val="en"/>
        </w:rPr>
        <w:br/>
        <w:t xml:space="preserve">"On Consumer Rights Protection", which prohibits establishment of consumer obligations for paid goods </w:t>
      </w:r>
      <w:r w:rsidRPr="00483CAC">
        <w:rPr>
          <w:i/>
          <w:sz w:val="24"/>
          <w:lang w:val="en"/>
        </w:rPr>
        <w:t>(works, services)</w:t>
      </w:r>
      <w:r w:rsidRPr="00DB6ACF">
        <w:rPr>
          <w:lang w:val="en"/>
        </w:rPr>
        <w:t xml:space="preserve">, imposed additionally by the seller </w:t>
      </w:r>
      <w:r w:rsidRPr="00483CAC">
        <w:rPr>
          <w:i/>
          <w:sz w:val="24"/>
          <w:lang w:val="en"/>
        </w:rPr>
        <w:t>(performer, manufacturer)</w:t>
      </w:r>
      <w:r w:rsidRPr="00DB6ACF">
        <w:rPr>
          <w:lang w:val="en"/>
        </w:rPr>
        <w:t xml:space="preserve"> </w:t>
      </w:r>
    </w:p>
    <w:p w14:paraId="52974991" w14:textId="77777777" w:rsidR="00483CAC" w:rsidRPr="00A57506" w:rsidRDefault="004C4BA9" w:rsidP="00483CAC">
      <w:pPr>
        <w:rPr>
          <w:lang w:val="en-US"/>
        </w:rPr>
      </w:pPr>
      <w:r w:rsidRPr="00771ABB">
        <w:rPr>
          <w:lang w:val="en"/>
        </w:rPr>
        <w:t>With that, there is no administrative responsibility for violation of this norm. Consumer protection authorities, including Committee for Consumer Protection under Ministry of Trade and Integration and Ministry of Industry and Infrastructure Development itself in terms of protecting rights of consumers of Kazakh automotive industry, are limited only by right to file lawsuits to court for elimination of violations.</w:t>
      </w:r>
    </w:p>
    <w:p w14:paraId="10EE29B4" w14:textId="77777777" w:rsidR="00483CAC" w:rsidRPr="00A57506" w:rsidRDefault="004C4BA9" w:rsidP="00483CAC">
      <w:pPr>
        <w:rPr>
          <w:lang w:val="en-US"/>
        </w:rPr>
      </w:pPr>
      <w:r w:rsidRPr="00483CAC">
        <w:rPr>
          <w:b/>
          <w:lang w:val="en"/>
        </w:rPr>
        <w:t xml:space="preserve">Imposition of compulsory accessories </w:t>
      </w:r>
      <w:r w:rsidRPr="00771ABB">
        <w:rPr>
          <w:lang w:val="en"/>
        </w:rPr>
        <w:t xml:space="preserve"> during sale of goods is also a violation of competition law, but only on condition that these actions violate rights of other suppliers of equipment, which requires them to submit appropriate applications and establish facts of restricting competition in the market for supply of additional equipment. </w:t>
      </w:r>
    </w:p>
    <w:p w14:paraId="1BC292B1" w14:textId="77777777" w:rsidR="00483CAC" w:rsidRPr="00A57506" w:rsidRDefault="004C4BA9" w:rsidP="00483CAC">
      <w:pPr>
        <w:tabs>
          <w:tab w:val="clear" w:pos="567"/>
          <w:tab w:val="left" w:pos="8222"/>
        </w:tabs>
        <w:rPr>
          <w:lang w:val="en-US"/>
        </w:rPr>
      </w:pPr>
      <w:r w:rsidRPr="00720D70">
        <w:rPr>
          <w:color w:val="000000"/>
          <w:lang w:val="en" w:eastAsia="en-US"/>
        </w:rPr>
        <w:t>With that, the Agency believes that this measure of state support</w:t>
      </w:r>
      <w:r w:rsidRPr="00720D70">
        <w:rPr>
          <w:lang w:val="en"/>
        </w:rPr>
        <w:t xml:space="preserve"> creates </w:t>
      </w:r>
      <w:r w:rsidRPr="00483CAC">
        <w:rPr>
          <w:b/>
          <w:lang w:val="en"/>
        </w:rPr>
        <w:t>risks of rising prices for domestic assembly cars</w:t>
      </w:r>
      <w:r w:rsidRPr="00720D70">
        <w:rPr>
          <w:lang w:val="en"/>
        </w:rPr>
        <w:t xml:space="preserve">. Thus, according to information of the Ministry of Industry and Infrastructure Development, in the first quarter of 2022, prices for passenger cars of domestic assembly </w:t>
      </w:r>
      <w:r w:rsidRPr="00483CAC">
        <w:rPr>
          <w:b/>
          <w:lang w:val="en"/>
        </w:rPr>
        <w:t>increased by 16%</w:t>
      </w:r>
      <w:r w:rsidRPr="00720D70">
        <w:rPr>
          <w:lang w:val="en"/>
        </w:rPr>
        <w:t xml:space="preserve"> compared to the same period of last year.</w:t>
      </w:r>
    </w:p>
    <w:p w14:paraId="128261E7" w14:textId="77777777" w:rsidR="00483CAC" w:rsidRPr="00A57506" w:rsidRDefault="004C4BA9" w:rsidP="00483CAC">
      <w:pPr>
        <w:rPr>
          <w:lang w:val="en-US"/>
        </w:rPr>
      </w:pPr>
      <w:r>
        <w:rPr>
          <w:lang w:val="en"/>
        </w:rPr>
        <w:tab/>
        <w:t xml:space="preserve">Earlier, on May 4, 2022, the Agency sent a letter to the Ministry of Industry and Infrastructure Development about the need to </w:t>
      </w:r>
      <w:r w:rsidRPr="00483CAC">
        <w:rPr>
          <w:b/>
          <w:lang w:val="en"/>
        </w:rPr>
        <w:t>freeze prices at current level</w:t>
      </w:r>
      <w:r>
        <w:rPr>
          <w:lang w:val="en"/>
        </w:rPr>
        <w:t xml:space="preserve"> until the limit of allocated funds is exhausted, in order to prevent speculative price increases. However, the Agency's proposal was not taken into account when launching preferential car loan program. </w:t>
      </w:r>
    </w:p>
    <w:p w14:paraId="2EF286FA" w14:textId="77777777" w:rsidR="00EA4A8B" w:rsidRPr="00A57506" w:rsidRDefault="004C4BA9" w:rsidP="00EA4A8B">
      <w:pPr>
        <w:rPr>
          <w:b/>
          <w:bCs/>
          <w:i/>
          <w:color w:val="000000" w:themeColor="text1"/>
          <w:lang w:val="en-US"/>
        </w:rPr>
      </w:pPr>
      <w:bookmarkStart w:id="84" w:name="_Toc71897820"/>
      <w:bookmarkEnd w:id="83"/>
      <w:r w:rsidRPr="001529C7">
        <w:rPr>
          <w:b/>
          <w:bCs/>
          <w:i/>
          <w:color w:val="000000" w:themeColor="text1"/>
          <w:lang w:val="en"/>
        </w:rPr>
        <w:t>Barriers for competition development</w:t>
      </w:r>
    </w:p>
    <w:p w14:paraId="2930F72B" w14:textId="77777777" w:rsidR="0032540C" w:rsidRPr="00A57506" w:rsidRDefault="004C4BA9" w:rsidP="0032540C">
      <w:pPr>
        <w:rPr>
          <w:rFonts w:eastAsia="Calibri"/>
          <w:lang w:val="en-US" w:eastAsia="en-US"/>
        </w:rPr>
      </w:pPr>
      <w:r>
        <w:rPr>
          <w:rFonts w:eastAsia="Calibri"/>
          <w:lang w:val="en" w:eastAsia="en-US"/>
        </w:rPr>
        <w:t>According to the results of Agency 's analysis, the following barriers to development of competition were identified:</w:t>
      </w:r>
    </w:p>
    <w:p w14:paraId="5686F7FF" w14:textId="77777777" w:rsidR="0032540C" w:rsidRPr="00A57506" w:rsidRDefault="004C4BA9" w:rsidP="0032540C">
      <w:pPr>
        <w:rPr>
          <w:rFonts w:eastAsia="Calibri"/>
          <w:lang w:val="en-US" w:eastAsia="en-US"/>
        </w:rPr>
      </w:pPr>
      <w:r>
        <w:rPr>
          <w:rFonts w:eastAsia="Calibri"/>
          <w:lang w:val="en" w:eastAsia="en-US"/>
        </w:rPr>
        <w:t>1) competition between automakers and second-tier banks is excluded due to preliminary distribution of financing limits, as a result of which consumer's choice of quality product is limited;</w:t>
      </w:r>
    </w:p>
    <w:p w14:paraId="12E4E781" w14:textId="77777777" w:rsidR="001B3AA3" w:rsidRPr="00A57506" w:rsidRDefault="004C4BA9" w:rsidP="0032540C">
      <w:pPr>
        <w:rPr>
          <w:rFonts w:eastAsia="Calibri"/>
          <w:lang w:val="en-US" w:eastAsia="en-US"/>
        </w:rPr>
      </w:pPr>
      <w:r>
        <w:rPr>
          <w:rFonts w:eastAsia="Calibri"/>
          <w:lang w:val="en" w:eastAsia="en-US"/>
        </w:rPr>
        <w:t>2) high interest rates in commercial segment, risks of imposing financial institution, limited choice of insurance company.</w:t>
      </w:r>
    </w:p>
    <w:p w14:paraId="7291E89F" w14:textId="77777777" w:rsidR="00EA4A8B" w:rsidRPr="00A57506" w:rsidRDefault="004C4BA9" w:rsidP="00EA4A8B">
      <w:pPr>
        <w:rPr>
          <w:b/>
          <w:bCs/>
          <w:i/>
          <w:color w:val="000000" w:themeColor="text1"/>
          <w:lang w:val="en-US"/>
        </w:rPr>
      </w:pPr>
      <w:r w:rsidRPr="001529C7">
        <w:rPr>
          <w:b/>
          <w:bCs/>
          <w:i/>
          <w:color w:val="000000" w:themeColor="text1"/>
          <w:lang w:val="en"/>
        </w:rPr>
        <w:t xml:space="preserve">Proposals and recommendations for competition development </w:t>
      </w:r>
    </w:p>
    <w:p w14:paraId="629614C5" w14:textId="77777777" w:rsidR="004C4C96" w:rsidRPr="00A57506" w:rsidRDefault="004C4BA9" w:rsidP="001B3AA3">
      <w:pPr>
        <w:rPr>
          <w:rFonts w:eastAsia="Calibri"/>
          <w:lang w:val="en-US" w:eastAsia="en-US"/>
        </w:rPr>
      </w:pPr>
      <w:r>
        <w:rPr>
          <w:rFonts w:eastAsia="Calibri"/>
          <w:lang w:val="en" w:eastAsia="en-US"/>
        </w:rPr>
        <w:t>Taking into account identified barriers for development of competition, the Agency proposes:</w:t>
      </w:r>
    </w:p>
    <w:p w14:paraId="32A7B0E5" w14:textId="77777777" w:rsidR="001B3AA3" w:rsidRPr="00A57506" w:rsidRDefault="004C4BA9" w:rsidP="001B3AA3">
      <w:pPr>
        <w:rPr>
          <w:rFonts w:eastAsia="Calibri"/>
          <w:lang w:val="en-US" w:eastAsia="en-US"/>
        </w:rPr>
      </w:pPr>
      <w:r w:rsidRPr="001529C7">
        <w:rPr>
          <w:rFonts w:eastAsia="Calibri"/>
          <w:lang w:val="en" w:eastAsia="en-US"/>
        </w:rPr>
        <w:lastRenderedPageBreak/>
        <w:t>- recommend to Ministry of Industry and Infrastructure Development to review the mechanism of preferential car loans in terms of eliminating limits of financing automakers;</w:t>
      </w:r>
    </w:p>
    <w:p w14:paraId="663A072C" w14:textId="77777777" w:rsidR="001B3AA3" w:rsidRPr="00A57506" w:rsidRDefault="004C4BA9" w:rsidP="001B3AA3">
      <w:pPr>
        <w:rPr>
          <w:rFonts w:eastAsia="Calibri"/>
          <w:lang w:val="en-US" w:eastAsia="en-US"/>
        </w:rPr>
      </w:pPr>
      <w:r w:rsidRPr="001529C7">
        <w:rPr>
          <w:rFonts w:eastAsia="Calibri"/>
          <w:lang w:val="en" w:eastAsia="en-US"/>
        </w:rPr>
        <w:t>- recommend to Agency for Regulation and Development of the Financial Market to ensure possibility of choosing insurance organizations at lending</w:t>
      </w:r>
      <w:r w:rsidRPr="004C4C96">
        <w:rPr>
          <w:rFonts w:eastAsia="Calibri"/>
          <w:i/>
          <w:sz w:val="24"/>
          <w:lang w:val="en" w:eastAsia="en-US"/>
        </w:rPr>
        <w:t xml:space="preserve"> (Rules for provision of banking services and consideration by banks, organizations engaged in certain types of banking transactions, customer requests arising in the process of providing banking services)</w:t>
      </w:r>
      <w:r w:rsidR="004C4C96">
        <w:rPr>
          <w:rFonts w:eastAsia="Calibri"/>
          <w:iCs/>
          <w:lang w:val="en" w:eastAsia="en-US"/>
        </w:rPr>
        <w:t>.</w:t>
      </w:r>
    </w:p>
    <w:p w14:paraId="5B3215D9" w14:textId="77777777" w:rsidR="004C4C96" w:rsidRPr="00A57506" w:rsidRDefault="004C4BA9" w:rsidP="001B3AA3">
      <w:pPr>
        <w:rPr>
          <w:rFonts w:eastAsia="Calibri"/>
          <w:lang w:val="en-US" w:eastAsia="en-US"/>
        </w:rPr>
      </w:pPr>
      <w:r>
        <w:rPr>
          <w:rFonts w:eastAsia="Calibri"/>
          <w:lang w:val="en" w:eastAsia="en-US"/>
        </w:rPr>
        <w:t xml:space="preserve">These recommendations have been sent to designated authorized state bodies and to the National Bank. </w:t>
      </w:r>
    </w:p>
    <w:p w14:paraId="2B7D1122" w14:textId="77777777" w:rsidR="00FC48F6" w:rsidRPr="00A57506" w:rsidRDefault="004C4BA9" w:rsidP="004C4C96">
      <w:pPr>
        <w:rPr>
          <w:rFonts w:eastAsiaTheme="majorEastAsia"/>
          <w:b/>
          <w:bCs/>
          <w:color w:val="000000" w:themeColor="text1"/>
          <w:lang w:val="en-US"/>
        </w:rPr>
      </w:pPr>
      <w:r w:rsidRPr="001529C7">
        <w:rPr>
          <w:rFonts w:eastAsia="Calibri"/>
          <w:lang w:val="en" w:eastAsia="en-US"/>
        </w:rPr>
        <w:t xml:space="preserve">The exclusion of financing limits will ensure choice of car loan with the most favorable annual effective lending rate. According to information of the second-tier banks, corridor of annual effective lending rate has been developed in the range </w:t>
      </w:r>
      <w:r w:rsidRPr="004C4C96">
        <w:rPr>
          <w:rFonts w:eastAsia="Calibri"/>
          <w:b/>
          <w:lang w:val="en" w:eastAsia="en-US"/>
        </w:rPr>
        <w:t>from 4 to 7.5%</w:t>
      </w:r>
      <w:r w:rsidRPr="001529C7">
        <w:rPr>
          <w:rFonts w:eastAsia="Calibri"/>
          <w:lang w:val="en" w:eastAsia="en-US"/>
        </w:rPr>
        <w:t xml:space="preserve">. Thus, subject to application of minimum rate </w:t>
      </w:r>
      <w:r w:rsidRPr="004C4C96">
        <w:rPr>
          <w:rFonts w:eastAsia="Calibri"/>
          <w:i/>
          <w:sz w:val="24"/>
          <w:lang w:val="en" w:eastAsia="en-US"/>
        </w:rPr>
        <w:t>(4%)</w:t>
      </w:r>
      <w:r w:rsidRPr="001529C7">
        <w:rPr>
          <w:rFonts w:eastAsia="Calibri"/>
          <w:lang w:val="en" w:eastAsia="en-US"/>
        </w:rPr>
        <w:t xml:space="preserve">, it is possible to </w:t>
      </w:r>
      <w:r w:rsidRPr="004C4C96">
        <w:rPr>
          <w:rFonts w:eastAsia="Calibri"/>
          <w:b/>
          <w:lang w:val="en" w:eastAsia="en-US"/>
        </w:rPr>
        <w:t>reduce overpayment</w:t>
      </w:r>
      <w:r w:rsidRPr="001529C7">
        <w:rPr>
          <w:rFonts w:eastAsia="Calibri"/>
          <w:lang w:val="en" w:eastAsia="en-US"/>
        </w:rPr>
        <w:t xml:space="preserve"> of the loan consumer in seven-year period </w:t>
      </w:r>
      <w:r w:rsidRPr="004C4C96">
        <w:rPr>
          <w:rFonts w:eastAsia="Calibri"/>
          <w:b/>
          <w:lang w:val="en" w:eastAsia="en-US"/>
        </w:rPr>
        <w:t>to 2.5 million KZT</w:t>
      </w:r>
      <w:r w:rsidRPr="001529C7">
        <w:rPr>
          <w:rFonts w:eastAsia="Calibri"/>
          <w:lang w:val="en" w:eastAsia="en-US"/>
        </w:rPr>
        <w:t>.</w:t>
      </w:r>
      <w:bookmarkEnd w:id="84"/>
      <w:r w:rsidRPr="001529C7">
        <w:rPr>
          <w:rFonts w:eastAsia="Calibri"/>
          <w:lang w:val="en" w:eastAsia="en-US"/>
        </w:rPr>
        <w:br w:type="page"/>
      </w:r>
    </w:p>
    <w:p w14:paraId="7806FD05" w14:textId="77777777" w:rsidR="002836CB" w:rsidRPr="001529C7" w:rsidRDefault="004C4BA9" w:rsidP="00F411E1">
      <w:pPr>
        <w:pStyle w:val="Heading2"/>
        <w:ind w:firstLine="567"/>
        <w:rPr>
          <w:rFonts w:cs="Times New Roman"/>
          <w:szCs w:val="28"/>
        </w:rPr>
      </w:pPr>
      <w:bookmarkStart w:id="85" w:name="_Toc104788387"/>
      <w:bookmarkStart w:id="86" w:name="_Hlk130566263"/>
      <w:bookmarkStart w:id="87" w:name="_Toc142467925"/>
      <w:r w:rsidRPr="001529C7">
        <w:rPr>
          <w:rFonts w:cs="Times New Roman"/>
          <w:szCs w:val="28"/>
          <w:lang w:val="en"/>
        </w:rPr>
        <w:lastRenderedPageBreak/>
        <w:t>Chapter 3. Tasks of antimonopoly authority</w:t>
      </w:r>
      <w:bookmarkEnd w:id="85"/>
      <w:bookmarkEnd w:id="86"/>
      <w:bookmarkEnd w:id="87"/>
      <w:r w:rsidRPr="001529C7">
        <w:rPr>
          <w:rFonts w:cs="Times New Roman"/>
          <w:szCs w:val="28"/>
          <w:lang w:val="en"/>
        </w:rPr>
        <w:t xml:space="preserve"> </w:t>
      </w:r>
    </w:p>
    <w:p w14:paraId="3F25A772" w14:textId="77777777" w:rsidR="00E203FA" w:rsidRPr="001529C7" w:rsidRDefault="00E203FA" w:rsidP="00F411E1">
      <w:pPr>
        <w:rPr>
          <w:color w:val="000000" w:themeColor="text1"/>
        </w:rPr>
      </w:pPr>
    </w:p>
    <w:p w14:paraId="2295995B" w14:textId="77777777" w:rsidR="001529C7" w:rsidRPr="00A57506" w:rsidRDefault="004C4BA9" w:rsidP="001529C7">
      <w:pPr>
        <w:rPr>
          <w:color w:val="000000" w:themeColor="text1"/>
          <w:lang w:val="en-US"/>
        </w:rPr>
      </w:pPr>
      <w:r w:rsidRPr="001529C7">
        <w:rPr>
          <w:color w:val="000000" w:themeColor="text1"/>
          <w:lang w:val="en"/>
        </w:rPr>
        <w:t xml:space="preserve">In 2023, Agency's activities will continue in the following </w:t>
      </w:r>
      <w:r w:rsidRPr="001529C7">
        <w:rPr>
          <w:b/>
          <w:color w:val="000000" w:themeColor="text1"/>
          <w:lang w:val="en"/>
        </w:rPr>
        <w:t>key areas</w:t>
      </w:r>
      <w:r w:rsidRPr="001529C7">
        <w:rPr>
          <w:color w:val="000000" w:themeColor="text1"/>
          <w:lang w:val="en"/>
        </w:rPr>
        <w:t>.</w:t>
      </w:r>
    </w:p>
    <w:p w14:paraId="602902D6" w14:textId="77777777" w:rsidR="007F6DF0" w:rsidRPr="00A57506" w:rsidRDefault="004C4BA9" w:rsidP="001529C7">
      <w:pPr>
        <w:spacing w:before="120"/>
        <w:rPr>
          <w:b/>
          <w:color w:val="000000" w:themeColor="text1"/>
          <w:lang w:val="en-US"/>
        </w:rPr>
      </w:pPr>
      <w:r w:rsidRPr="001529C7">
        <w:rPr>
          <w:b/>
          <w:lang w:val="en"/>
        </w:rPr>
        <w:t>1. Improvement of competition protection legislation</w:t>
      </w:r>
    </w:p>
    <w:p w14:paraId="205EB039" w14:textId="77777777" w:rsidR="007239D3" w:rsidRPr="00A57506" w:rsidRDefault="004C4BA9" w:rsidP="007F6DF0">
      <w:pPr>
        <w:tabs>
          <w:tab w:val="center" w:pos="4677"/>
          <w:tab w:val="right" w:pos="9355"/>
        </w:tabs>
        <w:rPr>
          <w:bCs/>
          <w:iCs/>
          <w:lang w:val="en-US"/>
        </w:rPr>
      </w:pPr>
      <w:r w:rsidRPr="001529C7">
        <w:rPr>
          <w:bCs/>
          <w:iCs/>
          <w:lang w:val="en"/>
        </w:rPr>
        <w:t xml:space="preserve">Despite consistent development of competition protection legislation, rapidly changing external environment actively creates new challenges for competition and requires measures to further improve competition protection legislation. In 2023, taking into account execution of instructions to </w:t>
      </w:r>
      <w:r w:rsidR="007F6DF0" w:rsidRPr="001529C7">
        <w:rPr>
          <w:b/>
          <w:bCs/>
          <w:color w:val="000000"/>
          <w:lang w:val="en"/>
        </w:rPr>
        <w:t>improve efficiency of competition regulation in order to change structure of commodity markets and business development</w:t>
      </w:r>
      <w:r w:rsidRPr="001529C7">
        <w:rPr>
          <w:bCs/>
          <w:iCs/>
          <w:lang w:val="en"/>
        </w:rPr>
        <w:t xml:space="preserve">, given by the Head of State at expanded Government meeting on country's socio-economic development on April 19, 2023, the </w:t>
      </w:r>
      <w:r w:rsidR="00CD5907" w:rsidRPr="001529C7">
        <w:rPr>
          <w:bCs/>
          <w:color w:val="000000"/>
          <w:lang w:val="en"/>
        </w:rPr>
        <w:t>Agency</w:t>
      </w:r>
      <w:r w:rsidRPr="001529C7">
        <w:rPr>
          <w:bCs/>
          <w:iCs/>
          <w:lang w:val="en"/>
        </w:rPr>
        <w:t xml:space="preserve"> plans to develop a number of legislative measures forming the basis for "</w:t>
      </w:r>
      <w:r w:rsidR="007F6DF0" w:rsidRPr="001529C7">
        <w:rPr>
          <w:b/>
          <w:bCs/>
          <w:iCs/>
          <w:lang w:val="en"/>
        </w:rPr>
        <w:t>sixth antimonopoly package</w:t>
      </w:r>
      <w:r w:rsidRPr="001529C7">
        <w:rPr>
          <w:bCs/>
          <w:iCs/>
          <w:lang w:val="en"/>
        </w:rPr>
        <w:t>", including the following areas:</w:t>
      </w:r>
    </w:p>
    <w:p w14:paraId="6B9B446F" w14:textId="77777777" w:rsidR="007239D3" w:rsidRPr="00A57506" w:rsidRDefault="004C4BA9" w:rsidP="007239D3">
      <w:pPr>
        <w:rPr>
          <w:bCs/>
          <w:iCs/>
          <w:lang w:val="en-US"/>
        </w:rPr>
      </w:pPr>
      <w:r w:rsidRPr="001529C7">
        <w:rPr>
          <w:bCs/>
          <w:iCs/>
          <w:color w:val="000000"/>
          <w:lang w:val="en"/>
        </w:rPr>
        <w:t>1)</w:t>
      </w:r>
      <w:r w:rsidRPr="001529C7">
        <w:rPr>
          <w:bCs/>
          <w:iCs/>
          <w:lang w:val="en"/>
        </w:rPr>
        <w:t xml:space="preserve"> obtaining </w:t>
      </w:r>
      <w:r w:rsidRPr="001529C7">
        <w:rPr>
          <w:b/>
          <w:bCs/>
          <w:iCs/>
          <w:lang w:val="en"/>
        </w:rPr>
        <w:t>access to information bases</w:t>
      </w:r>
      <w:r w:rsidRPr="001529C7">
        <w:rPr>
          <w:bCs/>
          <w:iCs/>
          <w:lang w:val="en"/>
        </w:rPr>
        <w:t xml:space="preserve"> of state bodies. </w:t>
      </w:r>
    </w:p>
    <w:p w14:paraId="3E9D4C56" w14:textId="77777777" w:rsidR="007239D3" w:rsidRPr="00A57506" w:rsidRDefault="004C4BA9" w:rsidP="007239D3">
      <w:pPr>
        <w:rPr>
          <w:bCs/>
          <w:color w:val="000000"/>
          <w:lang w:val="en-US"/>
        </w:rPr>
      </w:pPr>
      <w:r w:rsidRPr="001529C7">
        <w:rPr>
          <w:bCs/>
          <w:color w:val="000000"/>
          <w:lang w:val="en"/>
        </w:rPr>
        <w:t xml:space="preserve">Main activity of antimonopoly authority is based on collecting and processing data </w:t>
      </w:r>
      <w:r w:rsidRPr="001529C7">
        <w:rPr>
          <w:bCs/>
          <w:i/>
          <w:color w:val="000000"/>
          <w:sz w:val="24"/>
          <w:szCs w:val="24"/>
          <w:lang w:val="en"/>
        </w:rPr>
        <w:t>(information)</w:t>
      </w:r>
      <w:r w:rsidRPr="001529C7">
        <w:rPr>
          <w:bCs/>
          <w:color w:val="000000"/>
          <w:lang w:val="en"/>
        </w:rPr>
        <w:t xml:space="preserve">, which make it possible to determine structure of markets and take antimonopoly response measures. Taking into account that access to departmental information of state bodies is legally limited, the Agency is working on legislative provision of </w:t>
      </w:r>
      <w:r w:rsidRPr="001529C7">
        <w:rPr>
          <w:b/>
          <w:bCs/>
          <w:color w:val="000000"/>
          <w:lang w:val="en"/>
        </w:rPr>
        <w:t>access</w:t>
      </w:r>
      <w:r w:rsidRPr="001529C7">
        <w:rPr>
          <w:bCs/>
          <w:color w:val="000000"/>
          <w:lang w:val="en"/>
        </w:rPr>
        <w:t xml:space="preserve"> to information and databases of state bodies. </w:t>
      </w:r>
    </w:p>
    <w:p w14:paraId="33865C61" w14:textId="77777777" w:rsidR="007239D3" w:rsidRPr="00A57506" w:rsidRDefault="004C4BA9" w:rsidP="007239D3">
      <w:pPr>
        <w:rPr>
          <w:bCs/>
          <w:i/>
          <w:iCs/>
          <w:color w:val="000000"/>
          <w:sz w:val="24"/>
          <w:szCs w:val="24"/>
          <w:lang w:val="en-US"/>
        </w:rPr>
      </w:pPr>
      <w:r w:rsidRPr="001529C7">
        <w:rPr>
          <w:bCs/>
          <w:color w:val="000000"/>
          <w:lang w:val="en"/>
        </w:rPr>
        <w:t>With that, for purpose of information-and technical access to data, it is planned to develop</w:t>
      </w:r>
      <w:r w:rsidRPr="001529C7">
        <w:rPr>
          <w:b/>
          <w:bCs/>
          <w:color w:val="000000"/>
          <w:lang w:val="en"/>
        </w:rPr>
        <w:t xml:space="preserve"> digital ecosystem</w:t>
      </w:r>
      <w:r w:rsidRPr="001529C7">
        <w:rPr>
          <w:bCs/>
          <w:color w:val="000000"/>
          <w:lang w:val="en"/>
        </w:rPr>
        <w:t xml:space="preserve"> for the Agency</w:t>
      </w:r>
      <w:r w:rsidRPr="001529C7">
        <w:rPr>
          <w:bCs/>
          <w:i/>
          <w:iCs/>
          <w:color w:val="000000"/>
          <w:sz w:val="24"/>
          <w:szCs w:val="24"/>
          <w:lang w:val="en"/>
        </w:rPr>
        <w:t xml:space="preserve"> (creation of digital platform, integration with databases of government agencies, including through Smart Data Ukimet);</w:t>
      </w:r>
    </w:p>
    <w:p w14:paraId="4492C69C" w14:textId="77777777" w:rsidR="007239D3" w:rsidRPr="00A57506" w:rsidRDefault="004C4BA9" w:rsidP="007239D3">
      <w:pPr>
        <w:rPr>
          <w:bCs/>
          <w:iCs/>
          <w:color w:val="000000"/>
          <w:lang w:val="en-US"/>
        </w:rPr>
      </w:pPr>
      <w:r w:rsidRPr="001529C7">
        <w:rPr>
          <w:bCs/>
          <w:iCs/>
          <w:lang w:val="en"/>
        </w:rPr>
        <w:t xml:space="preserve">2) </w:t>
      </w:r>
      <w:r w:rsidR="0067515E" w:rsidRPr="001529C7">
        <w:rPr>
          <w:b/>
          <w:bCs/>
          <w:iCs/>
          <w:lang w:val="en"/>
        </w:rPr>
        <w:t>reducing administrative burden</w:t>
      </w:r>
      <w:r w:rsidRPr="001529C7">
        <w:rPr>
          <w:bCs/>
          <w:iCs/>
          <w:lang w:val="en"/>
        </w:rPr>
        <w:t xml:space="preserve"> on market entities and business development.</w:t>
      </w:r>
    </w:p>
    <w:p w14:paraId="4DDA328D" w14:textId="77777777" w:rsidR="00642106" w:rsidRPr="00A57506" w:rsidRDefault="004C4BA9" w:rsidP="007239D3">
      <w:pPr>
        <w:rPr>
          <w:bCs/>
          <w:lang w:val="en-US"/>
        </w:rPr>
      </w:pPr>
      <w:r w:rsidRPr="001529C7">
        <w:rPr>
          <w:bCs/>
          <w:lang w:val="en"/>
        </w:rPr>
        <w:t xml:space="preserve">Violation of competition protection legislation is expressed in  monopolistic activities limited by the Code, carried out by market entities, including micro and small business entities. </w:t>
      </w:r>
    </w:p>
    <w:p w14:paraId="46D229EF" w14:textId="77777777" w:rsidR="007239D3" w:rsidRPr="00A57506" w:rsidRDefault="004C4BA9" w:rsidP="007239D3">
      <w:pPr>
        <w:rPr>
          <w:bCs/>
          <w:lang w:val="en-US"/>
        </w:rPr>
      </w:pPr>
      <w:r w:rsidRPr="001529C7">
        <w:rPr>
          <w:bCs/>
          <w:lang w:val="en"/>
        </w:rPr>
        <w:t xml:space="preserve">In order to identify and suppress violations committed in commodity markets where large business entities operate, it is proposed to </w:t>
      </w:r>
      <w:r w:rsidRPr="0083522E">
        <w:rPr>
          <w:b/>
          <w:bCs/>
          <w:lang w:val="en"/>
        </w:rPr>
        <w:t>exclude</w:t>
      </w:r>
      <w:r w:rsidRPr="001529C7">
        <w:rPr>
          <w:bCs/>
          <w:lang w:val="en"/>
        </w:rPr>
        <w:t xml:space="preserve"> </w:t>
      </w:r>
      <w:r w:rsidRPr="0083522E">
        <w:rPr>
          <w:b/>
          <w:lang w:val="en"/>
        </w:rPr>
        <w:t>micro and small businesses</w:t>
      </w:r>
      <w:r w:rsidRPr="001529C7">
        <w:rPr>
          <w:bCs/>
          <w:lang w:val="en"/>
        </w:rPr>
        <w:t xml:space="preserve"> from the sphere of antimonopoly control.</w:t>
      </w:r>
    </w:p>
    <w:p w14:paraId="079F8015" w14:textId="77777777" w:rsidR="007239D3" w:rsidRPr="00A57506" w:rsidRDefault="004C4BA9" w:rsidP="007239D3">
      <w:pPr>
        <w:rPr>
          <w:bCs/>
          <w:i/>
          <w:iCs/>
          <w:lang w:val="en-US"/>
        </w:rPr>
      </w:pPr>
      <w:r w:rsidRPr="001529C7">
        <w:rPr>
          <w:bCs/>
          <w:lang w:val="en"/>
        </w:rPr>
        <w:t xml:space="preserve">Also, for further development and support of business, the Agency proposes </w:t>
      </w:r>
      <w:r w:rsidR="00642106" w:rsidRPr="001529C7">
        <w:rPr>
          <w:b/>
          <w:bCs/>
          <w:lang w:val="en"/>
        </w:rPr>
        <w:t>exclusion</w:t>
      </w:r>
      <w:r w:rsidRPr="001529C7">
        <w:rPr>
          <w:bCs/>
          <w:lang w:val="en"/>
        </w:rPr>
        <w:t xml:space="preserve"> of administrative liability for certain antimonopoly violations </w:t>
      </w:r>
      <w:r w:rsidRPr="001529C7">
        <w:rPr>
          <w:bCs/>
          <w:i/>
          <w:iCs/>
          <w:sz w:val="24"/>
          <w:szCs w:val="24"/>
          <w:lang w:val="en"/>
        </w:rPr>
        <w:t>(concerted actions, unfair competition);</w:t>
      </w:r>
      <w:r w:rsidRPr="001529C7">
        <w:rPr>
          <w:bCs/>
          <w:lang w:val="en"/>
        </w:rPr>
        <w:t xml:space="preserve"> </w:t>
      </w:r>
    </w:p>
    <w:p w14:paraId="0D015955" w14:textId="77777777" w:rsidR="007239D3" w:rsidRPr="00A57506" w:rsidRDefault="004C4BA9" w:rsidP="007239D3">
      <w:pPr>
        <w:rPr>
          <w:bCs/>
          <w:iCs/>
          <w:color w:val="000000"/>
          <w:lang w:val="en-US"/>
        </w:rPr>
      </w:pPr>
      <w:r w:rsidRPr="001529C7">
        <w:rPr>
          <w:bCs/>
          <w:iCs/>
          <w:color w:val="000000"/>
          <w:lang w:val="en"/>
        </w:rPr>
        <w:t xml:space="preserve">3) </w:t>
      </w:r>
      <w:r w:rsidRPr="001529C7">
        <w:rPr>
          <w:b/>
          <w:bCs/>
          <w:iCs/>
          <w:color w:val="000000"/>
          <w:lang w:val="en"/>
        </w:rPr>
        <w:t>strengthening</w:t>
      </w:r>
      <w:r w:rsidRPr="001529C7">
        <w:rPr>
          <w:bCs/>
          <w:iCs/>
          <w:color w:val="000000"/>
          <w:lang w:val="en"/>
        </w:rPr>
        <w:t xml:space="preserve"> antimonopoly response measures.</w:t>
      </w:r>
    </w:p>
    <w:p w14:paraId="07CCD219" w14:textId="77777777" w:rsidR="007239D3" w:rsidRPr="00A57506" w:rsidRDefault="004C4BA9" w:rsidP="007239D3">
      <w:pPr>
        <w:rPr>
          <w:bCs/>
          <w:color w:val="000000"/>
          <w:lang w:val="en-US"/>
        </w:rPr>
      </w:pPr>
      <w:r w:rsidRPr="001529C7">
        <w:rPr>
          <w:bCs/>
          <w:color w:val="000000"/>
          <w:lang w:val="en"/>
        </w:rPr>
        <w:t xml:space="preserve">In order to fulfill urgent orders of the Head of State, it is proposed to carry out an analysis to identify dominant or monopoly position of market entity </w:t>
      </w:r>
      <w:r w:rsidRPr="001529C7">
        <w:rPr>
          <w:b/>
          <w:bCs/>
          <w:color w:val="000000"/>
          <w:lang w:val="en"/>
        </w:rPr>
        <w:t>during investigation</w:t>
      </w:r>
      <w:r w:rsidRPr="001529C7">
        <w:rPr>
          <w:bCs/>
          <w:color w:val="000000"/>
          <w:lang w:val="en"/>
        </w:rPr>
        <w:t xml:space="preserve"> itself. </w:t>
      </w:r>
    </w:p>
    <w:p w14:paraId="57A4AFBE" w14:textId="77777777" w:rsidR="007239D3" w:rsidRPr="00A57506" w:rsidRDefault="004C4BA9" w:rsidP="007239D3">
      <w:pPr>
        <w:rPr>
          <w:bCs/>
          <w:color w:val="000000"/>
          <w:lang w:val="en-US"/>
        </w:rPr>
      </w:pPr>
      <w:r w:rsidRPr="001529C7">
        <w:rPr>
          <w:bCs/>
          <w:color w:val="000000"/>
          <w:lang w:val="en"/>
        </w:rPr>
        <w:t xml:space="preserve">The proposed procedure will allow the Agency to take emergency response measures in emergency situations in socio-economic sphere. </w:t>
      </w:r>
    </w:p>
    <w:p w14:paraId="63F701BC" w14:textId="77777777" w:rsidR="007239D3" w:rsidRPr="00A57506" w:rsidRDefault="004C4BA9" w:rsidP="007239D3">
      <w:pPr>
        <w:rPr>
          <w:bCs/>
          <w:color w:val="000000"/>
          <w:lang w:val="en-US"/>
        </w:rPr>
      </w:pPr>
      <w:r w:rsidRPr="001529C7">
        <w:rPr>
          <w:bCs/>
          <w:color w:val="000000"/>
          <w:lang w:val="en"/>
        </w:rPr>
        <w:t xml:space="preserve">In turn, it is proposed to provide </w:t>
      </w:r>
      <w:r w:rsidRPr="001529C7">
        <w:rPr>
          <w:b/>
          <w:bCs/>
          <w:color w:val="000000"/>
          <w:lang w:val="en"/>
        </w:rPr>
        <w:t>simplified procedure</w:t>
      </w:r>
      <w:r w:rsidRPr="001529C7">
        <w:rPr>
          <w:bCs/>
          <w:color w:val="000000"/>
          <w:lang w:val="en"/>
        </w:rPr>
        <w:t xml:space="preserve"> for conducting unscheduled analysis for operational response measures; </w:t>
      </w:r>
    </w:p>
    <w:p w14:paraId="160A70DA" w14:textId="77777777" w:rsidR="007239D3" w:rsidRPr="00A57506" w:rsidRDefault="004C4BA9" w:rsidP="007239D3">
      <w:pPr>
        <w:rPr>
          <w:bCs/>
          <w:iCs/>
          <w:color w:val="000000"/>
          <w:lang w:val="en-US"/>
        </w:rPr>
      </w:pPr>
      <w:r w:rsidRPr="001529C7">
        <w:rPr>
          <w:bCs/>
          <w:iCs/>
          <w:color w:val="000000"/>
          <w:lang w:val="en"/>
        </w:rPr>
        <w:t xml:space="preserve">4) measures to </w:t>
      </w:r>
      <w:r w:rsidRPr="001529C7">
        <w:rPr>
          <w:b/>
          <w:bCs/>
          <w:iCs/>
          <w:color w:val="000000"/>
          <w:lang w:val="en"/>
        </w:rPr>
        <w:t>demonopolize</w:t>
      </w:r>
      <w:r w:rsidRPr="001529C7">
        <w:rPr>
          <w:bCs/>
          <w:iCs/>
          <w:color w:val="000000"/>
          <w:lang w:val="en"/>
        </w:rPr>
        <w:t xml:space="preserve"> entities of commodity markets. </w:t>
      </w:r>
    </w:p>
    <w:p w14:paraId="29980FB9" w14:textId="77777777" w:rsidR="007239D3" w:rsidRPr="00A57506" w:rsidRDefault="004C4BA9" w:rsidP="007239D3">
      <w:pPr>
        <w:rPr>
          <w:bCs/>
          <w:color w:val="000000"/>
          <w:lang w:val="en-US"/>
        </w:rPr>
      </w:pPr>
      <w:r w:rsidRPr="001529C7">
        <w:rPr>
          <w:bCs/>
          <w:color w:val="000000"/>
          <w:lang w:val="en"/>
        </w:rPr>
        <w:lastRenderedPageBreak/>
        <w:t xml:space="preserve">In order to </w:t>
      </w:r>
      <w:r w:rsidR="00CB506B" w:rsidRPr="001529C7">
        <w:rPr>
          <w:b/>
          <w:bCs/>
          <w:color w:val="000000"/>
          <w:lang w:val="en"/>
        </w:rPr>
        <w:t>activate</w:t>
      </w:r>
      <w:r w:rsidRPr="001529C7">
        <w:rPr>
          <w:bCs/>
          <w:color w:val="000000"/>
          <w:lang w:val="en"/>
        </w:rPr>
        <w:t xml:space="preserve"> mechanism for demonopolization of market entities that restrict competition, it is proposed to </w:t>
      </w:r>
      <w:r w:rsidRPr="001529C7">
        <w:rPr>
          <w:b/>
          <w:bCs/>
          <w:color w:val="000000"/>
          <w:lang w:val="en"/>
        </w:rPr>
        <w:t>increase</w:t>
      </w:r>
      <w:r w:rsidRPr="001529C7">
        <w:rPr>
          <w:bCs/>
          <w:color w:val="000000"/>
          <w:lang w:val="en"/>
        </w:rPr>
        <w:t xml:space="preserve"> period of repeated abuse by a market entity of its dominant or monopoly position from one calendar year to five years. Increase in the period of repeated abuse will be the basis for applying to court with a claim for </w:t>
      </w:r>
      <w:r w:rsidRPr="001529C7">
        <w:rPr>
          <w:b/>
          <w:bCs/>
          <w:color w:val="000000"/>
          <w:lang w:val="en"/>
        </w:rPr>
        <w:t xml:space="preserve">forced split </w:t>
      </w:r>
      <w:r w:rsidRPr="001529C7">
        <w:rPr>
          <w:bCs/>
          <w:color w:val="000000"/>
          <w:lang w:val="en"/>
        </w:rPr>
        <w:t xml:space="preserve"> of market entity. Today, use of current mechanism is not possible due to long period </w:t>
      </w:r>
      <w:r w:rsidR="00110A45" w:rsidRPr="001529C7">
        <w:rPr>
          <w:bCs/>
          <w:i/>
          <w:color w:val="000000"/>
          <w:sz w:val="24"/>
          <w:lang w:val="en"/>
        </w:rPr>
        <w:t>(up to 2-3 years)</w:t>
      </w:r>
      <w:r w:rsidRPr="001529C7">
        <w:rPr>
          <w:bCs/>
          <w:color w:val="000000"/>
          <w:lang w:val="en"/>
        </w:rPr>
        <w:t xml:space="preserve"> associated with proving the existence of violation;</w:t>
      </w:r>
    </w:p>
    <w:p w14:paraId="499FEC58" w14:textId="77777777" w:rsidR="007239D3" w:rsidRPr="00A57506" w:rsidRDefault="004C4BA9" w:rsidP="007239D3">
      <w:pPr>
        <w:rPr>
          <w:bCs/>
          <w:iCs/>
          <w:lang w:val="en-US"/>
        </w:rPr>
      </w:pPr>
      <w:r w:rsidRPr="001529C7">
        <w:rPr>
          <w:bCs/>
          <w:iCs/>
          <w:lang w:val="en"/>
        </w:rPr>
        <w:t xml:space="preserve">5) consolidation of the legal status and powers of Agency's Management Board at legislative level, introduction of preliminary public discussion of transactions on economic concentration, its optimization. </w:t>
      </w:r>
    </w:p>
    <w:p w14:paraId="173AD865" w14:textId="77777777" w:rsidR="007239D3" w:rsidRPr="00A57506" w:rsidRDefault="004C4BA9" w:rsidP="007239D3">
      <w:pPr>
        <w:rPr>
          <w:bCs/>
          <w:lang w:val="en-US"/>
        </w:rPr>
      </w:pPr>
      <w:r w:rsidRPr="001529C7">
        <w:rPr>
          <w:bCs/>
          <w:lang w:val="en"/>
        </w:rPr>
        <w:t xml:space="preserve">To increase transparency of the Agency's decisions, it is proposed to determine status and powers of the </w:t>
      </w:r>
      <w:r w:rsidRPr="001529C7">
        <w:rPr>
          <w:b/>
          <w:bCs/>
          <w:lang w:val="en"/>
        </w:rPr>
        <w:t>Agency's Management Board</w:t>
      </w:r>
      <w:r w:rsidRPr="001529C7">
        <w:rPr>
          <w:bCs/>
          <w:lang w:val="en"/>
        </w:rPr>
        <w:t xml:space="preserve"> at legislative level.</w:t>
      </w:r>
    </w:p>
    <w:p w14:paraId="478C47CC" w14:textId="77777777" w:rsidR="007239D3" w:rsidRPr="00A57506" w:rsidRDefault="004C4BA9" w:rsidP="007239D3">
      <w:pPr>
        <w:rPr>
          <w:bCs/>
          <w:lang w:val="en-US"/>
        </w:rPr>
      </w:pPr>
      <w:r w:rsidRPr="001529C7">
        <w:rPr>
          <w:bCs/>
          <w:lang w:val="en"/>
        </w:rPr>
        <w:t xml:space="preserve">In addition, at present, information about economic concentration is a trade secret of market participants and is not disclosed without their consent. With that, considering that in practice such transactions can be carried out in order to strengthen market influence, it is proposed to introduce </w:t>
      </w:r>
      <w:r w:rsidRPr="001529C7">
        <w:rPr>
          <w:b/>
          <w:bCs/>
          <w:lang w:val="en"/>
        </w:rPr>
        <w:t>preliminary public discussion</w:t>
      </w:r>
      <w:r w:rsidRPr="001529C7">
        <w:rPr>
          <w:bCs/>
          <w:lang w:val="en"/>
        </w:rPr>
        <w:t xml:space="preserve"> of such transactions to maximize involvement of public and business community in this process. This will minimize occurrence of negative consequences </w:t>
      </w:r>
      <w:r w:rsidRPr="001529C7">
        <w:rPr>
          <w:bCs/>
          <w:i/>
          <w:sz w:val="24"/>
          <w:szCs w:val="24"/>
          <w:lang w:val="en"/>
        </w:rPr>
        <w:t>(restriction, elimination of competition)</w:t>
      </w:r>
      <w:r w:rsidRPr="001529C7">
        <w:rPr>
          <w:bCs/>
          <w:lang w:val="en"/>
        </w:rPr>
        <w:t xml:space="preserve"> as a result of transactions.</w:t>
      </w:r>
    </w:p>
    <w:p w14:paraId="6BAB4449" w14:textId="77777777" w:rsidR="007239D3" w:rsidRPr="00A57506" w:rsidRDefault="004C4BA9" w:rsidP="007239D3">
      <w:pPr>
        <w:tabs>
          <w:tab w:val="center" w:pos="4677"/>
          <w:tab w:val="right" w:pos="9355"/>
        </w:tabs>
        <w:rPr>
          <w:lang w:val="en-US"/>
        </w:rPr>
      </w:pPr>
      <w:r w:rsidRPr="001529C7">
        <w:rPr>
          <w:lang w:val="en"/>
        </w:rPr>
        <w:t xml:space="preserve">Also, in order to reduce regulatory burden on business, the Agency proposes to </w:t>
      </w:r>
      <w:r w:rsidRPr="001529C7">
        <w:rPr>
          <w:b/>
          <w:lang w:val="en"/>
        </w:rPr>
        <w:t>reduce number of transactions</w:t>
      </w:r>
      <w:r w:rsidRPr="001529C7">
        <w:rPr>
          <w:lang w:val="en"/>
        </w:rPr>
        <w:t xml:space="preserve"> requiring prior approval by antimonopoly authority and completely remove transactions with certain assets </w:t>
      </w:r>
      <w:r w:rsidRPr="001529C7">
        <w:rPr>
          <w:i/>
          <w:sz w:val="24"/>
          <w:szCs w:val="24"/>
          <w:lang w:val="en"/>
        </w:rPr>
        <w:t>(land plots, buildings, structures, facilities, premises/parts of premises, construction works-in-progress that do not have industrial purposes)</w:t>
      </w:r>
      <w:r w:rsidRPr="001529C7">
        <w:rPr>
          <w:lang w:val="en"/>
        </w:rPr>
        <w:t xml:space="preserve"> from regulation. Moreover, when approving these transactions, it is planned to </w:t>
      </w:r>
      <w:r w:rsidRPr="001529C7">
        <w:rPr>
          <w:b/>
          <w:lang w:val="en"/>
        </w:rPr>
        <w:t>reduce the list</w:t>
      </w:r>
      <w:r w:rsidRPr="001529C7">
        <w:rPr>
          <w:lang w:val="en"/>
        </w:rPr>
        <w:t xml:space="preserve"> of necessary documents by about 2 times and optimize procedural deadlines.</w:t>
      </w:r>
    </w:p>
    <w:p w14:paraId="246782EE" w14:textId="77777777" w:rsidR="007239D3" w:rsidRPr="00A57506" w:rsidRDefault="004C4BA9" w:rsidP="007239D3">
      <w:pPr>
        <w:rPr>
          <w:lang w:val="en-US"/>
        </w:rPr>
      </w:pPr>
      <w:r w:rsidRPr="001529C7">
        <w:rPr>
          <w:bCs/>
          <w:lang w:val="en"/>
        </w:rPr>
        <w:t xml:space="preserve">In turn, it is planned to adopt legislative measures aimed at introducing measures provided for in roadmaps for development of competition adopted </w:t>
      </w:r>
      <w:r w:rsidRPr="001529C7">
        <w:rPr>
          <w:color w:val="000000" w:themeColor="text1"/>
          <w:lang w:val="en"/>
        </w:rPr>
        <w:t>jointly with the sectoral central state bodies</w:t>
      </w:r>
      <w:r w:rsidRPr="001529C7">
        <w:rPr>
          <w:bCs/>
          <w:lang w:val="en"/>
        </w:rPr>
        <w:t>, which, among other things, provide for point solutions for demonopolization of commodity markets. These are deregulation, including price deregulation, separation of monopoly groups with state participation, privatization of state-owned companies, measures to ensure direct and equal access to monopoly resources and infrastructure, increased exchange trading, evaluation of efficiency of use, and competitive distribution.</w:t>
      </w:r>
    </w:p>
    <w:p w14:paraId="3216B935" w14:textId="77777777" w:rsidR="00110A45" w:rsidRPr="00A57506" w:rsidRDefault="004C4BA9" w:rsidP="00110A45">
      <w:pPr>
        <w:spacing w:before="120"/>
        <w:rPr>
          <w:color w:val="000000" w:themeColor="text1"/>
          <w:lang w:val="en-US"/>
        </w:rPr>
      </w:pPr>
      <w:r w:rsidRPr="001529C7">
        <w:rPr>
          <w:color w:val="000000" w:themeColor="text1"/>
          <w:lang w:val="en"/>
        </w:rPr>
        <w:t xml:space="preserve">Separate direction for improving competition protection legislation is related to executing instructions announced in the Presidential Address dated September 1, 2022. </w:t>
      </w:r>
    </w:p>
    <w:p w14:paraId="2CCBEA71" w14:textId="77777777" w:rsidR="00382F07" w:rsidRPr="00A57506" w:rsidRDefault="004C4BA9" w:rsidP="00110A45">
      <w:pPr>
        <w:rPr>
          <w:color w:val="000000" w:themeColor="text1"/>
          <w:lang w:val="en-US"/>
        </w:rPr>
      </w:pPr>
      <w:r w:rsidRPr="001529C7">
        <w:rPr>
          <w:color w:val="000000" w:themeColor="text1"/>
          <w:lang w:val="en"/>
        </w:rPr>
        <w:t>In his speech, the Head of State K.K. Tokayev noted that "institutional solutions are required for further demonopolization of the economy. It is necessary to define concept of "</w:t>
      </w:r>
      <w:r w:rsidRPr="001529C7">
        <w:rPr>
          <w:b/>
          <w:color w:val="000000" w:themeColor="text1"/>
          <w:lang w:val="en"/>
        </w:rPr>
        <w:t>conglomerate</w:t>
      </w:r>
      <w:r w:rsidRPr="001529C7">
        <w:rPr>
          <w:color w:val="000000" w:themeColor="text1"/>
          <w:lang w:val="en"/>
        </w:rPr>
        <w:t>" at legislative level. Inter-related market entities are required to obtain permission for economic concentration. All their transactions should be carefully checked, including signs of using non-market prices.".</w:t>
      </w:r>
    </w:p>
    <w:p w14:paraId="25EDAFC5" w14:textId="77777777" w:rsidR="00382F07" w:rsidRPr="00A57506" w:rsidRDefault="004C4BA9" w:rsidP="00110A45">
      <w:pPr>
        <w:tabs>
          <w:tab w:val="center" w:pos="4677"/>
          <w:tab w:val="right" w:pos="9355"/>
        </w:tabs>
        <w:rPr>
          <w:lang w:val="en-US"/>
        </w:rPr>
      </w:pPr>
      <w:r w:rsidRPr="001529C7">
        <w:rPr>
          <w:lang w:val="en"/>
        </w:rPr>
        <w:lastRenderedPageBreak/>
        <w:t xml:space="preserve">Taking into account these instructions, the Agency proposed a </w:t>
      </w:r>
      <w:r w:rsidRPr="001529C7">
        <w:rPr>
          <w:b/>
          <w:lang w:val="en"/>
        </w:rPr>
        <w:t>definition of conglomerate</w:t>
      </w:r>
      <w:r w:rsidRPr="001529C7">
        <w:rPr>
          <w:lang w:val="en"/>
        </w:rPr>
        <w:t xml:space="preserve"> that is relevant from antimonopoly regulation point of view, in particular, the following </w:t>
      </w:r>
      <w:r w:rsidRPr="001529C7">
        <w:rPr>
          <w:b/>
          <w:lang w:val="en"/>
        </w:rPr>
        <w:t>qualifying features of conglomerate</w:t>
      </w:r>
      <w:r w:rsidRPr="001529C7">
        <w:rPr>
          <w:lang w:val="en"/>
        </w:rPr>
        <w:t xml:space="preserve"> are identified:</w:t>
      </w:r>
    </w:p>
    <w:p w14:paraId="2A7CCD51" w14:textId="77777777" w:rsidR="00382F07" w:rsidRPr="00A57506" w:rsidRDefault="004C4BA9" w:rsidP="00382F07">
      <w:pPr>
        <w:tabs>
          <w:tab w:val="center" w:pos="4677"/>
          <w:tab w:val="right" w:pos="9355"/>
        </w:tabs>
        <w:rPr>
          <w:i/>
          <w:sz w:val="24"/>
          <w:szCs w:val="24"/>
          <w:lang w:val="en-US"/>
        </w:rPr>
      </w:pPr>
      <w:r w:rsidRPr="001529C7">
        <w:rPr>
          <w:lang w:val="en"/>
        </w:rPr>
        <w:t>- presence of dominant</w:t>
      </w:r>
      <w:r w:rsidRPr="001529C7">
        <w:rPr>
          <w:i/>
          <w:sz w:val="24"/>
          <w:szCs w:val="24"/>
          <w:lang w:val="en"/>
        </w:rPr>
        <w:t xml:space="preserve"> (monopoly) </w:t>
      </w:r>
      <w:r w:rsidRPr="001529C7">
        <w:rPr>
          <w:lang w:val="en"/>
        </w:rPr>
        <w:t>position in commodity market</w:t>
      </w:r>
      <w:r w:rsidRPr="001529C7">
        <w:rPr>
          <w:i/>
          <w:sz w:val="24"/>
          <w:szCs w:val="24"/>
          <w:lang w:val="en"/>
        </w:rPr>
        <w:t xml:space="preserve"> (without share, the entity does not have "market power");</w:t>
      </w:r>
    </w:p>
    <w:p w14:paraId="10DD7179" w14:textId="77777777" w:rsidR="00382F07" w:rsidRPr="001529C7" w:rsidRDefault="004C4BA9" w:rsidP="00382F07">
      <w:pPr>
        <w:tabs>
          <w:tab w:val="center" w:pos="4677"/>
          <w:tab w:val="right" w:pos="9355"/>
        </w:tabs>
        <w:rPr>
          <w:lang w:val="kk-KZ"/>
        </w:rPr>
      </w:pPr>
      <w:r w:rsidRPr="001529C7">
        <w:rPr>
          <w:lang w:val="en"/>
        </w:rPr>
        <w:t>- simultaneous presence of an entity in adjacent commodity markets.</w:t>
      </w:r>
    </w:p>
    <w:p w14:paraId="1A56E8A8" w14:textId="77777777" w:rsidR="00382F07" w:rsidRPr="001529C7" w:rsidRDefault="004C4BA9" w:rsidP="00382F07">
      <w:pPr>
        <w:tabs>
          <w:tab w:val="center" w:pos="4677"/>
          <w:tab w:val="right" w:pos="9355"/>
        </w:tabs>
        <w:rPr>
          <w:lang w:val="kk-KZ"/>
        </w:rPr>
      </w:pPr>
      <w:r w:rsidRPr="001529C7">
        <w:rPr>
          <w:lang w:val="en"/>
        </w:rPr>
        <w:t>The formation of conglomerates leads to high degree of market concentration, emergence of barriers to entry into commodity markets, selective patronage and favoritism from state. Monopoly groups of companies, using limited resources and infrastructure, restrict access of other entities to relevant and adjacent commodity markets.</w:t>
      </w:r>
    </w:p>
    <w:p w14:paraId="13282344" w14:textId="33FC7556" w:rsidR="00382F07" w:rsidRPr="001529C7" w:rsidRDefault="004C4BA9" w:rsidP="00382F07">
      <w:pPr>
        <w:tabs>
          <w:tab w:val="center" w:pos="4677"/>
          <w:tab w:val="right" w:pos="9355"/>
        </w:tabs>
        <w:rPr>
          <w:lang w:val="kk-KZ"/>
        </w:rPr>
      </w:pPr>
      <w:r w:rsidRPr="001529C7">
        <w:rPr>
          <w:lang w:val="en"/>
        </w:rPr>
        <w:t xml:space="preserve">In addition to the concept of conglomerate, the Agency proposed to maintain </w:t>
      </w:r>
      <w:r w:rsidRPr="001529C7">
        <w:rPr>
          <w:b/>
          <w:lang w:val="en"/>
        </w:rPr>
        <w:t>register of conglomerates</w:t>
      </w:r>
      <w:r w:rsidRPr="001529C7">
        <w:rPr>
          <w:lang w:val="en"/>
        </w:rPr>
        <w:t>, as well as analy</w:t>
      </w:r>
      <w:r w:rsidR="00AF59F7">
        <w:rPr>
          <w:lang w:val="en"/>
        </w:rPr>
        <w:t>z</w:t>
      </w:r>
      <w:r w:rsidRPr="001529C7">
        <w:rPr>
          <w:lang w:val="en"/>
        </w:rPr>
        <w:t>e and monitor their activities. In order to ensure control over creation of conglomerates, an amendment to Article 205 of the Code on analysis of vertical Mergers and Acquisitions has been proposed.</w:t>
      </w:r>
    </w:p>
    <w:p w14:paraId="05DD9DF5" w14:textId="77777777" w:rsidR="001529C7" w:rsidRPr="001529C7" w:rsidRDefault="004C4BA9" w:rsidP="001529C7">
      <w:pPr>
        <w:tabs>
          <w:tab w:val="center" w:pos="4677"/>
          <w:tab w:val="right" w:pos="9355"/>
        </w:tabs>
        <w:rPr>
          <w:lang w:val="kk-KZ"/>
        </w:rPr>
      </w:pPr>
      <w:r w:rsidRPr="001529C7">
        <w:rPr>
          <w:lang w:val="en"/>
        </w:rPr>
        <w:t>In general, these amendments will prevent unjustified price increases for monopoly products of large holdings and thereby reduce economic burden and marginal costs of small and medium-sized businesses using these products when selling goods or providing services. The amendments are included in the draft Law "On Amendments and Additions to Some Legislative acts of the Republic of Kazakhstan on business issues".</w:t>
      </w:r>
    </w:p>
    <w:p w14:paraId="2201609A" w14:textId="77777777" w:rsidR="00382F07" w:rsidRPr="001529C7" w:rsidRDefault="004C4BA9" w:rsidP="001529C7">
      <w:pPr>
        <w:tabs>
          <w:tab w:val="center" w:pos="4677"/>
          <w:tab w:val="right" w:pos="9355"/>
        </w:tabs>
        <w:spacing w:before="120"/>
        <w:rPr>
          <w:b/>
          <w:lang w:val="kk-KZ"/>
        </w:rPr>
      </w:pPr>
      <w:r w:rsidRPr="001529C7">
        <w:rPr>
          <w:b/>
          <w:lang w:val="en"/>
        </w:rPr>
        <w:t xml:space="preserve">2. Restriction of state participation in entrepreneurial activity </w:t>
      </w:r>
    </w:p>
    <w:p w14:paraId="29E3A7F2" w14:textId="77777777" w:rsidR="00382F07" w:rsidRPr="00A57506" w:rsidRDefault="004C4BA9" w:rsidP="007F6DF0">
      <w:pPr>
        <w:rPr>
          <w:color w:val="000000" w:themeColor="text1"/>
          <w:lang w:val="en-US"/>
        </w:rPr>
      </w:pPr>
      <w:r w:rsidRPr="001529C7">
        <w:rPr>
          <w:color w:val="000000" w:themeColor="text1"/>
          <w:lang w:val="en"/>
        </w:rPr>
        <w:t xml:space="preserve">Taking into account observed trend of increasing state participation in entrepreneurial activity, it is </w:t>
      </w:r>
      <w:r w:rsidRPr="001529C7">
        <w:rPr>
          <w:lang w:val="en"/>
        </w:rPr>
        <w:t>extremely important</w:t>
      </w:r>
      <w:r w:rsidRPr="001529C7">
        <w:rPr>
          <w:b/>
          <w:lang w:val="en"/>
        </w:rPr>
        <w:t xml:space="preserve"> to change current role of the state</w:t>
      </w:r>
      <w:r w:rsidRPr="001529C7">
        <w:rPr>
          <w:lang w:val="en"/>
        </w:rPr>
        <w:t xml:space="preserve"> in economy by selectively reducing it and ensuring equal conditions for all market participants. In this regard,</w:t>
      </w:r>
      <w:r w:rsidRPr="001529C7">
        <w:rPr>
          <w:color w:val="000000" w:themeColor="text1"/>
          <w:lang w:val="en"/>
        </w:rPr>
        <w:t xml:space="preserve"> the issues of </w:t>
      </w:r>
      <w:r w:rsidRPr="001529C7">
        <w:rPr>
          <w:b/>
          <w:color w:val="000000" w:themeColor="text1"/>
          <w:lang w:val="en"/>
        </w:rPr>
        <w:t>limiting state's participation in entrepreneurial activity</w:t>
      </w:r>
      <w:r w:rsidRPr="001529C7">
        <w:rPr>
          <w:color w:val="000000" w:themeColor="text1"/>
          <w:lang w:val="en"/>
        </w:rPr>
        <w:t xml:space="preserve"> are identified as one of key areas in the Agency's activities.</w:t>
      </w:r>
    </w:p>
    <w:p w14:paraId="1DAECB01" w14:textId="77777777" w:rsidR="00382F07" w:rsidRPr="00A57506" w:rsidRDefault="004C4BA9" w:rsidP="00382F07">
      <w:pPr>
        <w:rPr>
          <w:b/>
          <w:i/>
          <w:color w:val="000000" w:themeColor="text1"/>
          <w:lang w:val="en-US"/>
        </w:rPr>
      </w:pPr>
      <w:r w:rsidRPr="001529C7">
        <w:rPr>
          <w:b/>
          <w:i/>
          <w:color w:val="000000" w:themeColor="text1"/>
          <w:lang w:val="en"/>
        </w:rPr>
        <w:t>Privatization</w:t>
      </w:r>
    </w:p>
    <w:p w14:paraId="55AEA1E8" w14:textId="77777777" w:rsidR="00382F07" w:rsidRPr="00A57506" w:rsidRDefault="004C4BA9" w:rsidP="00382F07">
      <w:pPr>
        <w:rPr>
          <w:lang w:val="en-US"/>
        </w:rPr>
      </w:pPr>
      <w:r w:rsidRPr="001529C7">
        <w:rPr>
          <w:color w:val="000000" w:themeColor="text1"/>
          <w:lang w:val="en"/>
        </w:rPr>
        <w:t>1) An important task is to ensure</w:t>
      </w:r>
      <w:r w:rsidRPr="001529C7">
        <w:rPr>
          <w:b/>
          <w:lang w:val="en"/>
        </w:rPr>
        <w:t xml:space="preserve"> effective and balanced privatization process</w:t>
      </w:r>
      <w:r w:rsidRPr="001529C7">
        <w:rPr>
          <w:lang w:val="en"/>
        </w:rPr>
        <w:t xml:space="preserve">. There are successful examples in international practice, for example, "rapid" privatization in Poland, balance is needed between "shock therapy" and planned IPO. It is necessary to use basic </w:t>
      </w:r>
      <w:r w:rsidRPr="001529C7">
        <w:rPr>
          <w:b/>
          <w:lang w:val="en"/>
        </w:rPr>
        <w:t>selection indicators</w:t>
      </w:r>
      <w:r w:rsidRPr="001529C7">
        <w:rPr>
          <w:lang w:val="en"/>
        </w:rPr>
        <w:t xml:space="preserve">, upon reaching which the entity will be subject to privatization. Decisions on sales options should be made taking into account current </w:t>
      </w:r>
      <w:r w:rsidRPr="001529C7">
        <w:rPr>
          <w:b/>
          <w:lang w:val="en"/>
        </w:rPr>
        <w:t>market structure</w:t>
      </w:r>
      <w:r w:rsidRPr="001529C7">
        <w:rPr>
          <w:lang w:val="en"/>
        </w:rPr>
        <w:t xml:space="preserve">. One of new approaches is </w:t>
      </w:r>
      <w:r w:rsidRPr="001529C7">
        <w:rPr>
          <w:b/>
          <w:lang w:val="en"/>
        </w:rPr>
        <w:t>privatization "on request"</w:t>
      </w:r>
      <w:r w:rsidRPr="001529C7">
        <w:rPr>
          <w:lang w:val="en"/>
        </w:rPr>
        <w:t>, it gives the entrepreneur the right to choose object of privatization. The object is subject to sale if there is a private initiative.</w:t>
      </w:r>
    </w:p>
    <w:p w14:paraId="27861221" w14:textId="77777777" w:rsidR="00382F07" w:rsidRPr="00A57506" w:rsidRDefault="004C4BA9" w:rsidP="00382F07">
      <w:pPr>
        <w:tabs>
          <w:tab w:val="clear" w:pos="567"/>
        </w:tabs>
        <w:rPr>
          <w:lang w:val="en-US"/>
        </w:rPr>
      </w:pPr>
      <w:r w:rsidRPr="001529C7">
        <w:rPr>
          <w:lang w:val="en"/>
        </w:rPr>
        <w:t xml:space="preserve">2) In addition, there is a task to conduct analysis of state property in order to form list of new objects </w:t>
      </w:r>
      <w:r w:rsidRPr="001529C7">
        <w:rPr>
          <w:b/>
          <w:lang w:val="en"/>
        </w:rPr>
        <w:t>for transfer to competitive environment</w:t>
      </w:r>
      <w:r w:rsidRPr="001529C7">
        <w:rPr>
          <w:i/>
          <w:sz w:val="24"/>
          <w:szCs w:val="24"/>
          <w:lang w:val="en"/>
        </w:rPr>
        <w:t xml:space="preserve"> (as part of the protocol of the expanded meeting of the Government with participation of the President dated January 26, 2021)</w:t>
      </w:r>
      <w:r w:rsidRPr="001529C7">
        <w:rPr>
          <w:sz w:val="24"/>
          <w:szCs w:val="24"/>
          <w:lang w:val="en"/>
        </w:rPr>
        <w:t xml:space="preserve">. </w:t>
      </w:r>
      <w:r w:rsidRPr="001529C7">
        <w:rPr>
          <w:lang w:val="en"/>
        </w:rPr>
        <w:t xml:space="preserve">With that, in order to prevent increasing presence of state in entrepreneurship, the Government needs to regulate procedure for </w:t>
      </w:r>
      <w:r w:rsidRPr="001529C7">
        <w:rPr>
          <w:b/>
          <w:lang w:val="en"/>
        </w:rPr>
        <w:t>excluding enterprises from privatization plan</w:t>
      </w:r>
      <w:r w:rsidRPr="001529C7">
        <w:rPr>
          <w:lang w:val="en"/>
        </w:rPr>
        <w:t xml:space="preserve"> in coordination with the antimonopoly authority, providing for responsibility of political officials for its non-fulfillment.</w:t>
      </w:r>
    </w:p>
    <w:p w14:paraId="5D725574" w14:textId="77777777" w:rsidR="00382F07" w:rsidRPr="00A57506" w:rsidRDefault="004C4BA9" w:rsidP="00382F07">
      <w:pPr>
        <w:tabs>
          <w:tab w:val="clear" w:pos="567"/>
        </w:tabs>
        <w:rPr>
          <w:lang w:val="en-US"/>
        </w:rPr>
      </w:pPr>
      <w:r w:rsidRPr="001529C7">
        <w:rPr>
          <w:lang w:val="en"/>
        </w:rPr>
        <w:lastRenderedPageBreak/>
        <w:t xml:space="preserve">3) In order to prevent monopolization </w:t>
      </w:r>
      <w:r w:rsidRPr="001529C7">
        <w:rPr>
          <w:b/>
          <w:lang w:val="en"/>
        </w:rPr>
        <w:t>in private sector</w:t>
      </w:r>
      <w:r w:rsidRPr="001529C7">
        <w:rPr>
          <w:lang w:val="en"/>
        </w:rPr>
        <w:t>, it is necessary to legislate developed amendments of the Agency for Privatization of Large Facilities. Execution of Agency's proposals will reduce share of state participation in economy, becoming additional incentive for development of private entrepreneurship and competition.</w:t>
      </w:r>
    </w:p>
    <w:p w14:paraId="06451857" w14:textId="77777777" w:rsidR="00382F07" w:rsidRPr="00A57506" w:rsidRDefault="004C4BA9" w:rsidP="00382F07">
      <w:pPr>
        <w:tabs>
          <w:tab w:val="clear" w:pos="567"/>
        </w:tabs>
        <w:rPr>
          <w:lang w:val="en-US"/>
        </w:rPr>
      </w:pPr>
      <w:r w:rsidRPr="001529C7">
        <w:rPr>
          <w:lang w:val="en"/>
        </w:rPr>
        <w:t xml:space="preserve">4) Along with this, there is a task to ensure implementation of all projects with a state participation share less than 50% </w:t>
      </w:r>
      <w:r w:rsidRPr="001529C7">
        <w:rPr>
          <w:b/>
          <w:lang w:val="en"/>
        </w:rPr>
        <w:t>in enterprises that have already paid off</w:t>
      </w:r>
      <w:r w:rsidRPr="001529C7">
        <w:rPr>
          <w:lang w:val="en"/>
        </w:rPr>
        <w:t xml:space="preserve"> and introduction of </w:t>
      </w:r>
      <w:r w:rsidRPr="001529C7">
        <w:rPr>
          <w:b/>
          <w:lang w:val="en"/>
        </w:rPr>
        <w:t>limit on period of state participation</w:t>
      </w:r>
      <w:r w:rsidRPr="001529C7">
        <w:rPr>
          <w:lang w:val="en"/>
        </w:rPr>
        <w:t xml:space="preserve"> in such projects to 5 years.</w:t>
      </w:r>
    </w:p>
    <w:p w14:paraId="23C362E0" w14:textId="77777777" w:rsidR="00382F07" w:rsidRPr="00A57506" w:rsidRDefault="004C4BA9" w:rsidP="00382F07">
      <w:pPr>
        <w:tabs>
          <w:tab w:val="clear" w:pos="567"/>
        </w:tabs>
        <w:rPr>
          <w:i/>
          <w:sz w:val="24"/>
          <w:szCs w:val="24"/>
          <w:lang w:val="en-US"/>
        </w:rPr>
      </w:pPr>
      <w:r w:rsidRPr="001529C7">
        <w:rPr>
          <w:b/>
          <w:i/>
          <w:sz w:val="24"/>
          <w:szCs w:val="24"/>
          <w:lang w:val="en"/>
        </w:rPr>
        <w:t>For reference</w:t>
      </w:r>
      <w:r w:rsidRPr="001529C7">
        <w:rPr>
          <w:i/>
          <w:sz w:val="24"/>
          <w:szCs w:val="24"/>
          <w:lang w:val="en"/>
        </w:rPr>
        <w:t>: in accordance with paragraph 5 of Article 192 of the Code, creation of legal entities, if than 25% of their shares (participation interests) belong to state, is carried out with subsequent sale of shares (participation interests) of the state, taking into account payback period of the project. With that , according to preliminary data, today there are more than 2,630 enterprises with 50% or less state participation.</w:t>
      </w:r>
    </w:p>
    <w:p w14:paraId="19B4F7BB" w14:textId="77777777" w:rsidR="00382F07" w:rsidRPr="00A57506" w:rsidRDefault="004C4BA9" w:rsidP="00382F07">
      <w:pPr>
        <w:spacing w:before="120"/>
        <w:rPr>
          <w:b/>
          <w:i/>
          <w:color w:val="000000" w:themeColor="text1"/>
          <w:lang w:val="en-US"/>
        </w:rPr>
      </w:pPr>
      <w:r w:rsidRPr="001529C7">
        <w:rPr>
          <w:b/>
          <w:i/>
          <w:color w:val="000000" w:themeColor="text1"/>
          <w:lang w:val="en"/>
        </w:rPr>
        <w:t>Reducing list of activities permitted for quasi-public sector entities</w:t>
      </w:r>
    </w:p>
    <w:p w14:paraId="4E9077EE" w14:textId="77777777" w:rsidR="00A51B01" w:rsidRPr="00A57506" w:rsidRDefault="004C4BA9" w:rsidP="00A51B01">
      <w:pPr>
        <w:tabs>
          <w:tab w:val="clear" w:pos="567"/>
        </w:tabs>
        <w:rPr>
          <w:lang w:val="en-US"/>
        </w:rPr>
      </w:pPr>
      <w:r w:rsidRPr="001529C7">
        <w:rPr>
          <w:lang w:val="en"/>
        </w:rPr>
        <w:t xml:space="preserve">1) Today, the problem of non-compliance of activities actually carried out by certain quasi-public sector entities, with current List - 1095 remains unresolved, which became possible thanks, inter alia, to presence of a norm in the Code that allows state to participate in entrepreneurial activities in the form of </w:t>
      </w:r>
      <w:r w:rsidRPr="001529C7">
        <w:rPr>
          <w:b/>
          <w:lang w:val="en"/>
        </w:rPr>
        <w:t>previously established</w:t>
      </w:r>
      <w:r w:rsidRPr="001529C7">
        <w:rPr>
          <w:lang w:val="en"/>
        </w:rPr>
        <w:t xml:space="preserve"> state enterprises, legal entities, more than 50% of shares </w:t>
      </w:r>
      <w:r w:rsidRPr="001529C7">
        <w:rPr>
          <w:i/>
          <w:sz w:val="24"/>
          <w:szCs w:val="24"/>
          <w:lang w:val="en"/>
        </w:rPr>
        <w:t>(participation shares)</w:t>
      </w:r>
      <w:r w:rsidRPr="001529C7">
        <w:rPr>
          <w:lang w:val="en"/>
        </w:rPr>
        <w:t xml:space="preserve"> in which belong to state, and their affiliates.</w:t>
      </w:r>
    </w:p>
    <w:p w14:paraId="1755CBBE" w14:textId="77777777" w:rsidR="00A51B01" w:rsidRPr="00A57506" w:rsidRDefault="004C4BA9" w:rsidP="00A51B01">
      <w:pPr>
        <w:tabs>
          <w:tab w:val="clear" w:pos="567"/>
        </w:tabs>
        <w:rPr>
          <w:lang w:val="en-US"/>
        </w:rPr>
      </w:pPr>
      <w:r w:rsidRPr="001529C7">
        <w:rPr>
          <w:lang w:val="en"/>
        </w:rPr>
        <w:t xml:space="preserve">In this regard, it is necessary to </w:t>
      </w:r>
      <w:r w:rsidRPr="001529C7">
        <w:rPr>
          <w:b/>
          <w:lang w:val="en"/>
        </w:rPr>
        <w:t>exclude</w:t>
      </w:r>
      <w:r w:rsidRPr="001529C7">
        <w:rPr>
          <w:lang w:val="en"/>
        </w:rPr>
        <w:t xml:space="preserve"> subparagraph 5 of paragraph 1 of Article 192 of the Code, followed by bringing into compliance activities of subordinate legal entities </w:t>
      </w:r>
      <w:r w:rsidRPr="001529C7">
        <w:rPr>
          <w:i/>
          <w:sz w:val="24"/>
          <w:szCs w:val="24"/>
          <w:lang w:val="en"/>
        </w:rPr>
        <w:t>(direct or indirect ownership of shares (participation shares) in which is more than 50%)</w:t>
      </w:r>
      <w:r w:rsidRPr="001529C7">
        <w:rPr>
          <w:lang w:val="en"/>
        </w:rPr>
        <w:t>, by excluding activities that do not correspond to those approved in List - 1095 from statutory documents.</w:t>
      </w:r>
    </w:p>
    <w:p w14:paraId="5175E92D" w14:textId="77777777" w:rsidR="00A51B01" w:rsidRPr="00A57506" w:rsidRDefault="004C4BA9" w:rsidP="00A51B01">
      <w:pPr>
        <w:tabs>
          <w:tab w:val="clear" w:pos="567"/>
        </w:tabs>
        <w:rPr>
          <w:i/>
          <w:sz w:val="24"/>
          <w:szCs w:val="24"/>
          <w:lang w:val="en-US"/>
        </w:rPr>
      </w:pPr>
      <w:r w:rsidRPr="001529C7">
        <w:rPr>
          <w:lang w:val="en"/>
        </w:rPr>
        <w:t xml:space="preserve">2) In addition, the Government needs to conduct </w:t>
      </w:r>
      <w:r w:rsidRPr="001529C7">
        <w:rPr>
          <w:b/>
          <w:lang w:val="en"/>
        </w:rPr>
        <w:t>audit</w:t>
      </w:r>
      <w:r w:rsidRPr="001529C7">
        <w:rPr>
          <w:lang w:val="en"/>
        </w:rPr>
        <w:t xml:space="preserve"> of activities of all quasi-public sector enterprises for compliance with the Code, taking into account violations identified during monitoring by the antimonopoly authority of the activities of quasi-public enterprises by antimonopoly authority </w:t>
      </w:r>
      <w:r w:rsidRPr="001529C7">
        <w:rPr>
          <w:i/>
          <w:sz w:val="24"/>
          <w:szCs w:val="24"/>
          <w:lang w:val="en"/>
        </w:rPr>
        <w:t>(described in section 1.3 of this report).</w:t>
      </w:r>
    </w:p>
    <w:p w14:paraId="337F432F" w14:textId="77777777" w:rsidR="00A51B01" w:rsidRPr="00A57506" w:rsidRDefault="004C4BA9" w:rsidP="00A51B01">
      <w:pPr>
        <w:tabs>
          <w:tab w:val="clear" w:pos="567"/>
        </w:tabs>
        <w:rPr>
          <w:lang w:val="en-US"/>
        </w:rPr>
      </w:pPr>
      <w:r w:rsidRPr="001529C7">
        <w:rPr>
          <w:lang w:val="en"/>
        </w:rPr>
        <w:t xml:space="preserve">3) In addition, there is a task to adopt </w:t>
      </w:r>
      <w:r w:rsidRPr="001529C7">
        <w:rPr>
          <w:b/>
          <w:lang w:val="en"/>
        </w:rPr>
        <w:t>new format of the list</w:t>
      </w:r>
      <w:r w:rsidRPr="001529C7">
        <w:rPr>
          <w:lang w:val="en"/>
        </w:rPr>
        <w:t xml:space="preserve"> of activities permitted for quasi–public sector entities </w:t>
      </w:r>
      <w:r w:rsidRPr="001529C7">
        <w:rPr>
          <w:i/>
          <w:sz w:val="24"/>
          <w:szCs w:val="24"/>
          <w:lang w:val="en"/>
        </w:rPr>
        <w:t>(hereinafter referred to as the New format of the List)</w:t>
      </w:r>
      <w:r w:rsidRPr="001529C7">
        <w:rPr>
          <w:lang w:val="en"/>
        </w:rPr>
        <w:t xml:space="preserve"> with information concerning names of market entities, definition of geographical boundaries and timing of their activities, followed by cancelation of current List  1095. This is due to need for more effective reduction of state participation in economy.</w:t>
      </w:r>
    </w:p>
    <w:p w14:paraId="344121C4" w14:textId="77777777" w:rsidR="00A51B01" w:rsidRPr="00A57506" w:rsidRDefault="004C4BA9" w:rsidP="00A51B01">
      <w:pPr>
        <w:tabs>
          <w:tab w:val="clear" w:pos="567"/>
        </w:tabs>
        <w:rPr>
          <w:lang w:val="en-US"/>
        </w:rPr>
      </w:pPr>
      <w:r w:rsidRPr="001529C7">
        <w:rPr>
          <w:lang w:val="en"/>
        </w:rPr>
        <w:t xml:space="preserve">The Agency has already developed New format for the List. In addition, amendments in terms of granting the Government with competence to specify information on names of market entities, determining their geographical boundaries, timing of activities are </w:t>
      </w:r>
      <w:r w:rsidRPr="001529C7">
        <w:rPr>
          <w:b/>
          <w:lang w:val="en"/>
        </w:rPr>
        <w:t>included in draft</w:t>
      </w:r>
      <w:r w:rsidRPr="001529C7">
        <w:rPr>
          <w:lang w:val="en"/>
        </w:rPr>
        <w:t xml:space="preserve"> Law "On Amendments and Additions to Some Legislative Acts of the Republic of Kazakhstan on development of quasi-public sector", developed by the Ministry of National Economy.</w:t>
      </w:r>
    </w:p>
    <w:p w14:paraId="41B91ED1" w14:textId="77777777" w:rsidR="0067515E" w:rsidRPr="00A57506" w:rsidRDefault="004C4BA9" w:rsidP="0067515E">
      <w:pPr>
        <w:tabs>
          <w:tab w:val="clear" w:pos="567"/>
        </w:tabs>
        <w:rPr>
          <w:lang w:val="en-US"/>
        </w:rPr>
      </w:pPr>
      <w:r w:rsidRPr="001529C7">
        <w:rPr>
          <w:lang w:val="en"/>
        </w:rPr>
        <w:t xml:space="preserve">4) In addition, it is necessary to take exhaustive measures to </w:t>
      </w:r>
      <w:r w:rsidR="00382F07" w:rsidRPr="001529C7">
        <w:rPr>
          <w:b/>
          <w:lang w:val="en"/>
        </w:rPr>
        <w:t>review the functionality</w:t>
      </w:r>
      <w:r w:rsidRPr="001529C7">
        <w:rPr>
          <w:lang w:val="en"/>
        </w:rPr>
        <w:t xml:space="preserve"> of all subordinate analytical and research organizations for their </w:t>
      </w:r>
      <w:r w:rsidR="00382F07" w:rsidRPr="001529C7">
        <w:rPr>
          <w:b/>
          <w:lang w:val="en"/>
        </w:rPr>
        <w:t>duplication</w:t>
      </w:r>
      <w:r w:rsidRPr="001529C7">
        <w:rPr>
          <w:lang w:val="en"/>
        </w:rPr>
        <w:t xml:space="preserve"> with competence of state bodies, excluding such facts if they exist. Earlier, according to results of the audit </w:t>
      </w:r>
      <w:r w:rsidR="00382F07" w:rsidRPr="001529C7">
        <w:rPr>
          <w:i/>
          <w:sz w:val="24"/>
          <w:szCs w:val="24"/>
          <w:lang w:val="en"/>
        </w:rPr>
        <w:t>(40 subordinate analytical and research structures)</w:t>
      </w:r>
      <w:r w:rsidRPr="001529C7">
        <w:rPr>
          <w:lang w:val="en"/>
        </w:rPr>
        <w:t xml:space="preserve">, it was </w:t>
      </w:r>
      <w:r w:rsidRPr="001529C7">
        <w:rPr>
          <w:lang w:val="en"/>
        </w:rPr>
        <w:lastRenderedPageBreak/>
        <w:t>found that various research topics are planned annually to finance subordinate institutes, which are formally executed to receive funding.</w:t>
      </w:r>
    </w:p>
    <w:p w14:paraId="75DFFDC2" w14:textId="77777777" w:rsidR="00A51B01" w:rsidRPr="00A57506" w:rsidRDefault="004C4BA9" w:rsidP="0067515E">
      <w:pPr>
        <w:tabs>
          <w:tab w:val="clear" w:pos="567"/>
        </w:tabs>
        <w:rPr>
          <w:lang w:val="en-US"/>
        </w:rPr>
      </w:pPr>
      <w:r w:rsidRPr="001529C7">
        <w:rPr>
          <w:color w:val="000000" w:themeColor="text1"/>
          <w:lang w:val="en"/>
        </w:rPr>
        <w:t xml:space="preserve">Measures, Implemented to limit state participation in entrepreneurship will also be aimed at reducing number of state operators and state orders. </w:t>
      </w:r>
      <w:r w:rsidRPr="001529C7">
        <w:rPr>
          <w:lang w:val="en"/>
        </w:rPr>
        <w:t xml:space="preserve">With that , in order to eliminate negative effects for Kazakhstan's economy, it is necessary to introduce </w:t>
      </w:r>
      <w:r w:rsidRPr="001529C7">
        <w:rPr>
          <w:b/>
          <w:lang w:val="en"/>
        </w:rPr>
        <w:t xml:space="preserve">prohibition </w:t>
      </w:r>
      <w:r w:rsidRPr="001529C7">
        <w:rPr>
          <w:lang w:val="en"/>
        </w:rPr>
        <w:t xml:space="preserve"> on creation of single operators as monopolies that harm healthy economy. In order to increase efficiency of state property management, reduce state participation in entrepreneurship and create conditions for development of private sector, it is necessary to resume previously existing </w:t>
      </w:r>
      <w:r w:rsidRPr="001529C7">
        <w:rPr>
          <w:b/>
          <w:lang w:val="en"/>
        </w:rPr>
        <w:t>moratorium</w:t>
      </w:r>
      <w:r w:rsidRPr="001529C7">
        <w:rPr>
          <w:lang w:val="en"/>
        </w:rPr>
        <w:t xml:space="preserve"> on creation of quasi-public sector entities, with exception of its effect on social sphere entities and (or) life support of settlements. The task of introducing moratorium until December 31, 2025 is provided for Action Plan for reform of quasi-public sector in the Republic of Kazakhstan</w:t>
      </w:r>
      <w:r>
        <w:rPr>
          <w:rStyle w:val="FootnoteReference"/>
          <w:color w:val="000000" w:themeColor="text1"/>
        </w:rPr>
        <w:footnoteReference w:id="29"/>
      </w:r>
      <w:r w:rsidRPr="001529C7">
        <w:rPr>
          <w:lang w:val="en"/>
        </w:rPr>
        <w:t>.</w:t>
      </w:r>
    </w:p>
    <w:p w14:paraId="2D16E068" w14:textId="77777777" w:rsidR="00A51B01" w:rsidRPr="00A57506" w:rsidRDefault="004C4BA9" w:rsidP="00A51B01">
      <w:pPr>
        <w:tabs>
          <w:tab w:val="clear" w:pos="567"/>
        </w:tabs>
        <w:rPr>
          <w:lang w:val="en-US"/>
        </w:rPr>
      </w:pPr>
      <w:r w:rsidRPr="001529C7">
        <w:rPr>
          <w:lang w:val="en"/>
        </w:rPr>
        <w:t xml:space="preserve">Also, a significant driver for development of private initiative could be adoption of measures to </w:t>
      </w:r>
      <w:r w:rsidRPr="001529C7">
        <w:rPr>
          <w:b/>
          <w:lang w:val="en"/>
        </w:rPr>
        <w:t>abolish</w:t>
      </w:r>
      <w:r w:rsidRPr="001529C7">
        <w:rPr>
          <w:lang w:val="en"/>
        </w:rPr>
        <w:t xml:space="preserve"> institution of state orders, implementing particularly urgent and important projects through public procurement mechanism, if necessary, purchasing them from single source.</w:t>
      </w:r>
    </w:p>
    <w:p w14:paraId="61ABC308" w14:textId="77777777" w:rsidR="00382F07" w:rsidRPr="00A57506" w:rsidRDefault="004C4BA9" w:rsidP="00766018">
      <w:pPr>
        <w:tabs>
          <w:tab w:val="clear" w:pos="567"/>
        </w:tabs>
        <w:rPr>
          <w:lang w:val="en-US"/>
        </w:rPr>
      </w:pPr>
      <w:r w:rsidRPr="001529C7">
        <w:rPr>
          <w:lang w:val="en"/>
        </w:rPr>
        <w:t>The corresponding work is planned to be completed by the end of 2023.</w:t>
      </w:r>
    </w:p>
    <w:p w14:paraId="1565EE2A" w14:textId="77777777" w:rsidR="00766018" w:rsidRPr="00A57506" w:rsidRDefault="004C4BA9" w:rsidP="001529C7">
      <w:pPr>
        <w:spacing w:before="120"/>
        <w:rPr>
          <w:color w:val="000000" w:themeColor="text1"/>
          <w:lang w:val="en-US"/>
        </w:rPr>
      </w:pPr>
      <w:r w:rsidRPr="001529C7">
        <w:rPr>
          <w:b/>
          <w:color w:val="000000" w:themeColor="text1"/>
          <w:lang w:val="en"/>
        </w:rPr>
        <w:t>3.</w:t>
      </w:r>
      <w:r w:rsidR="00A51B01" w:rsidRPr="001529C7">
        <w:rPr>
          <w:color w:val="000000" w:themeColor="text1"/>
          <w:lang w:val="en"/>
        </w:rPr>
        <w:t xml:space="preserve"> The most important task is to increase coverage of state support measures for private entrepreneurs on competitive principles. Now personalization of state support is underway – large businesses are mainly supported.</w:t>
      </w:r>
    </w:p>
    <w:p w14:paraId="026E7616" w14:textId="77777777" w:rsidR="00766018" w:rsidRPr="00A57506" w:rsidRDefault="004C4BA9" w:rsidP="00766018">
      <w:pPr>
        <w:rPr>
          <w:color w:val="000000" w:themeColor="text1"/>
          <w:lang w:val="en-US"/>
        </w:rPr>
      </w:pPr>
      <w:r w:rsidRPr="001529C7">
        <w:rPr>
          <w:color w:val="000000" w:themeColor="text1"/>
          <w:lang w:val="en"/>
        </w:rPr>
        <w:t xml:space="preserve">In this regard, </w:t>
      </w:r>
      <w:r w:rsidRPr="00B91605">
        <w:rPr>
          <w:b/>
          <w:bCs/>
          <w:color w:val="000000" w:themeColor="text1"/>
          <w:lang w:val="en"/>
        </w:rPr>
        <w:t>equal access to state support measures</w:t>
      </w:r>
      <w:r w:rsidRPr="001529C7">
        <w:rPr>
          <w:color w:val="000000" w:themeColor="text1"/>
          <w:lang w:val="en"/>
        </w:rPr>
        <w:t xml:space="preserve"> is an important strategic direction. According to the new law, monitoring of existing and approval of new state support measures is underway. The final beneficiaries of recipients of state support measures </w:t>
      </w:r>
      <w:r w:rsidRPr="001529C7">
        <w:rPr>
          <w:i/>
          <w:color w:val="000000" w:themeColor="text1"/>
          <w:sz w:val="24"/>
          <w:lang w:val="en"/>
        </w:rPr>
        <w:t>(concessional lending, subsidies, equity participation, offtake contracts, etc.)</w:t>
      </w:r>
      <w:r w:rsidRPr="001529C7">
        <w:rPr>
          <w:color w:val="000000" w:themeColor="text1"/>
          <w:lang w:val="en"/>
        </w:rPr>
        <w:t xml:space="preserve"> will be analyzed. </w:t>
      </w:r>
    </w:p>
    <w:p w14:paraId="62B4DFA4" w14:textId="77777777" w:rsidR="0094420A" w:rsidRPr="00A57506" w:rsidRDefault="004C4BA9" w:rsidP="00766018">
      <w:pPr>
        <w:rPr>
          <w:color w:val="000000" w:themeColor="text1"/>
          <w:lang w:val="en-US"/>
        </w:rPr>
      </w:pPr>
      <w:r w:rsidRPr="001529C7">
        <w:rPr>
          <w:color w:val="000000" w:themeColor="text1"/>
          <w:lang w:val="en"/>
        </w:rPr>
        <w:t>An important aspect is procurement of public and quasi–public sectors. It is advisable to consider them as additional business support tool with an emphasis on supporting SMEs.</w:t>
      </w:r>
    </w:p>
    <w:p w14:paraId="4FF47284" w14:textId="0ED5B088" w:rsidR="00D538DD" w:rsidRPr="00A57506" w:rsidRDefault="004C4BA9" w:rsidP="002B3B86">
      <w:pPr>
        <w:tabs>
          <w:tab w:val="left" w:pos="993"/>
        </w:tabs>
        <w:spacing w:before="120"/>
        <w:rPr>
          <w:color w:val="000000" w:themeColor="text1"/>
          <w:lang w:val="en-US"/>
        </w:rPr>
      </w:pPr>
      <w:r w:rsidRPr="001529C7">
        <w:rPr>
          <w:b/>
          <w:lang w:val="en"/>
        </w:rPr>
        <w:t>4.</w:t>
      </w:r>
      <w:r w:rsidR="00A81B57" w:rsidRPr="001529C7">
        <w:rPr>
          <w:lang w:val="en"/>
        </w:rPr>
        <w:t xml:space="preserve"> The Agency also faces a number of new challenges, including </w:t>
      </w:r>
      <w:r w:rsidRPr="001529C7">
        <w:rPr>
          <w:b/>
          <w:lang w:val="en"/>
        </w:rPr>
        <w:t xml:space="preserve"> phasing out from price regulation</w:t>
      </w:r>
      <w:r w:rsidRPr="001529C7">
        <w:rPr>
          <w:lang w:val="en"/>
        </w:rPr>
        <w:t xml:space="preserve">. </w:t>
      </w:r>
      <w:r w:rsidRPr="001529C7">
        <w:rPr>
          <w:color w:val="000000" w:themeColor="text1"/>
          <w:lang w:val="en"/>
        </w:rPr>
        <w:t xml:space="preserve">In his Address, dated September 1, 2022, the Head of State K.K. Tokayev outlined the need to solve a number of priority tasks, in particular, it was noted that "administrative price regulation reduces investment attractiveness of entire industries, leads to shortage of goods and dependence on imports. Therefore, it is necessary to </w:t>
      </w:r>
      <w:r w:rsidRPr="001529C7">
        <w:rPr>
          <w:b/>
          <w:color w:val="000000" w:themeColor="text1"/>
          <w:lang w:val="en"/>
        </w:rPr>
        <w:t>phase out state intervention in pricing</w:t>
      </w:r>
      <w:r w:rsidRPr="001529C7">
        <w:rPr>
          <w:color w:val="000000" w:themeColor="text1"/>
          <w:lang w:val="en"/>
        </w:rPr>
        <w:t>. The exception will be made for uncompetitive markets – monopolists' tariffs will remain under tight control.".</w:t>
      </w:r>
    </w:p>
    <w:p w14:paraId="6FDA1DEC" w14:textId="77777777" w:rsidR="00D538DD" w:rsidRPr="00A57506" w:rsidRDefault="004C4BA9" w:rsidP="00D538DD">
      <w:pPr>
        <w:tabs>
          <w:tab w:val="left" w:pos="993"/>
        </w:tabs>
        <w:rPr>
          <w:color w:val="000000" w:themeColor="text1"/>
          <w:lang w:val="en-US" w:eastAsia="ar-SA"/>
        </w:rPr>
      </w:pPr>
      <w:r w:rsidRPr="001529C7">
        <w:rPr>
          <w:color w:val="000000" w:themeColor="text1"/>
          <w:lang w:val="en" w:eastAsia="ar-SA"/>
        </w:rPr>
        <w:t>Price regulation, being an intervention in market pricing process, gives incorrect investment signals to potential competitors regarding profitability of corresponding commodity market.</w:t>
      </w:r>
    </w:p>
    <w:p w14:paraId="1DBADD20" w14:textId="77777777" w:rsidR="00D538DD" w:rsidRPr="00A57506" w:rsidRDefault="004C4BA9" w:rsidP="00D538DD">
      <w:pPr>
        <w:rPr>
          <w:color w:val="000000" w:themeColor="text1"/>
          <w:lang w:val="en-US" w:eastAsia="ar-SA"/>
        </w:rPr>
      </w:pPr>
      <w:r w:rsidRPr="001529C7">
        <w:rPr>
          <w:color w:val="000000" w:themeColor="text1"/>
          <w:lang w:val="en" w:eastAsia="ar-SA"/>
        </w:rPr>
        <w:lastRenderedPageBreak/>
        <w:t xml:space="preserve">Attempts to regulate prices for individual goods by setting </w:t>
      </w:r>
      <w:r w:rsidRPr="001529C7">
        <w:rPr>
          <w:b/>
          <w:color w:val="000000" w:themeColor="text1"/>
          <w:lang w:val="en" w:eastAsia="ar-SA"/>
        </w:rPr>
        <w:t>price limit have led to "pull-up" effect, when prices begin to pull up to limit threshold</w:t>
      </w:r>
      <w:r w:rsidRPr="001529C7">
        <w:rPr>
          <w:color w:val="000000" w:themeColor="text1"/>
          <w:lang w:val="en" w:eastAsia="ar-SA"/>
        </w:rPr>
        <w:t xml:space="preserve"> set by the state. </w:t>
      </w:r>
      <w:r w:rsidRPr="001529C7">
        <w:rPr>
          <w:b/>
          <w:color w:val="000000" w:themeColor="text1"/>
          <w:lang w:val="en" w:eastAsia="ar-SA"/>
        </w:rPr>
        <w:t>Costly pricing method</w:t>
      </w:r>
      <w:r w:rsidRPr="001529C7">
        <w:rPr>
          <w:color w:val="000000" w:themeColor="text1"/>
          <w:lang w:val="en" w:eastAsia="ar-SA"/>
        </w:rPr>
        <w:t xml:space="preserve"> reduces efficiency of resource allocation, pushing regulated market entities to increase their expenditure side </w:t>
      </w:r>
      <w:r w:rsidRPr="001529C7">
        <w:rPr>
          <w:i/>
          <w:color w:val="000000" w:themeColor="text1"/>
          <w:sz w:val="24"/>
          <w:szCs w:val="24"/>
          <w:lang w:val="en" w:eastAsia="ar-SA"/>
        </w:rPr>
        <w:t>(Averch-Johnson effect)</w:t>
      </w:r>
      <w:r w:rsidRPr="001529C7">
        <w:rPr>
          <w:color w:val="000000" w:themeColor="text1"/>
          <w:lang w:val="en" w:eastAsia="ar-SA"/>
        </w:rPr>
        <w:t>, its growth is subsequently covered by direct increase in selling prices.</w:t>
      </w:r>
    </w:p>
    <w:p w14:paraId="24C1C7CE" w14:textId="77777777" w:rsidR="00D538DD" w:rsidRPr="00A57506" w:rsidRDefault="004C4BA9" w:rsidP="00D538DD">
      <w:pPr>
        <w:rPr>
          <w:color w:val="000000" w:themeColor="text1"/>
          <w:lang w:val="en-US" w:eastAsia="ar-SA"/>
        </w:rPr>
      </w:pPr>
      <w:r w:rsidRPr="001529C7">
        <w:rPr>
          <w:color w:val="000000" w:themeColor="text1"/>
          <w:lang w:val="en" w:eastAsia="ar-SA"/>
        </w:rPr>
        <w:t xml:space="preserve">Differentiation of prices and tariffs by consumer groups </w:t>
      </w:r>
      <w:r w:rsidRPr="001529C7">
        <w:rPr>
          <w:i/>
          <w:color w:val="000000" w:themeColor="text1"/>
          <w:sz w:val="24"/>
          <w:szCs w:val="24"/>
          <w:lang w:val="en" w:eastAsia="ar-SA"/>
        </w:rPr>
        <w:t>(for cross-subsidizing)</w:t>
      </w:r>
      <w:r w:rsidRPr="001529C7">
        <w:rPr>
          <w:color w:val="000000" w:themeColor="text1"/>
          <w:lang w:val="en" w:eastAsia="ar-SA"/>
        </w:rPr>
        <w:t xml:space="preserve"> remains a significant problem, which, for example, negatively affects competition between energy supply organizations for household consumers and in turn leads to increase in average tariff </w:t>
      </w:r>
      <w:r w:rsidRPr="001529C7">
        <w:rPr>
          <w:i/>
          <w:color w:val="000000" w:themeColor="text1"/>
          <w:sz w:val="24"/>
          <w:szCs w:val="24"/>
          <w:lang w:val="en" w:eastAsia="ar-SA"/>
        </w:rPr>
        <w:t>(after decrease in volumes, costs and losses fall on remaining consumers)</w:t>
      </w:r>
      <w:r w:rsidRPr="001529C7">
        <w:rPr>
          <w:color w:val="000000" w:themeColor="text1"/>
          <w:lang w:val="en" w:eastAsia="ar-SA"/>
        </w:rPr>
        <w:t>.</w:t>
      </w:r>
    </w:p>
    <w:p w14:paraId="391ADFA3" w14:textId="77777777" w:rsidR="001529C7" w:rsidRPr="00A57506" w:rsidRDefault="004C4BA9" w:rsidP="001529C7">
      <w:pPr>
        <w:tabs>
          <w:tab w:val="left" w:pos="993"/>
        </w:tabs>
        <w:rPr>
          <w:sz w:val="24"/>
          <w:szCs w:val="24"/>
          <w:lang w:val="en-US"/>
        </w:rPr>
      </w:pPr>
      <w:r w:rsidRPr="001529C7">
        <w:rPr>
          <w:lang w:val="en"/>
        </w:rPr>
        <w:t xml:space="preserve">In this regard, it is important to increase efficiency of markets, create favorable institutional and organizational conditions for free competition, and shift emphasis from state regulation of prices to </w:t>
      </w:r>
      <w:r w:rsidRPr="001529C7">
        <w:rPr>
          <w:b/>
          <w:bCs/>
          <w:lang w:val="en"/>
        </w:rPr>
        <w:t>market pricing</w:t>
      </w:r>
      <w:r w:rsidRPr="001529C7">
        <w:rPr>
          <w:lang w:val="en"/>
        </w:rPr>
        <w:t xml:space="preserve">. Work in this direction is already underway: </w:t>
      </w:r>
      <w:r w:rsidRPr="001529C7">
        <w:rPr>
          <w:b/>
          <w:lang w:val="en"/>
        </w:rPr>
        <w:t>phased deregulation of prices for medicines</w:t>
      </w:r>
      <w:r w:rsidRPr="001529C7">
        <w:rPr>
          <w:sz w:val="24"/>
          <w:szCs w:val="24"/>
          <w:lang w:val="en"/>
        </w:rPr>
        <w:t xml:space="preserve"> has been proposed.</w:t>
      </w:r>
    </w:p>
    <w:p w14:paraId="570233B9" w14:textId="77777777" w:rsidR="00C64FD8" w:rsidRPr="00A57506" w:rsidRDefault="004C4BA9" w:rsidP="001529C7">
      <w:pPr>
        <w:tabs>
          <w:tab w:val="left" w:pos="993"/>
        </w:tabs>
        <w:spacing w:before="120"/>
        <w:rPr>
          <w:b/>
          <w:lang w:val="en-US"/>
        </w:rPr>
      </w:pPr>
      <w:r w:rsidRPr="001529C7">
        <w:rPr>
          <w:b/>
          <w:sz w:val="24"/>
          <w:szCs w:val="24"/>
          <w:lang w:val="en"/>
        </w:rPr>
        <w:t>5.</w:t>
      </w:r>
      <w:r w:rsidRPr="001529C7">
        <w:rPr>
          <w:b/>
          <w:lang w:val="en"/>
        </w:rPr>
        <w:t xml:space="preserve"> Improving activities of antimonopoly authority </w:t>
      </w:r>
    </w:p>
    <w:p w14:paraId="0A87334D" w14:textId="77777777" w:rsidR="00D538DD" w:rsidRPr="00A57506" w:rsidRDefault="004C4BA9" w:rsidP="00C64FD8">
      <w:pPr>
        <w:tabs>
          <w:tab w:val="clear" w:pos="567"/>
        </w:tabs>
        <w:rPr>
          <w:color w:val="000000" w:themeColor="text1"/>
          <w:lang w:val="en-US"/>
        </w:rPr>
      </w:pPr>
      <w:r w:rsidRPr="001529C7">
        <w:rPr>
          <w:color w:val="000000" w:themeColor="text1"/>
          <w:lang w:val="en" w:eastAsia="ar-SA"/>
        </w:rPr>
        <w:t xml:space="preserve">The development of competition policy requires significant improvement in quality of measures to protect and promote competition, further improvement of law enforcement practice. In this regard, work will continue on improving activities of antimonopoly authority. </w:t>
      </w:r>
    </w:p>
    <w:p w14:paraId="7FC7C472" w14:textId="77777777" w:rsidR="00B51FD5" w:rsidRPr="00A57506" w:rsidRDefault="004C4BA9" w:rsidP="00C64FD8">
      <w:pPr>
        <w:tabs>
          <w:tab w:val="clear" w:pos="567"/>
        </w:tabs>
        <w:rPr>
          <w:color w:val="000000" w:themeColor="text1"/>
          <w:lang w:val="en-US"/>
        </w:rPr>
      </w:pPr>
      <w:r w:rsidRPr="00B91605">
        <w:rPr>
          <w:color w:val="000000" w:themeColor="text1"/>
          <w:lang w:val="en"/>
        </w:rPr>
        <w:t xml:space="preserve">In particular, one of the main tasks is conducting full-fledged multi-factorial economic analysis of market situation, taking into account current trends in development of competition protection legislation. In this regard, methodology of conducting planned analyses will be revised </w:t>
      </w:r>
      <w:r>
        <w:rPr>
          <w:rStyle w:val="FootnoteReference"/>
          <w:color w:val="000000" w:themeColor="text1"/>
        </w:rPr>
        <w:footnoteReference w:id="30"/>
      </w:r>
      <w:r w:rsidRPr="00B91605">
        <w:rPr>
          <w:color w:val="000000" w:themeColor="text1"/>
          <w:lang w:val="en"/>
        </w:rPr>
        <w:t>in order to improve quality of assessing mechanisms of state, normative regulation of markets, economic conditions of their functioning, impact of competition measures on economic macro indicators, using econometric methods of analysis.</w:t>
      </w:r>
    </w:p>
    <w:p w14:paraId="2DC84173" w14:textId="77777777" w:rsidR="00B51FD5" w:rsidRPr="00A57506" w:rsidRDefault="004C4BA9" w:rsidP="00B51FD5">
      <w:pPr>
        <w:tabs>
          <w:tab w:val="clear" w:pos="567"/>
        </w:tabs>
        <w:rPr>
          <w:color w:val="000000" w:themeColor="text1"/>
          <w:lang w:val="en-US"/>
        </w:rPr>
      </w:pPr>
      <w:r w:rsidRPr="001529C7">
        <w:rPr>
          <w:color w:val="000000" w:themeColor="text1"/>
          <w:lang w:val="en"/>
        </w:rPr>
        <w:t>Transparency of analyses, publication of results and the measures taken will be ensured. Experts, entrepreneurs and their associations, as well as scientific personnel of higher educational institutions will be involved in this work.  This will improve quality of analyses with a focus on identifying barriers and forming system solutions.</w:t>
      </w:r>
    </w:p>
    <w:p w14:paraId="7683B250" w14:textId="77777777" w:rsidR="00B51FD5" w:rsidRPr="00A57506" w:rsidRDefault="004C4BA9" w:rsidP="00B51FD5">
      <w:pPr>
        <w:tabs>
          <w:tab w:val="clear" w:pos="567"/>
        </w:tabs>
        <w:rPr>
          <w:color w:val="000000" w:themeColor="text1"/>
          <w:lang w:val="en-US"/>
        </w:rPr>
      </w:pPr>
      <w:r w:rsidRPr="001529C7">
        <w:rPr>
          <w:color w:val="000000" w:themeColor="text1"/>
          <w:lang w:val="en"/>
        </w:rPr>
        <w:t>To improve efficiency of antimonopoly authority, a functional analysis of the Agency will be carried out. Based on the results of analysis, an algorithm of interaction between central office and territorial divisions will be developed, eliminating duplication and aimed at strengthening internal control. For this purpose, forms of collecting information, reports, automated accounting, deadlines for submission of information and its analysis, range of issues to be rechecked and monitored,  will be developed. Investigations and analyses will be conducted on ongoing annual basis.</w:t>
      </w:r>
    </w:p>
    <w:p w14:paraId="355CA997" w14:textId="77777777" w:rsidR="00B51FD5" w:rsidRPr="00A57506" w:rsidRDefault="004C4BA9" w:rsidP="00B51FD5">
      <w:pPr>
        <w:tabs>
          <w:tab w:val="clear" w:pos="567"/>
        </w:tabs>
        <w:rPr>
          <w:color w:val="000000" w:themeColor="text1"/>
          <w:lang w:val="en-US"/>
        </w:rPr>
      </w:pPr>
      <w:r w:rsidRPr="001529C7">
        <w:rPr>
          <w:color w:val="000000" w:themeColor="text1"/>
          <w:lang w:val="en"/>
        </w:rPr>
        <w:t xml:space="preserve">Improving effectiveness of antimonopoly regulation will be one of the Agency's main tasks. To this end, appropriate amendments will be made to regulatory legal acts </w:t>
      </w:r>
      <w:r w:rsidRPr="001529C7">
        <w:rPr>
          <w:color w:val="000000" w:themeColor="text1"/>
          <w:lang w:val="en"/>
        </w:rPr>
        <w:lastRenderedPageBreak/>
        <w:t xml:space="preserve">regarding investigation procedures and analyses conducted within the framework of antimonopoly control. </w:t>
      </w:r>
    </w:p>
    <w:p w14:paraId="3EE2C984" w14:textId="77777777" w:rsidR="00B51FD5" w:rsidRPr="00A57506" w:rsidRDefault="004C4BA9" w:rsidP="00B51FD5">
      <w:pPr>
        <w:tabs>
          <w:tab w:val="clear" w:pos="567"/>
        </w:tabs>
        <w:rPr>
          <w:color w:val="000000" w:themeColor="text1"/>
          <w:lang w:val="en-US"/>
        </w:rPr>
      </w:pPr>
      <w:r w:rsidRPr="001529C7">
        <w:rPr>
          <w:color w:val="000000" w:themeColor="text1"/>
          <w:lang w:val="en"/>
        </w:rPr>
        <w:t>Conditions for selecting commodity markets and their participants for analysis and monitoring will be specified. Procedure for conducting unscheduled analyses will be optimized taking into account practice and new requirements of price control at commodity markets.</w:t>
      </w:r>
    </w:p>
    <w:p w14:paraId="1D59A79E" w14:textId="77777777" w:rsidR="006D3D99" w:rsidRPr="00A57506" w:rsidRDefault="004C4BA9" w:rsidP="006D3D99">
      <w:pPr>
        <w:rPr>
          <w:color w:val="000000" w:themeColor="text1"/>
          <w:lang w:val="en-US" w:eastAsia="ar-SA"/>
        </w:rPr>
      </w:pPr>
      <w:r w:rsidRPr="001529C7">
        <w:rPr>
          <w:color w:val="000000" w:themeColor="text1"/>
          <w:lang w:val="en" w:eastAsia="ar-SA"/>
        </w:rPr>
        <w:t>Special attention will be paid to applying current methodology for analysis of competition in relation to digital economy. Emergence of new digital products offered under new monetization models, mechanisms of interaction between suppliers and buyers leads to change in market structures, and antimonopoly authorities of many countries face the need to change traditional sets of tools used by regulatory authorities to perform their functions.</w:t>
      </w:r>
    </w:p>
    <w:p w14:paraId="13802A00" w14:textId="77777777" w:rsidR="00B51FD5" w:rsidRPr="00A57506" w:rsidRDefault="004C4BA9" w:rsidP="00B51FD5">
      <w:pPr>
        <w:tabs>
          <w:tab w:val="clear" w:pos="567"/>
        </w:tabs>
        <w:rPr>
          <w:color w:val="000000" w:themeColor="text1"/>
          <w:lang w:val="en-US"/>
        </w:rPr>
      </w:pPr>
      <w:r w:rsidRPr="001529C7">
        <w:rPr>
          <w:color w:val="000000" w:themeColor="text1"/>
          <w:lang w:val="en"/>
        </w:rPr>
        <w:t>Practice of conducting investigations will be strictly regulated through adoption of appropriate instructions, which will determine signs of each type of antimonopoly violations, timing of examinations, requesting and studying requested information.</w:t>
      </w:r>
    </w:p>
    <w:p w14:paraId="36D7EE0F" w14:textId="77777777" w:rsidR="00B51FD5" w:rsidRPr="00A57506" w:rsidRDefault="004C4BA9" w:rsidP="00B51FD5">
      <w:pPr>
        <w:tabs>
          <w:tab w:val="clear" w:pos="567"/>
        </w:tabs>
        <w:rPr>
          <w:color w:val="000000" w:themeColor="text1"/>
          <w:lang w:val="en-US"/>
        </w:rPr>
      </w:pPr>
      <w:r w:rsidRPr="001529C7">
        <w:rPr>
          <w:color w:val="000000" w:themeColor="text1"/>
          <w:lang w:val="en"/>
        </w:rPr>
        <w:t xml:space="preserve">The monitoring carried out within the framework of price control will be supplemented by conditions for selecting commodity markets and information sources. In order to reduce burden on businesses, priority will be given to existing databases of state authorities, following definition of information interaction with them. </w:t>
      </w:r>
    </w:p>
    <w:p w14:paraId="14D487CC" w14:textId="77777777" w:rsidR="00B51FD5" w:rsidRPr="00A57506" w:rsidRDefault="004C4BA9" w:rsidP="00B51FD5">
      <w:pPr>
        <w:tabs>
          <w:tab w:val="clear" w:pos="567"/>
        </w:tabs>
        <w:rPr>
          <w:color w:val="000000" w:themeColor="text1"/>
          <w:lang w:val="en-US"/>
        </w:rPr>
      </w:pPr>
      <w:r w:rsidRPr="001529C7">
        <w:rPr>
          <w:color w:val="000000" w:themeColor="text1"/>
          <w:lang w:val="en"/>
        </w:rPr>
        <w:t>In order to optimize the process of collecting information necessary for analysis and response measures, work will be carried out to expand indicators and the list of commodity markets of dashboard "analytical map of competition state", that will allow monitoring changes in concentration of commodity markets, dynamics of sales volumes, prices and basic costs of participants in real time.</w:t>
      </w:r>
    </w:p>
    <w:p w14:paraId="386A687D" w14:textId="77777777" w:rsidR="00B51FD5" w:rsidRPr="00A57506" w:rsidRDefault="004C4BA9" w:rsidP="00B51FD5">
      <w:pPr>
        <w:tabs>
          <w:tab w:val="clear" w:pos="567"/>
        </w:tabs>
        <w:rPr>
          <w:color w:val="000000" w:themeColor="text1"/>
          <w:lang w:val="en-US"/>
        </w:rPr>
      </w:pPr>
      <w:r w:rsidRPr="001529C7">
        <w:rPr>
          <w:color w:val="000000" w:themeColor="text1"/>
          <w:lang w:val="en"/>
        </w:rPr>
        <w:t>Taking into account corporate governance mechanism implemented in the Agency, which provides for collegial format of coordinating results of investigations, analyses, economic concentration and types of activities, this will increase transparency of taking key decisions.</w:t>
      </w:r>
    </w:p>
    <w:p w14:paraId="653752E8" w14:textId="77777777" w:rsidR="006D3D99" w:rsidRPr="00A57506" w:rsidRDefault="004C4BA9" w:rsidP="006D3D99">
      <w:pPr>
        <w:tabs>
          <w:tab w:val="left" w:pos="851"/>
        </w:tabs>
        <w:rPr>
          <w:i/>
          <w:color w:val="000000" w:themeColor="text1"/>
          <w:sz w:val="24"/>
          <w:szCs w:val="24"/>
          <w:lang w:val="en-US" w:eastAsia="ar-SA"/>
        </w:rPr>
      </w:pPr>
      <w:r w:rsidRPr="001529C7">
        <w:rPr>
          <w:color w:val="000000" w:themeColor="text1"/>
          <w:lang w:val="en" w:eastAsia="ar-SA"/>
        </w:rPr>
        <w:t xml:space="preserve">Measures developed to improve mechanisms for protection and development of competition will be aimed at reducing number of violations by increasing effectiveness of </w:t>
      </w:r>
      <w:r w:rsidRPr="001529C7">
        <w:rPr>
          <w:b/>
          <w:color w:val="000000" w:themeColor="text1"/>
          <w:lang w:val="en" w:eastAsia="ar-SA"/>
        </w:rPr>
        <w:t>preventive measures</w:t>
      </w:r>
      <w:r w:rsidRPr="001529C7">
        <w:rPr>
          <w:color w:val="000000" w:themeColor="text1"/>
          <w:lang w:val="en" w:eastAsia="ar-SA"/>
        </w:rPr>
        <w:t xml:space="preserve"> of antimonopoly regulation </w:t>
      </w:r>
      <w:r w:rsidRPr="001529C7">
        <w:rPr>
          <w:i/>
          <w:color w:val="000000" w:themeColor="text1"/>
          <w:sz w:val="24"/>
          <w:szCs w:val="24"/>
          <w:lang w:val="en" w:eastAsia="ar-SA"/>
        </w:rPr>
        <w:t>(development of incentives for market participants to adopt acts of antimonopoly compliance, developing practice of explanations and recommendations)</w:t>
      </w:r>
      <w:r w:rsidRPr="001529C7">
        <w:rPr>
          <w:color w:val="000000" w:themeColor="text1"/>
          <w:lang w:val="en" w:eastAsia="ar-SA"/>
        </w:rPr>
        <w:t xml:space="preserve">, as well as improving quality of decisions taken by the antimonopoly authority. </w:t>
      </w:r>
    </w:p>
    <w:p w14:paraId="167483C6" w14:textId="58A3EBA8" w:rsidR="001529C7" w:rsidRPr="00A57506" w:rsidRDefault="004C4BA9" w:rsidP="001529C7">
      <w:pPr>
        <w:rPr>
          <w:color w:val="000000" w:themeColor="text1"/>
          <w:lang w:val="en-US"/>
        </w:rPr>
      </w:pPr>
      <w:r w:rsidRPr="001529C7">
        <w:rPr>
          <w:bCs/>
          <w:lang w:val="en"/>
        </w:rPr>
        <w:t xml:space="preserve">An important task for </w:t>
      </w:r>
      <w:r w:rsidR="00346BA4" w:rsidRPr="001529C7">
        <w:rPr>
          <w:color w:val="000000" w:themeColor="text1"/>
          <w:lang w:val="en"/>
        </w:rPr>
        <w:t>effective competition policy</w:t>
      </w:r>
      <w:r w:rsidRPr="001529C7">
        <w:rPr>
          <w:bCs/>
          <w:lang w:val="en"/>
        </w:rPr>
        <w:t xml:space="preserve">, proceeding from President's instructions, given at expanded meeting of the Government with the participation of the President on April 19, 2023, is to </w:t>
      </w:r>
      <w:r w:rsidRPr="001529C7">
        <w:rPr>
          <w:b/>
          <w:bCs/>
          <w:lang w:val="en"/>
        </w:rPr>
        <w:t>improve qualifications of judges</w:t>
      </w:r>
      <w:r w:rsidRPr="001529C7">
        <w:rPr>
          <w:bCs/>
          <w:lang w:val="en"/>
        </w:rPr>
        <w:t xml:space="preserve"> specializing in cases involving violations of antimonopoly legislation. </w:t>
      </w:r>
    </w:p>
    <w:p w14:paraId="0EEFEF37" w14:textId="77777777" w:rsidR="00BD06CF" w:rsidRPr="00A57506" w:rsidRDefault="00BD06CF" w:rsidP="00AA3112">
      <w:pPr>
        <w:tabs>
          <w:tab w:val="left" w:pos="851"/>
        </w:tabs>
        <w:spacing w:before="120"/>
        <w:rPr>
          <w:color w:val="000000" w:themeColor="text1"/>
          <w:lang w:val="en-US"/>
        </w:rPr>
      </w:pPr>
    </w:p>
    <w:sectPr w:rsidR="00BD06CF" w:rsidRPr="00A57506" w:rsidSect="00717E25">
      <w:headerReference w:type="default" r:id="rId43"/>
      <w:footerReference w:type="default" r:id="rId44"/>
      <w:pgSz w:w="11906" w:h="16838"/>
      <w:pgMar w:top="1418" w:right="851" w:bottom="1418"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11F6" w14:textId="77777777" w:rsidR="000E0FE6" w:rsidRDefault="000E0FE6">
      <w:r>
        <w:separator/>
      </w:r>
    </w:p>
  </w:endnote>
  <w:endnote w:type="continuationSeparator" w:id="0">
    <w:p w14:paraId="5F94186B" w14:textId="77777777" w:rsidR="000E0FE6" w:rsidRDefault="000E0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Barlow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2406" w14:textId="77777777" w:rsidR="00F269A5" w:rsidRDefault="00F269A5" w:rsidP="00752D7F">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01818" w14:textId="77777777" w:rsidR="000E0FE6" w:rsidRDefault="000E0FE6" w:rsidP="001C21DF">
      <w:r>
        <w:separator/>
      </w:r>
    </w:p>
  </w:footnote>
  <w:footnote w:type="continuationSeparator" w:id="0">
    <w:p w14:paraId="2C60B75E" w14:textId="77777777" w:rsidR="000E0FE6" w:rsidRDefault="000E0FE6" w:rsidP="001C21DF">
      <w:r>
        <w:continuationSeparator/>
      </w:r>
    </w:p>
  </w:footnote>
  <w:footnote w:id="1">
    <w:p w14:paraId="068841CE"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Davies, S. (2013). Assessment of the impact of competition authorities' activities. (February 2013) OECD;</w:t>
      </w:r>
    </w:p>
  </w:footnote>
  <w:footnote w:id="2">
    <w:p w14:paraId="345122E0"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Law of the Republic of Kazakhstan No. 101-VII dated 3 January 2022 "On Amendments and Supplements to Some Legislative Acts of the Republic of Kazakhstan on the Competition Development" // </w:t>
      </w:r>
      <w:r w:rsidR="000E0FE6">
        <w:fldChar w:fldCharType="begin"/>
      </w:r>
      <w:r w:rsidR="000E0FE6" w:rsidRPr="00A22DA1">
        <w:rPr>
          <w:lang w:val="en-US"/>
        </w:rPr>
        <w:instrText xml:space="preserve"> HYPERLINK "https://adilet.zan.kz/rus/docs/Z2200000101" </w:instrText>
      </w:r>
      <w:r w:rsidR="000E0FE6">
        <w:fldChar w:fldCharType="separate"/>
      </w:r>
      <w:r w:rsidRPr="00A57506">
        <w:rPr>
          <w:rStyle w:val="Hyperlink"/>
          <w:sz w:val="20"/>
          <w:szCs w:val="20"/>
          <w:lang w:val="en"/>
        </w:rPr>
        <w:t>https://adilet.zan.kz/rus/docs/Z2200000101</w:t>
      </w:r>
      <w:r w:rsidR="000E0FE6">
        <w:rPr>
          <w:rStyle w:val="Hyperlink"/>
          <w:sz w:val="20"/>
          <w:szCs w:val="20"/>
          <w:lang w:val="en"/>
        </w:rPr>
        <w:fldChar w:fldCharType="end"/>
      </w:r>
      <w:r w:rsidRPr="00A57506">
        <w:rPr>
          <w:color w:val="000000"/>
          <w:sz w:val="20"/>
          <w:szCs w:val="20"/>
          <w:lang w:val="en"/>
        </w:rPr>
        <w:t>;</w:t>
      </w:r>
    </w:p>
  </w:footnote>
  <w:footnote w:id="3">
    <w:p w14:paraId="27B3B734"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Decree of the President of the Republic of Kazakhstan dated 31 December 2020 No. 484 "On the Main Directions of the State Policy on Competition Development"// </w:t>
      </w:r>
      <w:r w:rsidR="000E0FE6">
        <w:fldChar w:fldCharType="begin"/>
      </w:r>
      <w:r w:rsidR="000E0FE6" w:rsidRPr="00A22DA1">
        <w:rPr>
          <w:lang w:val="en-US"/>
        </w:rPr>
        <w:instrText xml:space="preserve"> HYPERLINK "https://adilet.zan.kz/rus/docs/U2000000484" </w:instrText>
      </w:r>
      <w:r w:rsidR="000E0FE6">
        <w:fldChar w:fldCharType="separate"/>
      </w:r>
      <w:r w:rsidRPr="00A57506">
        <w:rPr>
          <w:rStyle w:val="Hyperlink"/>
          <w:sz w:val="20"/>
          <w:szCs w:val="20"/>
          <w:lang w:val="en"/>
        </w:rPr>
        <w:t>https://adilet.zan.kz/rus/docs/U2000000484</w:t>
      </w:r>
      <w:r w:rsidR="000E0FE6">
        <w:rPr>
          <w:rStyle w:val="Hyperlink"/>
          <w:sz w:val="20"/>
          <w:szCs w:val="20"/>
          <w:lang w:val="en"/>
        </w:rPr>
        <w:fldChar w:fldCharType="end"/>
      </w:r>
      <w:r w:rsidRPr="00A57506">
        <w:rPr>
          <w:color w:val="000000"/>
          <w:sz w:val="20"/>
          <w:szCs w:val="20"/>
          <w:lang w:val="en"/>
        </w:rPr>
        <w:t>;</w:t>
      </w:r>
    </w:p>
  </w:footnote>
  <w:footnote w:id="4">
    <w:p w14:paraId="348818D6"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Decree of the President of the Republic of Kazakhstan dated 22 June 2022 No. 938 "On Approval of the Concept of Competition Protection and Development in the Republic of Kazakhstan for 2022-2026" // </w:t>
      </w:r>
      <w:r w:rsidR="000E0FE6">
        <w:fldChar w:fldCharType="begin"/>
      </w:r>
      <w:r w:rsidR="000E0FE6" w:rsidRPr="00A22DA1">
        <w:rPr>
          <w:lang w:val="en-US"/>
        </w:rPr>
        <w:instrText xml:space="preserve"> HYPERLINK "https://adilet.zan.kz/rus/docs/U2200000938</w:instrText>
      </w:r>
      <w:r w:rsidR="000E0FE6" w:rsidRPr="00A22DA1">
        <w:rPr>
          <w:lang w:val="en-US"/>
        </w:rPr>
        <w:instrText xml:space="preserve">" </w:instrText>
      </w:r>
      <w:r w:rsidR="000E0FE6">
        <w:fldChar w:fldCharType="separate"/>
      </w:r>
      <w:r w:rsidRPr="00A57506">
        <w:rPr>
          <w:rStyle w:val="Hyperlink"/>
          <w:sz w:val="20"/>
          <w:szCs w:val="20"/>
          <w:lang w:val="en"/>
        </w:rPr>
        <w:t>https://adilet.zan.kz/rus/docs/U2200000938</w:t>
      </w:r>
      <w:r w:rsidR="000E0FE6">
        <w:rPr>
          <w:rStyle w:val="Hyperlink"/>
          <w:sz w:val="20"/>
          <w:szCs w:val="20"/>
          <w:lang w:val="en"/>
        </w:rPr>
        <w:fldChar w:fldCharType="end"/>
      </w:r>
      <w:r w:rsidRPr="00A57506">
        <w:rPr>
          <w:color w:val="000000"/>
          <w:sz w:val="20"/>
          <w:szCs w:val="20"/>
          <w:lang w:val="en"/>
        </w:rPr>
        <w:t>;</w:t>
      </w:r>
    </w:p>
  </w:footnote>
  <w:footnote w:id="5">
    <w:p w14:paraId="642DA680"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In 2021, a methodology for sectoral analysis to identify and prioritize economic sectors for denationalization was developed;</w:t>
      </w:r>
    </w:p>
  </w:footnote>
  <w:footnote w:id="6">
    <w:p w14:paraId="465977C2"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Resolution No. 728 dated 12 October 2021 of the Government of the Republic of Kazakhstan "On Approval of the National Entrepreneurship Development Project for 2021-2025" // </w:t>
      </w:r>
      <w:r w:rsidR="000E0FE6">
        <w:fldChar w:fldCharType="begin"/>
      </w:r>
      <w:r w:rsidR="000E0FE6" w:rsidRPr="00A22DA1">
        <w:rPr>
          <w:lang w:val="en-US"/>
        </w:rPr>
        <w:instrText xml:space="preserve"> HYPERLINK "https://adilet.zan.kz/rus/docs/P2100000728" </w:instrText>
      </w:r>
      <w:r w:rsidR="000E0FE6">
        <w:fldChar w:fldCharType="separate"/>
      </w:r>
      <w:r w:rsidRPr="00A57506">
        <w:rPr>
          <w:rStyle w:val="Hyperlink"/>
          <w:sz w:val="20"/>
          <w:szCs w:val="20"/>
          <w:lang w:val="en"/>
        </w:rPr>
        <w:t>https://adilet.zan.kz/rus/docs/P2100000728</w:t>
      </w:r>
      <w:r w:rsidR="000E0FE6">
        <w:rPr>
          <w:rStyle w:val="Hyperlink"/>
          <w:sz w:val="20"/>
          <w:szCs w:val="20"/>
          <w:lang w:val="en"/>
        </w:rPr>
        <w:fldChar w:fldCharType="end"/>
      </w:r>
      <w:r w:rsidRPr="00A57506">
        <w:rPr>
          <w:color w:val="000000"/>
          <w:sz w:val="20"/>
          <w:szCs w:val="20"/>
          <w:lang w:val="en"/>
        </w:rPr>
        <w:t>;</w:t>
      </w:r>
    </w:p>
  </w:footnote>
  <w:footnote w:id="7">
    <w:p w14:paraId="71541F98"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List of activities carried out by state-owned enterprises, legal entities with more than fifty percent of shares (interests in the share capital) owned by the state, and their affiliates (approved by Resolution No. 1095 dated 28 December 2015 of the Government of the Republic of Kazakhstan) // </w:t>
      </w:r>
      <w:r w:rsidR="000E0FE6">
        <w:fldChar w:fldCharType="begin"/>
      </w:r>
      <w:r w:rsidR="000E0FE6" w:rsidRPr="00A22DA1">
        <w:rPr>
          <w:lang w:val="en-US"/>
        </w:rPr>
        <w:instrText xml:space="preserve"> HYPERLINK "http</w:instrText>
      </w:r>
      <w:r w:rsidR="000E0FE6" w:rsidRPr="00A22DA1">
        <w:rPr>
          <w:lang w:val="en-US"/>
        </w:rPr>
        <w:instrText xml:space="preserve">s://adilet.zan.kz/rus/docs/P1500001095" </w:instrText>
      </w:r>
      <w:r w:rsidR="000E0FE6">
        <w:fldChar w:fldCharType="separate"/>
      </w:r>
      <w:r w:rsidRPr="00A57506">
        <w:rPr>
          <w:rStyle w:val="Hyperlink"/>
          <w:sz w:val="20"/>
          <w:szCs w:val="20"/>
          <w:lang w:val="en"/>
        </w:rPr>
        <w:t>https://adilet.zan.kz/rus/docs/P1500001095</w:t>
      </w:r>
      <w:r w:rsidR="000E0FE6">
        <w:rPr>
          <w:rStyle w:val="Hyperlink"/>
          <w:sz w:val="20"/>
          <w:szCs w:val="20"/>
          <w:lang w:val="en"/>
        </w:rPr>
        <w:fldChar w:fldCharType="end"/>
      </w:r>
      <w:r w:rsidRPr="00A57506">
        <w:rPr>
          <w:color w:val="000000"/>
          <w:sz w:val="20"/>
          <w:szCs w:val="20"/>
          <w:lang w:val="en"/>
        </w:rPr>
        <w:t>;</w:t>
      </w:r>
    </w:p>
  </w:footnote>
  <w:footnote w:id="8">
    <w:p w14:paraId="434D0D6B"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Resolution No. 510 dated 21 July 2022 of the Government of the Republic of Kazakhstan // </w:t>
      </w:r>
      <w:r w:rsidR="000E0FE6">
        <w:fldChar w:fldCharType="begin"/>
      </w:r>
      <w:r w:rsidR="000E0FE6" w:rsidRPr="00A22DA1">
        <w:rPr>
          <w:lang w:val="en-US"/>
        </w:rPr>
        <w:instrText xml:space="preserve"> HYPERLINK "https://adilet.zan.kz/rus/docs/P2200000510" </w:instrText>
      </w:r>
      <w:r w:rsidR="000E0FE6">
        <w:fldChar w:fldCharType="separate"/>
      </w:r>
      <w:r w:rsidRPr="00A57506">
        <w:rPr>
          <w:rStyle w:val="Hyperlink"/>
          <w:sz w:val="20"/>
          <w:szCs w:val="20"/>
          <w:lang w:val="en"/>
        </w:rPr>
        <w:t>https://adilet.zan.kz/rus/docs/P2200000510</w:t>
      </w:r>
      <w:r w:rsidR="000E0FE6">
        <w:rPr>
          <w:rStyle w:val="Hyperlink"/>
          <w:sz w:val="20"/>
          <w:szCs w:val="20"/>
          <w:lang w:val="en"/>
        </w:rPr>
        <w:fldChar w:fldCharType="end"/>
      </w:r>
      <w:r w:rsidRPr="00A57506">
        <w:rPr>
          <w:color w:val="000000"/>
          <w:sz w:val="20"/>
          <w:szCs w:val="20"/>
          <w:lang w:val="en"/>
        </w:rPr>
        <w:t>;</w:t>
      </w:r>
    </w:p>
  </w:footnote>
  <w:footnote w:id="9">
    <w:p w14:paraId="7E089DCE"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Decree No. 51 dated 3 July 2019 of the President of the Republic of Kazakhstan "On Moratorium on the Establishment of Quasi-Public Sector Entities" // </w:t>
      </w:r>
      <w:r w:rsidR="000E0FE6">
        <w:fldChar w:fldCharType="begin"/>
      </w:r>
      <w:r w:rsidR="000E0FE6" w:rsidRPr="00A22DA1">
        <w:rPr>
          <w:lang w:val="en-US"/>
        </w:rPr>
        <w:instrText xml:space="preserve"> HYPERLINK "https://adilet.zan.kz/rus/docs/U190000051U" </w:instrText>
      </w:r>
      <w:r w:rsidR="000E0FE6">
        <w:fldChar w:fldCharType="separate"/>
      </w:r>
      <w:r w:rsidRPr="00A57506">
        <w:rPr>
          <w:rStyle w:val="Hyperlink"/>
          <w:sz w:val="20"/>
          <w:szCs w:val="20"/>
          <w:lang w:val="en"/>
        </w:rPr>
        <w:t>https://adilet.zan.kz/rus/docs/U190000051U</w:t>
      </w:r>
      <w:r w:rsidR="000E0FE6">
        <w:rPr>
          <w:rStyle w:val="Hyperlink"/>
          <w:sz w:val="20"/>
          <w:szCs w:val="20"/>
          <w:lang w:val="en"/>
        </w:rPr>
        <w:fldChar w:fldCharType="end"/>
      </w:r>
      <w:r w:rsidRPr="00A57506">
        <w:rPr>
          <w:color w:val="000000"/>
          <w:sz w:val="20"/>
          <w:szCs w:val="20"/>
          <w:lang w:val="en"/>
        </w:rPr>
        <w:t>;</w:t>
      </w:r>
    </w:p>
  </w:footnote>
  <w:footnote w:id="10">
    <w:p w14:paraId="2B9AE32B"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Subparagraph 20-2) of Article 90-6 of the Entrepreneur Code of the Republic of Kazakhstan // </w:t>
      </w:r>
      <w:r w:rsidR="000E0FE6">
        <w:fldChar w:fldCharType="begin"/>
      </w:r>
      <w:r w:rsidR="000E0FE6" w:rsidRPr="00A22DA1">
        <w:rPr>
          <w:lang w:val="en-US"/>
        </w:rPr>
        <w:instrText xml:space="preserve"> HYPERLINK "https://adilet.zan.kz/rus/docs/K1500000375" </w:instrText>
      </w:r>
      <w:r w:rsidR="000E0FE6">
        <w:fldChar w:fldCharType="separate"/>
      </w:r>
      <w:r w:rsidRPr="00A57506">
        <w:rPr>
          <w:rStyle w:val="Hyperlink"/>
          <w:sz w:val="20"/>
          <w:szCs w:val="20"/>
          <w:lang w:val="en"/>
        </w:rPr>
        <w:t>https://adilet.zan.kz/rus/docs/K1500000375</w:t>
      </w:r>
      <w:r w:rsidR="000E0FE6">
        <w:rPr>
          <w:rStyle w:val="Hyperlink"/>
          <w:sz w:val="20"/>
          <w:szCs w:val="20"/>
          <w:lang w:val="en"/>
        </w:rPr>
        <w:fldChar w:fldCharType="end"/>
      </w:r>
      <w:r w:rsidRPr="00A57506">
        <w:rPr>
          <w:color w:val="000000"/>
          <w:sz w:val="20"/>
          <w:szCs w:val="20"/>
          <w:lang w:val="en"/>
        </w:rPr>
        <w:t>;</w:t>
      </w:r>
    </w:p>
  </w:footnote>
  <w:footnote w:id="11">
    <w:p w14:paraId="7009C1DC"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Article 192 of the Entrepreneur Code of the Republic of Kazakhstan // </w:t>
      </w:r>
      <w:r w:rsidR="000E0FE6">
        <w:fldChar w:fldCharType="begin"/>
      </w:r>
      <w:r w:rsidR="000E0FE6" w:rsidRPr="00A22DA1">
        <w:rPr>
          <w:lang w:val="en-US"/>
        </w:rPr>
        <w:instrText xml:space="preserve"> HYPERLINK "https://adilet.zan.kz/rus/docs/K1500000375" </w:instrText>
      </w:r>
      <w:r w:rsidR="000E0FE6">
        <w:fldChar w:fldCharType="separate"/>
      </w:r>
      <w:r w:rsidRPr="00A57506">
        <w:rPr>
          <w:rStyle w:val="Hyperlink"/>
          <w:sz w:val="20"/>
          <w:szCs w:val="20"/>
          <w:lang w:val="en"/>
        </w:rPr>
        <w:t>https://adilet.zan.kz/rus/docs/K1500000375</w:t>
      </w:r>
      <w:r w:rsidR="000E0FE6">
        <w:rPr>
          <w:rStyle w:val="Hyperlink"/>
          <w:sz w:val="20"/>
          <w:szCs w:val="20"/>
          <w:lang w:val="en"/>
        </w:rPr>
        <w:fldChar w:fldCharType="end"/>
      </w:r>
      <w:r w:rsidRPr="00A57506">
        <w:rPr>
          <w:color w:val="000000"/>
          <w:sz w:val="20"/>
          <w:szCs w:val="20"/>
          <w:lang w:val="en"/>
        </w:rPr>
        <w:t>;</w:t>
      </w:r>
    </w:p>
  </w:footnote>
  <w:footnote w:id="12">
    <w:p w14:paraId="415EFB93"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Address of the Head of State Kassym-Jomart Tokayev to the People of Kazakhstan, dated 01 September 2022 "A FAIR STATE. ONE NATION. PROSPEROUS SOCIETY" // </w:t>
      </w:r>
      <w:r w:rsidR="000E0FE6">
        <w:fldChar w:fldCharType="begin"/>
      </w:r>
      <w:r w:rsidR="000E0FE6" w:rsidRPr="00A22DA1">
        <w:rPr>
          <w:lang w:val="en-US"/>
        </w:rPr>
        <w:instrText xml:space="preserve"> HYPERLINK "https://adilet.zan.kz/rus/docs/K22002022_2" </w:instrText>
      </w:r>
      <w:r w:rsidR="000E0FE6">
        <w:fldChar w:fldCharType="separate"/>
      </w:r>
      <w:r w:rsidRPr="00A57506">
        <w:rPr>
          <w:rStyle w:val="Hyperlink"/>
          <w:sz w:val="20"/>
          <w:szCs w:val="20"/>
          <w:lang w:val="en"/>
        </w:rPr>
        <w:t>https://adilet.zan.kz/rus/docs/K22002022_2</w:t>
      </w:r>
      <w:r w:rsidR="000E0FE6">
        <w:rPr>
          <w:rStyle w:val="Hyperlink"/>
          <w:sz w:val="20"/>
          <w:szCs w:val="20"/>
          <w:lang w:val="en"/>
        </w:rPr>
        <w:fldChar w:fldCharType="end"/>
      </w:r>
      <w:r w:rsidRPr="00A57506">
        <w:rPr>
          <w:color w:val="000000"/>
          <w:sz w:val="20"/>
          <w:szCs w:val="20"/>
          <w:lang w:val="en"/>
        </w:rPr>
        <w:t>;</w:t>
      </w:r>
    </w:p>
  </w:footnote>
  <w:footnote w:id="13">
    <w:p w14:paraId="73E60A8B"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The first register of subjects of special law and state monopoly approved in Kazakhstan // </w:t>
      </w:r>
      <w:r w:rsidR="000E0FE6">
        <w:fldChar w:fldCharType="begin"/>
      </w:r>
      <w:r w:rsidR="000E0FE6" w:rsidRPr="00A22DA1">
        <w:rPr>
          <w:lang w:val="en-US"/>
        </w:rPr>
        <w:instrText xml:space="preserve"> HYPERLINK "https://www.gov.kz/memleket/entities/zk/press/news/details/443010?lang=ru" </w:instrText>
      </w:r>
      <w:r w:rsidR="000E0FE6">
        <w:fldChar w:fldCharType="separate"/>
      </w:r>
      <w:r w:rsidRPr="00A57506">
        <w:rPr>
          <w:rStyle w:val="Hyperlink"/>
          <w:sz w:val="20"/>
          <w:szCs w:val="20"/>
          <w:lang w:val="en"/>
        </w:rPr>
        <w:t>https://www.gov.kz/memleket/entities/zk/press/news/details/443010 ?lang=ru</w:t>
      </w:r>
      <w:r w:rsidR="000E0FE6">
        <w:rPr>
          <w:rStyle w:val="Hyperlink"/>
          <w:sz w:val="20"/>
          <w:szCs w:val="20"/>
          <w:lang w:val="en"/>
        </w:rPr>
        <w:fldChar w:fldCharType="end"/>
      </w:r>
      <w:r w:rsidRPr="00A57506">
        <w:rPr>
          <w:color w:val="000000"/>
          <w:sz w:val="20"/>
          <w:szCs w:val="20"/>
          <w:lang w:val="en"/>
        </w:rPr>
        <w:t>;</w:t>
      </w:r>
    </w:p>
  </w:footnote>
  <w:footnote w:id="14">
    <w:p w14:paraId="5B2F7606"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Speech by the Head of State Kassym-Jomart Tokayev at the meeting of the Majilis of the Parliament of the Republic of Kazakhstan dated 11 January 2022 "LESSONS OF THE TRAGIC JANUARY": UNITY OF SOCIETY - GUARANTEE OF INSECURITY" // </w:t>
      </w:r>
      <w:r w:rsidR="000E0FE6">
        <w:fldChar w:fldCharType="begin"/>
      </w:r>
      <w:r w:rsidR="000E0FE6" w:rsidRPr="00A22DA1">
        <w:rPr>
          <w:lang w:val="en-US"/>
        </w:rPr>
        <w:instrText xml:space="preserve"> HYPERLINK "https</w:instrText>
      </w:r>
      <w:r w:rsidR="000E0FE6" w:rsidRPr="00A22DA1">
        <w:rPr>
          <w:lang w:val="en-US"/>
        </w:rPr>
        <w:instrText xml:space="preserve">://adilet.zan.kz/rus/docs/K2200002022" </w:instrText>
      </w:r>
      <w:r w:rsidR="000E0FE6">
        <w:fldChar w:fldCharType="separate"/>
      </w:r>
      <w:r w:rsidRPr="00A57506">
        <w:rPr>
          <w:rStyle w:val="Hyperlink"/>
          <w:sz w:val="20"/>
          <w:szCs w:val="20"/>
          <w:lang w:val="en"/>
        </w:rPr>
        <w:t>https://adilet.zan.kz/rus/docs/K2200002022</w:t>
      </w:r>
      <w:r w:rsidR="000E0FE6">
        <w:rPr>
          <w:rStyle w:val="Hyperlink"/>
          <w:sz w:val="20"/>
          <w:szCs w:val="20"/>
          <w:lang w:val="en"/>
        </w:rPr>
        <w:fldChar w:fldCharType="end"/>
      </w:r>
      <w:r w:rsidRPr="00A57506">
        <w:rPr>
          <w:color w:val="000000"/>
          <w:sz w:val="20"/>
          <w:szCs w:val="20"/>
          <w:lang w:val="en"/>
        </w:rPr>
        <w:t>;</w:t>
      </w:r>
    </w:p>
  </w:footnote>
  <w:footnote w:id="15">
    <w:p w14:paraId="46CFA403" w14:textId="77777777" w:rsidR="00A57506" w:rsidRPr="00A57506" w:rsidRDefault="00A57506" w:rsidP="00A57506">
      <w:pPr>
        <w:rPr>
          <w:color w:val="000000"/>
          <w:sz w:val="20"/>
          <w:szCs w:val="20"/>
          <w:lang w:val="en-US"/>
        </w:rPr>
      </w:pPr>
      <w:r w:rsidRPr="00A57506">
        <w:rPr>
          <w:rStyle w:val="FootnoteReference"/>
          <w:color w:val="000000"/>
          <w:sz w:val="20"/>
          <w:szCs w:val="20"/>
        </w:rPr>
        <w:footnoteRef/>
      </w:r>
      <w:r w:rsidRPr="00A57506">
        <w:rPr>
          <w:color w:val="000000"/>
          <w:sz w:val="20"/>
          <w:szCs w:val="20"/>
          <w:lang w:val="en"/>
        </w:rPr>
        <w:t xml:space="preserve"> Sectoral roadmaps for the development of competition // </w:t>
      </w:r>
      <w:r w:rsidR="000E0FE6">
        <w:fldChar w:fldCharType="begin"/>
      </w:r>
      <w:r w:rsidR="000E0FE6" w:rsidRPr="00A22DA1">
        <w:rPr>
          <w:lang w:val="en-US"/>
        </w:rPr>
        <w:instrText xml:space="preserve"> HYPERLINK "https://www.gov.kz/memleket/entities/zk/documents/details/435863?lang=ru" </w:instrText>
      </w:r>
      <w:r w:rsidR="000E0FE6">
        <w:fldChar w:fldCharType="separate"/>
      </w:r>
      <w:r w:rsidRPr="00A57506">
        <w:rPr>
          <w:rStyle w:val="Hyperlink"/>
          <w:sz w:val="20"/>
          <w:szCs w:val="20"/>
          <w:lang w:val="en"/>
        </w:rPr>
        <w:t>https://www.gov.kz/memleket/entities/zk/documents/details/435863 ?lang=ru</w:t>
      </w:r>
      <w:r w:rsidR="000E0FE6">
        <w:rPr>
          <w:rStyle w:val="Hyperlink"/>
          <w:sz w:val="20"/>
          <w:szCs w:val="20"/>
          <w:lang w:val="en"/>
        </w:rPr>
        <w:fldChar w:fldCharType="end"/>
      </w:r>
      <w:r w:rsidRPr="00A57506">
        <w:rPr>
          <w:color w:val="000000"/>
          <w:sz w:val="20"/>
          <w:szCs w:val="20"/>
          <w:lang w:val="en"/>
        </w:rPr>
        <w:t>;</w:t>
      </w:r>
    </w:p>
  </w:footnote>
  <w:footnote w:id="16">
    <w:p w14:paraId="26D3ED25" w14:textId="77777777" w:rsidR="00A57506" w:rsidRPr="00043A46"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Executive Order on Promoting Competition in the American Economy // </w:t>
      </w:r>
      <w:r w:rsidR="000E0FE6">
        <w:fldChar w:fldCharType="begin"/>
      </w:r>
      <w:r w:rsidR="000E0FE6" w:rsidRPr="00A22DA1">
        <w:rPr>
          <w:lang w:val="en-US"/>
        </w:rPr>
        <w:instrText xml:space="preserve"> HYPERLINK "https://www.whitehouse.gov/briefing-room/presidential-actions/2021/07/09/executive-order-on-promoting-competition-in-the-a</w:instrText>
      </w:r>
      <w:r w:rsidR="000E0FE6" w:rsidRPr="00A22DA1">
        <w:rPr>
          <w:lang w:val="en-US"/>
        </w:rPr>
        <w:instrText xml:space="preserve">merican-economy/" </w:instrText>
      </w:r>
      <w:r w:rsidR="000E0FE6">
        <w:fldChar w:fldCharType="separate"/>
      </w:r>
      <w:r w:rsidRPr="00A57506">
        <w:rPr>
          <w:rStyle w:val="Hyperlink"/>
          <w:sz w:val="20"/>
          <w:szCs w:val="20"/>
          <w:lang w:val="en"/>
        </w:rPr>
        <w:t>https://www.whitehouse.gov/briefing-room/presidential-actions/2021/07/09/executive-order-on-promoting-competition-in-the-american-economy/</w:t>
      </w:r>
      <w:r w:rsidR="000E0FE6">
        <w:rPr>
          <w:rStyle w:val="Hyperlink"/>
          <w:sz w:val="20"/>
          <w:szCs w:val="20"/>
          <w:lang w:val="en"/>
        </w:rPr>
        <w:fldChar w:fldCharType="end"/>
      </w:r>
      <w:r w:rsidRPr="00A57506">
        <w:rPr>
          <w:color w:val="000000"/>
          <w:sz w:val="20"/>
          <w:szCs w:val="20"/>
          <w:lang w:val="en"/>
        </w:rPr>
        <w:t>;</w:t>
      </w:r>
    </w:p>
  </w:footnote>
  <w:footnote w:id="17">
    <w:p w14:paraId="2B3D670E"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Decree of the President of the Republic of Kazakhstan dated 31 December 2020 No. 484 "On the Main Directions of the State Policy on Competition Development"// </w:t>
      </w:r>
      <w:r w:rsidR="000E0FE6">
        <w:fldChar w:fldCharType="begin"/>
      </w:r>
      <w:r w:rsidR="000E0FE6" w:rsidRPr="00A22DA1">
        <w:rPr>
          <w:lang w:val="en-US"/>
        </w:rPr>
        <w:instrText xml:space="preserve"> HYPERLINK "https://adilet.zan.kz/rus/docs/U2000000484" </w:instrText>
      </w:r>
      <w:r w:rsidR="000E0FE6">
        <w:fldChar w:fldCharType="separate"/>
      </w:r>
      <w:r w:rsidRPr="00A57506">
        <w:rPr>
          <w:rStyle w:val="Hyperlink"/>
          <w:sz w:val="20"/>
          <w:szCs w:val="20"/>
          <w:lang w:val="en"/>
        </w:rPr>
        <w:t>https://adilet.zan.kz/rus/docs/U2000000484</w:t>
      </w:r>
      <w:r w:rsidR="000E0FE6">
        <w:rPr>
          <w:rStyle w:val="Hyperlink"/>
          <w:sz w:val="20"/>
          <w:szCs w:val="20"/>
          <w:lang w:val="en"/>
        </w:rPr>
        <w:fldChar w:fldCharType="end"/>
      </w:r>
      <w:r w:rsidRPr="00A57506">
        <w:rPr>
          <w:color w:val="000000"/>
          <w:sz w:val="20"/>
          <w:szCs w:val="20"/>
          <w:lang w:val="en"/>
        </w:rPr>
        <w:t>;</w:t>
      </w:r>
    </w:p>
  </w:footnote>
  <w:footnote w:id="18">
    <w:p w14:paraId="6DA749EB"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Davies, S. (2013). Assessment of the impact of competition authorities' activities. (February 2013) OECD;</w:t>
      </w:r>
    </w:p>
  </w:footnote>
  <w:footnote w:id="19">
    <w:p w14:paraId="45CBA14D" w14:textId="77777777" w:rsidR="00A57506" w:rsidRPr="00D5256E" w:rsidRDefault="00A57506" w:rsidP="00A57506">
      <w:pPr>
        <w:rPr>
          <w:rFonts w:eastAsia="Calibri"/>
          <w:color w:val="00B050"/>
          <w:sz w:val="20"/>
          <w:szCs w:val="20"/>
          <w:lang w:val="en-US" w:eastAsia="en-US"/>
        </w:rPr>
      </w:pPr>
      <w:r w:rsidRPr="00A57506">
        <w:rPr>
          <w:rStyle w:val="FootnoteReference"/>
          <w:color w:val="000000"/>
          <w:sz w:val="20"/>
          <w:szCs w:val="20"/>
        </w:rPr>
        <w:footnoteRef/>
      </w:r>
      <w:r w:rsidRPr="00A57506">
        <w:rPr>
          <w:color w:val="000000"/>
          <w:sz w:val="20"/>
          <w:szCs w:val="20"/>
          <w:lang w:val="en"/>
        </w:rPr>
        <w:t xml:space="preserve"> THE PRINCIPLES OF CORPORATE GOVERNANCE HAVE BEEN IMPLEMENTED IN THE APDC // </w:t>
      </w:r>
      <w:r w:rsidR="000E0FE6">
        <w:fldChar w:fldCharType="begin"/>
      </w:r>
      <w:r w:rsidR="000E0FE6" w:rsidRPr="00A22DA1">
        <w:rPr>
          <w:lang w:val="en-US"/>
        </w:rPr>
        <w:instrText xml:space="preserve"> HYPERLINK "https://www.gov.kz/memleket/entities/zk/press/news/details/468468?lang=ru" </w:instrText>
      </w:r>
      <w:r w:rsidR="000E0FE6">
        <w:fldChar w:fldCharType="separate"/>
      </w:r>
      <w:r w:rsidRPr="00A57506">
        <w:rPr>
          <w:rStyle w:val="Hyperlink"/>
          <w:sz w:val="20"/>
          <w:szCs w:val="20"/>
          <w:lang w:val="en"/>
        </w:rPr>
        <w:t>https://www.gov.kz/memleket/entities/zk/press/news/details/468468 ?lang=ru</w:t>
      </w:r>
      <w:r w:rsidR="000E0FE6">
        <w:rPr>
          <w:rStyle w:val="Hyperlink"/>
          <w:sz w:val="20"/>
          <w:szCs w:val="20"/>
          <w:lang w:val="en"/>
        </w:rPr>
        <w:fldChar w:fldCharType="end"/>
      </w:r>
      <w:r w:rsidRPr="00A57506">
        <w:rPr>
          <w:color w:val="000000"/>
          <w:sz w:val="20"/>
          <w:szCs w:val="20"/>
          <w:lang w:val="en"/>
        </w:rPr>
        <w:t>;</w:t>
      </w:r>
    </w:p>
  </w:footnote>
  <w:footnote w:id="20">
    <w:p w14:paraId="72BE7756" w14:textId="77777777" w:rsidR="00F269A5" w:rsidRPr="00A57506" w:rsidRDefault="004C4BA9" w:rsidP="00CA4443">
      <w:pPr>
        <w:rPr>
          <w:rFonts w:eastAsia="Calibri"/>
          <w:color w:val="00B050"/>
          <w:sz w:val="20"/>
          <w:szCs w:val="20"/>
          <w:lang w:val="en-US" w:eastAsia="en-US"/>
        </w:rPr>
      </w:pPr>
      <w:r w:rsidRPr="002B2F77">
        <w:rPr>
          <w:rStyle w:val="FootnoteReference"/>
          <w:color w:val="000000" w:themeColor="text1"/>
          <w:sz w:val="20"/>
          <w:szCs w:val="20"/>
        </w:rPr>
        <w:footnoteRef/>
      </w:r>
      <w:r w:rsidRPr="002B2F77">
        <w:rPr>
          <w:color w:val="000000" w:themeColor="text1"/>
          <w:sz w:val="20"/>
          <w:szCs w:val="20"/>
          <w:lang w:val="en"/>
        </w:rPr>
        <w:t xml:space="preserve"> Subparagraph 11), Article 90-6, Article 196 of the Entrepreneurial Code of the Republic of Kazakhstan // </w:t>
      </w:r>
      <w:r w:rsidR="000E0FE6">
        <w:fldChar w:fldCharType="begin"/>
      </w:r>
      <w:r w:rsidR="000E0FE6" w:rsidRPr="00A22DA1">
        <w:rPr>
          <w:lang w:val="en-US"/>
        </w:rPr>
        <w:instrText xml:space="preserve"> HYPERLINK "https://adilet.zan.kz/rus/docs/K1500000375" </w:instrText>
      </w:r>
      <w:r w:rsidR="000E0FE6">
        <w:fldChar w:fldCharType="separate"/>
      </w:r>
      <w:r w:rsidRPr="002B2F77">
        <w:rPr>
          <w:rStyle w:val="Hyperlink"/>
          <w:sz w:val="20"/>
          <w:szCs w:val="20"/>
          <w:lang w:val="en"/>
        </w:rPr>
        <w:t>https://adilet.zan.kz/rus/docs/K1500000375</w:t>
      </w:r>
      <w:r w:rsidR="000E0FE6">
        <w:rPr>
          <w:rStyle w:val="Hyperlink"/>
          <w:sz w:val="20"/>
          <w:szCs w:val="20"/>
          <w:lang w:val="en"/>
        </w:rPr>
        <w:fldChar w:fldCharType="end"/>
      </w:r>
      <w:r w:rsidRPr="002B2F77">
        <w:rPr>
          <w:color w:val="000000" w:themeColor="text1"/>
          <w:sz w:val="20"/>
          <w:szCs w:val="20"/>
          <w:lang w:val="en"/>
        </w:rPr>
        <w:t>;</w:t>
      </w:r>
    </w:p>
  </w:footnote>
  <w:footnote w:id="21">
    <w:p w14:paraId="0FF51143" w14:textId="77777777" w:rsidR="00F269A5" w:rsidRPr="00A57506" w:rsidRDefault="004C4BA9" w:rsidP="001730F3">
      <w:pPr>
        <w:pStyle w:val="FootnoteText"/>
        <w:rPr>
          <w:rFonts w:ascii="Times New Roman" w:hAnsi="Times New Roman"/>
          <w:lang w:val="en-US"/>
        </w:rPr>
      </w:pPr>
      <w:r w:rsidRPr="00114810">
        <w:rPr>
          <w:rStyle w:val="FootnoteReference"/>
          <w:rFonts w:ascii="Times New Roman" w:hAnsi="Times New Roman"/>
        </w:rPr>
        <w:footnoteRef/>
      </w:r>
      <w:r>
        <w:rPr>
          <w:rFonts w:ascii="Times New Roman" w:hAnsi="Times New Roman"/>
          <w:lang w:val="en"/>
        </w:rPr>
        <w:t xml:space="preserve"> Law of the Republic of Kazakhstan dated April 19, 2023 No. 223-VII ZRK "On Amendments and additions to some Legislative Acts of the Republic of Kazakhstan on administrative reform in the Republic of Kazakhstan" // </w:t>
      </w:r>
      <w:r w:rsidR="000E0FE6">
        <w:fldChar w:fldCharType="begin"/>
      </w:r>
      <w:r w:rsidR="000E0FE6" w:rsidRPr="00A22DA1">
        <w:rPr>
          <w:lang w:val="en-US"/>
        </w:rPr>
        <w:instrText xml:space="preserve"> HYPERLINK "https://adilet.zan.kz/rus/docs/Z2300000223" </w:instrText>
      </w:r>
      <w:r w:rsidR="000E0FE6">
        <w:fldChar w:fldCharType="separate"/>
      </w:r>
      <w:r w:rsidRPr="003415C6">
        <w:rPr>
          <w:rStyle w:val="Hyperlink"/>
          <w:rFonts w:ascii="Times New Roman" w:hAnsi="Times New Roman"/>
          <w:lang w:val="en"/>
        </w:rPr>
        <w:t>https://adilet.zan.kz/rus/docs/Z2300000223</w:t>
      </w:r>
      <w:r w:rsidR="000E0FE6">
        <w:rPr>
          <w:rStyle w:val="Hyperlink"/>
          <w:rFonts w:ascii="Times New Roman" w:hAnsi="Times New Roman"/>
          <w:lang w:val="en"/>
        </w:rPr>
        <w:fldChar w:fldCharType="end"/>
      </w:r>
      <w:r>
        <w:rPr>
          <w:rFonts w:ascii="Times New Roman" w:hAnsi="Times New Roman"/>
          <w:lang w:val="en"/>
        </w:rPr>
        <w:t>;</w:t>
      </w:r>
    </w:p>
  </w:footnote>
  <w:footnote w:id="22">
    <w:p w14:paraId="47A3E3EC" w14:textId="77777777" w:rsidR="00F269A5" w:rsidRPr="00904339" w:rsidRDefault="004C4BA9" w:rsidP="0067577D">
      <w:pPr>
        <w:pStyle w:val="FootnoteText"/>
        <w:rPr>
          <w:rFonts w:ascii="Times New Roman" w:hAnsi="Times New Roman"/>
          <w:lang w:val="kk-KZ"/>
        </w:rPr>
      </w:pPr>
      <w:r w:rsidRPr="00904339">
        <w:rPr>
          <w:rStyle w:val="FootnoteReference"/>
          <w:rFonts w:ascii="Times New Roman" w:hAnsi="Times New Roman"/>
        </w:rPr>
        <w:footnoteRef/>
      </w:r>
      <w:r w:rsidRPr="00904339">
        <w:rPr>
          <w:rFonts w:ascii="Times New Roman" w:hAnsi="Times New Roman"/>
          <w:lang w:val="en"/>
        </w:rPr>
        <w:t xml:space="preserve"> </w:t>
      </w:r>
      <w:r w:rsidR="000E0FE6">
        <w:fldChar w:fldCharType="begin"/>
      </w:r>
      <w:r w:rsidR="000E0FE6" w:rsidRPr="00A22DA1">
        <w:rPr>
          <w:lang w:val="en-US"/>
        </w:rPr>
        <w:instrText xml:space="preserve"> HYPERLINK "https://www.stat.gov.kz/official/industry/151/statistic/5" </w:instrText>
      </w:r>
      <w:r w:rsidR="000E0FE6">
        <w:fldChar w:fldCharType="separate"/>
      </w:r>
      <w:r w:rsidRPr="003415C6">
        <w:rPr>
          <w:rStyle w:val="Hyperlink"/>
          <w:rFonts w:ascii="Times New Roman" w:hAnsi="Times New Roman"/>
          <w:lang w:val="en"/>
        </w:rPr>
        <w:t>https://www.stat.gov.kz/official/industry/151/statistic/5</w:t>
      </w:r>
      <w:r w:rsidR="000E0FE6">
        <w:rPr>
          <w:rStyle w:val="Hyperlink"/>
          <w:rFonts w:ascii="Times New Roman" w:hAnsi="Times New Roman"/>
          <w:lang w:val="en"/>
        </w:rPr>
        <w:fldChar w:fldCharType="end"/>
      </w:r>
      <w:r w:rsidRPr="00904339">
        <w:rPr>
          <w:rFonts w:ascii="Times New Roman" w:hAnsi="Times New Roman"/>
          <w:lang w:val="en"/>
        </w:rPr>
        <w:t xml:space="preserve">; </w:t>
      </w:r>
    </w:p>
  </w:footnote>
  <w:footnote w:id="23">
    <w:p w14:paraId="756BB17E" w14:textId="77777777" w:rsidR="00F269A5" w:rsidRPr="00FE4CCD" w:rsidRDefault="004C4BA9" w:rsidP="0067577D">
      <w:pPr>
        <w:pStyle w:val="FootnoteText"/>
        <w:rPr>
          <w:lang w:val="kk-KZ"/>
        </w:rPr>
      </w:pPr>
      <w:r w:rsidRPr="00904339">
        <w:rPr>
          <w:rStyle w:val="FootnoteReference"/>
          <w:rFonts w:ascii="Times New Roman" w:hAnsi="Times New Roman"/>
        </w:rPr>
        <w:footnoteRef/>
      </w:r>
      <w:r w:rsidRPr="00A57506">
        <w:rPr>
          <w:rFonts w:ascii="Times New Roman" w:hAnsi="Times New Roman"/>
          <w:lang w:val="kk-KZ"/>
        </w:rPr>
        <w:t xml:space="preserve"> </w:t>
      </w:r>
      <w:r w:rsidR="000E0FE6">
        <w:fldChar w:fldCharType="begin"/>
      </w:r>
      <w:r w:rsidR="000E0FE6" w:rsidRPr="00A22DA1">
        <w:rPr>
          <w:lang w:val="kk-KZ"/>
        </w:rPr>
        <w:instrText xml:space="preserve"> HYPERLINK "https://primeminister.kz/ru/sessions/zasedanie-pravitelstva-rk-11042023-11317" </w:instrText>
      </w:r>
      <w:r w:rsidR="000E0FE6">
        <w:fldChar w:fldCharType="separate"/>
      </w:r>
      <w:r w:rsidRPr="00A57506">
        <w:rPr>
          <w:rStyle w:val="Hyperlink"/>
          <w:rFonts w:ascii="Times New Roman" w:hAnsi="Times New Roman"/>
          <w:lang w:val="kk-KZ"/>
        </w:rPr>
        <w:t>https://primeminister.kz/ru/sessions/zasedanie-pravitelstva-rk-11042023-11317</w:t>
      </w:r>
      <w:r w:rsidR="000E0FE6">
        <w:rPr>
          <w:rStyle w:val="Hyperlink"/>
          <w:rFonts w:ascii="Times New Roman" w:hAnsi="Times New Roman"/>
          <w:lang w:val="kk-KZ"/>
        </w:rPr>
        <w:fldChar w:fldCharType="end"/>
      </w:r>
      <w:r w:rsidRPr="00A57506">
        <w:rPr>
          <w:rFonts w:ascii="Times New Roman" w:hAnsi="Times New Roman"/>
          <w:lang w:val="kk-KZ"/>
        </w:rPr>
        <w:t xml:space="preserve">; </w:t>
      </w:r>
    </w:p>
  </w:footnote>
  <w:footnote w:id="24">
    <w:p w14:paraId="3F852A08" w14:textId="77777777" w:rsidR="00F269A5" w:rsidRPr="00A57506" w:rsidRDefault="004C4BA9" w:rsidP="00F13D43">
      <w:pPr>
        <w:pStyle w:val="FootnoteText"/>
        <w:rPr>
          <w:rFonts w:ascii="Times New Roman" w:hAnsi="Times New Roman"/>
          <w:lang w:val="en-US"/>
        </w:rPr>
      </w:pPr>
      <w:r w:rsidRPr="003656AA">
        <w:rPr>
          <w:rStyle w:val="FootnoteReference"/>
          <w:rFonts w:ascii="Times New Roman" w:hAnsi="Times New Roman"/>
        </w:rPr>
        <w:footnoteRef/>
      </w:r>
      <w:r w:rsidRPr="003656AA">
        <w:rPr>
          <w:rFonts w:ascii="Times New Roman" w:hAnsi="Times New Roman"/>
          <w:lang w:val="en"/>
        </w:rPr>
        <w:t xml:space="preserve"> Resolution of the Government of the Republic of Kazakhstan dated December 20, 2018 No. 846 "On approval of Concept for development of manufacturing industry of the Republic of Kazakhstan in 2023-2029" // </w:t>
      </w:r>
      <w:r w:rsidR="000E0FE6">
        <w:fldChar w:fldCharType="begin"/>
      </w:r>
      <w:r w:rsidR="000E0FE6" w:rsidRPr="00A22DA1">
        <w:rPr>
          <w:lang w:val="en-US"/>
        </w:rPr>
        <w:instrText xml:space="preserve"> HYPERLINK "https://adilet.zan.kz/rus/docs/P1800000846" </w:instrText>
      </w:r>
      <w:r w:rsidR="000E0FE6">
        <w:fldChar w:fldCharType="separate"/>
      </w:r>
      <w:r w:rsidRPr="00FC2001">
        <w:rPr>
          <w:rStyle w:val="Hyperlink"/>
          <w:rFonts w:ascii="Times New Roman" w:hAnsi="Times New Roman"/>
          <w:lang w:val="en"/>
        </w:rPr>
        <w:t>https://adilet.zan.kz/rus/docs/P1800000846</w:t>
      </w:r>
      <w:r w:rsidR="000E0FE6">
        <w:rPr>
          <w:rStyle w:val="Hyperlink"/>
          <w:rFonts w:ascii="Times New Roman" w:hAnsi="Times New Roman"/>
          <w:lang w:val="en"/>
        </w:rPr>
        <w:fldChar w:fldCharType="end"/>
      </w:r>
      <w:r w:rsidRPr="003656AA">
        <w:rPr>
          <w:rFonts w:ascii="Times New Roman" w:hAnsi="Times New Roman"/>
          <w:lang w:val="en"/>
        </w:rPr>
        <w:t>;</w:t>
      </w:r>
    </w:p>
    <w:p w14:paraId="72AA471A" w14:textId="77777777" w:rsidR="00F269A5" w:rsidRPr="00A57506" w:rsidRDefault="00F269A5" w:rsidP="0059338B">
      <w:pPr>
        <w:pStyle w:val="FootnoteText"/>
        <w:rPr>
          <w:lang w:val="en-US"/>
        </w:rPr>
      </w:pPr>
    </w:p>
  </w:footnote>
  <w:footnote w:id="25">
    <w:p w14:paraId="09769441" w14:textId="77777777" w:rsidR="00F269A5" w:rsidRPr="00A57506" w:rsidRDefault="004C4BA9" w:rsidP="0059338B">
      <w:pPr>
        <w:pStyle w:val="FootnoteText"/>
        <w:rPr>
          <w:lang w:val="en-US"/>
        </w:rPr>
      </w:pPr>
      <w:r>
        <w:rPr>
          <w:rStyle w:val="FootnoteReference"/>
        </w:rPr>
        <w:footnoteRef/>
      </w:r>
      <w:r w:rsidRPr="000F7D8D">
        <w:rPr>
          <w:rFonts w:ascii="Times New Roman" w:hAnsi="Times New Roman"/>
          <w:lang w:val="en"/>
        </w:rPr>
        <w:t xml:space="preserve"> London Metal Exchange (LME)  is the world's leading commodity exchange specializing in non—ferrous metals trading.</w:t>
      </w:r>
    </w:p>
  </w:footnote>
  <w:footnote w:id="26">
    <w:p w14:paraId="252232FE" w14:textId="77777777" w:rsidR="00F269A5" w:rsidRPr="00A57506" w:rsidRDefault="004C4BA9" w:rsidP="00323B1C">
      <w:pPr>
        <w:rPr>
          <w:color w:val="000000" w:themeColor="text1"/>
          <w:sz w:val="20"/>
          <w:szCs w:val="20"/>
          <w:lang w:val="en-US"/>
        </w:rPr>
      </w:pPr>
      <w:r w:rsidRPr="002B2F77">
        <w:rPr>
          <w:rStyle w:val="FootnoteReference"/>
          <w:color w:val="000000" w:themeColor="text1"/>
          <w:sz w:val="20"/>
          <w:szCs w:val="20"/>
        </w:rPr>
        <w:footnoteRef/>
      </w:r>
      <w:r w:rsidRPr="002B2F77">
        <w:rPr>
          <w:color w:val="000000" w:themeColor="text1"/>
          <w:sz w:val="20"/>
          <w:szCs w:val="20"/>
          <w:lang w:val="en"/>
        </w:rPr>
        <w:t xml:space="preserve"> Order of the Minister of Agriculture of the Republic of Kazakhstan dated November 26, 2014 No. 3-2/615 "On approval of Rules for subsidizing costs of processing enterprises for purchase of agricultural products for production of high-value products" // </w:t>
      </w:r>
      <w:r w:rsidR="000E0FE6">
        <w:fldChar w:fldCharType="begin"/>
      </w:r>
      <w:r w:rsidR="000E0FE6" w:rsidRPr="00A22DA1">
        <w:rPr>
          <w:lang w:val="en-US"/>
        </w:rPr>
        <w:instrText xml:space="preserve"> HYPERLINK "https://adilet.zan.kz/rus/docs/V14F0010087" </w:instrText>
      </w:r>
      <w:r w:rsidR="000E0FE6">
        <w:fldChar w:fldCharType="separate"/>
      </w:r>
      <w:r w:rsidRPr="00FF4202">
        <w:rPr>
          <w:rStyle w:val="Hyperlink"/>
          <w:sz w:val="20"/>
          <w:szCs w:val="20"/>
          <w:lang w:val="en"/>
        </w:rPr>
        <w:t>https://adilet.zan.kz/rus/docs/V14F0010087</w:t>
      </w:r>
      <w:r w:rsidR="000E0FE6">
        <w:rPr>
          <w:rStyle w:val="Hyperlink"/>
          <w:sz w:val="20"/>
          <w:szCs w:val="20"/>
          <w:lang w:val="en"/>
        </w:rPr>
        <w:fldChar w:fldCharType="end"/>
      </w:r>
      <w:r w:rsidRPr="002B2F77">
        <w:rPr>
          <w:color w:val="000000" w:themeColor="text1"/>
          <w:sz w:val="20"/>
          <w:szCs w:val="20"/>
          <w:lang w:val="en"/>
        </w:rPr>
        <w:t>;</w:t>
      </w:r>
    </w:p>
  </w:footnote>
  <w:footnote w:id="27">
    <w:p w14:paraId="2C0B08A6" w14:textId="77777777" w:rsidR="00F269A5" w:rsidRPr="00A57506" w:rsidRDefault="004C4BA9" w:rsidP="00E52ABB">
      <w:pPr>
        <w:rPr>
          <w:color w:val="000000" w:themeColor="text1"/>
          <w:sz w:val="20"/>
          <w:szCs w:val="20"/>
          <w:lang w:val="en-US"/>
        </w:rPr>
      </w:pPr>
      <w:r w:rsidRPr="002B2F77">
        <w:rPr>
          <w:rStyle w:val="FootnoteReference"/>
          <w:color w:val="000000" w:themeColor="text1"/>
          <w:sz w:val="20"/>
          <w:szCs w:val="20"/>
        </w:rPr>
        <w:footnoteRef/>
      </w:r>
      <w:r w:rsidRPr="002B2F77">
        <w:rPr>
          <w:color w:val="000000" w:themeColor="text1"/>
          <w:sz w:val="20"/>
          <w:szCs w:val="20"/>
          <w:lang w:val="en"/>
        </w:rPr>
        <w:t xml:space="preserve"> Barrier Council's Facebook page // </w:t>
      </w:r>
      <w:r w:rsidR="000E0FE6">
        <w:fldChar w:fldCharType="begin"/>
      </w:r>
      <w:r w:rsidR="000E0FE6" w:rsidRPr="00A22DA1">
        <w:rPr>
          <w:lang w:val="en-US"/>
        </w:rPr>
        <w:instrText xml:space="preserve"> HYPERLINK "https://www.facebook.com/groups/372403647206099" </w:instrText>
      </w:r>
      <w:r w:rsidR="000E0FE6">
        <w:fldChar w:fldCharType="separate"/>
      </w:r>
      <w:r w:rsidRPr="002B2F77">
        <w:rPr>
          <w:rStyle w:val="Hyperlink"/>
          <w:sz w:val="20"/>
          <w:szCs w:val="20"/>
          <w:lang w:val="en"/>
        </w:rPr>
        <w:t>https://www.facebook.com/groups/372403647206099</w:t>
      </w:r>
      <w:r w:rsidR="000E0FE6">
        <w:rPr>
          <w:rStyle w:val="Hyperlink"/>
          <w:sz w:val="20"/>
          <w:szCs w:val="20"/>
          <w:lang w:val="en"/>
        </w:rPr>
        <w:fldChar w:fldCharType="end"/>
      </w:r>
      <w:r w:rsidRPr="002B2F77">
        <w:rPr>
          <w:color w:val="000000" w:themeColor="text1"/>
          <w:sz w:val="20"/>
          <w:szCs w:val="20"/>
          <w:lang w:val="en"/>
        </w:rPr>
        <w:t>;</w:t>
      </w:r>
    </w:p>
  </w:footnote>
  <w:footnote w:id="28">
    <w:p w14:paraId="3E57A1FF" w14:textId="77777777" w:rsidR="00F269A5" w:rsidRPr="00A57506" w:rsidRDefault="004C4BA9" w:rsidP="00052A8A">
      <w:pPr>
        <w:rPr>
          <w:color w:val="000000" w:themeColor="text1"/>
          <w:sz w:val="20"/>
          <w:szCs w:val="20"/>
          <w:lang w:val="en-US"/>
        </w:rPr>
      </w:pPr>
      <w:r w:rsidRPr="002B2F77">
        <w:rPr>
          <w:rStyle w:val="FootnoteReference"/>
          <w:color w:val="000000" w:themeColor="text1"/>
          <w:sz w:val="20"/>
          <w:szCs w:val="20"/>
        </w:rPr>
        <w:footnoteRef/>
      </w:r>
      <w:r w:rsidRPr="002B2F77">
        <w:rPr>
          <w:color w:val="000000" w:themeColor="text1"/>
          <w:sz w:val="20"/>
          <w:szCs w:val="20"/>
          <w:lang w:val="en"/>
        </w:rPr>
        <w:t xml:space="preserve"> Order of the Minister of Health of December 11, 2020 No. KR DSM-247/2020 "On approval of the rules of regulation, formation of ceiling prices and margins for medicines, as well as medical devices within the guaranteed volume of free medical care and (or) in the system of compulsory social health insurance" // </w:t>
      </w:r>
      <w:r w:rsidR="000E0FE6">
        <w:fldChar w:fldCharType="begin"/>
      </w:r>
      <w:r w:rsidR="000E0FE6" w:rsidRPr="00A22DA1">
        <w:rPr>
          <w:lang w:val="en-US"/>
        </w:rPr>
        <w:instrText xml:space="preserve"> HYPERLINK "https://adilet.zan.kz/rus/docs/V2000021766" </w:instrText>
      </w:r>
      <w:r w:rsidR="000E0FE6">
        <w:fldChar w:fldCharType="separate"/>
      </w:r>
      <w:r w:rsidRPr="00052A8A">
        <w:rPr>
          <w:rStyle w:val="Hyperlink"/>
          <w:sz w:val="20"/>
          <w:szCs w:val="20"/>
          <w:lang w:val="en"/>
        </w:rPr>
        <w:t>https://adilet.zan.kz/rus/docs/V2000021766</w:t>
      </w:r>
      <w:r w:rsidR="000E0FE6">
        <w:rPr>
          <w:rStyle w:val="Hyperlink"/>
          <w:sz w:val="20"/>
          <w:szCs w:val="20"/>
          <w:lang w:val="en"/>
        </w:rPr>
        <w:fldChar w:fldCharType="end"/>
      </w:r>
      <w:r w:rsidRPr="002B2F77">
        <w:rPr>
          <w:color w:val="000000" w:themeColor="text1"/>
          <w:sz w:val="20"/>
          <w:szCs w:val="20"/>
          <w:lang w:val="en"/>
        </w:rPr>
        <w:t>;</w:t>
      </w:r>
    </w:p>
  </w:footnote>
  <w:footnote w:id="29">
    <w:p w14:paraId="42EE775F" w14:textId="77777777" w:rsidR="00F269A5" w:rsidRPr="00A57506" w:rsidRDefault="004C4BA9" w:rsidP="00A51B01">
      <w:pPr>
        <w:rPr>
          <w:rFonts w:eastAsia="Calibri"/>
          <w:color w:val="00B050"/>
          <w:sz w:val="20"/>
          <w:szCs w:val="20"/>
          <w:lang w:val="en-US" w:eastAsia="en-US"/>
        </w:rPr>
      </w:pPr>
      <w:r w:rsidRPr="002B2F77">
        <w:rPr>
          <w:rStyle w:val="FootnoteReference"/>
          <w:color w:val="000000" w:themeColor="text1"/>
          <w:sz w:val="20"/>
          <w:szCs w:val="20"/>
        </w:rPr>
        <w:footnoteRef/>
      </w:r>
      <w:r w:rsidRPr="002B2F77">
        <w:rPr>
          <w:color w:val="000000" w:themeColor="text1"/>
          <w:sz w:val="20"/>
          <w:szCs w:val="20"/>
          <w:lang w:val="en"/>
        </w:rPr>
        <w:t xml:space="preserve"> Resolution of the Government of the Republic of Kazakhstan dated September 6, 2022 No. 654 "On approval of Analytical Report on reform of quasi-public sector in the Republic of Kazakhstan and Action Plan for its implementation" // </w:t>
      </w:r>
      <w:r w:rsidR="000E0FE6">
        <w:fldChar w:fldCharType="begin"/>
      </w:r>
      <w:r w:rsidR="000E0FE6" w:rsidRPr="00A22DA1">
        <w:rPr>
          <w:lang w:val="en-US"/>
        </w:rPr>
        <w:instrText xml:space="preserve"> HYPERLINK "https://adilet.zan.kz/rus/docs/P2200000654" </w:instrText>
      </w:r>
      <w:r w:rsidR="000E0FE6">
        <w:fldChar w:fldCharType="separate"/>
      </w:r>
      <w:r w:rsidRPr="00900055">
        <w:rPr>
          <w:rStyle w:val="Hyperlink"/>
          <w:sz w:val="20"/>
          <w:szCs w:val="20"/>
          <w:lang w:val="en"/>
        </w:rPr>
        <w:t>https://adilet.zan.kz/rus/docs/P2200000654</w:t>
      </w:r>
      <w:r w:rsidR="000E0FE6">
        <w:rPr>
          <w:rStyle w:val="Hyperlink"/>
          <w:sz w:val="20"/>
          <w:szCs w:val="20"/>
          <w:lang w:val="en"/>
        </w:rPr>
        <w:fldChar w:fldCharType="end"/>
      </w:r>
      <w:r w:rsidRPr="002B2F77">
        <w:rPr>
          <w:color w:val="000000" w:themeColor="text1"/>
          <w:sz w:val="20"/>
          <w:szCs w:val="20"/>
          <w:lang w:val="en"/>
        </w:rPr>
        <w:t>;</w:t>
      </w:r>
    </w:p>
  </w:footnote>
  <w:footnote w:id="30">
    <w:p w14:paraId="51665924" w14:textId="77777777" w:rsidR="00F269A5" w:rsidRPr="00A57506" w:rsidRDefault="004C4BA9" w:rsidP="006D3D99">
      <w:pPr>
        <w:rPr>
          <w:rFonts w:eastAsia="Calibri"/>
          <w:color w:val="00B050"/>
          <w:sz w:val="20"/>
          <w:szCs w:val="20"/>
          <w:lang w:val="en-US" w:eastAsia="en-US"/>
        </w:rPr>
      </w:pPr>
      <w:r w:rsidRPr="002B2F77">
        <w:rPr>
          <w:rStyle w:val="FootnoteReference"/>
          <w:color w:val="000000" w:themeColor="text1"/>
          <w:sz w:val="20"/>
          <w:szCs w:val="20"/>
        </w:rPr>
        <w:footnoteRef/>
      </w:r>
      <w:r w:rsidRPr="002B2F77">
        <w:rPr>
          <w:color w:val="000000" w:themeColor="text1"/>
          <w:sz w:val="20"/>
          <w:szCs w:val="20"/>
          <w:lang w:val="en"/>
        </w:rPr>
        <w:t xml:space="preserve"> Order of the Chairman of the Agency for Protection and Development of Competition of the Republic of Kazakhstan dated May 3, 2022 No. 13 "On approval of Methodology for analyzing state of competition in commodity markets" // </w:t>
      </w:r>
      <w:r w:rsidR="000E0FE6">
        <w:fldChar w:fldCharType="begin"/>
      </w:r>
      <w:r w:rsidR="000E0FE6" w:rsidRPr="00A22DA1">
        <w:rPr>
          <w:lang w:val="en-US"/>
        </w:rPr>
        <w:instrText xml:space="preserve"> HYPERLINK "https://adilet.z</w:instrText>
      </w:r>
      <w:r w:rsidR="000E0FE6" w:rsidRPr="00A22DA1">
        <w:rPr>
          <w:lang w:val="en-US"/>
        </w:rPr>
        <w:instrText xml:space="preserve">an.kz/rus/docs/V2200027883" </w:instrText>
      </w:r>
      <w:r w:rsidR="000E0FE6">
        <w:fldChar w:fldCharType="separate"/>
      </w:r>
      <w:r w:rsidRPr="007A6CD6">
        <w:rPr>
          <w:rStyle w:val="Hyperlink"/>
          <w:sz w:val="20"/>
          <w:szCs w:val="20"/>
          <w:lang w:val="en"/>
        </w:rPr>
        <w:t>https://adilet.zan.kz/rus/docs/V2200027883</w:t>
      </w:r>
      <w:r w:rsidR="000E0FE6">
        <w:rPr>
          <w:rStyle w:val="Hyperlink"/>
          <w:sz w:val="20"/>
          <w:szCs w:val="20"/>
          <w:lang w:val="en"/>
        </w:rPr>
        <w:fldChar w:fldCharType="end"/>
      </w:r>
      <w:r w:rsidRPr="002B2F77">
        <w:rPr>
          <w:color w:val="000000" w:themeColor="text1"/>
          <w:sz w:val="20"/>
          <w:szCs w:val="20"/>
          <w:lang w:val="e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068725971"/>
      <w:docPartObj>
        <w:docPartGallery w:val="Page Numbers (Top of Page)"/>
        <w:docPartUnique/>
      </w:docPartObj>
    </w:sdtPr>
    <w:sdtEndPr/>
    <w:sdtContent>
      <w:p w14:paraId="22054A71" w14:textId="77777777" w:rsidR="00F269A5" w:rsidRPr="00752D7F" w:rsidRDefault="004C4BA9" w:rsidP="00161A08">
        <w:pPr>
          <w:pStyle w:val="Header"/>
          <w:ind w:firstLine="0"/>
          <w:jc w:val="center"/>
          <w:rPr>
            <w:sz w:val="24"/>
          </w:rPr>
        </w:pPr>
        <w:r w:rsidRPr="00752D7F">
          <w:rPr>
            <w:sz w:val="24"/>
          </w:rPr>
          <w:fldChar w:fldCharType="begin"/>
        </w:r>
        <w:r w:rsidRPr="00752D7F">
          <w:rPr>
            <w:sz w:val="24"/>
          </w:rPr>
          <w:instrText>PAGE   \* MERGEFORMAT</w:instrText>
        </w:r>
        <w:r w:rsidRPr="00752D7F">
          <w:rPr>
            <w:sz w:val="24"/>
          </w:rPr>
          <w:fldChar w:fldCharType="separate"/>
        </w:r>
        <w:r>
          <w:rPr>
            <w:noProof/>
            <w:sz w:val="24"/>
          </w:rPr>
          <w:t>102</w:t>
        </w:r>
        <w:r w:rsidRPr="00752D7F">
          <w:rPr>
            <w:sz w:val="24"/>
          </w:rPr>
          <w:fldChar w:fldCharType="end"/>
        </w:r>
      </w:p>
    </w:sdtContent>
  </w:sdt>
  <w:p w14:paraId="4005A293" w14:textId="77777777" w:rsidR="00F269A5" w:rsidRDefault="00F26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285"/>
    <w:multiLevelType w:val="multilevel"/>
    <w:tmpl w:val="04190029"/>
    <w:lvl w:ilvl="0">
      <w:start w:val="1"/>
      <w:numFmt w:val="decimal"/>
      <w:pStyle w:val="Heading1"/>
      <w:suff w:val="space"/>
      <w:lvlText w:val="Глава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F086263"/>
    <w:multiLevelType w:val="hybridMultilevel"/>
    <w:tmpl w:val="5AACFB5A"/>
    <w:lvl w:ilvl="0" w:tplc="4FA853FC">
      <w:start w:val="6"/>
      <w:numFmt w:val="bullet"/>
      <w:lvlText w:val="-"/>
      <w:lvlJc w:val="left"/>
      <w:pPr>
        <w:ind w:left="1287" w:hanging="360"/>
      </w:pPr>
      <w:rPr>
        <w:rFonts w:ascii="Times New Roman" w:eastAsia="Calibri" w:hAnsi="Times New Roman" w:cs="Times New Roman" w:hint="default"/>
      </w:rPr>
    </w:lvl>
    <w:lvl w:ilvl="1" w:tplc="63041FEC" w:tentative="1">
      <w:start w:val="1"/>
      <w:numFmt w:val="bullet"/>
      <w:lvlText w:val="o"/>
      <w:lvlJc w:val="left"/>
      <w:pPr>
        <w:ind w:left="2007" w:hanging="360"/>
      </w:pPr>
      <w:rPr>
        <w:rFonts w:ascii="Courier New" w:hAnsi="Courier New" w:cs="Courier New" w:hint="default"/>
      </w:rPr>
    </w:lvl>
    <w:lvl w:ilvl="2" w:tplc="087E199A" w:tentative="1">
      <w:start w:val="1"/>
      <w:numFmt w:val="bullet"/>
      <w:lvlText w:val=""/>
      <w:lvlJc w:val="left"/>
      <w:pPr>
        <w:ind w:left="2727" w:hanging="360"/>
      </w:pPr>
      <w:rPr>
        <w:rFonts w:ascii="Wingdings" w:hAnsi="Wingdings" w:hint="default"/>
      </w:rPr>
    </w:lvl>
    <w:lvl w:ilvl="3" w:tplc="97448682" w:tentative="1">
      <w:start w:val="1"/>
      <w:numFmt w:val="bullet"/>
      <w:lvlText w:val=""/>
      <w:lvlJc w:val="left"/>
      <w:pPr>
        <w:ind w:left="3447" w:hanging="360"/>
      </w:pPr>
      <w:rPr>
        <w:rFonts w:ascii="Symbol" w:hAnsi="Symbol" w:hint="default"/>
      </w:rPr>
    </w:lvl>
    <w:lvl w:ilvl="4" w:tplc="937ECE64" w:tentative="1">
      <w:start w:val="1"/>
      <w:numFmt w:val="bullet"/>
      <w:lvlText w:val="o"/>
      <w:lvlJc w:val="left"/>
      <w:pPr>
        <w:ind w:left="4167" w:hanging="360"/>
      </w:pPr>
      <w:rPr>
        <w:rFonts w:ascii="Courier New" w:hAnsi="Courier New" w:cs="Courier New" w:hint="default"/>
      </w:rPr>
    </w:lvl>
    <w:lvl w:ilvl="5" w:tplc="537C180E" w:tentative="1">
      <w:start w:val="1"/>
      <w:numFmt w:val="bullet"/>
      <w:lvlText w:val=""/>
      <w:lvlJc w:val="left"/>
      <w:pPr>
        <w:ind w:left="4887" w:hanging="360"/>
      </w:pPr>
      <w:rPr>
        <w:rFonts w:ascii="Wingdings" w:hAnsi="Wingdings" w:hint="default"/>
      </w:rPr>
    </w:lvl>
    <w:lvl w:ilvl="6" w:tplc="2D660FB2" w:tentative="1">
      <w:start w:val="1"/>
      <w:numFmt w:val="bullet"/>
      <w:lvlText w:val=""/>
      <w:lvlJc w:val="left"/>
      <w:pPr>
        <w:ind w:left="5607" w:hanging="360"/>
      </w:pPr>
      <w:rPr>
        <w:rFonts w:ascii="Symbol" w:hAnsi="Symbol" w:hint="default"/>
      </w:rPr>
    </w:lvl>
    <w:lvl w:ilvl="7" w:tplc="8746F044" w:tentative="1">
      <w:start w:val="1"/>
      <w:numFmt w:val="bullet"/>
      <w:lvlText w:val="o"/>
      <w:lvlJc w:val="left"/>
      <w:pPr>
        <w:ind w:left="6327" w:hanging="360"/>
      </w:pPr>
      <w:rPr>
        <w:rFonts w:ascii="Courier New" w:hAnsi="Courier New" w:cs="Courier New" w:hint="default"/>
      </w:rPr>
    </w:lvl>
    <w:lvl w:ilvl="8" w:tplc="1C08DC52" w:tentative="1">
      <w:start w:val="1"/>
      <w:numFmt w:val="bullet"/>
      <w:lvlText w:val=""/>
      <w:lvlJc w:val="left"/>
      <w:pPr>
        <w:ind w:left="7047" w:hanging="360"/>
      </w:pPr>
      <w:rPr>
        <w:rFonts w:ascii="Wingdings" w:hAnsi="Wingdings" w:hint="default"/>
      </w:rPr>
    </w:lvl>
  </w:abstractNum>
  <w:abstractNum w:abstractNumId="2" w15:restartNumberingAfterBreak="0">
    <w:nsid w:val="18510BFA"/>
    <w:multiLevelType w:val="hybridMultilevel"/>
    <w:tmpl w:val="4F667206"/>
    <w:lvl w:ilvl="0" w:tplc="B3A0784E">
      <w:start w:val="6"/>
      <w:numFmt w:val="bullet"/>
      <w:lvlText w:val="-"/>
      <w:lvlJc w:val="left"/>
      <w:pPr>
        <w:ind w:left="1287" w:hanging="360"/>
      </w:pPr>
      <w:rPr>
        <w:rFonts w:ascii="Times New Roman" w:eastAsia="Calibri" w:hAnsi="Times New Roman" w:cs="Times New Roman" w:hint="default"/>
      </w:rPr>
    </w:lvl>
    <w:lvl w:ilvl="1" w:tplc="DECE39D2" w:tentative="1">
      <w:start w:val="1"/>
      <w:numFmt w:val="bullet"/>
      <w:lvlText w:val="o"/>
      <w:lvlJc w:val="left"/>
      <w:pPr>
        <w:ind w:left="2007" w:hanging="360"/>
      </w:pPr>
      <w:rPr>
        <w:rFonts w:ascii="Courier New" w:hAnsi="Courier New" w:cs="Courier New" w:hint="default"/>
      </w:rPr>
    </w:lvl>
    <w:lvl w:ilvl="2" w:tplc="AEAA5B38" w:tentative="1">
      <w:start w:val="1"/>
      <w:numFmt w:val="bullet"/>
      <w:lvlText w:val=""/>
      <w:lvlJc w:val="left"/>
      <w:pPr>
        <w:ind w:left="2727" w:hanging="360"/>
      </w:pPr>
      <w:rPr>
        <w:rFonts w:ascii="Wingdings" w:hAnsi="Wingdings" w:hint="default"/>
      </w:rPr>
    </w:lvl>
    <w:lvl w:ilvl="3" w:tplc="F6C22118" w:tentative="1">
      <w:start w:val="1"/>
      <w:numFmt w:val="bullet"/>
      <w:lvlText w:val=""/>
      <w:lvlJc w:val="left"/>
      <w:pPr>
        <w:ind w:left="3447" w:hanging="360"/>
      </w:pPr>
      <w:rPr>
        <w:rFonts w:ascii="Symbol" w:hAnsi="Symbol" w:hint="default"/>
      </w:rPr>
    </w:lvl>
    <w:lvl w:ilvl="4" w:tplc="D7DE14F6" w:tentative="1">
      <w:start w:val="1"/>
      <w:numFmt w:val="bullet"/>
      <w:lvlText w:val="o"/>
      <w:lvlJc w:val="left"/>
      <w:pPr>
        <w:ind w:left="4167" w:hanging="360"/>
      </w:pPr>
      <w:rPr>
        <w:rFonts w:ascii="Courier New" w:hAnsi="Courier New" w:cs="Courier New" w:hint="default"/>
      </w:rPr>
    </w:lvl>
    <w:lvl w:ilvl="5" w:tplc="9242736A" w:tentative="1">
      <w:start w:val="1"/>
      <w:numFmt w:val="bullet"/>
      <w:lvlText w:val=""/>
      <w:lvlJc w:val="left"/>
      <w:pPr>
        <w:ind w:left="4887" w:hanging="360"/>
      </w:pPr>
      <w:rPr>
        <w:rFonts w:ascii="Wingdings" w:hAnsi="Wingdings" w:hint="default"/>
      </w:rPr>
    </w:lvl>
    <w:lvl w:ilvl="6" w:tplc="16563F90" w:tentative="1">
      <w:start w:val="1"/>
      <w:numFmt w:val="bullet"/>
      <w:lvlText w:val=""/>
      <w:lvlJc w:val="left"/>
      <w:pPr>
        <w:ind w:left="5607" w:hanging="360"/>
      </w:pPr>
      <w:rPr>
        <w:rFonts w:ascii="Symbol" w:hAnsi="Symbol" w:hint="default"/>
      </w:rPr>
    </w:lvl>
    <w:lvl w:ilvl="7" w:tplc="EF74BDF6" w:tentative="1">
      <w:start w:val="1"/>
      <w:numFmt w:val="bullet"/>
      <w:lvlText w:val="o"/>
      <w:lvlJc w:val="left"/>
      <w:pPr>
        <w:ind w:left="6327" w:hanging="360"/>
      </w:pPr>
      <w:rPr>
        <w:rFonts w:ascii="Courier New" w:hAnsi="Courier New" w:cs="Courier New" w:hint="default"/>
      </w:rPr>
    </w:lvl>
    <w:lvl w:ilvl="8" w:tplc="28EAF26E" w:tentative="1">
      <w:start w:val="1"/>
      <w:numFmt w:val="bullet"/>
      <w:lvlText w:val=""/>
      <w:lvlJc w:val="left"/>
      <w:pPr>
        <w:ind w:left="7047" w:hanging="360"/>
      </w:pPr>
      <w:rPr>
        <w:rFonts w:ascii="Wingdings" w:hAnsi="Wingdings" w:hint="default"/>
      </w:rPr>
    </w:lvl>
  </w:abstractNum>
  <w:abstractNum w:abstractNumId="3" w15:restartNumberingAfterBreak="0">
    <w:nsid w:val="1F4D7955"/>
    <w:multiLevelType w:val="multilevel"/>
    <w:tmpl w:val="F5707FB4"/>
    <w:lvl w:ilvl="0">
      <w:start w:val="2"/>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B1460C6"/>
    <w:multiLevelType w:val="hybridMultilevel"/>
    <w:tmpl w:val="94866E6C"/>
    <w:lvl w:ilvl="0" w:tplc="329A87BC">
      <w:start w:val="1"/>
      <w:numFmt w:val="decimal"/>
      <w:lvlText w:val="%1)"/>
      <w:lvlJc w:val="left"/>
      <w:pPr>
        <w:ind w:left="1287" w:hanging="360"/>
      </w:pPr>
    </w:lvl>
    <w:lvl w:ilvl="1" w:tplc="B4304922" w:tentative="1">
      <w:start w:val="1"/>
      <w:numFmt w:val="lowerLetter"/>
      <w:lvlText w:val="%2."/>
      <w:lvlJc w:val="left"/>
      <w:pPr>
        <w:ind w:left="2007" w:hanging="360"/>
      </w:pPr>
    </w:lvl>
    <w:lvl w:ilvl="2" w:tplc="105C1D8A" w:tentative="1">
      <w:start w:val="1"/>
      <w:numFmt w:val="lowerRoman"/>
      <w:lvlText w:val="%3."/>
      <w:lvlJc w:val="right"/>
      <w:pPr>
        <w:ind w:left="2727" w:hanging="180"/>
      </w:pPr>
    </w:lvl>
    <w:lvl w:ilvl="3" w:tplc="B9D01B12" w:tentative="1">
      <w:start w:val="1"/>
      <w:numFmt w:val="decimal"/>
      <w:lvlText w:val="%4."/>
      <w:lvlJc w:val="left"/>
      <w:pPr>
        <w:ind w:left="3447" w:hanging="360"/>
      </w:pPr>
    </w:lvl>
    <w:lvl w:ilvl="4" w:tplc="C54EEB68" w:tentative="1">
      <w:start w:val="1"/>
      <w:numFmt w:val="lowerLetter"/>
      <w:lvlText w:val="%5."/>
      <w:lvlJc w:val="left"/>
      <w:pPr>
        <w:ind w:left="4167" w:hanging="360"/>
      </w:pPr>
    </w:lvl>
    <w:lvl w:ilvl="5" w:tplc="B03A28C6" w:tentative="1">
      <w:start w:val="1"/>
      <w:numFmt w:val="lowerRoman"/>
      <w:lvlText w:val="%6."/>
      <w:lvlJc w:val="right"/>
      <w:pPr>
        <w:ind w:left="4887" w:hanging="180"/>
      </w:pPr>
    </w:lvl>
    <w:lvl w:ilvl="6" w:tplc="A2C0279E" w:tentative="1">
      <w:start w:val="1"/>
      <w:numFmt w:val="decimal"/>
      <w:lvlText w:val="%7."/>
      <w:lvlJc w:val="left"/>
      <w:pPr>
        <w:ind w:left="5607" w:hanging="360"/>
      </w:pPr>
    </w:lvl>
    <w:lvl w:ilvl="7" w:tplc="2EE80610" w:tentative="1">
      <w:start w:val="1"/>
      <w:numFmt w:val="lowerLetter"/>
      <w:lvlText w:val="%8."/>
      <w:lvlJc w:val="left"/>
      <w:pPr>
        <w:ind w:left="6327" w:hanging="360"/>
      </w:pPr>
    </w:lvl>
    <w:lvl w:ilvl="8" w:tplc="E7344912" w:tentative="1">
      <w:start w:val="1"/>
      <w:numFmt w:val="lowerRoman"/>
      <w:lvlText w:val="%9."/>
      <w:lvlJc w:val="right"/>
      <w:pPr>
        <w:ind w:left="7047" w:hanging="180"/>
      </w:pPr>
    </w:lvl>
  </w:abstractNum>
  <w:abstractNum w:abstractNumId="5" w15:restartNumberingAfterBreak="0">
    <w:nsid w:val="2FB85347"/>
    <w:multiLevelType w:val="multilevel"/>
    <w:tmpl w:val="97F63FDA"/>
    <w:lvl w:ilvl="0">
      <w:start w:val="1"/>
      <w:numFmt w:val="decimal"/>
      <w:suff w:val="space"/>
      <w:lvlText w:val="Глава %1"/>
      <w:lvlJc w:val="left"/>
      <w:pPr>
        <w:ind w:left="0" w:firstLine="0"/>
      </w:pPr>
    </w:lvl>
    <w:lvl w:ilvl="1">
      <w:start w:val="1"/>
      <w:numFmt w:val="decimal"/>
      <w:lvlText w:val="2.%2."/>
      <w:lvlJc w:val="left"/>
      <w:pPr>
        <w:ind w:left="0" w:firstLine="0"/>
      </w:pPr>
      <w:rPr>
        <w:rFont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04C0B8A"/>
    <w:multiLevelType w:val="hybridMultilevel"/>
    <w:tmpl w:val="D5CEC742"/>
    <w:lvl w:ilvl="0" w:tplc="2DBCFF50">
      <w:start w:val="1"/>
      <w:numFmt w:val="decimal"/>
      <w:lvlText w:val="%1)"/>
      <w:lvlJc w:val="left"/>
      <w:pPr>
        <w:ind w:left="1069" w:hanging="360"/>
      </w:pPr>
      <w:rPr>
        <w:rFonts w:hint="default"/>
      </w:rPr>
    </w:lvl>
    <w:lvl w:ilvl="1" w:tplc="5E287F2C" w:tentative="1">
      <w:start w:val="1"/>
      <w:numFmt w:val="lowerLetter"/>
      <w:lvlText w:val="%2."/>
      <w:lvlJc w:val="left"/>
      <w:pPr>
        <w:ind w:left="1789" w:hanging="360"/>
      </w:pPr>
    </w:lvl>
    <w:lvl w:ilvl="2" w:tplc="3F0642C0" w:tentative="1">
      <w:start w:val="1"/>
      <w:numFmt w:val="lowerRoman"/>
      <w:lvlText w:val="%3."/>
      <w:lvlJc w:val="right"/>
      <w:pPr>
        <w:ind w:left="2509" w:hanging="180"/>
      </w:pPr>
    </w:lvl>
    <w:lvl w:ilvl="3" w:tplc="2AD82162" w:tentative="1">
      <w:start w:val="1"/>
      <w:numFmt w:val="decimal"/>
      <w:lvlText w:val="%4."/>
      <w:lvlJc w:val="left"/>
      <w:pPr>
        <w:ind w:left="3229" w:hanging="360"/>
      </w:pPr>
    </w:lvl>
    <w:lvl w:ilvl="4" w:tplc="FFBEDE62" w:tentative="1">
      <w:start w:val="1"/>
      <w:numFmt w:val="lowerLetter"/>
      <w:lvlText w:val="%5."/>
      <w:lvlJc w:val="left"/>
      <w:pPr>
        <w:ind w:left="3949" w:hanging="360"/>
      </w:pPr>
    </w:lvl>
    <w:lvl w:ilvl="5" w:tplc="033A41B8" w:tentative="1">
      <w:start w:val="1"/>
      <w:numFmt w:val="lowerRoman"/>
      <w:lvlText w:val="%6."/>
      <w:lvlJc w:val="right"/>
      <w:pPr>
        <w:ind w:left="4669" w:hanging="180"/>
      </w:pPr>
    </w:lvl>
    <w:lvl w:ilvl="6" w:tplc="8020C082" w:tentative="1">
      <w:start w:val="1"/>
      <w:numFmt w:val="decimal"/>
      <w:lvlText w:val="%7."/>
      <w:lvlJc w:val="left"/>
      <w:pPr>
        <w:ind w:left="5389" w:hanging="360"/>
      </w:pPr>
    </w:lvl>
    <w:lvl w:ilvl="7" w:tplc="AF7A58B0" w:tentative="1">
      <w:start w:val="1"/>
      <w:numFmt w:val="lowerLetter"/>
      <w:lvlText w:val="%8."/>
      <w:lvlJc w:val="left"/>
      <w:pPr>
        <w:ind w:left="6109" w:hanging="360"/>
      </w:pPr>
    </w:lvl>
    <w:lvl w:ilvl="8" w:tplc="F4FAC55C" w:tentative="1">
      <w:start w:val="1"/>
      <w:numFmt w:val="lowerRoman"/>
      <w:lvlText w:val="%9."/>
      <w:lvlJc w:val="right"/>
      <w:pPr>
        <w:ind w:left="6829" w:hanging="180"/>
      </w:pPr>
    </w:lvl>
  </w:abstractNum>
  <w:abstractNum w:abstractNumId="7" w15:restartNumberingAfterBreak="0">
    <w:nsid w:val="3B65578D"/>
    <w:multiLevelType w:val="hybridMultilevel"/>
    <w:tmpl w:val="12A49AE8"/>
    <w:lvl w:ilvl="0" w:tplc="3BB84F9A">
      <w:start w:val="2"/>
      <w:numFmt w:val="bullet"/>
      <w:lvlText w:val="-"/>
      <w:lvlJc w:val="left"/>
      <w:pPr>
        <w:ind w:left="1287" w:hanging="360"/>
      </w:pPr>
      <w:rPr>
        <w:rFonts w:ascii="Arial" w:eastAsiaTheme="minorHAnsi" w:hAnsi="Arial" w:cs="Arial" w:hint="default"/>
        <w:b w:val="0"/>
        <w:bCs w:val="0"/>
      </w:rPr>
    </w:lvl>
    <w:lvl w:ilvl="1" w:tplc="46D4B6EC" w:tentative="1">
      <w:start w:val="1"/>
      <w:numFmt w:val="bullet"/>
      <w:lvlText w:val="o"/>
      <w:lvlJc w:val="left"/>
      <w:pPr>
        <w:ind w:left="2007" w:hanging="360"/>
      </w:pPr>
      <w:rPr>
        <w:rFonts w:ascii="Courier New" w:hAnsi="Courier New" w:cs="Courier New" w:hint="default"/>
      </w:rPr>
    </w:lvl>
    <w:lvl w:ilvl="2" w:tplc="035E9A34" w:tentative="1">
      <w:start w:val="1"/>
      <w:numFmt w:val="bullet"/>
      <w:lvlText w:val=""/>
      <w:lvlJc w:val="left"/>
      <w:pPr>
        <w:ind w:left="2727" w:hanging="360"/>
      </w:pPr>
      <w:rPr>
        <w:rFonts w:ascii="Wingdings" w:hAnsi="Wingdings" w:hint="default"/>
      </w:rPr>
    </w:lvl>
    <w:lvl w:ilvl="3" w:tplc="4A68F0A6" w:tentative="1">
      <w:start w:val="1"/>
      <w:numFmt w:val="bullet"/>
      <w:lvlText w:val=""/>
      <w:lvlJc w:val="left"/>
      <w:pPr>
        <w:ind w:left="3447" w:hanging="360"/>
      </w:pPr>
      <w:rPr>
        <w:rFonts w:ascii="Symbol" w:hAnsi="Symbol" w:hint="default"/>
      </w:rPr>
    </w:lvl>
    <w:lvl w:ilvl="4" w:tplc="9620B676" w:tentative="1">
      <w:start w:val="1"/>
      <w:numFmt w:val="bullet"/>
      <w:lvlText w:val="o"/>
      <w:lvlJc w:val="left"/>
      <w:pPr>
        <w:ind w:left="4167" w:hanging="360"/>
      </w:pPr>
      <w:rPr>
        <w:rFonts w:ascii="Courier New" w:hAnsi="Courier New" w:cs="Courier New" w:hint="default"/>
      </w:rPr>
    </w:lvl>
    <w:lvl w:ilvl="5" w:tplc="5F0CE2EA" w:tentative="1">
      <w:start w:val="1"/>
      <w:numFmt w:val="bullet"/>
      <w:lvlText w:val=""/>
      <w:lvlJc w:val="left"/>
      <w:pPr>
        <w:ind w:left="4887" w:hanging="360"/>
      </w:pPr>
      <w:rPr>
        <w:rFonts w:ascii="Wingdings" w:hAnsi="Wingdings" w:hint="default"/>
      </w:rPr>
    </w:lvl>
    <w:lvl w:ilvl="6" w:tplc="D860768A" w:tentative="1">
      <w:start w:val="1"/>
      <w:numFmt w:val="bullet"/>
      <w:lvlText w:val=""/>
      <w:lvlJc w:val="left"/>
      <w:pPr>
        <w:ind w:left="5607" w:hanging="360"/>
      </w:pPr>
      <w:rPr>
        <w:rFonts w:ascii="Symbol" w:hAnsi="Symbol" w:hint="default"/>
      </w:rPr>
    </w:lvl>
    <w:lvl w:ilvl="7" w:tplc="F4C23C2A" w:tentative="1">
      <w:start w:val="1"/>
      <w:numFmt w:val="bullet"/>
      <w:lvlText w:val="o"/>
      <w:lvlJc w:val="left"/>
      <w:pPr>
        <w:ind w:left="6327" w:hanging="360"/>
      </w:pPr>
      <w:rPr>
        <w:rFonts w:ascii="Courier New" w:hAnsi="Courier New" w:cs="Courier New" w:hint="default"/>
      </w:rPr>
    </w:lvl>
    <w:lvl w:ilvl="8" w:tplc="8B8E52FE" w:tentative="1">
      <w:start w:val="1"/>
      <w:numFmt w:val="bullet"/>
      <w:lvlText w:val=""/>
      <w:lvlJc w:val="left"/>
      <w:pPr>
        <w:ind w:left="7047" w:hanging="360"/>
      </w:pPr>
      <w:rPr>
        <w:rFonts w:ascii="Wingdings" w:hAnsi="Wingdings" w:hint="default"/>
      </w:rPr>
    </w:lvl>
  </w:abstractNum>
  <w:abstractNum w:abstractNumId="8" w15:restartNumberingAfterBreak="0">
    <w:nsid w:val="3BC945AF"/>
    <w:multiLevelType w:val="hybridMultilevel"/>
    <w:tmpl w:val="1BC811C0"/>
    <w:lvl w:ilvl="0" w:tplc="1E585A90">
      <w:start w:val="1"/>
      <w:numFmt w:val="decimal"/>
      <w:lvlText w:val="%1."/>
      <w:lvlJc w:val="left"/>
      <w:pPr>
        <w:ind w:left="1429" w:hanging="360"/>
      </w:pPr>
    </w:lvl>
    <w:lvl w:ilvl="1" w:tplc="D9BCA41E" w:tentative="1">
      <w:start w:val="1"/>
      <w:numFmt w:val="lowerLetter"/>
      <w:lvlText w:val="%2."/>
      <w:lvlJc w:val="left"/>
      <w:pPr>
        <w:ind w:left="2149" w:hanging="360"/>
      </w:pPr>
    </w:lvl>
    <w:lvl w:ilvl="2" w:tplc="8E46BAF6" w:tentative="1">
      <w:start w:val="1"/>
      <w:numFmt w:val="lowerRoman"/>
      <w:lvlText w:val="%3."/>
      <w:lvlJc w:val="right"/>
      <w:pPr>
        <w:ind w:left="2869" w:hanging="180"/>
      </w:pPr>
    </w:lvl>
    <w:lvl w:ilvl="3" w:tplc="FE8244B8" w:tentative="1">
      <w:start w:val="1"/>
      <w:numFmt w:val="decimal"/>
      <w:lvlText w:val="%4."/>
      <w:lvlJc w:val="left"/>
      <w:pPr>
        <w:ind w:left="3589" w:hanging="360"/>
      </w:pPr>
    </w:lvl>
    <w:lvl w:ilvl="4" w:tplc="C6122D94" w:tentative="1">
      <w:start w:val="1"/>
      <w:numFmt w:val="lowerLetter"/>
      <w:lvlText w:val="%5."/>
      <w:lvlJc w:val="left"/>
      <w:pPr>
        <w:ind w:left="4309" w:hanging="360"/>
      </w:pPr>
    </w:lvl>
    <w:lvl w:ilvl="5" w:tplc="D704729E" w:tentative="1">
      <w:start w:val="1"/>
      <w:numFmt w:val="lowerRoman"/>
      <w:lvlText w:val="%6."/>
      <w:lvlJc w:val="right"/>
      <w:pPr>
        <w:ind w:left="5029" w:hanging="180"/>
      </w:pPr>
    </w:lvl>
    <w:lvl w:ilvl="6" w:tplc="B890209C" w:tentative="1">
      <w:start w:val="1"/>
      <w:numFmt w:val="decimal"/>
      <w:lvlText w:val="%7."/>
      <w:lvlJc w:val="left"/>
      <w:pPr>
        <w:ind w:left="5749" w:hanging="360"/>
      </w:pPr>
    </w:lvl>
    <w:lvl w:ilvl="7" w:tplc="48BEF088" w:tentative="1">
      <w:start w:val="1"/>
      <w:numFmt w:val="lowerLetter"/>
      <w:lvlText w:val="%8."/>
      <w:lvlJc w:val="left"/>
      <w:pPr>
        <w:ind w:left="6469" w:hanging="360"/>
      </w:pPr>
    </w:lvl>
    <w:lvl w:ilvl="8" w:tplc="3ABCBDF6" w:tentative="1">
      <w:start w:val="1"/>
      <w:numFmt w:val="lowerRoman"/>
      <w:lvlText w:val="%9."/>
      <w:lvlJc w:val="right"/>
      <w:pPr>
        <w:ind w:left="7189" w:hanging="180"/>
      </w:pPr>
    </w:lvl>
  </w:abstractNum>
  <w:abstractNum w:abstractNumId="9" w15:restartNumberingAfterBreak="0">
    <w:nsid w:val="51F2737C"/>
    <w:multiLevelType w:val="hybridMultilevel"/>
    <w:tmpl w:val="7B8E6928"/>
    <w:lvl w:ilvl="0" w:tplc="5AD0617E">
      <w:start w:val="1"/>
      <w:numFmt w:val="decimal"/>
      <w:lvlText w:val="1.%1."/>
      <w:lvlJc w:val="left"/>
      <w:pPr>
        <w:ind w:left="927" w:hanging="360"/>
      </w:pPr>
      <w:rPr>
        <w:rFonts w:hint="default"/>
      </w:rPr>
    </w:lvl>
    <w:lvl w:ilvl="1" w:tplc="874E46D2" w:tentative="1">
      <w:start w:val="1"/>
      <w:numFmt w:val="lowerLetter"/>
      <w:lvlText w:val="%2."/>
      <w:lvlJc w:val="left"/>
      <w:pPr>
        <w:ind w:left="1440" w:hanging="360"/>
      </w:pPr>
    </w:lvl>
    <w:lvl w:ilvl="2" w:tplc="6A6E9076" w:tentative="1">
      <w:start w:val="1"/>
      <w:numFmt w:val="lowerRoman"/>
      <w:lvlText w:val="%3."/>
      <w:lvlJc w:val="right"/>
      <w:pPr>
        <w:ind w:left="2160" w:hanging="180"/>
      </w:pPr>
    </w:lvl>
    <w:lvl w:ilvl="3" w:tplc="7D3CF464" w:tentative="1">
      <w:start w:val="1"/>
      <w:numFmt w:val="decimal"/>
      <w:lvlText w:val="%4."/>
      <w:lvlJc w:val="left"/>
      <w:pPr>
        <w:ind w:left="2880" w:hanging="360"/>
      </w:pPr>
    </w:lvl>
    <w:lvl w:ilvl="4" w:tplc="3B26B116" w:tentative="1">
      <w:start w:val="1"/>
      <w:numFmt w:val="lowerLetter"/>
      <w:lvlText w:val="%5."/>
      <w:lvlJc w:val="left"/>
      <w:pPr>
        <w:ind w:left="3600" w:hanging="360"/>
      </w:pPr>
    </w:lvl>
    <w:lvl w:ilvl="5" w:tplc="16400C6C" w:tentative="1">
      <w:start w:val="1"/>
      <w:numFmt w:val="lowerRoman"/>
      <w:lvlText w:val="%6."/>
      <w:lvlJc w:val="right"/>
      <w:pPr>
        <w:ind w:left="4320" w:hanging="180"/>
      </w:pPr>
    </w:lvl>
    <w:lvl w:ilvl="6" w:tplc="E0AE36AC" w:tentative="1">
      <w:start w:val="1"/>
      <w:numFmt w:val="decimal"/>
      <w:lvlText w:val="%7."/>
      <w:lvlJc w:val="left"/>
      <w:pPr>
        <w:ind w:left="5040" w:hanging="360"/>
      </w:pPr>
    </w:lvl>
    <w:lvl w:ilvl="7" w:tplc="F0184DDC" w:tentative="1">
      <w:start w:val="1"/>
      <w:numFmt w:val="lowerLetter"/>
      <w:lvlText w:val="%8."/>
      <w:lvlJc w:val="left"/>
      <w:pPr>
        <w:ind w:left="5760" w:hanging="360"/>
      </w:pPr>
    </w:lvl>
    <w:lvl w:ilvl="8" w:tplc="65A028FE" w:tentative="1">
      <w:start w:val="1"/>
      <w:numFmt w:val="lowerRoman"/>
      <w:lvlText w:val="%9."/>
      <w:lvlJc w:val="right"/>
      <w:pPr>
        <w:ind w:left="6480" w:hanging="180"/>
      </w:pPr>
    </w:lvl>
  </w:abstractNum>
  <w:abstractNum w:abstractNumId="10" w15:restartNumberingAfterBreak="0">
    <w:nsid w:val="567B7741"/>
    <w:multiLevelType w:val="hybridMultilevel"/>
    <w:tmpl w:val="B456D9FE"/>
    <w:lvl w:ilvl="0" w:tplc="B992A202">
      <w:start w:val="2"/>
      <w:numFmt w:val="bullet"/>
      <w:lvlText w:val="-"/>
      <w:lvlJc w:val="left"/>
      <w:pPr>
        <w:ind w:left="1287" w:hanging="360"/>
      </w:pPr>
      <w:rPr>
        <w:rFonts w:ascii="Arial" w:eastAsiaTheme="minorHAnsi" w:hAnsi="Arial" w:cs="Arial" w:hint="default"/>
        <w:b w:val="0"/>
        <w:bCs w:val="0"/>
      </w:rPr>
    </w:lvl>
    <w:lvl w:ilvl="1" w:tplc="A426CFD2" w:tentative="1">
      <w:start w:val="1"/>
      <w:numFmt w:val="bullet"/>
      <w:lvlText w:val="o"/>
      <w:lvlJc w:val="left"/>
      <w:pPr>
        <w:ind w:left="2007" w:hanging="360"/>
      </w:pPr>
      <w:rPr>
        <w:rFonts w:ascii="Courier New" w:hAnsi="Courier New" w:cs="Courier New" w:hint="default"/>
      </w:rPr>
    </w:lvl>
    <w:lvl w:ilvl="2" w:tplc="406E3024" w:tentative="1">
      <w:start w:val="1"/>
      <w:numFmt w:val="bullet"/>
      <w:lvlText w:val=""/>
      <w:lvlJc w:val="left"/>
      <w:pPr>
        <w:ind w:left="2727" w:hanging="360"/>
      </w:pPr>
      <w:rPr>
        <w:rFonts w:ascii="Wingdings" w:hAnsi="Wingdings" w:hint="default"/>
      </w:rPr>
    </w:lvl>
    <w:lvl w:ilvl="3" w:tplc="26ACDCA8" w:tentative="1">
      <w:start w:val="1"/>
      <w:numFmt w:val="bullet"/>
      <w:lvlText w:val=""/>
      <w:lvlJc w:val="left"/>
      <w:pPr>
        <w:ind w:left="3447" w:hanging="360"/>
      </w:pPr>
      <w:rPr>
        <w:rFonts w:ascii="Symbol" w:hAnsi="Symbol" w:hint="default"/>
      </w:rPr>
    </w:lvl>
    <w:lvl w:ilvl="4" w:tplc="9FF8883E" w:tentative="1">
      <w:start w:val="1"/>
      <w:numFmt w:val="bullet"/>
      <w:lvlText w:val="o"/>
      <w:lvlJc w:val="left"/>
      <w:pPr>
        <w:ind w:left="4167" w:hanging="360"/>
      </w:pPr>
      <w:rPr>
        <w:rFonts w:ascii="Courier New" w:hAnsi="Courier New" w:cs="Courier New" w:hint="default"/>
      </w:rPr>
    </w:lvl>
    <w:lvl w:ilvl="5" w:tplc="29284A8E" w:tentative="1">
      <w:start w:val="1"/>
      <w:numFmt w:val="bullet"/>
      <w:lvlText w:val=""/>
      <w:lvlJc w:val="left"/>
      <w:pPr>
        <w:ind w:left="4887" w:hanging="360"/>
      </w:pPr>
      <w:rPr>
        <w:rFonts w:ascii="Wingdings" w:hAnsi="Wingdings" w:hint="default"/>
      </w:rPr>
    </w:lvl>
    <w:lvl w:ilvl="6" w:tplc="A5F40C16" w:tentative="1">
      <w:start w:val="1"/>
      <w:numFmt w:val="bullet"/>
      <w:lvlText w:val=""/>
      <w:lvlJc w:val="left"/>
      <w:pPr>
        <w:ind w:left="5607" w:hanging="360"/>
      </w:pPr>
      <w:rPr>
        <w:rFonts w:ascii="Symbol" w:hAnsi="Symbol" w:hint="default"/>
      </w:rPr>
    </w:lvl>
    <w:lvl w:ilvl="7" w:tplc="29EE16FE" w:tentative="1">
      <w:start w:val="1"/>
      <w:numFmt w:val="bullet"/>
      <w:lvlText w:val="o"/>
      <w:lvlJc w:val="left"/>
      <w:pPr>
        <w:ind w:left="6327" w:hanging="360"/>
      </w:pPr>
      <w:rPr>
        <w:rFonts w:ascii="Courier New" w:hAnsi="Courier New" w:cs="Courier New" w:hint="default"/>
      </w:rPr>
    </w:lvl>
    <w:lvl w:ilvl="8" w:tplc="51605450"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6"/>
  </w:num>
  <w:num w:numId="6">
    <w:abstractNumId w:val="9"/>
  </w:num>
  <w:num w:numId="7">
    <w:abstractNumId w:val="10"/>
  </w:num>
  <w:num w:numId="8">
    <w:abstractNumId w:val="3"/>
  </w:num>
  <w:num w:numId="9">
    <w:abstractNumId w:val="7"/>
  </w:num>
  <w:num w:numId="10">
    <w:abstractNumId w:val="2"/>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EA1"/>
    <w:rsid w:val="000010CB"/>
    <w:rsid w:val="00001157"/>
    <w:rsid w:val="000012A8"/>
    <w:rsid w:val="00001709"/>
    <w:rsid w:val="000028CA"/>
    <w:rsid w:val="00002BAE"/>
    <w:rsid w:val="00002C11"/>
    <w:rsid w:val="000030D1"/>
    <w:rsid w:val="000038D6"/>
    <w:rsid w:val="0000397C"/>
    <w:rsid w:val="00003C1B"/>
    <w:rsid w:val="00004BEA"/>
    <w:rsid w:val="00005949"/>
    <w:rsid w:val="00005FF4"/>
    <w:rsid w:val="000060E6"/>
    <w:rsid w:val="00006A78"/>
    <w:rsid w:val="00006F04"/>
    <w:rsid w:val="000075AF"/>
    <w:rsid w:val="0000793D"/>
    <w:rsid w:val="00007E71"/>
    <w:rsid w:val="0001051E"/>
    <w:rsid w:val="00010E65"/>
    <w:rsid w:val="00011131"/>
    <w:rsid w:val="000116F1"/>
    <w:rsid w:val="00011878"/>
    <w:rsid w:val="00011B69"/>
    <w:rsid w:val="00011DFA"/>
    <w:rsid w:val="000122E2"/>
    <w:rsid w:val="000129FC"/>
    <w:rsid w:val="00012B59"/>
    <w:rsid w:val="00012DDF"/>
    <w:rsid w:val="00013324"/>
    <w:rsid w:val="000135F9"/>
    <w:rsid w:val="00013948"/>
    <w:rsid w:val="00014087"/>
    <w:rsid w:val="000142BC"/>
    <w:rsid w:val="000144BB"/>
    <w:rsid w:val="000144EA"/>
    <w:rsid w:val="0001515C"/>
    <w:rsid w:val="00015307"/>
    <w:rsid w:val="0001582C"/>
    <w:rsid w:val="00015D8A"/>
    <w:rsid w:val="00016221"/>
    <w:rsid w:val="00017032"/>
    <w:rsid w:val="00017356"/>
    <w:rsid w:val="00020698"/>
    <w:rsid w:val="00020B6E"/>
    <w:rsid w:val="00020F24"/>
    <w:rsid w:val="000216F7"/>
    <w:rsid w:val="00022620"/>
    <w:rsid w:val="00022B0D"/>
    <w:rsid w:val="00023B3F"/>
    <w:rsid w:val="00024657"/>
    <w:rsid w:val="00024A45"/>
    <w:rsid w:val="00024B5C"/>
    <w:rsid w:val="00024BD7"/>
    <w:rsid w:val="00024C8F"/>
    <w:rsid w:val="00024D4C"/>
    <w:rsid w:val="00024E6C"/>
    <w:rsid w:val="00024FBD"/>
    <w:rsid w:val="000254EF"/>
    <w:rsid w:val="00026418"/>
    <w:rsid w:val="000265B2"/>
    <w:rsid w:val="000265C7"/>
    <w:rsid w:val="000267D3"/>
    <w:rsid w:val="00026A30"/>
    <w:rsid w:val="00026BE0"/>
    <w:rsid w:val="00026C8C"/>
    <w:rsid w:val="00026E7E"/>
    <w:rsid w:val="00026F4B"/>
    <w:rsid w:val="0002704B"/>
    <w:rsid w:val="000270B8"/>
    <w:rsid w:val="000274F3"/>
    <w:rsid w:val="00027769"/>
    <w:rsid w:val="000303D5"/>
    <w:rsid w:val="00030A5A"/>
    <w:rsid w:val="00031E07"/>
    <w:rsid w:val="00031FBC"/>
    <w:rsid w:val="00032A00"/>
    <w:rsid w:val="00032E1F"/>
    <w:rsid w:val="000332F9"/>
    <w:rsid w:val="0003338D"/>
    <w:rsid w:val="0003341F"/>
    <w:rsid w:val="00033465"/>
    <w:rsid w:val="00033718"/>
    <w:rsid w:val="00033D1F"/>
    <w:rsid w:val="000347C9"/>
    <w:rsid w:val="0003537B"/>
    <w:rsid w:val="000353DB"/>
    <w:rsid w:val="000355AA"/>
    <w:rsid w:val="00035D14"/>
    <w:rsid w:val="00036951"/>
    <w:rsid w:val="00036B97"/>
    <w:rsid w:val="00036FF1"/>
    <w:rsid w:val="0003740E"/>
    <w:rsid w:val="000379A9"/>
    <w:rsid w:val="00037FEB"/>
    <w:rsid w:val="00040276"/>
    <w:rsid w:val="00040774"/>
    <w:rsid w:val="0004092B"/>
    <w:rsid w:val="00040C8F"/>
    <w:rsid w:val="00040D6F"/>
    <w:rsid w:val="000419C9"/>
    <w:rsid w:val="00041BD9"/>
    <w:rsid w:val="00041DE3"/>
    <w:rsid w:val="0004278A"/>
    <w:rsid w:val="00042A6A"/>
    <w:rsid w:val="00042A92"/>
    <w:rsid w:val="00043024"/>
    <w:rsid w:val="00043172"/>
    <w:rsid w:val="00043272"/>
    <w:rsid w:val="00043845"/>
    <w:rsid w:val="00043A46"/>
    <w:rsid w:val="00043B49"/>
    <w:rsid w:val="000454BD"/>
    <w:rsid w:val="00045B4A"/>
    <w:rsid w:val="0004714E"/>
    <w:rsid w:val="00047915"/>
    <w:rsid w:val="00047D08"/>
    <w:rsid w:val="00047DE3"/>
    <w:rsid w:val="00050059"/>
    <w:rsid w:val="000508BE"/>
    <w:rsid w:val="000509CF"/>
    <w:rsid w:val="00050A24"/>
    <w:rsid w:val="00050E23"/>
    <w:rsid w:val="00052093"/>
    <w:rsid w:val="00052934"/>
    <w:rsid w:val="00052A8A"/>
    <w:rsid w:val="00052BC6"/>
    <w:rsid w:val="00055B29"/>
    <w:rsid w:val="0005648C"/>
    <w:rsid w:val="00056840"/>
    <w:rsid w:val="00057157"/>
    <w:rsid w:val="00057A03"/>
    <w:rsid w:val="000601A9"/>
    <w:rsid w:val="0006051E"/>
    <w:rsid w:val="0006148C"/>
    <w:rsid w:val="00061CF2"/>
    <w:rsid w:val="000632EB"/>
    <w:rsid w:val="0006352A"/>
    <w:rsid w:val="000635F8"/>
    <w:rsid w:val="000639DD"/>
    <w:rsid w:val="00063BBE"/>
    <w:rsid w:val="00063BFE"/>
    <w:rsid w:val="00063C86"/>
    <w:rsid w:val="0006462D"/>
    <w:rsid w:val="00065326"/>
    <w:rsid w:val="000654BF"/>
    <w:rsid w:val="0006555F"/>
    <w:rsid w:val="0006573F"/>
    <w:rsid w:val="000658BC"/>
    <w:rsid w:val="00065E74"/>
    <w:rsid w:val="00065FBF"/>
    <w:rsid w:val="000661D3"/>
    <w:rsid w:val="00066398"/>
    <w:rsid w:val="000667B8"/>
    <w:rsid w:val="000669AC"/>
    <w:rsid w:val="00066E21"/>
    <w:rsid w:val="00067414"/>
    <w:rsid w:val="00067BF8"/>
    <w:rsid w:val="00070488"/>
    <w:rsid w:val="00070561"/>
    <w:rsid w:val="00071051"/>
    <w:rsid w:val="00071B8A"/>
    <w:rsid w:val="000722E9"/>
    <w:rsid w:val="000722FD"/>
    <w:rsid w:val="00072477"/>
    <w:rsid w:val="00072D83"/>
    <w:rsid w:val="00072DCF"/>
    <w:rsid w:val="00072EEA"/>
    <w:rsid w:val="0007336F"/>
    <w:rsid w:val="000734DB"/>
    <w:rsid w:val="000738D8"/>
    <w:rsid w:val="00073B59"/>
    <w:rsid w:val="00074767"/>
    <w:rsid w:val="00074E7F"/>
    <w:rsid w:val="00074EC4"/>
    <w:rsid w:val="00075A64"/>
    <w:rsid w:val="00075C40"/>
    <w:rsid w:val="00076218"/>
    <w:rsid w:val="0007732D"/>
    <w:rsid w:val="00077BD6"/>
    <w:rsid w:val="000803B7"/>
    <w:rsid w:val="00080690"/>
    <w:rsid w:val="000806D4"/>
    <w:rsid w:val="0008076A"/>
    <w:rsid w:val="00080C25"/>
    <w:rsid w:val="000819D5"/>
    <w:rsid w:val="00081D16"/>
    <w:rsid w:val="000822A3"/>
    <w:rsid w:val="00082317"/>
    <w:rsid w:val="000828ED"/>
    <w:rsid w:val="00082E68"/>
    <w:rsid w:val="00082F0F"/>
    <w:rsid w:val="00083563"/>
    <w:rsid w:val="00083E3F"/>
    <w:rsid w:val="00084879"/>
    <w:rsid w:val="000848E8"/>
    <w:rsid w:val="00085856"/>
    <w:rsid w:val="000859DA"/>
    <w:rsid w:val="00085B56"/>
    <w:rsid w:val="000864C8"/>
    <w:rsid w:val="000867F7"/>
    <w:rsid w:val="00086A02"/>
    <w:rsid w:val="0009054E"/>
    <w:rsid w:val="0009057C"/>
    <w:rsid w:val="00090EC1"/>
    <w:rsid w:val="00091AE9"/>
    <w:rsid w:val="00091AED"/>
    <w:rsid w:val="00091DC5"/>
    <w:rsid w:val="000922D5"/>
    <w:rsid w:val="00093281"/>
    <w:rsid w:val="00093330"/>
    <w:rsid w:val="0009345B"/>
    <w:rsid w:val="00094381"/>
    <w:rsid w:val="00094CA0"/>
    <w:rsid w:val="0009588A"/>
    <w:rsid w:val="00095BCC"/>
    <w:rsid w:val="00096344"/>
    <w:rsid w:val="0009656C"/>
    <w:rsid w:val="00096895"/>
    <w:rsid w:val="00096C6E"/>
    <w:rsid w:val="000974C2"/>
    <w:rsid w:val="00097F7D"/>
    <w:rsid w:val="000A04CD"/>
    <w:rsid w:val="000A052E"/>
    <w:rsid w:val="000A1134"/>
    <w:rsid w:val="000A1C3C"/>
    <w:rsid w:val="000A2729"/>
    <w:rsid w:val="000A28CB"/>
    <w:rsid w:val="000A28FC"/>
    <w:rsid w:val="000A2CE4"/>
    <w:rsid w:val="000A2D71"/>
    <w:rsid w:val="000A2F31"/>
    <w:rsid w:val="000A4DAF"/>
    <w:rsid w:val="000A58BB"/>
    <w:rsid w:val="000A5AA1"/>
    <w:rsid w:val="000A5F2F"/>
    <w:rsid w:val="000A6093"/>
    <w:rsid w:val="000A61CF"/>
    <w:rsid w:val="000A708A"/>
    <w:rsid w:val="000A77E8"/>
    <w:rsid w:val="000B0746"/>
    <w:rsid w:val="000B0E3D"/>
    <w:rsid w:val="000B143A"/>
    <w:rsid w:val="000B1513"/>
    <w:rsid w:val="000B1806"/>
    <w:rsid w:val="000B2099"/>
    <w:rsid w:val="000B20F1"/>
    <w:rsid w:val="000B22B0"/>
    <w:rsid w:val="000B23CC"/>
    <w:rsid w:val="000B269C"/>
    <w:rsid w:val="000B28FF"/>
    <w:rsid w:val="000B2DAA"/>
    <w:rsid w:val="000B2EED"/>
    <w:rsid w:val="000B3162"/>
    <w:rsid w:val="000B329B"/>
    <w:rsid w:val="000B3498"/>
    <w:rsid w:val="000B3630"/>
    <w:rsid w:val="000B3985"/>
    <w:rsid w:val="000B408B"/>
    <w:rsid w:val="000B4FB5"/>
    <w:rsid w:val="000B5916"/>
    <w:rsid w:val="000B5AB4"/>
    <w:rsid w:val="000B5AC9"/>
    <w:rsid w:val="000B6320"/>
    <w:rsid w:val="000B65C9"/>
    <w:rsid w:val="000B66B7"/>
    <w:rsid w:val="000B67D6"/>
    <w:rsid w:val="000B71D0"/>
    <w:rsid w:val="000C0CF6"/>
    <w:rsid w:val="000C14E7"/>
    <w:rsid w:val="000C1688"/>
    <w:rsid w:val="000C1935"/>
    <w:rsid w:val="000C2B4F"/>
    <w:rsid w:val="000C2C53"/>
    <w:rsid w:val="000C3408"/>
    <w:rsid w:val="000C3DA8"/>
    <w:rsid w:val="000C45C8"/>
    <w:rsid w:val="000C576D"/>
    <w:rsid w:val="000C72C4"/>
    <w:rsid w:val="000C77F6"/>
    <w:rsid w:val="000C7923"/>
    <w:rsid w:val="000C7F0B"/>
    <w:rsid w:val="000D0F96"/>
    <w:rsid w:val="000D1942"/>
    <w:rsid w:val="000D1A50"/>
    <w:rsid w:val="000D26B2"/>
    <w:rsid w:val="000D285A"/>
    <w:rsid w:val="000D2E89"/>
    <w:rsid w:val="000D368D"/>
    <w:rsid w:val="000D4073"/>
    <w:rsid w:val="000D41C2"/>
    <w:rsid w:val="000D4715"/>
    <w:rsid w:val="000D4E48"/>
    <w:rsid w:val="000D580B"/>
    <w:rsid w:val="000D5963"/>
    <w:rsid w:val="000D60FC"/>
    <w:rsid w:val="000D65A2"/>
    <w:rsid w:val="000D669D"/>
    <w:rsid w:val="000D698C"/>
    <w:rsid w:val="000D7698"/>
    <w:rsid w:val="000D7B76"/>
    <w:rsid w:val="000E0144"/>
    <w:rsid w:val="000E0EB0"/>
    <w:rsid w:val="000E0FCF"/>
    <w:rsid w:val="000E0FE6"/>
    <w:rsid w:val="000E1BD2"/>
    <w:rsid w:val="000E1BE8"/>
    <w:rsid w:val="000E1F8C"/>
    <w:rsid w:val="000E1FE3"/>
    <w:rsid w:val="000E3B6B"/>
    <w:rsid w:val="000E3BC2"/>
    <w:rsid w:val="000E3EA8"/>
    <w:rsid w:val="000E4282"/>
    <w:rsid w:val="000E4670"/>
    <w:rsid w:val="000E4914"/>
    <w:rsid w:val="000E4DB1"/>
    <w:rsid w:val="000E515F"/>
    <w:rsid w:val="000E6AA0"/>
    <w:rsid w:val="000E6CA4"/>
    <w:rsid w:val="000E760B"/>
    <w:rsid w:val="000E7B9F"/>
    <w:rsid w:val="000F0661"/>
    <w:rsid w:val="000F18D9"/>
    <w:rsid w:val="000F19EC"/>
    <w:rsid w:val="000F1F41"/>
    <w:rsid w:val="000F232D"/>
    <w:rsid w:val="000F29A5"/>
    <w:rsid w:val="000F2EDE"/>
    <w:rsid w:val="000F32F1"/>
    <w:rsid w:val="000F389B"/>
    <w:rsid w:val="000F3D27"/>
    <w:rsid w:val="000F4079"/>
    <w:rsid w:val="000F58FA"/>
    <w:rsid w:val="000F5C97"/>
    <w:rsid w:val="000F5EB6"/>
    <w:rsid w:val="000F5ECC"/>
    <w:rsid w:val="000F63B9"/>
    <w:rsid w:val="000F6A4A"/>
    <w:rsid w:val="000F720B"/>
    <w:rsid w:val="000F72A6"/>
    <w:rsid w:val="000F7728"/>
    <w:rsid w:val="000F7954"/>
    <w:rsid w:val="000F7D8D"/>
    <w:rsid w:val="00100438"/>
    <w:rsid w:val="001004C0"/>
    <w:rsid w:val="00100875"/>
    <w:rsid w:val="00101309"/>
    <w:rsid w:val="001014FF"/>
    <w:rsid w:val="00101E63"/>
    <w:rsid w:val="001020F6"/>
    <w:rsid w:val="00103536"/>
    <w:rsid w:val="00103F12"/>
    <w:rsid w:val="00104099"/>
    <w:rsid w:val="00105D08"/>
    <w:rsid w:val="00106532"/>
    <w:rsid w:val="00107588"/>
    <w:rsid w:val="00107800"/>
    <w:rsid w:val="001079E6"/>
    <w:rsid w:val="00107A26"/>
    <w:rsid w:val="00107D62"/>
    <w:rsid w:val="00107EAE"/>
    <w:rsid w:val="00107F58"/>
    <w:rsid w:val="001104E6"/>
    <w:rsid w:val="00110A19"/>
    <w:rsid w:val="00110A45"/>
    <w:rsid w:val="00110AD9"/>
    <w:rsid w:val="00110B5A"/>
    <w:rsid w:val="00110FB5"/>
    <w:rsid w:val="00111546"/>
    <w:rsid w:val="0011184D"/>
    <w:rsid w:val="00111E66"/>
    <w:rsid w:val="001130B4"/>
    <w:rsid w:val="001135A4"/>
    <w:rsid w:val="001138A6"/>
    <w:rsid w:val="00113F26"/>
    <w:rsid w:val="00114810"/>
    <w:rsid w:val="00114979"/>
    <w:rsid w:val="00114BF3"/>
    <w:rsid w:val="00114E6D"/>
    <w:rsid w:val="00115868"/>
    <w:rsid w:val="00115A33"/>
    <w:rsid w:val="00115CCC"/>
    <w:rsid w:val="00115F37"/>
    <w:rsid w:val="001164C3"/>
    <w:rsid w:val="001164F9"/>
    <w:rsid w:val="00116F25"/>
    <w:rsid w:val="00117162"/>
    <w:rsid w:val="00117298"/>
    <w:rsid w:val="00117957"/>
    <w:rsid w:val="00117DD7"/>
    <w:rsid w:val="00120637"/>
    <w:rsid w:val="00120BEA"/>
    <w:rsid w:val="00121D85"/>
    <w:rsid w:val="00121D8D"/>
    <w:rsid w:val="001221BA"/>
    <w:rsid w:val="00122F2C"/>
    <w:rsid w:val="00123184"/>
    <w:rsid w:val="00123306"/>
    <w:rsid w:val="001233C0"/>
    <w:rsid w:val="00123727"/>
    <w:rsid w:val="00124065"/>
    <w:rsid w:val="00124FFF"/>
    <w:rsid w:val="00125057"/>
    <w:rsid w:val="00125223"/>
    <w:rsid w:val="00125522"/>
    <w:rsid w:val="001262D8"/>
    <w:rsid w:val="00126834"/>
    <w:rsid w:val="00130DEB"/>
    <w:rsid w:val="0013198D"/>
    <w:rsid w:val="00131A2A"/>
    <w:rsid w:val="00132300"/>
    <w:rsid w:val="0013260D"/>
    <w:rsid w:val="00132D68"/>
    <w:rsid w:val="00133173"/>
    <w:rsid w:val="00133589"/>
    <w:rsid w:val="001340E7"/>
    <w:rsid w:val="001358C6"/>
    <w:rsid w:val="00135A89"/>
    <w:rsid w:val="00136278"/>
    <w:rsid w:val="0013682F"/>
    <w:rsid w:val="00136BD8"/>
    <w:rsid w:val="00136C14"/>
    <w:rsid w:val="00137EDE"/>
    <w:rsid w:val="00140235"/>
    <w:rsid w:val="00140458"/>
    <w:rsid w:val="00140D17"/>
    <w:rsid w:val="00140E09"/>
    <w:rsid w:val="00140E51"/>
    <w:rsid w:val="0014142C"/>
    <w:rsid w:val="00141741"/>
    <w:rsid w:val="001421C5"/>
    <w:rsid w:val="00142453"/>
    <w:rsid w:val="001425F0"/>
    <w:rsid w:val="0014283E"/>
    <w:rsid w:val="0014320B"/>
    <w:rsid w:val="00143F15"/>
    <w:rsid w:val="0014425D"/>
    <w:rsid w:val="00145A6E"/>
    <w:rsid w:val="0014687A"/>
    <w:rsid w:val="00146982"/>
    <w:rsid w:val="00146FC2"/>
    <w:rsid w:val="00147302"/>
    <w:rsid w:val="00147684"/>
    <w:rsid w:val="0014777E"/>
    <w:rsid w:val="00150760"/>
    <w:rsid w:val="001514D5"/>
    <w:rsid w:val="0015167B"/>
    <w:rsid w:val="00151CE3"/>
    <w:rsid w:val="00151E39"/>
    <w:rsid w:val="001529C7"/>
    <w:rsid w:val="00153F0E"/>
    <w:rsid w:val="00154259"/>
    <w:rsid w:val="0015514D"/>
    <w:rsid w:val="00155FB8"/>
    <w:rsid w:val="0015649D"/>
    <w:rsid w:val="001570F5"/>
    <w:rsid w:val="00157E65"/>
    <w:rsid w:val="00157FB6"/>
    <w:rsid w:val="001603AE"/>
    <w:rsid w:val="001603B6"/>
    <w:rsid w:val="00160A67"/>
    <w:rsid w:val="00160EF6"/>
    <w:rsid w:val="0016174D"/>
    <w:rsid w:val="00161A08"/>
    <w:rsid w:val="00161DB7"/>
    <w:rsid w:val="001624D3"/>
    <w:rsid w:val="00162731"/>
    <w:rsid w:val="00162C8C"/>
    <w:rsid w:val="00164737"/>
    <w:rsid w:val="0016587E"/>
    <w:rsid w:val="0016665C"/>
    <w:rsid w:val="00167A82"/>
    <w:rsid w:val="001702DA"/>
    <w:rsid w:val="00170599"/>
    <w:rsid w:val="00170961"/>
    <w:rsid w:val="00170C8C"/>
    <w:rsid w:val="00170F41"/>
    <w:rsid w:val="0017132C"/>
    <w:rsid w:val="001715EA"/>
    <w:rsid w:val="00171E8B"/>
    <w:rsid w:val="001725A9"/>
    <w:rsid w:val="001725D1"/>
    <w:rsid w:val="00172697"/>
    <w:rsid w:val="001730D2"/>
    <w:rsid w:val="001730F3"/>
    <w:rsid w:val="00173935"/>
    <w:rsid w:val="00173D06"/>
    <w:rsid w:val="00173EDD"/>
    <w:rsid w:val="00174288"/>
    <w:rsid w:val="0017430E"/>
    <w:rsid w:val="00175344"/>
    <w:rsid w:val="001755AB"/>
    <w:rsid w:val="00175694"/>
    <w:rsid w:val="001758D2"/>
    <w:rsid w:val="00175F1C"/>
    <w:rsid w:val="001761C2"/>
    <w:rsid w:val="00177AC2"/>
    <w:rsid w:val="00177D0F"/>
    <w:rsid w:val="00180AB9"/>
    <w:rsid w:val="00180C9D"/>
    <w:rsid w:val="00180F32"/>
    <w:rsid w:val="001814BF"/>
    <w:rsid w:val="001817EF"/>
    <w:rsid w:val="00181C2E"/>
    <w:rsid w:val="00181D80"/>
    <w:rsid w:val="001822F8"/>
    <w:rsid w:val="001824F5"/>
    <w:rsid w:val="00184392"/>
    <w:rsid w:val="00184740"/>
    <w:rsid w:val="001849AF"/>
    <w:rsid w:val="00184DF6"/>
    <w:rsid w:val="001850C2"/>
    <w:rsid w:val="001865F3"/>
    <w:rsid w:val="00186BBA"/>
    <w:rsid w:val="001872C4"/>
    <w:rsid w:val="00190029"/>
    <w:rsid w:val="0019007E"/>
    <w:rsid w:val="00191201"/>
    <w:rsid w:val="00192552"/>
    <w:rsid w:val="00192609"/>
    <w:rsid w:val="00193226"/>
    <w:rsid w:val="001935C7"/>
    <w:rsid w:val="00193842"/>
    <w:rsid w:val="00194263"/>
    <w:rsid w:val="001944A8"/>
    <w:rsid w:val="00194542"/>
    <w:rsid w:val="00195128"/>
    <w:rsid w:val="001956E3"/>
    <w:rsid w:val="00195B9A"/>
    <w:rsid w:val="00195C70"/>
    <w:rsid w:val="00195D3D"/>
    <w:rsid w:val="00195DF1"/>
    <w:rsid w:val="00195F5A"/>
    <w:rsid w:val="00196216"/>
    <w:rsid w:val="00196685"/>
    <w:rsid w:val="0019683B"/>
    <w:rsid w:val="001969B6"/>
    <w:rsid w:val="00196A31"/>
    <w:rsid w:val="001A1A1F"/>
    <w:rsid w:val="001A1BA8"/>
    <w:rsid w:val="001A1DBA"/>
    <w:rsid w:val="001A263A"/>
    <w:rsid w:val="001A3088"/>
    <w:rsid w:val="001A3306"/>
    <w:rsid w:val="001A3D57"/>
    <w:rsid w:val="001A4790"/>
    <w:rsid w:val="001A47B3"/>
    <w:rsid w:val="001A48A8"/>
    <w:rsid w:val="001A572C"/>
    <w:rsid w:val="001A5D0F"/>
    <w:rsid w:val="001A5E85"/>
    <w:rsid w:val="001A6963"/>
    <w:rsid w:val="001A725B"/>
    <w:rsid w:val="001A7B20"/>
    <w:rsid w:val="001B04D0"/>
    <w:rsid w:val="001B0B90"/>
    <w:rsid w:val="001B0F0E"/>
    <w:rsid w:val="001B1133"/>
    <w:rsid w:val="001B1607"/>
    <w:rsid w:val="001B21E5"/>
    <w:rsid w:val="001B2AE4"/>
    <w:rsid w:val="001B36DE"/>
    <w:rsid w:val="001B3AA3"/>
    <w:rsid w:val="001B3D95"/>
    <w:rsid w:val="001B490A"/>
    <w:rsid w:val="001B4AD7"/>
    <w:rsid w:val="001B5262"/>
    <w:rsid w:val="001B5D1E"/>
    <w:rsid w:val="001B6051"/>
    <w:rsid w:val="001B688E"/>
    <w:rsid w:val="001B6CAE"/>
    <w:rsid w:val="001B6D57"/>
    <w:rsid w:val="001B77EA"/>
    <w:rsid w:val="001B7E15"/>
    <w:rsid w:val="001C0308"/>
    <w:rsid w:val="001C1247"/>
    <w:rsid w:val="001C1EC2"/>
    <w:rsid w:val="001C21DF"/>
    <w:rsid w:val="001C3EB8"/>
    <w:rsid w:val="001C4DE0"/>
    <w:rsid w:val="001C5F6D"/>
    <w:rsid w:val="001C6F27"/>
    <w:rsid w:val="001C7CC1"/>
    <w:rsid w:val="001D001F"/>
    <w:rsid w:val="001D00E8"/>
    <w:rsid w:val="001D0368"/>
    <w:rsid w:val="001D09B5"/>
    <w:rsid w:val="001D1625"/>
    <w:rsid w:val="001D1B1C"/>
    <w:rsid w:val="001D1B1E"/>
    <w:rsid w:val="001D1B80"/>
    <w:rsid w:val="001D217E"/>
    <w:rsid w:val="001D22CB"/>
    <w:rsid w:val="001D30FC"/>
    <w:rsid w:val="001D3DDC"/>
    <w:rsid w:val="001D49A3"/>
    <w:rsid w:val="001D542E"/>
    <w:rsid w:val="001D61FE"/>
    <w:rsid w:val="001D632F"/>
    <w:rsid w:val="001E03BC"/>
    <w:rsid w:val="001E0F15"/>
    <w:rsid w:val="001E12CB"/>
    <w:rsid w:val="001E14A5"/>
    <w:rsid w:val="001E1604"/>
    <w:rsid w:val="001E1E5A"/>
    <w:rsid w:val="001E2B2A"/>
    <w:rsid w:val="001E2EC6"/>
    <w:rsid w:val="001E365E"/>
    <w:rsid w:val="001E3FD3"/>
    <w:rsid w:val="001E4774"/>
    <w:rsid w:val="001E4AA3"/>
    <w:rsid w:val="001E4CC4"/>
    <w:rsid w:val="001E4E09"/>
    <w:rsid w:val="001E4EE3"/>
    <w:rsid w:val="001E4EF9"/>
    <w:rsid w:val="001E52F5"/>
    <w:rsid w:val="001E5527"/>
    <w:rsid w:val="001E5A4A"/>
    <w:rsid w:val="001E5B63"/>
    <w:rsid w:val="001E6101"/>
    <w:rsid w:val="001E7132"/>
    <w:rsid w:val="001E76DE"/>
    <w:rsid w:val="001E777B"/>
    <w:rsid w:val="001E7D5A"/>
    <w:rsid w:val="001E7FD9"/>
    <w:rsid w:val="001F007B"/>
    <w:rsid w:val="001F0B26"/>
    <w:rsid w:val="001F13B1"/>
    <w:rsid w:val="001F1728"/>
    <w:rsid w:val="001F2DF7"/>
    <w:rsid w:val="001F389B"/>
    <w:rsid w:val="001F64A2"/>
    <w:rsid w:val="001F6595"/>
    <w:rsid w:val="001F6D13"/>
    <w:rsid w:val="001F6EBA"/>
    <w:rsid w:val="001F77A6"/>
    <w:rsid w:val="002000D5"/>
    <w:rsid w:val="002000F9"/>
    <w:rsid w:val="002007F8"/>
    <w:rsid w:val="00200967"/>
    <w:rsid w:val="002019FC"/>
    <w:rsid w:val="0020238C"/>
    <w:rsid w:val="0020312A"/>
    <w:rsid w:val="002032CB"/>
    <w:rsid w:val="0020342D"/>
    <w:rsid w:val="00203723"/>
    <w:rsid w:val="0020380A"/>
    <w:rsid w:val="0020424D"/>
    <w:rsid w:val="002044AB"/>
    <w:rsid w:val="00205470"/>
    <w:rsid w:val="00205EE4"/>
    <w:rsid w:val="0020638A"/>
    <w:rsid w:val="00206825"/>
    <w:rsid w:val="00206EB3"/>
    <w:rsid w:val="002106D0"/>
    <w:rsid w:val="002109ED"/>
    <w:rsid w:val="00211C3E"/>
    <w:rsid w:val="00212380"/>
    <w:rsid w:val="002127DB"/>
    <w:rsid w:val="00212E21"/>
    <w:rsid w:val="00213903"/>
    <w:rsid w:val="00213F96"/>
    <w:rsid w:val="00213FF2"/>
    <w:rsid w:val="002145DF"/>
    <w:rsid w:val="00214996"/>
    <w:rsid w:val="002163A6"/>
    <w:rsid w:val="002165CB"/>
    <w:rsid w:val="002172DD"/>
    <w:rsid w:val="00217675"/>
    <w:rsid w:val="002205E0"/>
    <w:rsid w:val="002206C0"/>
    <w:rsid w:val="00220927"/>
    <w:rsid w:val="00220CF8"/>
    <w:rsid w:val="0022110D"/>
    <w:rsid w:val="0022173A"/>
    <w:rsid w:val="0022217B"/>
    <w:rsid w:val="002222C0"/>
    <w:rsid w:val="00222665"/>
    <w:rsid w:val="002227E9"/>
    <w:rsid w:val="00222F4B"/>
    <w:rsid w:val="002233C2"/>
    <w:rsid w:val="00224095"/>
    <w:rsid w:val="0022416B"/>
    <w:rsid w:val="002244EB"/>
    <w:rsid w:val="00224AD2"/>
    <w:rsid w:val="00224BA0"/>
    <w:rsid w:val="00225A88"/>
    <w:rsid w:val="00225B26"/>
    <w:rsid w:val="00225B66"/>
    <w:rsid w:val="00225BF0"/>
    <w:rsid w:val="00225C2A"/>
    <w:rsid w:val="002267F7"/>
    <w:rsid w:val="00226CCC"/>
    <w:rsid w:val="00226E9C"/>
    <w:rsid w:val="00227231"/>
    <w:rsid w:val="00227F85"/>
    <w:rsid w:val="0023027E"/>
    <w:rsid w:val="00230FBB"/>
    <w:rsid w:val="002311AE"/>
    <w:rsid w:val="00231B35"/>
    <w:rsid w:val="00232B6D"/>
    <w:rsid w:val="00232EDB"/>
    <w:rsid w:val="00233019"/>
    <w:rsid w:val="002334B3"/>
    <w:rsid w:val="00233BE8"/>
    <w:rsid w:val="00233E99"/>
    <w:rsid w:val="00234D28"/>
    <w:rsid w:val="00234DAA"/>
    <w:rsid w:val="00234DE9"/>
    <w:rsid w:val="00234E52"/>
    <w:rsid w:val="00234E87"/>
    <w:rsid w:val="00234FB4"/>
    <w:rsid w:val="002351EB"/>
    <w:rsid w:val="00235B32"/>
    <w:rsid w:val="00235D3F"/>
    <w:rsid w:val="0023617D"/>
    <w:rsid w:val="00236247"/>
    <w:rsid w:val="0023689B"/>
    <w:rsid w:val="00236CE6"/>
    <w:rsid w:val="00236E6F"/>
    <w:rsid w:val="00236E81"/>
    <w:rsid w:val="00236F34"/>
    <w:rsid w:val="00237847"/>
    <w:rsid w:val="00237D06"/>
    <w:rsid w:val="00237ECD"/>
    <w:rsid w:val="00237FA6"/>
    <w:rsid w:val="002400E4"/>
    <w:rsid w:val="00240423"/>
    <w:rsid w:val="00240911"/>
    <w:rsid w:val="00240DDB"/>
    <w:rsid w:val="002416A9"/>
    <w:rsid w:val="00243A9C"/>
    <w:rsid w:val="00243B49"/>
    <w:rsid w:val="002441C3"/>
    <w:rsid w:val="00244868"/>
    <w:rsid w:val="00244CFB"/>
    <w:rsid w:val="00245632"/>
    <w:rsid w:val="00246958"/>
    <w:rsid w:val="0024704C"/>
    <w:rsid w:val="002471EE"/>
    <w:rsid w:val="00247479"/>
    <w:rsid w:val="0024774A"/>
    <w:rsid w:val="002477AF"/>
    <w:rsid w:val="00247D4C"/>
    <w:rsid w:val="00250634"/>
    <w:rsid w:val="00250D69"/>
    <w:rsid w:val="00251239"/>
    <w:rsid w:val="00251AA1"/>
    <w:rsid w:val="00252773"/>
    <w:rsid w:val="002527E3"/>
    <w:rsid w:val="002536EC"/>
    <w:rsid w:val="0025431E"/>
    <w:rsid w:val="00254324"/>
    <w:rsid w:val="002544BA"/>
    <w:rsid w:val="00255461"/>
    <w:rsid w:val="002556C5"/>
    <w:rsid w:val="0025664A"/>
    <w:rsid w:val="0025672A"/>
    <w:rsid w:val="00256FE4"/>
    <w:rsid w:val="00257A6F"/>
    <w:rsid w:val="00260293"/>
    <w:rsid w:val="0026053E"/>
    <w:rsid w:val="0026055A"/>
    <w:rsid w:val="00260AC3"/>
    <w:rsid w:val="00261801"/>
    <w:rsid w:val="0026247E"/>
    <w:rsid w:val="002628D8"/>
    <w:rsid w:val="00263459"/>
    <w:rsid w:val="0026350F"/>
    <w:rsid w:val="00263944"/>
    <w:rsid w:val="00263C1A"/>
    <w:rsid w:val="002652C2"/>
    <w:rsid w:val="00265FE9"/>
    <w:rsid w:val="002660C5"/>
    <w:rsid w:val="00266531"/>
    <w:rsid w:val="00266AC7"/>
    <w:rsid w:val="00266C03"/>
    <w:rsid w:val="00266E72"/>
    <w:rsid w:val="00267635"/>
    <w:rsid w:val="002708E7"/>
    <w:rsid w:val="00272B3F"/>
    <w:rsid w:val="00272BBF"/>
    <w:rsid w:val="00272D52"/>
    <w:rsid w:val="00272E40"/>
    <w:rsid w:val="00273AB3"/>
    <w:rsid w:val="00273AC3"/>
    <w:rsid w:val="0027412F"/>
    <w:rsid w:val="00274496"/>
    <w:rsid w:val="00274817"/>
    <w:rsid w:val="00274921"/>
    <w:rsid w:val="002751E7"/>
    <w:rsid w:val="00275435"/>
    <w:rsid w:val="00275708"/>
    <w:rsid w:val="00275713"/>
    <w:rsid w:val="0027632F"/>
    <w:rsid w:val="00276DFC"/>
    <w:rsid w:val="00277D7D"/>
    <w:rsid w:val="00280028"/>
    <w:rsid w:val="00280384"/>
    <w:rsid w:val="00280989"/>
    <w:rsid w:val="002818B0"/>
    <w:rsid w:val="002836CB"/>
    <w:rsid w:val="00284369"/>
    <w:rsid w:val="00284660"/>
    <w:rsid w:val="002848E6"/>
    <w:rsid w:val="00284956"/>
    <w:rsid w:val="00284AA3"/>
    <w:rsid w:val="00284BC1"/>
    <w:rsid w:val="00284F4A"/>
    <w:rsid w:val="00285100"/>
    <w:rsid w:val="0028561C"/>
    <w:rsid w:val="00285AFA"/>
    <w:rsid w:val="002865BE"/>
    <w:rsid w:val="0028664F"/>
    <w:rsid w:val="00286764"/>
    <w:rsid w:val="00287243"/>
    <w:rsid w:val="00287367"/>
    <w:rsid w:val="002874CC"/>
    <w:rsid w:val="00290461"/>
    <w:rsid w:val="0029047B"/>
    <w:rsid w:val="00290870"/>
    <w:rsid w:val="00290FBE"/>
    <w:rsid w:val="00291E91"/>
    <w:rsid w:val="00291F3A"/>
    <w:rsid w:val="00292AC8"/>
    <w:rsid w:val="00292DD6"/>
    <w:rsid w:val="00293356"/>
    <w:rsid w:val="00294BB2"/>
    <w:rsid w:val="00294E6B"/>
    <w:rsid w:val="00294FD6"/>
    <w:rsid w:val="0029697B"/>
    <w:rsid w:val="00296991"/>
    <w:rsid w:val="00296BDC"/>
    <w:rsid w:val="00296F13"/>
    <w:rsid w:val="00296F94"/>
    <w:rsid w:val="002970AA"/>
    <w:rsid w:val="00297650"/>
    <w:rsid w:val="0029778A"/>
    <w:rsid w:val="002978CE"/>
    <w:rsid w:val="002A0980"/>
    <w:rsid w:val="002A0E3D"/>
    <w:rsid w:val="002A17E0"/>
    <w:rsid w:val="002A1D4B"/>
    <w:rsid w:val="002A2460"/>
    <w:rsid w:val="002A256A"/>
    <w:rsid w:val="002A2FB9"/>
    <w:rsid w:val="002A311D"/>
    <w:rsid w:val="002A3168"/>
    <w:rsid w:val="002A3406"/>
    <w:rsid w:val="002A3616"/>
    <w:rsid w:val="002A410C"/>
    <w:rsid w:val="002A4CB6"/>
    <w:rsid w:val="002A54D2"/>
    <w:rsid w:val="002A5589"/>
    <w:rsid w:val="002A680A"/>
    <w:rsid w:val="002A6B01"/>
    <w:rsid w:val="002A6E59"/>
    <w:rsid w:val="002A70EA"/>
    <w:rsid w:val="002A78B7"/>
    <w:rsid w:val="002A78D1"/>
    <w:rsid w:val="002A7E56"/>
    <w:rsid w:val="002A7EF9"/>
    <w:rsid w:val="002B0B82"/>
    <w:rsid w:val="002B15AF"/>
    <w:rsid w:val="002B19D8"/>
    <w:rsid w:val="002B1C50"/>
    <w:rsid w:val="002B1EBB"/>
    <w:rsid w:val="002B1ED0"/>
    <w:rsid w:val="002B2368"/>
    <w:rsid w:val="002B2D4B"/>
    <w:rsid w:val="002B2F77"/>
    <w:rsid w:val="002B2F9D"/>
    <w:rsid w:val="002B3585"/>
    <w:rsid w:val="002B3B86"/>
    <w:rsid w:val="002B3C3D"/>
    <w:rsid w:val="002B3E3F"/>
    <w:rsid w:val="002B46B5"/>
    <w:rsid w:val="002B4B28"/>
    <w:rsid w:val="002B4D3F"/>
    <w:rsid w:val="002B59FE"/>
    <w:rsid w:val="002B5C1C"/>
    <w:rsid w:val="002B5EF7"/>
    <w:rsid w:val="002B6422"/>
    <w:rsid w:val="002B7130"/>
    <w:rsid w:val="002B7605"/>
    <w:rsid w:val="002B77CB"/>
    <w:rsid w:val="002B7906"/>
    <w:rsid w:val="002C03BC"/>
    <w:rsid w:val="002C092C"/>
    <w:rsid w:val="002C094B"/>
    <w:rsid w:val="002C0C99"/>
    <w:rsid w:val="002C0CBD"/>
    <w:rsid w:val="002C1097"/>
    <w:rsid w:val="002C219A"/>
    <w:rsid w:val="002C2B35"/>
    <w:rsid w:val="002C36C7"/>
    <w:rsid w:val="002C3E84"/>
    <w:rsid w:val="002C4629"/>
    <w:rsid w:val="002C582A"/>
    <w:rsid w:val="002C6B56"/>
    <w:rsid w:val="002D0C47"/>
    <w:rsid w:val="002D0E9D"/>
    <w:rsid w:val="002D1746"/>
    <w:rsid w:val="002D1779"/>
    <w:rsid w:val="002D1903"/>
    <w:rsid w:val="002D2000"/>
    <w:rsid w:val="002D204A"/>
    <w:rsid w:val="002D226E"/>
    <w:rsid w:val="002D28F3"/>
    <w:rsid w:val="002D2DC2"/>
    <w:rsid w:val="002D4233"/>
    <w:rsid w:val="002D60CC"/>
    <w:rsid w:val="002D6252"/>
    <w:rsid w:val="002D66D2"/>
    <w:rsid w:val="002D72A2"/>
    <w:rsid w:val="002D7C57"/>
    <w:rsid w:val="002E0949"/>
    <w:rsid w:val="002E137E"/>
    <w:rsid w:val="002E1382"/>
    <w:rsid w:val="002E1C56"/>
    <w:rsid w:val="002E1C67"/>
    <w:rsid w:val="002E2293"/>
    <w:rsid w:val="002E3223"/>
    <w:rsid w:val="002E3D19"/>
    <w:rsid w:val="002E4982"/>
    <w:rsid w:val="002E55EB"/>
    <w:rsid w:val="002E5679"/>
    <w:rsid w:val="002E6300"/>
    <w:rsid w:val="002E6B06"/>
    <w:rsid w:val="002E721E"/>
    <w:rsid w:val="002F04A6"/>
    <w:rsid w:val="002F080E"/>
    <w:rsid w:val="002F1541"/>
    <w:rsid w:val="002F1782"/>
    <w:rsid w:val="002F1C8B"/>
    <w:rsid w:val="002F226C"/>
    <w:rsid w:val="002F31DD"/>
    <w:rsid w:val="002F37EB"/>
    <w:rsid w:val="002F3CC9"/>
    <w:rsid w:val="002F400B"/>
    <w:rsid w:val="002F4095"/>
    <w:rsid w:val="002F43C6"/>
    <w:rsid w:val="002F4847"/>
    <w:rsid w:val="002F4951"/>
    <w:rsid w:val="002F49B7"/>
    <w:rsid w:val="002F4A4C"/>
    <w:rsid w:val="002F4D0E"/>
    <w:rsid w:val="002F4D73"/>
    <w:rsid w:val="002F4E08"/>
    <w:rsid w:val="002F5B56"/>
    <w:rsid w:val="002F64DF"/>
    <w:rsid w:val="002F68B5"/>
    <w:rsid w:val="002F69D7"/>
    <w:rsid w:val="002F6C25"/>
    <w:rsid w:val="002F77B7"/>
    <w:rsid w:val="002F79A9"/>
    <w:rsid w:val="002F79B2"/>
    <w:rsid w:val="003008A5"/>
    <w:rsid w:val="003015BB"/>
    <w:rsid w:val="00303254"/>
    <w:rsid w:val="00303349"/>
    <w:rsid w:val="003033D1"/>
    <w:rsid w:val="0030360B"/>
    <w:rsid w:val="0030458E"/>
    <w:rsid w:val="0030478A"/>
    <w:rsid w:val="00304B0B"/>
    <w:rsid w:val="00305A75"/>
    <w:rsid w:val="00305CC3"/>
    <w:rsid w:val="003061FC"/>
    <w:rsid w:val="003065E3"/>
    <w:rsid w:val="00306960"/>
    <w:rsid w:val="00307550"/>
    <w:rsid w:val="003077CC"/>
    <w:rsid w:val="0030792D"/>
    <w:rsid w:val="003079F9"/>
    <w:rsid w:val="00307E85"/>
    <w:rsid w:val="00307F5F"/>
    <w:rsid w:val="00310211"/>
    <w:rsid w:val="0031070A"/>
    <w:rsid w:val="0031117A"/>
    <w:rsid w:val="00311684"/>
    <w:rsid w:val="00312808"/>
    <w:rsid w:val="00313048"/>
    <w:rsid w:val="0031336D"/>
    <w:rsid w:val="00313386"/>
    <w:rsid w:val="0031359B"/>
    <w:rsid w:val="003135F1"/>
    <w:rsid w:val="00313610"/>
    <w:rsid w:val="003139DD"/>
    <w:rsid w:val="00313AE3"/>
    <w:rsid w:val="00314BEA"/>
    <w:rsid w:val="0031510C"/>
    <w:rsid w:val="00315189"/>
    <w:rsid w:val="00315AAB"/>
    <w:rsid w:val="00315C72"/>
    <w:rsid w:val="00316806"/>
    <w:rsid w:val="00316950"/>
    <w:rsid w:val="003175C6"/>
    <w:rsid w:val="00317B50"/>
    <w:rsid w:val="0032052F"/>
    <w:rsid w:val="00321424"/>
    <w:rsid w:val="00321672"/>
    <w:rsid w:val="003226D5"/>
    <w:rsid w:val="00323B1C"/>
    <w:rsid w:val="00323D6E"/>
    <w:rsid w:val="00323E39"/>
    <w:rsid w:val="00324036"/>
    <w:rsid w:val="00324C7F"/>
    <w:rsid w:val="0032540C"/>
    <w:rsid w:val="003263B8"/>
    <w:rsid w:val="003263EE"/>
    <w:rsid w:val="003270FC"/>
    <w:rsid w:val="00327D6B"/>
    <w:rsid w:val="003303ED"/>
    <w:rsid w:val="00331646"/>
    <w:rsid w:val="00331C1B"/>
    <w:rsid w:val="0033320F"/>
    <w:rsid w:val="00333619"/>
    <w:rsid w:val="00333B54"/>
    <w:rsid w:val="00333B73"/>
    <w:rsid w:val="003349A9"/>
    <w:rsid w:val="003362EE"/>
    <w:rsid w:val="0033648A"/>
    <w:rsid w:val="00336A41"/>
    <w:rsid w:val="00336E2A"/>
    <w:rsid w:val="0033731B"/>
    <w:rsid w:val="00337330"/>
    <w:rsid w:val="00337442"/>
    <w:rsid w:val="00337F43"/>
    <w:rsid w:val="0034008E"/>
    <w:rsid w:val="0034049E"/>
    <w:rsid w:val="003408AE"/>
    <w:rsid w:val="003412F4"/>
    <w:rsid w:val="0034140D"/>
    <w:rsid w:val="003415C6"/>
    <w:rsid w:val="00343610"/>
    <w:rsid w:val="00343698"/>
    <w:rsid w:val="0034447F"/>
    <w:rsid w:val="003444F6"/>
    <w:rsid w:val="00344B1A"/>
    <w:rsid w:val="00346244"/>
    <w:rsid w:val="00346BA4"/>
    <w:rsid w:val="00347005"/>
    <w:rsid w:val="00347F07"/>
    <w:rsid w:val="00350277"/>
    <w:rsid w:val="0035073B"/>
    <w:rsid w:val="00350AA8"/>
    <w:rsid w:val="00351D62"/>
    <w:rsid w:val="0035251E"/>
    <w:rsid w:val="003527F1"/>
    <w:rsid w:val="003528CA"/>
    <w:rsid w:val="00353128"/>
    <w:rsid w:val="003533CF"/>
    <w:rsid w:val="00353899"/>
    <w:rsid w:val="00353CEF"/>
    <w:rsid w:val="00354871"/>
    <w:rsid w:val="00354AA5"/>
    <w:rsid w:val="0035540D"/>
    <w:rsid w:val="0035625E"/>
    <w:rsid w:val="003570A0"/>
    <w:rsid w:val="00357259"/>
    <w:rsid w:val="00357526"/>
    <w:rsid w:val="00357898"/>
    <w:rsid w:val="00357CF6"/>
    <w:rsid w:val="00357D61"/>
    <w:rsid w:val="0036016F"/>
    <w:rsid w:val="003609DA"/>
    <w:rsid w:val="00361917"/>
    <w:rsid w:val="003625A5"/>
    <w:rsid w:val="0036264A"/>
    <w:rsid w:val="0036280E"/>
    <w:rsid w:val="00363450"/>
    <w:rsid w:val="00364629"/>
    <w:rsid w:val="003649B9"/>
    <w:rsid w:val="003656AA"/>
    <w:rsid w:val="00365770"/>
    <w:rsid w:val="00365AF5"/>
    <w:rsid w:val="00365C3A"/>
    <w:rsid w:val="00366002"/>
    <w:rsid w:val="00366212"/>
    <w:rsid w:val="00366264"/>
    <w:rsid w:val="0036681F"/>
    <w:rsid w:val="00367223"/>
    <w:rsid w:val="00367342"/>
    <w:rsid w:val="00367ED5"/>
    <w:rsid w:val="00367EDD"/>
    <w:rsid w:val="0037008E"/>
    <w:rsid w:val="003703D5"/>
    <w:rsid w:val="003709ED"/>
    <w:rsid w:val="00371668"/>
    <w:rsid w:val="00371B5E"/>
    <w:rsid w:val="00371D17"/>
    <w:rsid w:val="003733D3"/>
    <w:rsid w:val="00373A9F"/>
    <w:rsid w:val="003758B5"/>
    <w:rsid w:val="00375BB0"/>
    <w:rsid w:val="00375CD4"/>
    <w:rsid w:val="00376975"/>
    <w:rsid w:val="003769CB"/>
    <w:rsid w:val="003775E7"/>
    <w:rsid w:val="003776DE"/>
    <w:rsid w:val="0037790F"/>
    <w:rsid w:val="00380499"/>
    <w:rsid w:val="003808BA"/>
    <w:rsid w:val="0038264B"/>
    <w:rsid w:val="00382D94"/>
    <w:rsid w:val="00382F07"/>
    <w:rsid w:val="00384666"/>
    <w:rsid w:val="00385049"/>
    <w:rsid w:val="0038658E"/>
    <w:rsid w:val="00386AA1"/>
    <w:rsid w:val="00386B78"/>
    <w:rsid w:val="00386E5E"/>
    <w:rsid w:val="003875D6"/>
    <w:rsid w:val="00387D52"/>
    <w:rsid w:val="0039021C"/>
    <w:rsid w:val="00390C3F"/>
    <w:rsid w:val="003915B7"/>
    <w:rsid w:val="00391C1B"/>
    <w:rsid w:val="0039294A"/>
    <w:rsid w:val="0039308F"/>
    <w:rsid w:val="0039362A"/>
    <w:rsid w:val="0039455D"/>
    <w:rsid w:val="003957F9"/>
    <w:rsid w:val="00395F1F"/>
    <w:rsid w:val="003967F1"/>
    <w:rsid w:val="00397102"/>
    <w:rsid w:val="00397436"/>
    <w:rsid w:val="003974FB"/>
    <w:rsid w:val="003979EC"/>
    <w:rsid w:val="003979F2"/>
    <w:rsid w:val="003A07C8"/>
    <w:rsid w:val="003A0A2D"/>
    <w:rsid w:val="003A0F8E"/>
    <w:rsid w:val="003A2C8D"/>
    <w:rsid w:val="003A318F"/>
    <w:rsid w:val="003A3378"/>
    <w:rsid w:val="003A494F"/>
    <w:rsid w:val="003A5666"/>
    <w:rsid w:val="003A5B84"/>
    <w:rsid w:val="003A5F85"/>
    <w:rsid w:val="003A638D"/>
    <w:rsid w:val="003A7540"/>
    <w:rsid w:val="003A75D8"/>
    <w:rsid w:val="003A7623"/>
    <w:rsid w:val="003A7ECC"/>
    <w:rsid w:val="003B241F"/>
    <w:rsid w:val="003B2B76"/>
    <w:rsid w:val="003B34CA"/>
    <w:rsid w:val="003B3B53"/>
    <w:rsid w:val="003B3C1B"/>
    <w:rsid w:val="003B3FFA"/>
    <w:rsid w:val="003B6FD9"/>
    <w:rsid w:val="003B70F0"/>
    <w:rsid w:val="003C197E"/>
    <w:rsid w:val="003C1C82"/>
    <w:rsid w:val="003C2134"/>
    <w:rsid w:val="003C230D"/>
    <w:rsid w:val="003C2382"/>
    <w:rsid w:val="003C270F"/>
    <w:rsid w:val="003C2B7E"/>
    <w:rsid w:val="003C2FC7"/>
    <w:rsid w:val="003C318A"/>
    <w:rsid w:val="003C3F8F"/>
    <w:rsid w:val="003C41E9"/>
    <w:rsid w:val="003C42B8"/>
    <w:rsid w:val="003C43EC"/>
    <w:rsid w:val="003C4751"/>
    <w:rsid w:val="003C4BBD"/>
    <w:rsid w:val="003C4CD9"/>
    <w:rsid w:val="003C54F3"/>
    <w:rsid w:val="003C563D"/>
    <w:rsid w:val="003C5C09"/>
    <w:rsid w:val="003C6625"/>
    <w:rsid w:val="003C781E"/>
    <w:rsid w:val="003C7AD3"/>
    <w:rsid w:val="003D192D"/>
    <w:rsid w:val="003D240B"/>
    <w:rsid w:val="003D278A"/>
    <w:rsid w:val="003D2C4D"/>
    <w:rsid w:val="003D2D14"/>
    <w:rsid w:val="003D2E90"/>
    <w:rsid w:val="003D3341"/>
    <w:rsid w:val="003D44DE"/>
    <w:rsid w:val="003D4DC9"/>
    <w:rsid w:val="003D59E9"/>
    <w:rsid w:val="003D5CE1"/>
    <w:rsid w:val="003D63FE"/>
    <w:rsid w:val="003D6632"/>
    <w:rsid w:val="003D7624"/>
    <w:rsid w:val="003D76AC"/>
    <w:rsid w:val="003E0186"/>
    <w:rsid w:val="003E0595"/>
    <w:rsid w:val="003E0664"/>
    <w:rsid w:val="003E1008"/>
    <w:rsid w:val="003E1371"/>
    <w:rsid w:val="003E2AC9"/>
    <w:rsid w:val="003E344C"/>
    <w:rsid w:val="003E3688"/>
    <w:rsid w:val="003E3706"/>
    <w:rsid w:val="003E3B78"/>
    <w:rsid w:val="003E4A73"/>
    <w:rsid w:val="003E4E12"/>
    <w:rsid w:val="003E508D"/>
    <w:rsid w:val="003E55F2"/>
    <w:rsid w:val="003E5ED7"/>
    <w:rsid w:val="003E6048"/>
    <w:rsid w:val="003E6BDE"/>
    <w:rsid w:val="003E6D97"/>
    <w:rsid w:val="003E77A9"/>
    <w:rsid w:val="003F00BC"/>
    <w:rsid w:val="003F00D8"/>
    <w:rsid w:val="003F17EA"/>
    <w:rsid w:val="003F1FF3"/>
    <w:rsid w:val="003F205B"/>
    <w:rsid w:val="003F299B"/>
    <w:rsid w:val="003F2B48"/>
    <w:rsid w:val="003F2E26"/>
    <w:rsid w:val="003F31AC"/>
    <w:rsid w:val="003F4134"/>
    <w:rsid w:val="003F54CE"/>
    <w:rsid w:val="003F5647"/>
    <w:rsid w:val="003F6689"/>
    <w:rsid w:val="003F6A74"/>
    <w:rsid w:val="003F6AF9"/>
    <w:rsid w:val="003F6BA3"/>
    <w:rsid w:val="003F6DBF"/>
    <w:rsid w:val="003F7ADF"/>
    <w:rsid w:val="003F7FE6"/>
    <w:rsid w:val="00400086"/>
    <w:rsid w:val="004000D7"/>
    <w:rsid w:val="004002AB"/>
    <w:rsid w:val="0040056F"/>
    <w:rsid w:val="00400849"/>
    <w:rsid w:val="00400F74"/>
    <w:rsid w:val="0040119C"/>
    <w:rsid w:val="0040182D"/>
    <w:rsid w:val="0040188B"/>
    <w:rsid w:val="00402CF2"/>
    <w:rsid w:val="00404370"/>
    <w:rsid w:val="0040438F"/>
    <w:rsid w:val="00404F1D"/>
    <w:rsid w:val="00404FF5"/>
    <w:rsid w:val="0040565E"/>
    <w:rsid w:val="004063C3"/>
    <w:rsid w:val="004064AF"/>
    <w:rsid w:val="004066E7"/>
    <w:rsid w:val="00406B21"/>
    <w:rsid w:val="00406DEB"/>
    <w:rsid w:val="0040754E"/>
    <w:rsid w:val="00407A0C"/>
    <w:rsid w:val="004100E0"/>
    <w:rsid w:val="0041081F"/>
    <w:rsid w:val="004109B0"/>
    <w:rsid w:val="00410BF8"/>
    <w:rsid w:val="004110EE"/>
    <w:rsid w:val="00411B6C"/>
    <w:rsid w:val="00412B97"/>
    <w:rsid w:val="00412EAC"/>
    <w:rsid w:val="0041376C"/>
    <w:rsid w:val="00414AF1"/>
    <w:rsid w:val="00415C8B"/>
    <w:rsid w:val="00416ABB"/>
    <w:rsid w:val="00416C04"/>
    <w:rsid w:val="00417A2F"/>
    <w:rsid w:val="00417E24"/>
    <w:rsid w:val="0042001E"/>
    <w:rsid w:val="00421247"/>
    <w:rsid w:val="004217B5"/>
    <w:rsid w:val="0042336C"/>
    <w:rsid w:val="0042409B"/>
    <w:rsid w:val="00424DD5"/>
    <w:rsid w:val="004265F9"/>
    <w:rsid w:val="00426C86"/>
    <w:rsid w:val="00427375"/>
    <w:rsid w:val="0042782D"/>
    <w:rsid w:val="0042795B"/>
    <w:rsid w:val="00431822"/>
    <w:rsid w:val="004325BB"/>
    <w:rsid w:val="00433004"/>
    <w:rsid w:val="004335C4"/>
    <w:rsid w:val="00433725"/>
    <w:rsid w:val="0043382F"/>
    <w:rsid w:val="00433889"/>
    <w:rsid w:val="00434527"/>
    <w:rsid w:val="0043473A"/>
    <w:rsid w:val="00435193"/>
    <w:rsid w:val="004360F9"/>
    <w:rsid w:val="00436EB2"/>
    <w:rsid w:val="004372A2"/>
    <w:rsid w:val="00437970"/>
    <w:rsid w:val="00437CB0"/>
    <w:rsid w:val="0044040E"/>
    <w:rsid w:val="004405CE"/>
    <w:rsid w:val="0044190F"/>
    <w:rsid w:val="00442090"/>
    <w:rsid w:val="00442603"/>
    <w:rsid w:val="00443295"/>
    <w:rsid w:val="0044433F"/>
    <w:rsid w:val="004446E1"/>
    <w:rsid w:val="00446C10"/>
    <w:rsid w:val="0044794D"/>
    <w:rsid w:val="00447A9F"/>
    <w:rsid w:val="00447F36"/>
    <w:rsid w:val="00450522"/>
    <w:rsid w:val="004507A2"/>
    <w:rsid w:val="00450F7E"/>
    <w:rsid w:val="004514EE"/>
    <w:rsid w:val="004520E7"/>
    <w:rsid w:val="004523DB"/>
    <w:rsid w:val="004524E1"/>
    <w:rsid w:val="0045293E"/>
    <w:rsid w:val="00452DB4"/>
    <w:rsid w:val="0045342B"/>
    <w:rsid w:val="004534E8"/>
    <w:rsid w:val="004539E5"/>
    <w:rsid w:val="0045445D"/>
    <w:rsid w:val="00456501"/>
    <w:rsid w:val="00456525"/>
    <w:rsid w:val="0046001F"/>
    <w:rsid w:val="0046086B"/>
    <w:rsid w:val="00460A4C"/>
    <w:rsid w:val="00460B61"/>
    <w:rsid w:val="00460E14"/>
    <w:rsid w:val="00461555"/>
    <w:rsid w:val="00461E21"/>
    <w:rsid w:val="00462530"/>
    <w:rsid w:val="0046281E"/>
    <w:rsid w:val="004629FE"/>
    <w:rsid w:val="00462B93"/>
    <w:rsid w:val="00462F58"/>
    <w:rsid w:val="004634E4"/>
    <w:rsid w:val="00463869"/>
    <w:rsid w:val="00463A15"/>
    <w:rsid w:val="00463B1E"/>
    <w:rsid w:val="00463F7B"/>
    <w:rsid w:val="00464C6E"/>
    <w:rsid w:val="00464D60"/>
    <w:rsid w:val="00465D9E"/>
    <w:rsid w:val="00465F7C"/>
    <w:rsid w:val="00465FC4"/>
    <w:rsid w:val="00467834"/>
    <w:rsid w:val="00467AA2"/>
    <w:rsid w:val="004701A4"/>
    <w:rsid w:val="004710E5"/>
    <w:rsid w:val="004719BD"/>
    <w:rsid w:val="0047214B"/>
    <w:rsid w:val="0047256F"/>
    <w:rsid w:val="0047473A"/>
    <w:rsid w:val="00475B7C"/>
    <w:rsid w:val="00475ED5"/>
    <w:rsid w:val="00476730"/>
    <w:rsid w:val="00477C00"/>
    <w:rsid w:val="00480666"/>
    <w:rsid w:val="00480DBF"/>
    <w:rsid w:val="004810A9"/>
    <w:rsid w:val="004814C3"/>
    <w:rsid w:val="0048159E"/>
    <w:rsid w:val="004815C2"/>
    <w:rsid w:val="004817C2"/>
    <w:rsid w:val="00481F82"/>
    <w:rsid w:val="00482F43"/>
    <w:rsid w:val="0048333C"/>
    <w:rsid w:val="00483CAC"/>
    <w:rsid w:val="00484260"/>
    <w:rsid w:val="0048431C"/>
    <w:rsid w:val="00484EAB"/>
    <w:rsid w:val="00485355"/>
    <w:rsid w:val="00485E11"/>
    <w:rsid w:val="00486071"/>
    <w:rsid w:val="004869C5"/>
    <w:rsid w:val="00486A8F"/>
    <w:rsid w:val="00486C33"/>
    <w:rsid w:val="0048790B"/>
    <w:rsid w:val="00487952"/>
    <w:rsid w:val="0049009E"/>
    <w:rsid w:val="00490778"/>
    <w:rsid w:val="00490B35"/>
    <w:rsid w:val="00490D50"/>
    <w:rsid w:val="00490F0E"/>
    <w:rsid w:val="0049139A"/>
    <w:rsid w:val="004915F6"/>
    <w:rsid w:val="004926CE"/>
    <w:rsid w:val="00492A8F"/>
    <w:rsid w:val="00492CDC"/>
    <w:rsid w:val="00492D11"/>
    <w:rsid w:val="00492E48"/>
    <w:rsid w:val="00492E8C"/>
    <w:rsid w:val="00493731"/>
    <w:rsid w:val="00493B87"/>
    <w:rsid w:val="004941F7"/>
    <w:rsid w:val="004948FB"/>
    <w:rsid w:val="004950E2"/>
    <w:rsid w:val="00495471"/>
    <w:rsid w:val="0049553D"/>
    <w:rsid w:val="004955FD"/>
    <w:rsid w:val="00496131"/>
    <w:rsid w:val="004962BE"/>
    <w:rsid w:val="00496CCB"/>
    <w:rsid w:val="00497DCB"/>
    <w:rsid w:val="004A09EC"/>
    <w:rsid w:val="004A0B50"/>
    <w:rsid w:val="004A0EEF"/>
    <w:rsid w:val="004A1188"/>
    <w:rsid w:val="004A1B57"/>
    <w:rsid w:val="004A2042"/>
    <w:rsid w:val="004A2DF4"/>
    <w:rsid w:val="004A31E5"/>
    <w:rsid w:val="004A3E7A"/>
    <w:rsid w:val="004A4572"/>
    <w:rsid w:val="004A467B"/>
    <w:rsid w:val="004A51A5"/>
    <w:rsid w:val="004A5630"/>
    <w:rsid w:val="004A5CA0"/>
    <w:rsid w:val="004A62A9"/>
    <w:rsid w:val="004A66F9"/>
    <w:rsid w:val="004A6D8F"/>
    <w:rsid w:val="004A71CF"/>
    <w:rsid w:val="004A769A"/>
    <w:rsid w:val="004A770C"/>
    <w:rsid w:val="004A7F62"/>
    <w:rsid w:val="004B055A"/>
    <w:rsid w:val="004B0951"/>
    <w:rsid w:val="004B0D9A"/>
    <w:rsid w:val="004B0FCF"/>
    <w:rsid w:val="004B1972"/>
    <w:rsid w:val="004B1D8F"/>
    <w:rsid w:val="004B2364"/>
    <w:rsid w:val="004B2420"/>
    <w:rsid w:val="004B25AD"/>
    <w:rsid w:val="004B2DD2"/>
    <w:rsid w:val="004B3723"/>
    <w:rsid w:val="004B3BBF"/>
    <w:rsid w:val="004B3F3C"/>
    <w:rsid w:val="004B40BF"/>
    <w:rsid w:val="004B42A4"/>
    <w:rsid w:val="004B473A"/>
    <w:rsid w:val="004B4AA8"/>
    <w:rsid w:val="004B4BA7"/>
    <w:rsid w:val="004B5F81"/>
    <w:rsid w:val="004B6707"/>
    <w:rsid w:val="004B6E88"/>
    <w:rsid w:val="004B7010"/>
    <w:rsid w:val="004B7553"/>
    <w:rsid w:val="004B768B"/>
    <w:rsid w:val="004B7778"/>
    <w:rsid w:val="004B7A0F"/>
    <w:rsid w:val="004B7E3D"/>
    <w:rsid w:val="004C0027"/>
    <w:rsid w:val="004C06DF"/>
    <w:rsid w:val="004C071D"/>
    <w:rsid w:val="004C0E73"/>
    <w:rsid w:val="004C0F1E"/>
    <w:rsid w:val="004C1CFE"/>
    <w:rsid w:val="004C1FF4"/>
    <w:rsid w:val="004C3962"/>
    <w:rsid w:val="004C45A1"/>
    <w:rsid w:val="004C4BA9"/>
    <w:rsid w:val="004C4C96"/>
    <w:rsid w:val="004C4F26"/>
    <w:rsid w:val="004C52AF"/>
    <w:rsid w:val="004C6C22"/>
    <w:rsid w:val="004C6EE3"/>
    <w:rsid w:val="004C6F71"/>
    <w:rsid w:val="004C70C3"/>
    <w:rsid w:val="004C7729"/>
    <w:rsid w:val="004C77BD"/>
    <w:rsid w:val="004C7FCC"/>
    <w:rsid w:val="004D01BD"/>
    <w:rsid w:val="004D08B0"/>
    <w:rsid w:val="004D16D3"/>
    <w:rsid w:val="004D1CCA"/>
    <w:rsid w:val="004D1CCB"/>
    <w:rsid w:val="004D1DBC"/>
    <w:rsid w:val="004D1DF3"/>
    <w:rsid w:val="004D1DFD"/>
    <w:rsid w:val="004D3504"/>
    <w:rsid w:val="004D3679"/>
    <w:rsid w:val="004D39CE"/>
    <w:rsid w:val="004D3FD8"/>
    <w:rsid w:val="004D4898"/>
    <w:rsid w:val="004D4AAB"/>
    <w:rsid w:val="004D4F5C"/>
    <w:rsid w:val="004D699F"/>
    <w:rsid w:val="004D6D71"/>
    <w:rsid w:val="004D724A"/>
    <w:rsid w:val="004E09BF"/>
    <w:rsid w:val="004E0CCF"/>
    <w:rsid w:val="004E0D8A"/>
    <w:rsid w:val="004E172D"/>
    <w:rsid w:val="004E2575"/>
    <w:rsid w:val="004E44C9"/>
    <w:rsid w:val="004E4A42"/>
    <w:rsid w:val="004E5067"/>
    <w:rsid w:val="004E6008"/>
    <w:rsid w:val="004E6F20"/>
    <w:rsid w:val="004E7668"/>
    <w:rsid w:val="004E7A0D"/>
    <w:rsid w:val="004F0257"/>
    <w:rsid w:val="004F11DE"/>
    <w:rsid w:val="004F13B2"/>
    <w:rsid w:val="004F1A47"/>
    <w:rsid w:val="004F1C91"/>
    <w:rsid w:val="004F21CB"/>
    <w:rsid w:val="004F2837"/>
    <w:rsid w:val="004F2916"/>
    <w:rsid w:val="004F3ED3"/>
    <w:rsid w:val="004F457F"/>
    <w:rsid w:val="004F6032"/>
    <w:rsid w:val="004F6238"/>
    <w:rsid w:val="004F65CB"/>
    <w:rsid w:val="004F6965"/>
    <w:rsid w:val="004F7600"/>
    <w:rsid w:val="004F7719"/>
    <w:rsid w:val="004F7C92"/>
    <w:rsid w:val="004F7ED4"/>
    <w:rsid w:val="00500702"/>
    <w:rsid w:val="00500D06"/>
    <w:rsid w:val="005015B4"/>
    <w:rsid w:val="00501E76"/>
    <w:rsid w:val="00501FC5"/>
    <w:rsid w:val="005023D5"/>
    <w:rsid w:val="00502EE7"/>
    <w:rsid w:val="00503FF2"/>
    <w:rsid w:val="00505CC8"/>
    <w:rsid w:val="00506DC5"/>
    <w:rsid w:val="005072B4"/>
    <w:rsid w:val="00510614"/>
    <w:rsid w:val="00510E37"/>
    <w:rsid w:val="005112B9"/>
    <w:rsid w:val="00511373"/>
    <w:rsid w:val="00511B3F"/>
    <w:rsid w:val="00511F83"/>
    <w:rsid w:val="00513117"/>
    <w:rsid w:val="00513258"/>
    <w:rsid w:val="005132BB"/>
    <w:rsid w:val="005138B0"/>
    <w:rsid w:val="00514174"/>
    <w:rsid w:val="00514478"/>
    <w:rsid w:val="00514975"/>
    <w:rsid w:val="00514FBA"/>
    <w:rsid w:val="00514FDD"/>
    <w:rsid w:val="0051530B"/>
    <w:rsid w:val="00515640"/>
    <w:rsid w:val="0051588F"/>
    <w:rsid w:val="0051677C"/>
    <w:rsid w:val="00516AD7"/>
    <w:rsid w:val="00517778"/>
    <w:rsid w:val="00517909"/>
    <w:rsid w:val="00517A02"/>
    <w:rsid w:val="00517D1F"/>
    <w:rsid w:val="00517F01"/>
    <w:rsid w:val="0052180C"/>
    <w:rsid w:val="0052187C"/>
    <w:rsid w:val="00521C7E"/>
    <w:rsid w:val="00521CE2"/>
    <w:rsid w:val="00522D97"/>
    <w:rsid w:val="005233A1"/>
    <w:rsid w:val="00523793"/>
    <w:rsid w:val="00523B33"/>
    <w:rsid w:val="00523C6B"/>
    <w:rsid w:val="00524321"/>
    <w:rsid w:val="00524C17"/>
    <w:rsid w:val="00524CFD"/>
    <w:rsid w:val="00525B36"/>
    <w:rsid w:val="0052698B"/>
    <w:rsid w:val="0053004D"/>
    <w:rsid w:val="005306D2"/>
    <w:rsid w:val="00530791"/>
    <w:rsid w:val="00530B0C"/>
    <w:rsid w:val="00530DCF"/>
    <w:rsid w:val="00531A97"/>
    <w:rsid w:val="00532006"/>
    <w:rsid w:val="005326F0"/>
    <w:rsid w:val="00532A61"/>
    <w:rsid w:val="00533CEB"/>
    <w:rsid w:val="00534DD2"/>
    <w:rsid w:val="005355B0"/>
    <w:rsid w:val="0053626A"/>
    <w:rsid w:val="00536CD5"/>
    <w:rsid w:val="00536F4F"/>
    <w:rsid w:val="00537118"/>
    <w:rsid w:val="0053755E"/>
    <w:rsid w:val="0053773A"/>
    <w:rsid w:val="00537B18"/>
    <w:rsid w:val="0054053A"/>
    <w:rsid w:val="00540623"/>
    <w:rsid w:val="00540EB4"/>
    <w:rsid w:val="00541953"/>
    <w:rsid w:val="00541E85"/>
    <w:rsid w:val="0054248A"/>
    <w:rsid w:val="00542955"/>
    <w:rsid w:val="00543439"/>
    <w:rsid w:val="00543514"/>
    <w:rsid w:val="00543821"/>
    <w:rsid w:val="005438DE"/>
    <w:rsid w:val="00544CFC"/>
    <w:rsid w:val="005450E8"/>
    <w:rsid w:val="0054541A"/>
    <w:rsid w:val="0054546A"/>
    <w:rsid w:val="005454C2"/>
    <w:rsid w:val="005457E5"/>
    <w:rsid w:val="00545DE2"/>
    <w:rsid w:val="00546114"/>
    <w:rsid w:val="00547E4E"/>
    <w:rsid w:val="005501F2"/>
    <w:rsid w:val="00550B0D"/>
    <w:rsid w:val="0055117F"/>
    <w:rsid w:val="00551C07"/>
    <w:rsid w:val="005520B0"/>
    <w:rsid w:val="00552189"/>
    <w:rsid w:val="0055257D"/>
    <w:rsid w:val="00552A44"/>
    <w:rsid w:val="00553107"/>
    <w:rsid w:val="00553366"/>
    <w:rsid w:val="00553629"/>
    <w:rsid w:val="005537B7"/>
    <w:rsid w:val="00553B34"/>
    <w:rsid w:val="00553ECB"/>
    <w:rsid w:val="00554119"/>
    <w:rsid w:val="005545EB"/>
    <w:rsid w:val="0055470C"/>
    <w:rsid w:val="00554A71"/>
    <w:rsid w:val="00554ACD"/>
    <w:rsid w:val="00554C73"/>
    <w:rsid w:val="00554EC6"/>
    <w:rsid w:val="00555238"/>
    <w:rsid w:val="00557253"/>
    <w:rsid w:val="005576F9"/>
    <w:rsid w:val="00560610"/>
    <w:rsid w:val="0056088A"/>
    <w:rsid w:val="00560A87"/>
    <w:rsid w:val="00560AA3"/>
    <w:rsid w:val="00560B8D"/>
    <w:rsid w:val="00560C7B"/>
    <w:rsid w:val="00561AB3"/>
    <w:rsid w:val="00561CB4"/>
    <w:rsid w:val="00561F10"/>
    <w:rsid w:val="0056211E"/>
    <w:rsid w:val="005621D8"/>
    <w:rsid w:val="005622D9"/>
    <w:rsid w:val="00563073"/>
    <w:rsid w:val="005634BC"/>
    <w:rsid w:val="0056467A"/>
    <w:rsid w:val="00564D41"/>
    <w:rsid w:val="00564F75"/>
    <w:rsid w:val="0056593E"/>
    <w:rsid w:val="00565F3A"/>
    <w:rsid w:val="005670D4"/>
    <w:rsid w:val="005671B2"/>
    <w:rsid w:val="00567237"/>
    <w:rsid w:val="005672DA"/>
    <w:rsid w:val="005672DD"/>
    <w:rsid w:val="005675C0"/>
    <w:rsid w:val="005678E4"/>
    <w:rsid w:val="00567FBB"/>
    <w:rsid w:val="005706C3"/>
    <w:rsid w:val="005708CF"/>
    <w:rsid w:val="00570BC2"/>
    <w:rsid w:val="005711DB"/>
    <w:rsid w:val="0057152C"/>
    <w:rsid w:val="00571BF3"/>
    <w:rsid w:val="005723E2"/>
    <w:rsid w:val="0057242A"/>
    <w:rsid w:val="005733D3"/>
    <w:rsid w:val="005738A8"/>
    <w:rsid w:val="00573F13"/>
    <w:rsid w:val="0057401E"/>
    <w:rsid w:val="00574061"/>
    <w:rsid w:val="005741D9"/>
    <w:rsid w:val="0057447C"/>
    <w:rsid w:val="00574FA7"/>
    <w:rsid w:val="0057570B"/>
    <w:rsid w:val="00576248"/>
    <w:rsid w:val="00576F4F"/>
    <w:rsid w:val="005774F8"/>
    <w:rsid w:val="00577872"/>
    <w:rsid w:val="00577AE1"/>
    <w:rsid w:val="00577B55"/>
    <w:rsid w:val="00577EF3"/>
    <w:rsid w:val="00577FD4"/>
    <w:rsid w:val="005805E1"/>
    <w:rsid w:val="00580827"/>
    <w:rsid w:val="00580CAE"/>
    <w:rsid w:val="00581040"/>
    <w:rsid w:val="00582AB1"/>
    <w:rsid w:val="005836CC"/>
    <w:rsid w:val="00583AD2"/>
    <w:rsid w:val="00583E63"/>
    <w:rsid w:val="00584582"/>
    <w:rsid w:val="00584676"/>
    <w:rsid w:val="00584F43"/>
    <w:rsid w:val="005850DA"/>
    <w:rsid w:val="00585516"/>
    <w:rsid w:val="00585FD2"/>
    <w:rsid w:val="0058626E"/>
    <w:rsid w:val="00586373"/>
    <w:rsid w:val="00586908"/>
    <w:rsid w:val="005869F8"/>
    <w:rsid w:val="00586ACA"/>
    <w:rsid w:val="00586B64"/>
    <w:rsid w:val="00587327"/>
    <w:rsid w:val="005877EA"/>
    <w:rsid w:val="005878AE"/>
    <w:rsid w:val="00587D9A"/>
    <w:rsid w:val="00590BE1"/>
    <w:rsid w:val="00590CAC"/>
    <w:rsid w:val="00591A2F"/>
    <w:rsid w:val="0059230B"/>
    <w:rsid w:val="00592595"/>
    <w:rsid w:val="00592B9C"/>
    <w:rsid w:val="00592C87"/>
    <w:rsid w:val="0059338B"/>
    <w:rsid w:val="005937AD"/>
    <w:rsid w:val="00593A67"/>
    <w:rsid w:val="00594660"/>
    <w:rsid w:val="00595174"/>
    <w:rsid w:val="00595B76"/>
    <w:rsid w:val="00595BEF"/>
    <w:rsid w:val="00595C47"/>
    <w:rsid w:val="00595D4B"/>
    <w:rsid w:val="005960DC"/>
    <w:rsid w:val="00596385"/>
    <w:rsid w:val="0059692F"/>
    <w:rsid w:val="005A1644"/>
    <w:rsid w:val="005A19B8"/>
    <w:rsid w:val="005A1BFD"/>
    <w:rsid w:val="005A2771"/>
    <w:rsid w:val="005A2813"/>
    <w:rsid w:val="005A2CE7"/>
    <w:rsid w:val="005A2DC2"/>
    <w:rsid w:val="005A37A6"/>
    <w:rsid w:val="005A3B16"/>
    <w:rsid w:val="005A419B"/>
    <w:rsid w:val="005A4E6D"/>
    <w:rsid w:val="005A52EC"/>
    <w:rsid w:val="005A5A1B"/>
    <w:rsid w:val="005A5E90"/>
    <w:rsid w:val="005A606F"/>
    <w:rsid w:val="005A719B"/>
    <w:rsid w:val="005A78A0"/>
    <w:rsid w:val="005A7A33"/>
    <w:rsid w:val="005B0004"/>
    <w:rsid w:val="005B096A"/>
    <w:rsid w:val="005B0F56"/>
    <w:rsid w:val="005B1326"/>
    <w:rsid w:val="005B1597"/>
    <w:rsid w:val="005B18C6"/>
    <w:rsid w:val="005B2B25"/>
    <w:rsid w:val="005B3314"/>
    <w:rsid w:val="005B43C2"/>
    <w:rsid w:val="005B459C"/>
    <w:rsid w:val="005B4BB1"/>
    <w:rsid w:val="005B4C2C"/>
    <w:rsid w:val="005B5227"/>
    <w:rsid w:val="005B6CCD"/>
    <w:rsid w:val="005B7877"/>
    <w:rsid w:val="005B7CB1"/>
    <w:rsid w:val="005B7EC1"/>
    <w:rsid w:val="005C01BF"/>
    <w:rsid w:val="005C0BEC"/>
    <w:rsid w:val="005C0DD7"/>
    <w:rsid w:val="005C114E"/>
    <w:rsid w:val="005C1560"/>
    <w:rsid w:val="005C1571"/>
    <w:rsid w:val="005C2305"/>
    <w:rsid w:val="005C250B"/>
    <w:rsid w:val="005C2A78"/>
    <w:rsid w:val="005C35A8"/>
    <w:rsid w:val="005C4079"/>
    <w:rsid w:val="005C4086"/>
    <w:rsid w:val="005C445B"/>
    <w:rsid w:val="005C50EE"/>
    <w:rsid w:val="005C5484"/>
    <w:rsid w:val="005C57D1"/>
    <w:rsid w:val="005C5993"/>
    <w:rsid w:val="005C605F"/>
    <w:rsid w:val="005C61CE"/>
    <w:rsid w:val="005C6762"/>
    <w:rsid w:val="005C7241"/>
    <w:rsid w:val="005C79FD"/>
    <w:rsid w:val="005D0BF7"/>
    <w:rsid w:val="005D11D2"/>
    <w:rsid w:val="005D2B1D"/>
    <w:rsid w:val="005D2B21"/>
    <w:rsid w:val="005D3955"/>
    <w:rsid w:val="005D3C57"/>
    <w:rsid w:val="005D3CA4"/>
    <w:rsid w:val="005D3E2C"/>
    <w:rsid w:val="005D40E5"/>
    <w:rsid w:val="005D4C94"/>
    <w:rsid w:val="005D52BD"/>
    <w:rsid w:val="005D5AFC"/>
    <w:rsid w:val="005D6197"/>
    <w:rsid w:val="005D671D"/>
    <w:rsid w:val="005D6A5D"/>
    <w:rsid w:val="005E006A"/>
    <w:rsid w:val="005E026D"/>
    <w:rsid w:val="005E04A5"/>
    <w:rsid w:val="005E09D0"/>
    <w:rsid w:val="005E0EE9"/>
    <w:rsid w:val="005E143E"/>
    <w:rsid w:val="005E178E"/>
    <w:rsid w:val="005E2786"/>
    <w:rsid w:val="005E2E11"/>
    <w:rsid w:val="005E35B3"/>
    <w:rsid w:val="005E36A2"/>
    <w:rsid w:val="005E3A99"/>
    <w:rsid w:val="005E3F95"/>
    <w:rsid w:val="005E404F"/>
    <w:rsid w:val="005E54C7"/>
    <w:rsid w:val="005E5832"/>
    <w:rsid w:val="005E5DDA"/>
    <w:rsid w:val="005E6B05"/>
    <w:rsid w:val="005E6F5B"/>
    <w:rsid w:val="005E7405"/>
    <w:rsid w:val="005E789F"/>
    <w:rsid w:val="005F373E"/>
    <w:rsid w:val="005F4092"/>
    <w:rsid w:val="005F40EA"/>
    <w:rsid w:val="005F4499"/>
    <w:rsid w:val="005F4B3B"/>
    <w:rsid w:val="005F4DF4"/>
    <w:rsid w:val="005F61FF"/>
    <w:rsid w:val="005F66EA"/>
    <w:rsid w:val="005F6CDA"/>
    <w:rsid w:val="005F7436"/>
    <w:rsid w:val="005F7AD0"/>
    <w:rsid w:val="005F7F29"/>
    <w:rsid w:val="00600AB9"/>
    <w:rsid w:val="00600C73"/>
    <w:rsid w:val="00600EFB"/>
    <w:rsid w:val="00601028"/>
    <w:rsid w:val="0060107B"/>
    <w:rsid w:val="00601593"/>
    <w:rsid w:val="00601C86"/>
    <w:rsid w:val="00601E0D"/>
    <w:rsid w:val="00602A80"/>
    <w:rsid w:val="00602B04"/>
    <w:rsid w:val="00604A5B"/>
    <w:rsid w:val="00605B88"/>
    <w:rsid w:val="00605C03"/>
    <w:rsid w:val="006064FD"/>
    <w:rsid w:val="006066DF"/>
    <w:rsid w:val="00607073"/>
    <w:rsid w:val="006103B9"/>
    <w:rsid w:val="006114AE"/>
    <w:rsid w:val="00611624"/>
    <w:rsid w:val="0061279A"/>
    <w:rsid w:val="00612800"/>
    <w:rsid w:val="006128F7"/>
    <w:rsid w:val="00612B04"/>
    <w:rsid w:val="00612C78"/>
    <w:rsid w:val="00613447"/>
    <w:rsid w:val="00613DA5"/>
    <w:rsid w:val="00614819"/>
    <w:rsid w:val="00614A99"/>
    <w:rsid w:val="006156FD"/>
    <w:rsid w:val="00615BFB"/>
    <w:rsid w:val="00615C08"/>
    <w:rsid w:val="00615D54"/>
    <w:rsid w:val="0061681B"/>
    <w:rsid w:val="00617047"/>
    <w:rsid w:val="00617220"/>
    <w:rsid w:val="006209A9"/>
    <w:rsid w:val="00620C00"/>
    <w:rsid w:val="00620C7A"/>
    <w:rsid w:val="0062111B"/>
    <w:rsid w:val="0062156B"/>
    <w:rsid w:val="00621CA8"/>
    <w:rsid w:val="006222A3"/>
    <w:rsid w:val="0062278C"/>
    <w:rsid w:val="00622906"/>
    <w:rsid w:val="006236E6"/>
    <w:rsid w:val="00623E80"/>
    <w:rsid w:val="006242D9"/>
    <w:rsid w:val="006246C9"/>
    <w:rsid w:val="00625CD7"/>
    <w:rsid w:val="006260CE"/>
    <w:rsid w:val="00626153"/>
    <w:rsid w:val="006262E8"/>
    <w:rsid w:val="00626F78"/>
    <w:rsid w:val="006271F0"/>
    <w:rsid w:val="006276EA"/>
    <w:rsid w:val="00627B44"/>
    <w:rsid w:val="00627BEF"/>
    <w:rsid w:val="00627F54"/>
    <w:rsid w:val="00630480"/>
    <w:rsid w:val="006308B8"/>
    <w:rsid w:val="006309A9"/>
    <w:rsid w:val="00631209"/>
    <w:rsid w:val="006313D1"/>
    <w:rsid w:val="00631425"/>
    <w:rsid w:val="0063149E"/>
    <w:rsid w:val="0063194A"/>
    <w:rsid w:val="00631CCA"/>
    <w:rsid w:val="006324E1"/>
    <w:rsid w:val="006326E1"/>
    <w:rsid w:val="006327ED"/>
    <w:rsid w:val="00632A3F"/>
    <w:rsid w:val="00632CA9"/>
    <w:rsid w:val="0063394F"/>
    <w:rsid w:val="006345E6"/>
    <w:rsid w:val="006345F1"/>
    <w:rsid w:val="00635192"/>
    <w:rsid w:val="00635B9C"/>
    <w:rsid w:val="00635ECA"/>
    <w:rsid w:val="00636114"/>
    <w:rsid w:val="00636C15"/>
    <w:rsid w:val="00637D77"/>
    <w:rsid w:val="006406B9"/>
    <w:rsid w:val="00640B9E"/>
    <w:rsid w:val="00640DCD"/>
    <w:rsid w:val="006410BA"/>
    <w:rsid w:val="006416B4"/>
    <w:rsid w:val="00641A33"/>
    <w:rsid w:val="00642106"/>
    <w:rsid w:val="00642784"/>
    <w:rsid w:val="006436E2"/>
    <w:rsid w:val="00643727"/>
    <w:rsid w:val="006441A4"/>
    <w:rsid w:val="00644636"/>
    <w:rsid w:val="006446E5"/>
    <w:rsid w:val="0064511B"/>
    <w:rsid w:val="00645530"/>
    <w:rsid w:val="00647177"/>
    <w:rsid w:val="00647533"/>
    <w:rsid w:val="00647ABA"/>
    <w:rsid w:val="0065089E"/>
    <w:rsid w:val="00650AF1"/>
    <w:rsid w:val="006511E4"/>
    <w:rsid w:val="00651846"/>
    <w:rsid w:val="00651C8F"/>
    <w:rsid w:val="00651CB3"/>
    <w:rsid w:val="0065230C"/>
    <w:rsid w:val="00653805"/>
    <w:rsid w:val="00653894"/>
    <w:rsid w:val="00653A4B"/>
    <w:rsid w:val="00653D22"/>
    <w:rsid w:val="0065453C"/>
    <w:rsid w:val="006546AA"/>
    <w:rsid w:val="00654876"/>
    <w:rsid w:val="00654F52"/>
    <w:rsid w:val="00655731"/>
    <w:rsid w:val="00655A72"/>
    <w:rsid w:val="00655C13"/>
    <w:rsid w:val="00655C4D"/>
    <w:rsid w:val="00655DCF"/>
    <w:rsid w:val="0065611D"/>
    <w:rsid w:val="00656491"/>
    <w:rsid w:val="00656CD7"/>
    <w:rsid w:val="00656DAA"/>
    <w:rsid w:val="00656F15"/>
    <w:rsid w:val="00657179"/>
    <w:rsid w:val="006579CB"/>
    <w:rsid w:val="0066033D"/>
    <w:rsid w:val="006605DA"/>
    <w:rsid w:val="006609B3"/>
    <w:rsid w:val="00661256"/>
    <w:rsid w:val="00661A40"/>
    <w:rsid w:val="00661CD6"/>
    <w:rsid w:val="0066223E"/>
    <w:rsid w:val="00662626"/>
    <w:rsid w:val="00662A12"/>
    <w:rsid w:val="00662D8A"/>
    <w:rsid w:val="00663407"/>
    <w:rsid w:val="00663896"/>
    <w:rsid w:val="00663F17"/>
    <w:rsid w:val="0066412D"/>
    <w:rsid w:val="0066437E"/>
    <w:rsid w:val="0066518B"/>
    <w:rsid w:val="006654A9"/>
    <w:rsid w:val="00666036"/>
    <w:rsid w:val="006660CD"/>
    <w:rsid w:val="006664B1"/>
    <w:rsid w:val="0066651D"/>
    <w:rsid w:val="00667347"/>
    <w:rsid w:val="00670FB2"/>
    <w:rsid w:val="00671839"/>
    <w:rsid w:val="0067203C"/>
    <w:rsid w:val="006721C7"/>
    <w:rsid w:val="00672499"/>
    <w:rsid w:val="00672717"/>
    <w:rsid w:val="00672749"/>
    <w:rsid w:val="006729E5"/>
    <w:rsid w:val="006733DB"/>
    <w:rsid w:val="006735DD"/>
    <w:rsid w:val="00673A32"/>
    <w:rsid w:val="00674AB3"/>
    <w:rsid w:val="00674E92"/>
    <w:rsid w:val="0067515E"/>
    <w:rsid w:val="0067577D"/>
    <w:rsid w:val="006758BE"/>
    <w:rsid w:val="006772C8"/>
    <w:rsid w:val="00680A57"/>
    <w:rsid w:val="00680FB9"/>
    <w:rsid w:val="00681B80"/>
    <w:rsid w:val="00683853"/>
    <w:rsid w:val="00683954"/>
    <w:rsid w:val="0068410B"/>
    <w:rsid w:val="00684D86"/>
    <w:rsid w:val="00685C1A"/>
    <w:rsid w:val="00685F15"/>
    <w:rsid w:val="00685F18"/>
    <w:rsid w:val="00686647"/>
    <w:rsid w:val="006867B8"/>
    <w:rsid w:val="00686E84"/>
    <w:rsid w:val="00687842"/>
    <w:rsid w:val="00687AEC"/>
    <w:rsid w:val="00687C23"/>
    <w:rsid w:val="0069021A"/>
    <w:rsid w:val="00690825"/>
    <w:rsid w:val="00691365"/>
    <w:rsid w:val="006913A0"/>
    <w:rsid w:val="00691C72"/>
    <w:rsid w:val="00692055"/>
    <w:rsid w:val="006929EA"/>
    <w:rsid w:val="00692F2A"/>
    <w:rsid w:val="00693F48"/>
    <w:rsid w:val="006942A8"/>
    <w:rsid w:val="00695255"/>
    <w:rsid w:val="006956E2"/>
    <w:rsid w:val="006959D9"/>
    <w:rsid w:val="00695BD4"/>
    <w:rsid w:val="00696295"/>
    <w:rsid w:val="006968BC"/>
    <w:rsid w:val="00696933"/>
    <w:rsid w:val="00696E45"/>
    <w:rsid w:val="006973D2"/>
    <w:rsid w:val="006A24CA"/>
    <w:rsid w:val="006A25C5"/>
    <w:rsid w:val="006A29AD"/>
    <w:rsid w:val="006A2ACB"/>
    <w:rsid w:val="006A343C"/>
    <w:rsid w:val="006A3C85"/>
    <w:rsid w:val="006A3EB4"/>
    <w:rsid w:val="006A3EC4"/>
    <w:rsid w:val="006A4057"/>
    <w:rsid w:val="006A425E"/>
    <w:rsid w:val="006A432B"/>
    <w:rsid w:val="006A5134"/>
    <w:rsid w:val="006A5716"/>
    <w:rsid w:val="006A5A3D"/>
    <w:rsid w:val="006A5BAB"/>
    <w:rsid w:val="006A6306"/>
    <w:rsid w:val="006A6509"/>
    <w:rsid w:val="006A6785"/>
    <w:rsid w:val="006A6B99"/>
    <w:rsid w:val="006A6D6C"/>
    <w:rsid w:val="006A7A66"/>
    <w:rsid w:val="006B0E58"/>
    <w:rsid w:val="006B12D0"/>
    <w:rsid w:val="006B1391"/>
    <w:rsid w:val="006B1D7B"/>
    <w:rsid w:val="006B35A7"/>
    <w:rsid w:val="006B3F7F"/>
    <w:rsid w:val="006B4704"/>
    <w:rsid w:val="006B523B"/>
    <w:rsid w:val="006B540D"/>
    <w:rsid w:val="006B653A"/>
    <w:rsid w:val="006B6E05"/>
    <w:rsid w:val="006B6E34"/>
    <w:rsid w:val="006B7036"/>
    <w:rsid w:val="006B703C"/>
    <w:rsid w:val="006B7C83"/>
    <w:rsid w:val="006C0383"/>
    <w:rsid w:val="006C0611"/>
    <w:rsid w:val="006C18A8"/>
    <w:rsid w:val="006C1DC2"/>
    <w:rsid w:val="006C1FEB"/>
    <w:rsid w:val="006C2B9E"/>
    <w:rsid w:val="006C2F71"/>
    <w:rsid w:val="006C3375"/>
    <w:rsid w:val="006C33AA"/>
    <w:rsid w:val="006C416E"/>
    <w:rsid w:val="006C4755"/>
    <w:rsid w:val="006C5D94"/>
    <w:rsid w:val="006C61CE"/>
    <w:rsid w:val="006C63E0"/>
    <w:rsid w:val="006C6621"/>
    <w:rsid w:val="006C67C9"/>
    <w:rsid w:val="006C6C5E"/>
    <w:rsid w:val="006C6EE7"/>
    <w:rsid w:val="006C7201"/>
    <w:rsid w:val="006C7244"/>
    <w:rsid w:val="006C7589"/>
    <w:rsid w:val="006C79E5"/>
    <w:rsid w:val="006D0672"/>
    <w:rsid w:val="006D0B47"/>
    <w:rsid w:val="006D2444"/>
    <w:rsid w:val="006D2ABD"/>
    <w:rsid w:val="006D30D0"/>
    <w:rsid w:val="006D3130"/>
    <w:rsid w:val="006D374F"/>
    <w:rsid w:val="006D3B84"/>
    <w:rsid w:val="006D3D8F"/>
    <w:rsid w:val="006D3D99"/>
    <w:rsid w:val="006D40F2"/>
    <w:rsid w:val="006D4267"/>
    <w:rsid w:val="006D4809"/>
    <w:rsid w:val="006D4E29"/>
    <w:rsid w:val="006D5592"/>
    <w:rsid w:val="006D5E35"/>
    <w:rsid w:val="006D622F"/>
    <w:rsid w:val="006D66DB"/>
    <w:rsid w:val="006D6CE7"/>
    <w:rsid w:val="006E0105"/>
    <w:rsid w:val="006E094E"/>
    <w:rsid w:val="006E0FF6"/>
    <w:rsid w:val="006E149E"/>
    <w:rsid w:val="006E14D6"/>
    <w:rsid w:val="006E196C"/>
    <w:rsid w:val="006E3200"/>
    <w:rsid w:val="006E42C7"/>
    <w:rsid w:val="006E4A0D"/>
    <w:rsid w:val="006E6116"/>
    <w:rsid w:val="006E616C"/>
    <w:rsid w:val="006E7AAB"/>
    <w:rsid w:val="006F0860"/>
    <w:rsid w:val="006F10A1"/>
    <w:rsid w:val="006F1609"/>
    <w:rsid w:val="006F220B"/>
    <w:rsid w:val="006F2319"/>
    <w:rsid w:val="006F237E"/>
    <w:rsid w:val="006F2655"/>
    <w:rsid w:val="006F2846"/>
    <w:rsid w:val="006F28BC"/>
    <w:rsid w:val="006F32B7"/>
    <w:rsid w:val="006F367C"/>
    <w:rsid w:val="006F378A"/>
    <w:rsid w:val="006F3A3F"/>
    <w:rsid w:val="006F3FBA"/>
    <w:rsid w:val="006F421B"/>
    <w:rsid w:val="006F42AC"/>
    <w:rsid w:val="006F4DE1"/>
    <w:rsid w:val="006F4DF7"/>
    <w:rsid w:val="006F513B"/>
    <w:rsid w:val="006F64D7"/>
    <w:rsid w:val="006F6EF9"/>
    <w:rsid w:val="006F74DF"/>
    <w:rsid w:val="006F75E3"/>
    <w:rsid w:val="006F7B83"/>
    <w:rsid w:val="00700115"/>
    <w:rsid w:val="007003CE"/>
    <w:rsid w:val="00700AAF"/>
    <w:rsid w:val="00700C8E"/>
    <w:rsid w:val="00700D74"/>
    <w:rsid w:val="00701BF3"/>
    <w:rsid w:val="00701C66"/>
    <w:rsid w:val="0070225D"/>
    <w:rsid w:val="00703870"/>
    <w:rsid w:val="00703FB0"/>
    <w:rsid w:val="007040F4"/>
    <w:rsid w:val="007044D0"/>
    <w:rsid w:val="0070464B"/>
    <w:rsid w:val="00704A8E"/>
    <w:rsid w:val="00705151"/>
    <w:rsid w:val="007056D8"/>
    <w:rsid w:val="00706070"/>
    <w:rsid w:val="007064B2"/>
    <w:rsid w:val="00707703"/>
    <w:rsid w:val="0070796B"/>
    <w:rsid w:val="00707D80"/>
    <w:rsid w:val="0071025E"/>
    <w:rsid w:val="007112A7"/>
    <w:rsid w:val="007113B8"/>
    <w:rsid w:val="00711BDC"/>
    <w:rsid w:val="00712144"/>
    <w:rsid w:val="00712A9F"/>
    <w:rsid w:val="00712D88"/>
    <w:rsid w:val="0071369F"/>
    <w:rsid w:val="00713AA0"/>
    <w:rsid w:val="00713DBC"/>
    <w:rsid w:val="00713EF0"/>
    <w:rsid w:val="007140B4"/>
    <w:rsid w:val="00714669"/>
    <w:rsid w:val="00714CA7"/>
    <w:rsid w:val="00715E75"/>
    <w:rsid w:val="0071606A"/>
    <w:rsid w:val="00716B7C"/>
    <w:rsid w:val="00717290"/>
    <w:rsid w:val="00717756"/>
    <w:rsid w:val="007179E2"/>
    <w:rsid w:val="00717DB5"/>
    <w:rsid w:val="00717DF3"/>
    <w:rsid w:val="00717E25"/>
    <w:rsid w:val="00720D70"/>
    <w:rsid w:val="00721664"/>
    <w:rsid w:val="00721667"/>
    <w:rsid w:val="00721921"/>
    <w:rsid w:val="00721CB9"/>
    <w:rsid w:val="0072335E"/>
    <w:rsid w:val="007239D3"/>
    <w:rsid w:val="00723CC7"/>
    <w:rsid w:val="007258FD"/>
    <w:rsid w:val="00725981"/>
    <w:rsid w:val="00725E72"/>
    <w:rsid w:val="00726612"/>
    <w:rsid w:val="00727401"/>
    <w:rsid w:val="00727982"/>
    <w:rsid w:val="00727D5D"/>
    <w:rsid w:val="00727F56"/>
    <w:rsid w:val="00730098"/>
    <w:rsid w:val="007300B9"/>
    <w:rsid w:val="007303DE"/>
    <w:rsid w:val="007303F0"/>
    <w:rsid w:val="00730780"/>
    <w:rsid w:val="00730883"/>
    <w:rsid w:val="007315D9"/>
    <w:rsid w:val="00731D07"/>
    <w:rsid w:val="00732303"/>
    <w:rsid w:val="00732DF7"/>
    <w:rsid w:val="007348C4"/>
    <w:rsid w:val="00735D7E"/>
    <w:rsid w:val="00735F06"/>
    <w:rsid w:val="007360EA"/>
    <w:rsid w:val="0073689F"/>
    <w:rsid w:val="00736969"/>
    <w:rsid w:val="00736978"/>
    <w:rsid w:val="007370BE"/>
    <w:rsid w:val="00737498"/>
    <w:rsid w:val="00737BAB"/>
    <w:rsid w:val="0074101B"/>
    <w:rsid w:val="00741A09"/>
    <w:rsid w:val="00741BC3"/>
    <w:rsid w:val="00741E85"/>
    <w:rsid w:val="00742E82"/>
    <w:rsid w:val="00744017"/>
    <w:rsid w:val="00744A20"/>
    <w:rsid w:val="00744AB2"/>
    <w:rsid w:val="007455FA"/>
    <w:rsid w:val="00745640"/>
    <w:rsid w:val="00746B0A"/>
    <w:rsid w:val="00750082"/>
    <w:rsid w:val="00750100"/>
    <w:rsid w:val="00750658"/>
    <w:rsid w:val="00750A7F"/>
    <w:rsid w:val="007513F3"/>
    <w:rsid w:val="0075155F"/>
    <w:rsid w:val="007517E3"/>
    <w:rsid w:val="00752B26"/>
    <w:rsid w:val="00752D7F"/>
    <w:rsid w:val="007533B0"/>
    <w:rsid w:val="00753C6B"/>
    <w:rsid w:val="00754696"/>
    <w:rsid w:val="00755D91"/>
    <w:rsid w:val="007574C3"/>
    <w:rsid w:val="00757659"/>
    <w:rsid w:val="00757852"/>
    <w:rsid w:val="007605F2"/>
    <w:rsid w:val="00760ADC"/>
    <w:rsid w:val="0076264E"/>
    <w:rsid w:val="00762883"/>
    <w:rsid w:val="00762A9C"/>
    <w:rsid w:val="00762CF5"/>
    <w:rsid w:val="007631BA"/>
    <w:rsid w:val="0076415D"/>
    <w:rsid w:val="007648AC"/>
    <w:rsid w:val="00765CF2"/>
    <w:rsid w:val="00766018"/>
    <w:rsid w:val="00767BB4"/>
    <w:rsid w:val="00770036"/>
    <w:rsid w:val="007700B9"/>
    <w:rsid w:val="007704C8"/>
    <w:rsid w:val="00770C85"/>
    <w:rsid w:val="00770DBD"/>
    <w:rsid w:val="007715BC"/>
    <w:rsid w:val="00771ABB"/>
    <w:rsid w:val="0077233C"/>
    <w:rsid w:val="007740A5"/>
    <w:rsid w:val="00774161"/>
    <w:rsid w:val="00775988"/>
    <w:rsid w:val="00775C4D"/>
    <w:rsid w:val="00776331"/>
    <w:rsid w:val="00776B2B"/>
    <w:rsid w:val="0077745B"/>
    <w:rsid w:val="007802DF"/>
    <w:rsid w:val="00780C0C"/>
    <w:rsid w:val="00781F72"/>
    <w:rsid w:val="007846CC"/>
    <w:rsid w:val="00785DBD"/>
    <w:rsid w:val="007863AC"/>
    <w:rsid w:val="00786C1F"/>
    <w:rsid w:val="0078793D"/>
    <w:rsid w:val="00787EFA"/>
    <w:rsid w:val="00787FD4"/>
    <w:rsid w:val="00790523"/>
    <w:rsid w:val="0079098F"/>
    <w:rsid w:val="00791B16"/>
    <w:rsid w:val="00791CD6"/>
    <w:rsid w:val="00791DE7"/>
    <w:rsid w:val="00792330"/>
    <w:rsid w:val="00792722"/>
    <w:rsid w:val="00792B5F"/>
    <w:rsid w:val="00793376"/>
    <w:rsid w:val="00793542"/>
    <w:rsid w:val="007935B5"/>
    <w:rsid w:val="0079392C"/>
    <w:rsid w:val="00793978"/>
    <w:rsid w:val="00794ADD"/>
    <w:rsid w:val="00796C18"/>
    <w:rsid w:val="00796C2E"/>
    <w:rsid w:val="00796F40"/>
    <w:rsid w:val="0079781E"/>
    <w:rsid w:val="007A0490"/>
    <w:rsid w:val="007A04DA"/>
    <w:rsid w:val="007A1E62"/>
    <w:rsid w:val="007A204C"/>
    <w:rsid w:val="007A2104"/>
    <w:rsid w:val="007A264D"/>
    <w:rsid w:val="007A29B8"/>
    <w:rsid w:val="007A2F4A"/>
    <w:rsid w:val="007A2F91"/>
    <w:rsid w:val="007A3BDD"/>
    <w:rsid w:val="007A44EF"/>
    <w:rsid w:val="007A4909"/>
    <w:rsid w:val="007A4F5F"/>
    <w:rsid w:val="007A4F8F"/>
    <w:rsid w:val="007A534A"/>
    <w:rsid w:val="007A540E"/>
    <w:rsid w:val="007A5799"/>
    <w:rsid w:val="007A5CBE"/>
    <w:rsid w:val="007A5F69"/>
    <w:rsid w:val="007A6008"/>
    <w:rsid w:val="007A644D"/>
    <w:rsid w:val="007A6C05"/>
    <w:rsid w:val="007A6CD6"/>
    <w:rsid w:val="007A721E"/>
    <w:rsid w:val="007A7443"/>
    <w:rsid w:val="007A7470"/>
    <w:rsid w:val="007A7680"/>
    <w:rsid w:val="007A7A8F"/>
    <w:rsid w:val="007A7EFB"/>
    <w:rsid w:val="007B0066"/>
    <w:rsid w:val="007B0305"/>
    <w:rsid w:val="007B03EF"/>
    <w:rsid w:val="007B04C1"/>
    <w:rsid w:val="007B1296"/>
    <w:rsid w:val="007B1739"/>
    <w:rsid w:val="007B1C54"/>
    <w:rsid w:val="007B1CDA"/>
    <w:rsid w:val="007B227D"/>
    <w:rsid w:val="007B279C"/>
    <w:rsid w:val="007B2DF4"/>
    <w:rsid w:val="007B3B06"/>
    <w:rsid w:val="007B3D03"/>
    <w:rsid w:val="007B56E1"/>
    <w:rsid w:val="007B5FA8"/>
    <w:rsid w:val="007B68D7"/>
    <w:rsid w:val="007B6AB3"/>
    <w:rsid w:val="007B6F8E"/>
    <w:rsid w:val="007B6FCE"/>
    <w:rsid w:val="007B77A4"/>
    <w:rsid w:val="007B7C27"/>
    <w:rsid w:val="007B7C4B"/>
    <w:rsid w:val="007C0D1B"/>
    <w:rsid w:val="007C0E51"/>
    <w:rsid w:val="007C17EC"/>
    <w:rsid w:val="007C1A5E"/>
    <w:rsid w:val="007C225F"/>
    <w:rsid w:val="007C26D2"/>
    <w:rsid w:val="007C3556"/>
    <w:rsid w:val="007C3705"/>
    <w:rsid w:val="007C3B1D"/>
    <w:rsid w:val="007C3E19"/>
    <w:rsid w:val="007C419A"/>
    <w:rsid w:val="007C4999"/>
    <w:rsid w:val="007C503E"/>
    <w:rsid w:val="007C5A6C"/>
    <w:rsid w:val="007C5B6B"/>
    <w:rsid w:val="007C6BD2"/>
    <w:rsid w:val="007C6BF1"/>
    <w:rsid w:val="007C710F"/>
    <w:rsid w:val="007C7CBC"/>
    <w:rsid w:val="007D0041"/>
    <w:rsid w:val="007D0B47"/>
    <w:rsid w:val="007D0CEC"/>
    <w:rsid w:val="007D0E75"/>
    <w:rsid w:val="007D206D"/>
    <w:rsid w:val="007D22BC"/>
    <w:rsid w:val="007D255D"/>
    <w:rsid w:val="007D25C1"/>
    <w:rsid w:val="007D33F5"/>
    <w:rsid w:val="007D3713"/>
    <w:rsid w:val="007D5452"/>
    <w:rsid w:val="007D641D"/>
    <w:rsid w:val="007D64EE"/>
    <w:rsid w:val="007D6A49"/>
    <w:rsid w:val="007E0203"/>
    <w:rsid w:val="007E0BC0"/>
    <w:rsid w:val="007E0BF9"/>
    <w:rsid w:val="007E12FB"/>
    <w:rsid w:val="007E16CA"/>
    <w:rsid w:val="007E262A"/>
    <w:rsid w:val="007E2ECA"/>
    <w:rsid w:val="007E400C"/>
    <w:rsid w:val="007E4031"/>
    <w:rsid w:val="007E45BC"/>
    <w:rsid w:val="007E4EE4"/>
    <w:rsid w:val="007E4F23"/>
    <w:rsid w:val="007E5049"/>
    <w:rsid w:val="007E54F9"/>
    <w:rsid w:val="007E6A80"/>
    <w:rsid w:val="007F0240"/>
    <w:rsid w:val="007F0B4F"/>
    <w:rsid w:val="007F1F73"/>
    <w:rsid w:val="007F3370"/>
    <w:rsid w:val="007F3D37"/>
    <w:rsid w:val="007F4137"/>
    <w:rsid w:val="007F4961"/>
    <w:rsid w:val="007F58AE"/>
    <w:rsid w:val="007F5928"/>
    <w:rsid w:val="007F5AA1"/>
    <w:rsid w:val="007F5FAD"/>
    <w:rsid w:val="007F61A3"/>
    <w:rsid w:val="007F6845"/>
    <w:rsid w:val="007F6C88"/>
    <w:rsid w:val="007F6DF0"/>
    <w:rsid w:val="007F74D1"/>
    <w:rsid w:val="00800A22"/>
    <w:rsid w:val="0080161E"/>
    <w:rsid w:val="00801FB3"/>
    <w:rsid w:val="008028B0"/>
    <w:rsid w:val="00803495"/>
    <w:rsid w:val="00803540"/>
    <w:rsid w:val="00803665"/>
    <w:rsid w:val="00803777"/>
    <w:rsid w:val="00803AC5"/>
    <w:rsid w:val="0080409F"/>
    <w:rsid w:val="0080422B"/>
    <w:rsid w:val="0080427C"/>
    <w:rsid w:val="00804534"/>
    <w:rsid w:val="00804D27"/>
    <w:rsid w:val="00805287"/>
    <w:rsid w:val="008059DD"/>
    <w:rsid w:val="0080746D"/>
    <w:rsid w:val="00807ADE"/>
    <w:rsid w:val="00810114"/>
    <w:rsid w:val="00810709"/>
    <w:rsid w:val="008113A0"/>
    <w:rsid w:val="00811A0C"/>
    <w:rsid w:val="00811CA2"/>
    <w:rsid w:val="00812059"/>
    <w:rsid w:val="00812113"/>
    <w:rsid w:val="00813AB5"/>
    <w:rsid w:val="00816414"/>
    <w:rsid w:val="00816CB0"/>
    <w:rsid w:val="0081749A"/>
    <w:rsid w:val="00817B26"/>
    <w:rsid w:val="008201E3"/>
    <w:rsid w:val="00821338"/>
    <w:rsid w:val="00821B4E"/>
    <w:rsid w:val="00821E81"/>
    <w:rsid w:val="00822913"/>
    <w:rsid w:val="00822C4F"/>
    <w:rsid w:val="00822E04"/>
    <w:rsid w:val="00823A73"/>
    <w:rsid w:val="00823B51"/>
    <w:rsid w:val="00823EBF"/>
    <w:rsid w:val="00824668"/>
    <w:rsid w:val="00824E3D"/>
    <w:rsid w:val="00825A81"/>
    <w:rsid w:val="00825B0F"/>
    <w:rsid w:val="00825EB5"/>
    <w:rsid w:val="00825FD2"/>
    <w:rsid w:val="00826057"/>
    <w:rsid w:val="00826939"/>
    <w:rsid w:val="00826C69"/>
    <w:rsid w:val="008275EE"/>
    <w:rsid w:val="00827DBB"/>
    <w:rsid w:val="00830839"/>
    <w:rsid w:val="00830C80"/>
    <w:rsid w:val="00830EBD"/>
    <w:rsid w:val="0083127D"/>
    <w:rsid w:val="00831EDC"/>
    <w:rsid w:val="0083212D"/>
    <w:rsid w:val="00832573"/>
    <w:rsid w:val="00832844"/>
    <w:rsid w:val="00832D4A"/>
    <w:rsid w:val="00833000"/>
    <w:rsid w:val="00833533"/>
    <w:rsid w:val="00833BF3"/>
    <w:rsid w:val="00833EB4"/>
    <w:rsid w:val="008340CB"/>
    <w:rsid w:val="0083522E"/>
    <w:rsid w:val="00835586"/>
    <w:rsid w:val="008359DE"/>
    <w:rsid w:val="00835A65"/>
    <w:rsid w:val="00836D09"/>
    <w:rsid w:val="00837121"/>
    <w:rsid w:val="008376A0"/>
    <w:rsid w:val="00840B31"/>
    <w:rsid w:val="00840F3B"/>
    <w:rsid w:val="0084207D"/>
    <w:rsid w:val="00842F05"/>
    <w:rsid w:val="00843074"/>
    <w:rsid w:val="00843E58"/>
    <w:rsid w:val="00843E9B"/>
    <w:rsid w:val="00844128"/>
    <w:rsid w:val="008441C1"/>
    <w:rsid w:val="0084474B"/>
    <w:rsid w:val="008447AB"/>
    <w:rsid w:val="00844A78"/>
    <w:rsid w:val="00845167"/>
    <w:rsid w:val="008465B7"/>
    <w:rsid w:val="008467FA"/>
    <w:rsid w:val="00846C82"/>
    <w:rsid w:val="00847B49"/>
    <w:rsid w:val="0085002A"/>
    <w:rsid w:val="00850BA0"/>
    <w:rsid w:val="008511BB"/>
    <w:rsid w:val="00851E68"/>
    <w:rsid w:val="00852816"/>
    <w:rsid w:val="008535D4"/>
    <w:rsid w:val="008545EA"/>
    <w:rsid w:val="00854B87"/>
    <w:rsid w:val="00855BCE"/>
    <w:rsid w:val="008565EF"/>
    <w:rsid w:val="00856702"/>
    <w:rsid w:val="00856976"/>
    <w:rsid w:val="00856D72"/>
    <w:rsid w:val="00856FCF"/>
    <w:rsid w:val="00857386"/>
    <w:rsid w:val="008573D4"/>
    <w:rsid w:val="0085765F"/>
    <w:rsid w:val="0086075F"/>
    <w:rsid w:val="00860D87"/>
    <w:rsid w:val="008617A8"/>
    <w:rsid w:val="0086195A"/>
    <w:rsid w:val="00861977"/>
    <w:rsid w:val="00861F28"/>
    <w:rsid w:val="008620B1"/>
    <w:rsid w:val="00862270"/>
    <w:rsid w:val="00863E6A"/>
    <w:rsid w:val="00864299"/>
    <w:rsid w:val="00865A37"/>
    <w:rsid w:val="00865BCE"/>
    <w:rsid w:val="00865F40"/>
    <w:rsid w:val="008661AA"/>
    <w:rsid w:val="008665D4"/>
    <w:rsid w:val="00867244"/>
    <w:rsid w:val="00870C61"/>
    <w:rsid w:val="00870D60"/>
    <w:rsid w:val="00871F04"/>
    <w:rsid w:val="00872FD5"/>
    <w:rsid w:val="00873419"/>
    <w:rsid w:val="00873628"/>
    <w:rsid w:val="00873B51"/>
    <w:rsid w:val="00874419"/>
    <w:rsid w:val="0087445E"/>
    <w:rsid w:val="00874AA3"/>
    <w:rsid w:val="008751D3"/>
    <w:rsid w:val="008756BC"/>
    <w:rsid w:val="00875D4F"/>
    <w:rsid w:val="00876C71"/>
    <w:rsid w:val="00876D7C"/>
    <w:rsid w:val="00877472"/>
    <w:rsid w:val="0087788B"/>
    <w:rsid w:val="008778CA"/>
    <w:rsid w:val="0088007B"/>
    <w:rsid w:val="00880207"/>
    <w:rsid w:val="00880672"/>
    <w:rsid w:val="008809E3"/>
    <w:rsid w:val="00880B25"/>
    <w:rsid w:val="00880DC5"/>
    <w:rsid w:val="0088146B"/>
    <w:rsid w:val="00881495"/>
    <w:rsid w:val="0088178A"/>
    <w:rsid w:val="008817F9"/>
    <w:rsid w:val="00882521"/>
    <w:rsid w:val="008832C0"/>
    <w:rsid w:val="00883B0F"/>
    <w:rsid w:val="008841A2"/>
    <w:rsid w:val="008842D5"/>
    <w:rsid w:val="008854C2"/>
    <w:rsid w:val="00885ACD"/>
    <w:rsid w:val="00885B4A"/>
    <w:rsid w:val="00885DE2"/>
    <w:rsid w:val="00885E06"/>
    <w:rsid w:val="00886025"/>
    <w:rsid w:val="00886031"/>
    <w:rsid w:val="0088717E"/>
    <w:rsid w:val="00887A91"/>
    <w:rsid w:val="00887D1B"/>
    <w:rsid w:val="00887DE9"/>
    <w:rsid w:val="00890D9F"/>
    <w:rsid w:val="00890EB3"/>
    <w:rsid w:val="00891099"/>
    <w:rsid w:val="008927F0"/>
    <w:rsid w:val="00892BB7"/>
    <w:rsid w:val="00894157"/>
    <w:rsid w:val="00894224"/>
    <w:rsid w:val="008942EF"/>
    <w:rsid w:val="008943F5"/>
    <w:rsid w:val="008945AD"/>
    <w:rsid w:val="00894F08"/>
    <w:rsid w:val="008954A4"/>
    <w:rsid w:val="00895B39"/>
    <w:rsid w:val="00895EFE"/>
    <w:rsid w:val="0089668A"/>
    <w:rsid w:val="00896BFC"/>
    <w:rsid w:val="00896EC6"/>
    <w:rsid w:val="008973CA"/>
    <w:rsid w:val="00897560"/>
    <w:rsid w:val="0089783C"/>
    <w:rsid w:val="00897C21"/>
    <w:rsid w:val="008A0386"/>
    <w:rsid w:val="008A0831"/>
    <w:rsid w:val="008A0E88"/>
    <w:rsid w:val="008A169E"/>
    <w:rsid w:val="008A1823"/>
    <w:rsid w:val="008A2520"/>
    <w:rsid w:val="008A320E"/>
    <w:rsid w:val="008A34D4"/>
    <w:rsid w:val="008A3923"/>
    <w:rsid w:val="008A3A1E"/>
    <w:rsid w:val="008A3C7F"/>
    <w:rsid w:val="008A3D82"/>
    <w:rsid w:val="008A4F0A"/>
    <w:rsid w:val="008A5424"/>
    <w:rsid w:val="008A605C"/>
    <w:rsid w:val="008A658C"/>
    <w:rsid w:val="008A74F7"/>
    <w:rsid w:val="008A7B9D"/>
    <w:rsid w:val="008A7E5A"/>
    <w:rsid w:val="008B0261"/>
    <w:rsid w:val="008B02AE"/>
    <w:rsid w:val="008B05B8"/>
    <w:rsid w:val="008B0CF7"/>
    <w:rsid w:val="008B0EBB"/>
    <w:rsid w:val="008B104F"/>
    <w:rsid w:val="008B12A9"/>
    <w:rsid w:val="008B15FC"/>
    <w:rsid w:val="008B1B1E"/>
    <w:rsid w:val="008B2074"/>
    <w:rsid w:val="008B2865"/>
    <w:rsid w:val="008B4B19"/>
    <w:rsid w:val="008B5E2B"/>
    <w:rsid w:val="008B6951"/>
    <w:rsid w:val="008B6BDF"/>
    <w:rsid w:val="008B7036"/>
    <w:rsid w:val="008B7822"/>
    <w:rsid w:val="008B7D62"/>
    <w:rsid w:val="008B7F0B"/>
    <w:rsid w:val="008B7FE0"/>
    <w:rsid w:val="008C0797"/>
    <w:rsid w:val="008C0B2C"/>
    <w:rsid w:val="008C1A1D"/>
    <w:rsid w:val="008C1A3C"/>
    <w:rsid w:val="008C1E41"/>
    <w:rsid w:val="008C1FA3"/>
    <w:rsid w:val="008C2299"/>
    <w:rsid w:val="008C2759"/>
    <w:rsid w:val="008C2AA9"/>
    <w:rsid w:val="008C2CCA"/>
    <w:rsid w:val="008C308B"/>
    <w:rsid w:val="008C3DA6"/>
    <w:rsid w:val="008C4165"/>
    <w:rsid w:val="008C4276"/>
    <w:rsid w:val="008C48DA"/>
    <w:rsid w:val="008C4EB2"/>
    <w:rsid w:val="008C4FBE"/>
    <w:rsid w:val="008C59C7"/>
    <w:rsid w:val="008C5F69"/>
    <w:rsid w:val="008C62EB"/>
    <w:rsid w:val="008C6830"/>
    <w:rsid w:val="008C7844"/>
    <w:rsid w:val="008C7F84"/>
    <w:rsid w:val="008D0CD3"/>
    <w:rsid w:val="008D1070"/>
    <w:rsid w:val="008D270A"/>
    <w:rsid w:val="008D310A"/>
    <w:rsid w:val="008D36D4"/>
    <w:rsid w:val="008D3D6A"/>
    <w:rsid w:val="008D44C6"/>
    <w:rsid w:val="008D47C9"/>
    <w:rsid w:val="008D49FA"/>
    <w:rsid w:val="008D4A86"/>
    <w:rsid w:val="008D4AC0"/>
    <w:rsid w:val="008D4B28"/>
    <w:rsid w:val="008D4C57"/>
    <w:rsid w:val="008D4E83"/>
    <w:rsid w:val="008D5559"/>
    <w:rsid w:val="008D5B61"/>
    <w:rsid w:val="008D5D4E"/>
    <w:rsid w:val="008D6184"/>
    <w:rsid w:val="008D658C"/>
    <w:rsid w:val="008D6BE7"/>
    <w:rsid w:val="008D6E08"/>
    <w:rsid w:val="008D70ED"/>
    <w:rsid w:val="008D716A"/>
    <w:rsid w:val="008D723D"/>
    <w:rsid w:val="008D7CD6"/>
    <w:rsid w:val="008E07C4"/>
    <w:rsid w:val="008E1A71"/>
    <w:rsid w:val="008E1ABE"/>
    <w:rsid w:val="008E2095"/>
    <w:rsid w:val="008E28C4"/>
    <w:rsid w:val="008E2BBE"/>
    <w:rsid w:val="008E2C7E"/>
    <w:rsid w:val="008E2CE6"/>
    <w:rsid w:val="008E2F90"/>
    <w:rsid w:val="008E31EC"/>
    <w:rsid w:val="008E34BB"/>
    <w:rsid w:val="008E43A8"/>
    <w:rsid w:val="008E459E"/>
    <w:rsid w:val="008E4C6E"/>
    <w:rsid w:val="008E4E9D"/>
    <w:rsid w:val="008E547E"/>
    <w:rsid w:val="008E548C"/>
    <w:rsid w:val="008E65E1"/>
    <w:rsid w:val="008E69E5"/>
    <w:rsid w:val="008E7B13"/>
    <w:rsid w:val="008E7CC7"/>
    <w:rsid w:val="008F048A"/>
    <w:rsid w:val="008F080C"/>
    <w:rsid w:val="008F09E1"/>
    <w:rsid w:val="008F10D2"/>
    <w:rsid w:val="008F1671"/>
    <w:rsid w:val="008F1B80"/>
    <w:rsid w:val="008F2A79"/>
    <w:rsid w:val="008F2E57"/>
    <w:rsid w:val="008F357C"/>
    <w:rsid w:val="008F3D8D"/>
    <w:rsid w:val="008F4A8C"/>
    <w:rsid w:val="008F5140"/>
    <w:rsid w:val="008F53B5"/>
    <w:rsid w:val="008F64D6"/>
    <w:rsid w:val="008F71D4"/>
    <w:rsid w:val="008F76F2"/>
    <w:rsid w:val="008F7F19"/>
    <w:rsid w:val="00900055"/>
    <w:rsid w:val="009006AA"/>
    <w:rsid w:val="0090129C"/>
    <w:rsid w:val="009017B8"/>
    <w:rsid w:val="00901975"/>
    <w:rsid w:val="00901D92"/>
    <w:rsid w:val="009022F1"/>
    <w:rsid w:val="0090233C"/>
    <w:rsid w:val="00902722"/>
    <w:rsid w:val="0090324F"/>
    <w:rsid w:val="00903458"/>
    <w:rsid w:val="00903BC3"/>
    <w:rsid w:val="00903DF4"/>
    <w:rsid w:val="00903F33"/>
    <w:rsid w:val="00904339"/>
    <w:rsid w:val="009048B6"/>
    <w:rsid w:val="00905321"/>
    <w:rsid w:val="00905624"/>
    <w:rsid w:val="0090758F"/>
    <w:rsid w:val="00907922"/>
    <w:rsid w:val="00907BC2"/>
    <w:rsid w:val="00907BD9"/>
    <w:rsid w:val="00910E8F"/>
    <w:rsid w:val="00911BD7"/>
    <w:rsid w:val="00911EA6"/>
    <w:rsid w:val="0091249C"/>
    <w:rsid w:val="0091262A"/>
    <w:rsid w:val="00912C90"/>
    <w:rsid w:val="00913059"/>
    <w:rsid w:val="0091321D"/>
    <w:rsid w:val="0091397D"/>
    <w:rsid w:val="00913D69"/>
    <w:rsid w:val="00913E56"/>
    <w:rsid w:val="00914A23"/>
    <w:rsid w:val="00914C39"/>
    <w:rsid w:val="00916121"/>
    <w:rsid w:val="009164D1"/>
    <w:rsid w:val="00917344"/>
    <w:rsid w:val="00917E79"/>
    <w:rsid w:val="00920CB9"/>
    <w:rsid w:val="0092117D"/>
    <w:rsid w:val="0092131F"/>
    <w:rsid w:val="00921B99"/>
    <w:rsid w:val="00921C6A"/>
    <w:rsid w:val="00921F4C"/>
    <w:rsid w:val="00922247"/>
    <w:rsid w:val="009224E3"/>
    <w:rsid w:val="009234FF"/>
    <w:rsid w:val="0092439C"/>
    <w:rsid w:val="009243CC"/>
    <w:rsid w:val="00924666"/>
    <w:rsid w:val="00924AB4"/>
    <w:rsid w:val="00924FEA"/>
    <w:rsid w:val="009257E0"/>
    <w:rsid w:val="00925F25"/>
    <w:rsid w:val="009264D9"/>
    <w:rsid w:val="009267D2"/>
    <w:rsid w:val="00926CFA"/>
    <w:rsid w:val="009272E6"/>
    <w:rsid w:val="00927B24"/>
    <w:rsid w:val="00927C9F"/>
    <w:rsid w:val="00927F8E"/>
    <w:rsid w:val="00930224"/>
    <w:rsid w:val="009302B5"/>
    <w:rsid w:val="00930324"/>
    <w:rsid w:val="009306E2"/>
    <w:rsid w:val="00930BBD"/>
    <w:rsid w:val="00930E82"/>
    <w:rsid w:val="00931488"/>
    <w:rsid w:val="009316E3"/>
    <w:rsid w:val="00932DB6"/>
    <w:rsid w:val="00932E6C"/>
    <w:rsid w:val="0093304F"/>
    <w:rsid w:val="00933D14"/>
    <w:rsid w:val="00933FE0"/>
    <w:rsid w:val="009348B6"/>
    <w:rsid w:val="00934BFE"/>
    <w:rsid w:val="00935672"/>
    <w:rsid w:val="00935FA4"/>
    <w:rsid w:val="0093677D"/>
    <w:rsid w:val="00937D6A"/>
    <w:rsid w:val="009405BF"/>
    <w:rsid w:val="00940AF4"/>
    <w:rsid w:val="0094179F"/>
    <w:rsid w:val="00942493"/>
    <w:rsid w:val="009424F4"/>
    <w:rsid w:val="00942785"/>
    <w:rsid w:val="00943237"/>
    <w:rsid w:val="00943C3D"/>
    <w:rsid w:val="0094407A"/>
    <w:rsid w:val="0094420A"/>
    <w:rsid w:val="009449D3"/>
    <w:rsid w:val="00944AD0"/>
    <w:rsid w:val="00944D53"/>
    <w:rsid w:val="00944DDC"/>
    <w:rsid w:val="00945052"/>
    <w:rsid w:val="009451CD"/>
    <w:rsid w:val="009453BA"/>
    <w:rsid w:val="00945BF2"/>
    <w:rsid w:val="00946220"/>
    <w:rsid w:val="00946AAC"/>
    <w:rsid w:val="00947054"/>
    <w:rsid w:val="009479D2"/>
    <w:rsid w:val="009479DC"/>
    <w:rsid w:val="00947D50"/>
    <w:rsid w:val="00950480"/>
    <w:rsid w:val="00950EEE"/>
    <w:rsid w:val="009512DB"/>
    <w:rsid w:val="0095226F"/>
    <w:rsid w:val="00952E2D"/>
    <w:rsid w:val="009540DA"/>
    <w:rsid w:val="00954F75"/>
    <w:rsid w:val="0095546D"/>
    <w:rsid w:val="0095646A"/>
    <w:rsid w:val="00960D1C"/>
    <w:rsid w:val="00962437"/>
    <w:rsid w:val="00962819"/>
    <w:rsid w:val="00962887"/>
    <w:rsid w:val="00962A0C"/>
    <w:rsid w:val="00962DC9"/>
    <w:rsid w:val="00963BE8"/>
    <w:rsid w:val="00963FD6"/>
    <w:rsid w:val="00964311"/>
    <w:rsid w:val="00965718"/>
    <w:rsid w:val="00966DE1"/>
    <w:rsid w:val="00966F6F"/>
    <w:rsid w:val="00967462"/>
    <w:rsid w:val="00967D9E"/>
    <w:rsid w:val="00970550"/>
    <w:rsid w:val="00970961"/>
    <w:rsid w:val="00970C01"/>
    <w:rsid w:val="00970C39"/>
    <w:rsid w:val="009712AC"/>
    <w:rsid w:val="009717ED"/>
    <w:rsid w:val="009723B0"/>
    <w:rsid w:val="00972470"/>
    <w:rsid w:val="00973258"/>
    <w:rsid w:val="00973573"/>
    <w:rsid w:val="009735BC"/>
    <w:rsid w:val="00974093"/>
    <w:rsid w:val="00974427"/>
    <w:rsid w:val="00975A80"/>
    <w:rsid w:val="00975A8C"/>
    <w:rsid w:val="009770F2"/>
    <w:rsid w:val="00977271"/>
    <w:rsid w:val="0097750B"/>
    <w:rsid w:val="00977708"/>
    <w:rsid w:val="00977D0A"/>
    <w:rsid w:val="009802A7"/>
    <w:rsid w:val="009805C1"/>
    <w:rsid w:val="00980C0E"/>
    <w:rsid w:val="00980D60"/>
    <w:rsid w:val="00981470"/>
    <w:rsid w:val="00981C39"/>
    <w:rsid w:val="0098207A"/>
    <w:rsid w:val="00982565"/>
    <w:rsid w:val="00982721"/>
    <w:rsid w:val="00982A2C"/>
    <w:rsid w:val="00982F58"/>
    <w:rsid w:val="009834C3"/>
    <w:rsid w:val="00984754"/>
    <w:rsid w:val="00985563"/>
    <w:rsid w:val="009865EA"/>
    <w:rsid w:val="00986A12"/>
    <w:rsid w:val="00986E8A"/>
    <w:rsid w:val="00986FEC"/>
    <w:rsid w:val="009874DD"/>
    <w:rsid w:val="009876AF"/>
    <w:rsid w:val="00987899"/>
    <w:rsid w:val="00987B90"/>
    <w:rsid w:val="00990804"/>
    <w:rsid w:val="00990B52"/>
    <w:rsid w:val="00990B7B"/>
    <w:rsid w:val="00990B9C"/>
    <w:rsid w:val="00990D54"/>
    <w:rsid w:val="009910FE"/>
    <w:rsid w:val="00991ABD"/>
    <w:rsid w:val="009921B0"/>
    <w:rsid w:val="00992C4B"/>
    <w:rsid w:val="00993203"/>
    <w:rsid w:val="00993559"/>
    <w:rsid w:val="009937D5"/>
    <w:rsid w:val="00993982"/>
    <w:rsid w:val="00993E8E"/>
    <w:rsid w:val="00993EBC"/>
    <w:rsid w:val="00994612"/>
    <w:rsid w:val="00994A38"/>
    <w:rsid w:val="00994D94"/>
    <w:rsid w:val="009954BC"/>
    <w:rsid w:val="009954CA"/>
    <w:rsid w:val="009959E3"/>
    <w:rsid w:val="00995B59"/>
    <w:rsid w:val="00996926"/>
    <w:rsid w:val="009969A9"/>
    <w:rsid w:val="00996CFD"/>
    <w:rsid w:val="00996F9E"/>
    <w:rsid w:val="00997C9A"/>
    <w:rsid w:val="009A00F5"/>
    <w:rsid w:val="009A15E2"/>
    <w:rsid w:val="009A323C"/>
    <w:rsid w:val="009A3387"/>
    <w:rsid w:val="009A3B6F"/>
    <w:rsid w:val="009A4415"/>
    <w:rsid w:val="009A4ADB"/>
    <w:rsid w:val="009A5325"/>
    <w:rsid w:val="009A55B6"/>
    <w:rsid w:val="009A5908"/>
    <w:rsid w:val="009A5EFE"/>
    <w:rsid w:val="009A7E5B"/>
    <w:rsid w:val="009B02FD"/>
    <w:rsid w:val="009B0D30"/>
    <w:rsid w:val="009B19A7"/>
    <w:rsid w:val="009B1ECE"/>
    <w:rsid w:val="009B206B"/>
    <w:rsid w:val="009B22F9"/>
    <w:rsid w:val="009B250A"/>
    <w:rsid w:val="009B2B8B"/>
    <w:rsid w:val="009B2BF0"/>
    <w:rsid w:val="009B2DCB"/>
    <w:rsid w:val="009B3801"/>
    <w:rsid w:val="009B3AE6"/>
    <w:rsid w:val="009B46D6"/>
    <w:rsid w:val="009B5641"/>
    <w:rsid w:val="009B5790"/>
    <w:rsid w:val="009B5A78"/>
    <w:rsid w:val="009B5FA4"/>
    <w:rsid w:val="009B5FFB"/>
    <w:rsid w:val="009B60BF"/>
    <w:rsid w:val="009B6395"/>
    <w:rsid w:val="009B6831"/>
    <w:rsid w:val="009B6A13"/>
    <w:rsid w:val="009B7078"/>
    <w:rsid w:val="009B71D3"/>
    <w:rsid w:val="009B7D2A"/>
    <w:rsid w:val="009C011F"/>
    <w:rsid w:val="009C1101"/>
    <w:rsid w:val="009C1B6A"/>
    <w:rsid w:val="009C22ED"/>
    <w:rsid w:val="009C2C71"/>
    <w:rsid w:val="009C45D6"/>
    <w:rsid w:val="009C4B01"/>
    <w:rsid w:val="009C4D8B"/>
    <w:rsid w:val="009C5286"/>
    <w:rsid w:val="009C552D"/>
    <w:rsid w:val="009C5544"/>
    <w:rsid w:val="009C5788"/>
    <w:rsid w:val="009C5820"/>
    <w:rsid w:val="009C61C7"/>
    <w:rsid w:val="009C64AA"/>
    <w:rsid w:val="009C6CC0"/>
    <w:rsid w:val="009C6E3C"/>
    <w:rsid w:val="009D012C"/>
    <w:rsid w:val="009D07B0"/>
    <w:rsid w:val="009D11A9"/>
    <w:rsid w:val="009D16A6"/>
    <w:rsid w:val="009D218A"/>
    <w:rsid w:val="009D283B"/>
    <w:rsid w:val="009D2BD6"/>
    <w:rsid w:val="009D33A8"/>
    <w:rsid w:val="009D3604"/>
    <w:rsid w:val="009D37E8"/>
    <w:rsid w:val="009D3C77"/>
    <w:rsid w:val="009D440C"/>
    <w:rsid w:val="009D447D"/>
    <w:rsid w:val="009D455E"/>
    <w:rsid w:val="009D479B"/>
    <w:rsid w:val="009D4C87"/>
    <w:rsid w:val="009D4EFF"/>
    <w:rsid w:val="009D5464"/>
    <w:rsid w:val="009D54A1"/>
    <w:rsid w:val="009D59E4"/>
    <w:rsid w:val="009D63ED"/>
    <w:rsid w:val="009D6734"/>
    <w:rsid w:val="009D7548"/>
    <w:rsid w:val="009D7D4F"/>
    <w:rsid w:val="009E0851"/>
    <w:rsid w:val="009E0F48"/>
    <w:rsid w:val="009E108F"/>
    <w:rsid w:val="009E10D5"/>
    <w:rsid w:val="009E18E3"/>
    <w:rsid w:val="009E1B55"/>
    <w:rsid w:val="009E30FE"/>
    <w:rsid w:val="009E3A78"/>
    <w:rsid w:val="009E3D35"/>
    <w:rsid w:val="009E45FA"/>
    <w:rsid w:val="009E536C"/>
    <w:rsid w:val="009E5B54"/>
    <w:rsid w:val="009E6249"/>
    <w:rsid w:val="009E6D2F"/>
    <w:rsid w:val="009E74ED"/>
    <w:rsid w:val="009E788A"/>
    <w:rsid w:val="009E7941"/>
    <w:rsid w:val="009E7C10"/>
    <w:rsid w:val="009E7D56"/>
    <w:rsid w:val="009F01DA"/>
    <w:rsid w:val="009F062D"/>
    <w:rsid w:val="009F0C70"/>
    <w:rsid w:val="009F2B72"/>
    <w:rsid w:val="009F315C"/>
    <w:rsid w:val="009F351F"/>
    <w:rsid w:val="009F36D4"/>
    <w:rsid w:val="009F4D02"/>
    <w:rsid w:val="009F546A"/>
    <w:rsid w:val="009F5B6C"/>
    <w:rsid w:val="009F61F1"/>
    <w:rsid w:val="009F6F76"/>
    <w:rsid w:val="009F70AC"/>
    <w:rsid w:val="009F7346"/>
    <w:rsid w:val="009F7851"/>
    <w:rsid w:val="00A000AD"/>
    <w:rsid w:val="00A00C53"/>
    <w:rsid w:val="00A00EF1"/>
    <w:rsid w:val="00A01202"/>
    <w:rsid w:val="00A0161A"/>
    <w:rsid w:val="00A021A9"/>
    <w:rsid w:val="00A02366"/>
    <w:rsid w:val="00A02E6D"/>
    <w:rsid w:val="00A03AEA"/>
    <w:rsid w:val="00A03D59"/>
    <w:rsid w:val="00A04175"/>
    <w:rsid w:val="00A0440E"/>
    <w:rsid w:val="00A0488F"/>
    <w:rsid w:val="00A04A9C"/>
    <w:rsid w:val="00A04DAA"/>
    <w:rsid w:val="00A058F0"/>
    <w:rsid w:val="00A05971"/>
    <w:rsid w:val="00A05AD7"/>
    <w:rsid w:val="00A05EA9"/>
    <w:rsid w:val="00A061CE"/>
    <w:rsid w:val="00A06222"/>
    <w:rsid w:val="00A06C32"/>
    <w:rsid w:val="00A070F9"/>
    <w:rsid w:val="00A0747A"/>
    <w:rsid w:val="00A07660"/>
    <w:rsid w:val="00A079EC"/>
    <w:rsid w:val="00A103AC"/>
    <w:rsid w:val="00A10452"/>
    <w:rsid w:val="00A10BAF"/>
    <w:rsid w:val="00A111C7"/>
    <w:rsid w:val="00A114C9"/>
    <w:rsid w:val="00A11662"/>
    <w:rsid w:val="00A11E2E"/>
    <w:rsid w:val="00A11E48"/>
    <w:rsid w:val="00A128C3"/>
    <w:rsid w:val="00A12A5E"/>
    <w:rsid w:val="00A12CAE"/>
    <w:rsid w:val="00A12E51"/>
    <w:rsid w:val="00A13406"/>
    <w:rsid w:val="00A13ECD"/>
    <w:rsid w:val="00A14E4A"/>
    <w:rsid w:val="00A152ED"/>
    <w:rsid w:val="00A1592C"/>
    <w:rsid w:val="00A15DBF"/>
    <w:rsid w:val="00A165EF"/>
    <w:rsid w:val="00A16982"/>
    <w:rsid w:val="00A1705F"/>
    <w:rsid w:val="00A17B71"/>
    <w:rsid w:val="00A2006E"/>
    <w:rsid w:val="00A21792"/>
    <w:rsid w:val="00A21D7E"/>
    <w:rsid w:val="00A21DCA"/>
    <w:rsid w:val="00A2236C"/>
    <w:rsid w:val="00A226CE"/>
    <w:rsid w:val="00A22DA1"/>
    <w:rsid w:val="00A22E27"/>
    <w:rsid w:val="00A2347C"/>
    <w:rsid w:val="00A23A77"/>
    <w:rsid w:val="00A2471F"/>
    <w:rsid w:val="00A24932"/>
    <w:rsid w:val="00A24A70"/>
    <w:rsid w:val="00A24C9B"/>
    <w:rsid w:val="00A2554C"/>
    <w:rsid w:val="00A255A3"/>
    <w:rsid w:val="00A25E51"/>
    <w:rsid w:val="00A25FEF"/>
    <w:rsid w:val="00A261D5"/>
    <w:rsid w:val="00A271B8"/>
    <w:rsid w:val="00A274B6"/>
    <w:rsid w:val="00A2757E"/>
    <w:rsid w:val="00A27B59"/>
    <w:rsid w:val="00A3044B"/>
    <w:rsid w:val="00A30688"/>
    <w:rsid w:val="00A30F60"/>
    <w:rsid w:val="00A3138B"/>
    <w:rsid w:val="00A31505"/>
    <w:rsid w:val="00A318FD"/>
    <w:rsid w:val="00A31ADD"/>
    <w:rsid w:val="00A31C0E"/>
    <w:rsid w:val="00A31DDA"/>
    <w:rsid w:val="00A32B7B"/>
    <w:rsid w:val="00A32E96"/>
    <w:rsid w:val="00A33CEF"/>
    <w:rsid w:val="00A34947"/>
    <w:rsid w:val="00A34BC1"/>
    <w:rsid w:val="00A34E29"/>
    <w:rsid w:val="00A35E24"/>
    <w:rsid w:val="00A36041"/>
    <w:rsid w:val="00A362E5"/>
    <w:rsid w:val="00A36ED4"/>
    <w:rsid w:val="00A36F50"/>
    <w:rsid w:val="00A36FA6"/>
    <w:rsid w:val="00A370A4"/>
    <w:rsid w:val="00A3721B"/>
    <w:rsid w:val="00A37F38"/>
    <w:rsid w:val="00A4046A"/>
    <w:rsid w:val="00A412A7"/>
    <w:rsid w:val="00A4133A"/>
    <w:rsid w:val="00A41815"/>
    <w:rsid w:val="00A41BE8"/>
    <w:rsid w:val="00A41E57"/>
    <w:rsid w:val="00A421E0"/>
    <w:rsid w:val="00A42338"/>
    <w:rsid w:val="00A42C0D"/>
    <w:rsid w:val="00A43433"/>
    <w:rsid w:val="00A44E1B"/>
    <w:rsid w:val="00A44E74"/>
    <w:rsid w:val="00A46209"/>
    <w:rsid w:val="00A47CA3"/>
    <w:rsid w:val="00A47EC0"/>
    <w:rsid w:val="00A5027E"/>
    <w:rsid w:val="00A502F3"/>
    <w:rsid w:val="00A50938"/>
    <w:rsid w:val="00A50E05"/>
    <w:rsid w:val="00A51AAE"/>
    <w:rsid w:val="00A51B01"/>
    <w:rsid w:val="00A5222C"/>
    <w:rsid w:val="00A524A7"/>
    <w:rsid w:val="00A52BE8"/>
    <w:rsid w:val="00A52FD2"/>
    <w:rsid w:val="00A53296"/>
    <w:rsid w:val="00A537A1"/>
    <w:rsid w:val="00A5484F"/>
    <w:rsid w:val="00A54BAA"/>
    <w:rsid w:val="00A54D37"/>
    <w:rsid w:val="00A5692A"/>
    <w:rsid w:val="00A56B59"/>
    <w:rsid w:val="00A571F5"/>
    <w:rsid w:val="00A57506"/>
    <w:rsid w:val="00A57B48"/>
    <w:rsid w:val="00A601BC"/>
    <w:rsid w:val="00A60525"/>
    <w:rsid w:val="00A60621"/>
    <w:rsid w:val="00A60DC8"/>
    <w:rsid w:val="00A6122D"/>
    <w:rsid w:val="00A614C9"/>
    <w:rsid w:val="00A61AFE"/>
    <w:rsid w:val="00A61D95"/>
    <w:rsid w:val="00A621DA"/>
    <w:rsid w:val="00A62C67"/>
    <w:rsid w:val="00A63B67"/>
    <w:rsid w:val="00A63DA5"/>
    <w:rsid w:val="00A63E2A"/>
    <w:rsid w:val="00A64A2C"/>
    <w:rsid w:val="00A64C05"/>
    <w:rsid w:val="00A65AEA"/>
    <w:rsid w:val="00A65FE6"/>
    <w:rsid w:val="00A66457"/>
    <w:rsid w:val="00A66A1F"/>
    <w:rsid w:val="00A66B62"/>
    <w:rsid w:val="00A66BF2"/>
    <w:rsid w:val="00A66D96"/>
    <w:rsid w:val="00A670B4"/>
    <w:rsid w:val="00A671CF"/>
    <w:rsid w:val="00A67A54"/>
    <w:rsid w:val="00A700F4"/>
    <w:rsid w:val="00A70752"/>
    <w:rsid w:val="00A70FA8"/>
    <w:rsid w:val="00A71216"/>
    <w:rsid w:val="00A71C1C"/>
    <w:rsid w:val="00A72460"/>
    <w:rsid w:val="00A72736"/>
    <w:rsid w:val="00A73C18"/>
    <w:rsid w:val="00A7437C"/>
    <w:rsid w:val="00A7442F"/>
    <w:rsid w:val="00A74F5B"/>
    <w:rsid w:val="00A75BE1"/>
    <w:rsid w:val="00A75CD5"/>
    <w:rsid w:val="00A76980"/>
    <w:rsid w:val="00A76DF7"/>
    <w:rsid w:val="00A775A8"/>
    <w:rsid w:val="00A7789B"/>
    <w:rsid w:val="00A77906"/>
    <w:rsid w:val="00A77C2E"/>
    <w:rsid w:val="00A77F72"/>
    <w:rsid w:val="00A8021A"/>
    <w:rsid w:val="00A80476"/>
    <w:rsid w:val="00A80B09"/>
    <w:rsid w:val="00A81553"/>
    <w:rsid w:val="00A81B57"/>
    <w:rsid w:val="00A825CE"/>
    <w:rsid w:val="00A83AC2"/>
    <w:rsid w:val="00A840AC"/>
    <w:rsid w:val="00A84A97"/>
    <w:rsid w:val="00A850BD"/>
    <w:rsid w:val="00A8584A"/>
    <w:rsid w:val="00A858DA"/>
    <w:rsid w:val="00A861B9"/>
    <w:rsid w:val="00A865A5"/>
    <w:rsid w:val="00A8703A"/>
    <w:rsid w:val="00A8708A"/>
    <w:rsid w:val="00A872EB"/>
    <w:rsid w:val="00A8730E"/>
    <w:rsid w:val="00A8752B"/>
    <w:rsid w:val="00A87D57"/>
    <w:rsid w:val="00A87E7A"/>
    <w:rsid w:val="00A90966"/>
    <w:rsid w:val="00A9191E"/>
    <w:rsid w:val="00A9229C"/>
    <w:rsid w:val="00A92925"/>
    <w:rsid w:val="00A92DEA"/>
    <w:rsid w:val="00A931D7"/>
    <w:rsid w:val="00A9341D"/>
    <w:rsid w:val="00A93517"/>
    <w:rsid w:val="00A9394E"/>
    <w:rsid w:val="00A939BE"/>
    <w:rsid w:val="00A942DD"/>
    <w:rsid w:val="00A94B2D"/>
    <w:rsid w:val="00A94E54"/>
    <w:rsid w:val="00A95CFD"/>
    <w:rsid w:val="00A95D7B"/>
    <w:rsid w:val="00A95EE9"/>
    <w:rsid w:val="00A965F4"/>
    <w:rsid w:val="00A97D5F"/>
    <w:rsid w:val="00A97F01"/>
    <w:rsid w:val="00AA06ED"/>
    <w:rsid w:val="00AA1100"/>
    <w:rsid w:val="00AA140A"/>
    <w:rsid w:val="00AA1775"/>
    <w:rsid w:val="00AA1ED7"/>
    <w:rsid w:val="00AA3100"/>
    <w:rsid w:val="00AA3112"/>
    <w:rsid w:val="00AA3430"/>
    <w:rsid w:val="00AA4300"/>
    <w:rsid w:val="00AA4A32"/>
    <w:rsid w:val="00AA5343"/>
    <w:rsid w:val="00AA5B08"/>
    <w:rsid w:val="00AA5B7A"/>
    <w:rsid w:val="00AA62B7"/>
    <w:rsid w:val="00AA664F"/>
    <w:rsid w:val="00AA7644"/>
    <w:rsid w:val="00AA767B"/>
    <w:rsid w:val="00AA7A73"/>
    <w:rsid w:val="00AB109F"/>
    <w:rsid w:val="00AB1A2A"/>
    <w:rsid w:val="00AB1C6B"/>
    <w:rsid w:val="00AB254C"/>
    <w:rsid w:val="00AB2F47"/>
    <w:rsid w:val="00AB4228"/>
    <w:rsid w:val="00AB47C2"/>
    <w:rsid w:val="00AB47E2"/>
    <w:rsid w:val="00AB4AB6"/>
    <w:rsid w:val="00AB4CFF"/>
    <w:rsid w:val="00AB4D51"/>
    <w:rsid w:val="00AB5211"/>
    <w:rsid w:val="00AB54D3"/>
    <w:rsid w:val="00AB5610"/>
    <w:rsid w:val="00AB5A2D"/>
    <w:rsid w:val="00AB5E97"/>
    <w:rsid w:val="00AB6831"/>
    <w:rsid w:val="00AB6F33"/>
    <w:rsid w:val="00AB7A9A"/>
    <w:rsid w:val="00AC14D9"/>
    <w:rsid w:val="00AC15E2"/>
    <w:rsid w:val="00AC1667"/>
    <w:rsid w:val="00AC1C9C"/>
    <w:rsid w:val="00AC2106"/>
    <w:rsid w:val="00AC26CC"/>
    <w:rsid w:val="00AC26E2"/>
    <w:rsid w:val="00AC2835"/>
    <w:rsid w:val="00AC2FFC"/>
    <w:rsid w:val="00AC3A34"/>
    <w:rsid w:val="00AC40D7"/>
    <w:rsid w:val="00AC4632"/>
    <w:rsid w:val="00AC4C93"/>
    <w:rsid w:val="00AC4CE3"/>
    <w:rsid w:val="00AC4D02"/>
    <w:rsid w:val="00AC4D4B"/>
    <w:rsid w:val="00AC5266"/>
    <w:rsid w:val="00AC596C"/>
    <w:rsid w:val="00AC5A54"/>
    <w:rsid w:val="00AC707B"/>
    <w:rsid w:val="00AC7295"/>
    <w:rsid w:val="00AD023D"/>
    <w:rsid w:val="00AD07CC"/>
    <w:rsid w:val="00AD15CA"/>
    <w:rsid w:val="00AD3322"/>
    <w:rsid w:val="00AD3485"/>
    <w:rsid w:val="00AD4ADC"/>
    <w:rsid w:val="00AD4BFC"/>
    <w:rsid w:val="00AD539F"/>
    <w:rsid w:val="00AD5921"/>
    <w:rsid w:val="00AD5B7D"/>
    <w:rsid w:val="00AD5C6E"/>
    <w:rsid w:val="00AD62BD"/>
    <w:rsid w:val="00AD65F5"/>
    <w:rsid w:val="00AD6BDE"/>
    <w:rsid w:val="00AD6DCE"/>
    <w:rsid w:val="00AD71E0"/>
    <w:rsid w:val="00AD7980"/>
    <w:rsid w:val="00AD7B24"/>
    <w:rsid w:val="00AE001F"/>
    <w:rsid w:val="00AE0C9D"/>
    <w:rsid w:val="00AE100B"/>
    <w:rsid w:val="00AE1C3F"/>
    <w:rsid w:val="00AE3979"/>
    <w:rsid w:val="00AE3A19"/>
    <w:rsid w:val="00AE3D36"/>
    <w:rsid w:val="00AE3D45"/>
    <w:rsid w:val="00AE4AEB"/>
    <w:rsid w:val="00AE4E0F"/>
    <w:rsid w:val="00AE5250"/>
    <w:rsid w:val="00AE6948"/>
    <w:rsid w:val="00AF03F3"/>
    <w:rsid w:val="00AF0716"/>
    <w:rsid w:val="00AF1140"/>
    <w:rsid w:val="00AF1473"/>
    <w:rsid w:val="00AF2776"/>
    <w:rsid w:val="00AF29A2"/>
    <w:rsid w:val="00AF2B06"/>
    <w:rsid w:val="00AF3951"/>
    <w:rsid w:val="00AF3A5E"/>
    <w:rsid w:val="00AF3F16"/>
    <w:rsid w:val="00AF41D6"/>
    <w:rsid w:val="00AF42FA"/>
    <w:rsid w:val="00AF4874"/>
    <w:rsid w:val="00AF49B8"/>
    <w:rsid w:val="00AF4AB4"/>
    <w:rsid w:val="00AF53A6"/>
    <w:rsid w:val="00AF59F7"/>
    <w:rsid w:val="00AF61AC"/>
    <w:rsid w:val="00AF71FA"/>
    <w:rsid w:val="00AF7776"/>
    <w:rsid w:val="00B0004C"/>
    <w:rsid w:val="00B0141D"/>
    <w:rsid w:val="00B015D5"/>
    <w:rsid w:val="00B01D56"/>
    <w:rsid w:val="00B02450"/>
    <w:rsid w:val="00B02727"/>
    <w:rsid w:val="00B027FC"/>
    <w:rsid w:val="00B02821"/>
    <w:rsid w:val="00B02BEA"/>
    <w:rsid w:val="00B03FB9"/>
    <w:rsid w:val="00B04349"/>
    <w:rsid w:val="00B04C71"/>
    <w:rsid w:val="00B05866"/>
    <w:rsid w:val="00B05ADB"/>
    <w:rsid w:val="00B063F9"/>
    <w:rsid w:val="00B06537"/>
    <w:rsid w:val="00B0716A"/>
    <w:rsid w:val="00B07621"/>
    <w:rsid w:val="00B129DD"/>
    <w:rsid w:val="00B1346D"/>
    <w:rsid w:val="00B13D50"/>
    <w:rsid w:val="00B13E17"/>
    <w:rsid w:val="00B147A4"/>
    <w:rsid w:val="00B15024"/>
    <w:rsid w:val="00B15782"/>
    <w:rsid w:val="00B157D6"/>
    <w:rsid w:val="00B15FEA"/>
    <w:rsid w:val="00B1636E"/>
    <w:rsid w:val="00B163A3"/>
    <w:rsid w:val="00B175A6"/>
    <w:rsid w:val="00B20B4F"/>
    <w:rsid w:val="00B2133F"/>
    <w:rsid w:val="00B21D88"/>
    <w:rsid w:val="00B220E6"/>
    <w:rsid w:val="00B23203"/>
    <w:rsid w:val="00B2322E"/>
    <w:rsid w:val="00B2329A"/>
    <w:rsid w:val="00B24324"/>
    <w:rsid w:val="00B2447F"/>
    <w:rsid w:val="00B245C8"/>
    <w:rsid w:val="00B2466F"/>
    <w:rsid w:val="00B24EE8"/>
    <w:rsid w:val="00B25097"/>
    <w:rsid w:val="00B253BF"/>
    <w:rsid w:val="00B26BCF"/>
    <w:rsid w:val="00B26D1B"/>
    <w:rsid w:val="00B27481"/>
    <w:rsid w:val="00B30358"/>
    <w:rsid w:val="00B30528"/>
    <w:rsid w:val="00B3102D"/>
    <w:rsid w:val="00B316CD"/>
    <w:rsid w:val="00B32379"/>
    <w:rsid w:val="00B32F6E"/>
    <w:rsid w:val="00B336BC"/>
    <w:rsid w:val="00B3391E"/>
    <w:rsid w:val="00B33D88"/>
    <w:rsid w:val="00B3434A"/>
    <w:rsid w:val="00B34B90"/>
    <w:rsid w:val="00B34C37"/>
    <w:rsid w:val="00B35558"/>
    <w:rsid w:val="00B363D6"/>
    <w:rsid w:val="00B36708"/>
    <w:rsid w:val="00B36B5E"/>
    <w:rsid w:val="00B372AF"/>
    <w:rsid w:val="00B3783F"/>
    <w:rsid w:val="00B4004D"/>
    <w:rsid w:val="00B40759"/>
    <w:rsid w:val="00B40772"/>
    <w:rsid w:val="00B41596"/>
    <w:rsid w:val="00B416BC"/>
    <w:rsid w:val="00B41D65"/>
    <w:rsid w:val="00B41ED6"/>
    <w:rsid w:val="00B41FC7"/>
    <w:rsid w:val="00B4222D"/>
    <w:rsid w:val="00B42BC1"/>
    <w:rsid w:val="00B42FC6"/>
    <w:rsid w:val="00B43042"/>
    <w:rsid w:val="00B443C8"/>
    <w:rsid w:val="00B471DC"/>
    <w:rsid w:val="00B474D7"/>
    <w:rsid w:val="00B50B46"/>
    <w:rsid w:val="00B51066"/>
    <w:rsid w:val="00B51710"/>
    <w:rsid w:val="00B51A68"/>
    <w:rsid w:val="00B51C9C"/>
    <w:rsid w:val="00B51CDD"/>
    <w:rsid w:val="00B51FD5"/>
    <w:rsid w:val="00B521A9"/>
    <w:rsid w:val="00B52535"/>
    <w:rsid w:val="00B52FAA"/>
    <w:rsid w:val="00B539E5"/>
    <w:rsid w:val="00B53F54"/>
    <w:rsid w:val="00B54178"/>
    <w:rsid w:val="00B544D9"/>
    <w:rsid w:val="00B544FB"/>
    <w:rsid w:val="00B55314"/>
    <w:rsid w:val="00B55650"/>
    <w:rsid w:val="00B55EDC"/>
    <w:rsid w:val="00B55FCC"/>
    <w:rsid w:val="00B56478"/>
    <w:rsid w:val="00B56A46"/>
    <w:rsid w:val="00B57F06"/>
    <w:rsid w:val="00B60238"/>
    <w:rsid w:val="00B60464"/>
    <w:rsid w:val="00B60F93"/>
    <w:rsid w:val="00B610D1"/>
    <w:rsid w:val="00B61EE6"/>
    <w:rsid w:val="00B623BF"/>
    <w:rsid w:val="00B6342D"/>
    <w:rsid w:val="00B63EA2"/>
    <w:rsid w:val="00B63FF0"/>
    <w:rsid w:val="00B649A0"/>
    <w:rsid w:val="00B65967"/>
    <w:rsid w:val="00B65AE4"/>
    <w:rsid w:val="00B65ECC"/>
    <w:rsid w:val="00B65F2E"/>
    <w:rsid w:val="00B66019"/>
    <w:rsid w:val="00B6664B"/>
    <w:rsid w:val="00B66970"/>
    <w:rsid w:val="00B6697B"/>
    <w:rsid w:val="00B66A35"/>
    <w:rsid w:val="00B6728C"/>
    <w:rsid w:val="00B67398"/>
    <w:rsid w:val="00B6739C"/>
    <w:rsid w:val="00B720DC"/>
    <w:rsid w:val="00B73CA7"/>
    <w:rsid w:val="00B7506D"/>
    <w:rsid w:val="00B7547D"/>
    <w:rsid w:val="00B767BE"/>
    <w:rsid w:val="00B76F69"/>
    <w:rsid w:val="00B76F90"/>
    <w:rsid w:val="00B77C50"/>
    <w:rsid w:val="00B77CF0"/>
    <w:rsid w:val="00B77EBF"/>
    <w:rsid w:val="00B77F23"/>
    <w:rsid w:val="00B80667"/>
    <w:rsid w:val="00B808F8"/>
    <w:rsid w:val="00B80F67"/>
    <w:rsid w:val="00B8102A"/>
    <w:rsid w:val="00B827ED"/>
    <w:rsid w:val="00B82F04"/>
    <w:rsid w:val="00B835D7"/>
    <w:rsid w:val="00B84D55"/>
    <w:rsid w:val="00B84E88"/>
    <w:rsid w:val="00B85209"/>
    <w:rsid w:val="00B864ED"/>
    <w:rsid w:val="00B86674"/>
    <w:rsid w:val="00B86C12"/>
    <w:rsid w:val="00B86CE2"/>
    <w:rsid w:val="00B86D2E"/>
    <w:rsid w:val="00B86DCE"/>
    <w:rsid w:val="00B87305"/>
    <w:rsid w:val="00B876CC"/>
    <w:rsid w:val="00B87C48"/>
    <w:rsid w:val="00B90193"/>
    <w:rsid w:val="00B907A3"/>
    <w:rsid w:val="00B90D7F"/>
    <w:rsid w:val="00B91171"/>
    <w:rsid w:val="00B9142F"/>
    <w:rsid w:val="00B914B2"/>
    <w:rsid w:val="00B9156D"/>
    <w:rsid w:val="00B91605"/>
    <w:rsid w:val="00B924FE"/>
    <w:rsid w:val="00B9286A"/>
    <w:rsid w:val="00B92DB6"/>
    <w:rsid w:val="00B93065"/>
    <w:rsid w:val="00B93796"/>
    <w:rsid w:val="00B94096"/>
    <w:rsid w:val="00B94B28"/>
    <w:rsid w:val="00B9506F"/>
    <w:rsid w:val="00B95095"/>
    <w:rsid w:val="00B95326"/>
    <w:rsid w:val="00B953D7"/>
    <w:rsid w:val="00B954C7"/>
    <w:rsid w:val="00B95900"/>
    <w:rsid w:val="00B95A64"/>
    <w:rsid w:val="00B95AA4"/>
    <w:rsid w:val="00B95F20"/>
    <w:rsid w:val="00B9607F"/>
    <w:rsid w:val="00B969BC"/>
    <w:rsid w:val="00B97EBB"/>
    <w:rsid w:val="00BA0037"/>
    <w:rsid w:val="00BA017D"/>
    <w:rsid w:val="00BA0A14"/>
    <w:rsid w:val="00BA0A1D"/>
    <w:rsid w:val="00BA20BD"/>
    <w:rsid w:val="00BA3372"/>
    <w:rsid w:val="00BA450B"/>
    <w:rsid w:val="00BA49C4"/>
    <w:rsid w:val="00BA4FC3"/>
    <w:rsid w:val="00BA68F1"/>
    <w:rsid w:val="00BA74D9"/>
    <w:rsid w:val="00BB08A6"/>
    <w:rsid w:val="00BB1289"/>
    <w:rsid w:val="00BB1362"/>
    <w:rsid w:val="00BB1BCD"/>
    <w:rsid w:val="00BB25A8"/>
    <w:rsid w:val="00BB2854"/>
    <w:rsid w:val="00BB2B07"/>
    <w:rsid w:val="00BB2F60"/>
    <w:rsid w:val="00BB30A7"/>
    <w:rsid w:val="00BB3524"/>
    <w:rsid w:val="00BB3981"/>
    <w:rsid w:val="00BB3B4D"/>
    <w:rsid w:val="00BB3F35"/>
    <w:rsid w:val="00BB488A"/>
    <w:rsid w:val="00BB5537"/>
    <w:rsid w:val="00BB5C7F"/>
    <w:rsid w:val="00BB5EB6"/>
    <w:rsid w:val="00BB620C"/>
    <w:rsid w:val="00BB625D"/>
    <w:rsid w:val="00BB687E"/>
    <w:rsid w:val="00BB6985"/>
    <w:rsid w:val="00BB7E28"/>
    <w:rsid w:val="00BB7E76"/>
    <w:rsid w:val="00BC01DA"/>
    <w:rsid w:val="00BC03F1"/>
    <w:rsid w:val="00BC05BF"/>
    <w:rsid w:val="00BC092F"/>
    <w:rsid w:val="00BC0ECC"/>
    <w:rsid w:val="00BC0FEE"/>
    <w:rsid w:val="00BC1270"/>
    <w:rsid w:val="00BC307A"/>
    <w:rsid w:val="00BC3B9D"/>
    <w:rsid w:val="00BC409B"/>
    <w:rsid w:val="00BC44F3"/>
    <w:rsid w:val="00BC4702"/>
    <w:rsid w:val="00BC50D1"/>
    <w:rsid w:val="00BC596F"/>
    <w:rsid w:val="00BC6838"/>
    <w:rsid w:val="00BC6BF9"/>
    <w:rsid w:val="00BC7070"/>
    <w:rsid w:val="00BC750C"/>
    <w:rsid w:val="00BC7DDD"/>
    <w:rsid w:val="00BC7F73"/>
    <w:rsid w:val="00BD0243"/>
    <w:rsid w:val="00BD0531"/>
    <w:rsid w:val="00BD06CF"/>
    <w:rsid w:val="00BD1988"/>
    <w:rsid w:val="00BD20BD"/>
    <w:rsid w:val="00BD25B4"/>
    <w:rsid w:val="00BD3647"/>
    <w:rsid w:val="00BD4520"/>
    <w:rsid w:val="00BD468B"/>
    <w:rsid w:val="00BD49E4"/>
    <w:rsid w:val="00BD5556"/>
    <w:rsid w:val="00BD57D2"/>
    <w:rsid w:val="00BD5AD9"/>
    <w:rsid w:val="00BD5E75"/>
    <w:rsid w:val="00BD7147"/>
    <w:rsid w:val="00BD7EA1"/>
    <w:rsid w:val="00BD7FA5"/>
    <w:rsid w:val="00BE0271"/>
    <w:rsid w:val="00BE02E0"/>
    <w:rsid w:val="00BE04B3"/>
    <w:rsid w:val="00BE088C"/>
    <w:rsid w:val="00BE0BF9"/>
    <w:rsid w:val="00BE12C3"/>
    <w:rsid w:val="00BE1A47"/>
    <w:rsid w:val="00BE23A1"/>
    <w:rsid w:val="00BE3B24"/>
    <w:rsid w:val="00BE3E1A"/>
    <w:rsid w:val="00BE4147"/>
    <w:rsid w:val="00BE49DB"/>
    <w:rsid w:val="00BE4AC4"/>
    <w:rsid w:val="00BE6B5D"/>
    <w:rsid w:val="00BE6E0C"/>
    <w:rsid w:val="00BE6F46"/>
    <w:rsid w:val="00BE7612"/>
    <w:rsid w:val="00BE773C"/>
    <w:rsid w:val="00BE7984"/>
    <w:rsid w:val="00BF1C2D"/>
    <w:rsid w:val="00BF246F"/>
    <w:rsid w:val="00BF2B5E"/>
    <w:rsid w:val="00BF2CF9"/>
    <w:rsid w:val="00BF2CFF"/>
    <w:rsid w:val="00BF3083"/>
    <w:rsid w:val="00BF316D"/>
    <w:rsid w:val="00BF3C3A"/>
    <w:rsid w:val="00BF48D9"/>
    <w:rsid w:val="00BF5018"/>
    <w:rsid w:val="00BF527A"/>
    <w:rsid w:val="00BF54DA"/>
    <w:rsid w:val="00BF5A92"/>
    <w:rsid w:val="00BF5AD2"/>
    <w:rsid w:val="00BF5E86"/>
    <w:rsid w:val="00BF75D3"/>
    <w:rsid w:val="00C00271"/>
    <w:rsid w:val="00C00E99"/>
    <w:rsid w:val="00C0297F"/>
    <w:rsid w:val="00C02A18"/>
    <w:rsid w:val="00C02B81"/>
    <w:rsid w:val="00C03151"/>
    <w:rsid w:val="00C03165"/>
    <w:rsid w:val="00C036F9"/>
    <w:rsid w:val="00C03722"/>
    <w:rsid w:val="00C03DD6"/>
    <w:rsid w:val="00C04B45"/>
    <w:rsid w:val="00C04ECD"/>
    <w:rsid w:val="00C04F4A"/>
    <w:rsid w:val="00C05849"/>
    <w:rsid w:val="00C061F1"/>
    <w:rsid w:val="00C06E14"/>
    <w:rsid w:val="00C06F66"/>
    <w:rsid w:val="00C0769F"/>
    <w:rsid w:val="00C07ACC"/>
    <w:rsid w:val="00C07B3B"/>
    <w:rsid w:val="00C10653"/>
    <w:rsid w:val="00C121CE"/>
    <w:rsid w:val="00C123FE"/>
    <w:rsid w:val="00C12414"/>
    <w:rsid w:val="00C12AD8"/>
    <w:rsid w:val="00C12D69"/>
    <w:rsid w:val="00C137DB"/>
    <w:rsid w:val="00C1381D"/>
    <w:rsid w:val="00C13D40"/>
    <w:rsid w:val="00C14886"/>
    <w:rsid w:val="00C14E6E"/>
    <w:rsid w:val="00C14F37"/>
    <w:rsid w:val="00C15C72"/>
    <w:rsid w:val="00C16505"/>
    <w:rsid w:val="00C1673E"/>
    <w:rsid w:val="00C16F85"/>
    <w:rsid w:val="00C175F5"/>
    <w:rsid w:val="00C1773E"/>
    <w:rsid w:val="00C17935"/>
    <w:rsid w:val="00C200AE"/>
    <w:rsid w:val="00C20305"/>
    <w:rsid w:val="00C20433"/>
    <w:rsid w:val="00C20ADD"/>
    <w:rsid w:val="00C20B08"/>
    <w:rsid w:val="00C20C2C"/>
    <w:rsid w:val="00C21385"/>
    <w:rsid w:val="00C2180A"/>
    <w:rsid w:val="00C22CE3"/>
    <w:rsid w:val="00C22E9C"/>
    <w:rsid w:val="00C238AD"/>
    <w:rsid w:val="00C2479B"/>
    <w:rsid w:val="00C24B8B"/>
    <w:rsid w:val="00C25B69"/>
    <w:rsid w:val="00C26036"/>
    <w:rsid w:val="00C2618C"/>
    <w:rsid w:val="00C26395"/>
    <w:rsid w:val="00C26C8C"/>
    <w:rsid w:val="00C2749B"/>
    <w:rsid w:val="00C27E36"/>
    <w:rsid w:val="00C3160F"/>
    <w:rsid w:val="00C31E91"/>
    <w:rsid w:val="00C320D3"/>
    <w:rsid w:val="00C32A6A"/>
    <w:rsid w:val="00C3396F"/>
    <w:rsid w:val="00C33BDF"/>
    <w:rsid w:val="00C3455B"/>
    <w:rsid w:val="00C349EA"/>
    <w:rsid w:val="00C34AC2"/>
    <w:rsid w:val="00C34AF6"/>
    <w:rsid w:val="00C35243"/>
    <w:rsid w:val="00C36280"/>
    <w:rsid w:val="00C365F3"/>
    <w:rsid w:val="00C3697E"/>
    <w:rsid w:val="00C36A45"/>
    <w:rsid w:val="00C36C3B"/>
    <w:rsid w:val="00C36EEC"/>
    <w:rsid w:val="00C4064F"/>
    <w:rsid w:val="00C40BC9"/>
    <w:rsid w:val="00C41DF0"/>
    <w:rsid w:val="00C42798"/>
    <w:rsid w:val="00C4294B"/>
    <w:rsid w:val="00C433E2"/>
    <w:rsid w:val="00C43410"/>
    <w:rsid w:val="00C43751"/>
    <w:rsid w:val="00C4410F"/>
    <w:rsid w:val="00C4430F"/>
    <w:rsid w:val="00C444F4"/>
    <w:rsid w:val="00C449AC"/>
    <w:rsid w:val="00C44DE3"/>
    <w:rsid w:val="00C45278"/>
    <w:rsid w:val="00C4671A"/>
    <w:rsid w:val="00C46AB0"/>
    <w:rsid w:val="00C479DD"/>
    <w:rsid w:val="00C5031B"/>
    <w:rsid w:val="00C5033F"/>
    <w:rsid w:val="00C5098D"/>
    <w:rsid w:val="00C51CA6"/>
    <w:rsid w:val="00C51F90"/>
    <w:rsid w:val="00C529AE"/>
    <w:rsid w:val="00C52E21"/>
    <w:rsid w:val="00C52F61"/>
    <w:rsid w:val="00C53036"/>
    <w:rsid w:val="00C532E6"/>
    <w:rsid w:val="00C534AF"/>
    <w:rsid w:val="00C534C6"/>
    <w:rsid w:val="00C54157"/>
    <w:rsid w:val="00C550D0"/>
    <w:rsid w:val="00C553A0"/>
    <w:rsid w:val="00C55F48"/>
    <w:rsid w:val="00C5614C"/>
    <w:rsid w:val="00C56546"/>
    <w:rsid w:val="00C56AEC"/>
    <w:rsid w:val="00C57865"/>
    <w:rsid w:val="00C606E7"/>
    <w:rsid w:val="00C6070D"/>
    <w:rsid w:val="00C60A5F"/>
    <w:rsid w:val="00C6137E"/>
    <w:rsid w:val="00C613D2"/>
    <w:rsid w:val="00C615D0"/>
    <w:rsid w:val="00C617DB"/>
    <w:rsid w:val="00C62CDE"/>
    <w:rsid w:val="00C63707"/>
    <w:rsid w:val="00C639E4"/>
    <w:rsid w:val="00C63C38"/>
    <w:rsid w:val="00C63E64"/>
    <w:rsid w:val="00C640B3"/>
    <w:rsid w:val="00C64156"/>
    <w:rsid w:val="00C6420A"/>
    <w:rsid w:val="00C6429F"/>
    <w:rsid w:val="00C64B1D"/>
    <w:rsid w:val="00C64FD8"/>
    <w:rsid w:val="00C654D6"/>
    <w:rsid w:val="00C656CE"/>
    <w:rsid w:val="00C6602D"/>
    <w:rsid w:val="00C66359"/>
    <w:rsid w:val="00C66461"/>
    <w:rsid w:val="00C665DF"/>
    <w:rsid w:val="00C66ED3"/>
    <w:rsid w:val="00C67EC1"/>
    <w:rsid w:val="00C70626"/>
    <w:rsid w:val="00C70D57"/>
    <w:rsid w:val="00C712C5"/>
    <w:rsid w:val="00C71FDB"/>
    <w:rsid w:val="00C72153"/>
    <w:rsid w:val="00C721AA"/>
    <w:rsid w:val="00C72615"/>
    <w:rsid w:val="00C737AB"/>
    <w:rsid w:val="00C75038"/>
    <w:rsid w:val="00C75ED2"/>
    <w:rsid w:val="00C76091"/>
    <w:rsid w:val="00C76738"/>
    <w:rsid w:val="00C77196"/>
    <w:rsid w:val="00C77CEA"/>
    <w:rsid w:val="00C80923"/>
    <w:rsid w:val="00C81895"/>
    <w:rsid w:val="00C81985"/>
    <w:rsid w:val="00C81CD7"/>
    <w:rsid w:val="00C823FB"/>
    <w:rsid w:val="00C825BA"/>
    <w:rsid w:val="00C82EED"/>
    <w:rsid w:val="00C83CE1"/>
    <w:rsid w:val="00C842D4"/>
    <w:rsid w:val="00C849C9"/>
    <w:rsid w:val="00C84D6E"/>
    <w:rsid w:val="00C84FCA"/>
    <w:rsid w:val="00C85037"/>
    <w:rsid w:val="00C85300"/>
    <w:rsid w:val="00C85445"/>
    <w:rsid w:val="00C85DFD"/>
    <w:rsid w:val="00C860F1"/>
    <w:rsid w:val="00C8644F"/>
    <w:rsid w:val="00C86A8B"/>
    <w:rsid w:val="00C86EFC"/>
    <w:rsid w:val="00C87936"/>
    <w:rsid w:val="00C90310"/>
    <w:rsid w:val="00C907D9"/>
    <w:rsid w:val="00C912FE"/>
    <w:rsid w:val="00C91542"/>
    <w:rsid w:val="00C926AD"/>
    <w:rsid w:val="00C92BD1"/>
    <w:rsid w:val="00C93734"/>
    <w:rsid w:val="00C93ABF"/>
    <w:rsid w:val="00C93BEB"/>
    <w:rsid w:val="00C93D0E"/>
    <w:rsid w:val="00C93D57"/>
    <w:rsid w:val="00C951D7"/>
    <w:rsid w:val="00C955C6"/>
    <w:rsid w:val="00C95A1A"/>
    <w:rsid w:val="00C96169"/>
    <w:rsid w:val="00C9658E"/>
    <w:rsid w:val="00C965A8"/>
    <w:rsid w:val="00C96B8A"/>
    <w:rsid w:val="00C96F38"/>
    <w:rsid w:val="00C971E7"/>
    <w:rsid w:val="00C97718"/>
    <w:rsid w:val="00C97A13"/>
    <w:rsid w:val="00CA076D"/>
    <w:rsid w:val="00CA1460"/>
    <w:rsid w:val="00CA17E4"/>
    <w:rsid w:val="00CA1EE4"/>
    <w:rsid w:val="00CA2544"/>
    <w:rsid w:val="00CA258E"/>
    <w:rsid w:val="00CA2965"/>
    <w:rsid w:val="00CA2AAC"/>
    <w:rsid w:val="00CA2D41"/>
    <w:rsid w:val="00CA2EF3"/>
    <w:rsid w:val="00CA2F70"/>
    <w:rsid w:val="00CA389D"/>
    <w:rsid w:val="00CA438A"/>
    <w:rsid w:val="00CA4443"/>
    <w:rsid w:val="00CA44F4"/>
    <w:rsid w:val="00CA5024"/>
    <w:rsid w:val="00CA50F2"/>
    <w:rsid w:val="00CA5E2A"/>
    <w:rsid w:val="00CA6DC8"/>
    <w:rsid w:val="00CA7418"/>
    <w:rsid w:val="00CA75BE"/>
    <w:rsid w:val="00CB06B9"/>
    <w:rsid w:val="00CB0BF3"/>
    <w:rsid w:val="00CB1C73"/>
    <w:rsid w:val="00CB1D49"/>
    <w:rsid w:val="00CB2592"/>
    <w:rsid w:val="00CB25DB"/>
    <w:rsid w:val="00CB2718"/>
    <w:rsid w:val="00CB2EFC"/>
    <w:rsid w:val="00CB2F71"/>
    <w:rsid w:val="00CB36DB"/>
    <w:rsid w:val="00CB4644"/>
    <w:rsid w:val="00CB4A58"/>
    <w:rsid w:val="00CB4D98"/>
    <w:rsid w:val="00CB506B"/>
    <w:rsid w:val="00CB5231"/>
    <w:rsid w:val="00CB57D7"/>
    <w:rsid w:val="00CB5E0C"/>
    <w:rsid w:val="00CB6F31"/>
    <w:rsid w:val="00CB70CB"/>
    <w:rsid w:val="00CB7413"/>
    <w:rsid w:val="00CB75C5"/>
    <w:rsid w:val="00CC0219"/>
    <w:rsid w:val="00CC055A"/>
    <w:rsid w:val="00CC084A"/>
    <w:rsid w:val="00CC1403"/>
    <w:rsid w:val="00CC2073"/>
    <w:rsid w:val="00CC2B8B"/>
    <w:rsid w:val="00CC3B5E"/>
    <w:rsid w:val="00CC3ECB"/>
    <w:rsid w:val="00CC4328"/>
    <w:rsid w:val="00CC475E"/>
    <w:rsid w:val="00CC4D48"/>
    <w:rsid w:val="00CC4D70"/>
    <w:rsid w:val="00CC4EE3"/>
    <w:rsid w:val="00CC5012"/>
    <w:rsid w:val="00CC65F1"/>
    <w:rsid w:val="00CC6DD2"/>
    <w:rsid w:val="00CC7058"/>
    <w:rsid w:val="00CC72B1"/>
    <w:rsid w:val="00CC7544"/>
    <w:rsid w:val="00CC7D65"/>
    <w:rsid w:val="00CD0540"/>
    <w:rsid w:val="00CD08E0"/>
    <w:rsid w:val="00CD0967"/>
    <w:rsid w:val="00CD1027"/>
    <w:rsid w:val="00CD237B"/>
    <w:rsid w:val="00CD2E58"/>
    <w:rsid w:val="00CD3F99"/>
    <w:rsid w:val="00CD3FAD"/>
    <w:rsid w:val="00CD4093"/>
    <w:rsid w:val="00CD5907"/>
    <w:rsid w:val="00CD6360"/>
    <w:rsid w:val="00CD7002"/>
    <w:rsid w:val="00CD7211"/>
    <w:rsid w:val="00CD73F1"/>
    <w:rsid w:val="00CD7571"/>
    <w:rsid w:val="00CD7AB6"/>
    <w:rsid w:val="00CD7B52"/>
    <w:rsid w:val="00CD7CF0"/>
    <w:rsid w:val="00CE0FF9"/>
    <w:rsid w:val="00CE1C6D"/>
    <w:rsid w:val="00CE3022"/>
    <w:rsid w:val="00CE33E3"/>
    <w:rsid w:val="00CE35D8"/>
    <w:rsid w:val="00CE46FD"/>
    <w:rsid w:val="00CE47B7"/>
    <w:rsid w:val="00CE47C9"/>
    <w:rsid w:val="00CE4FBD"/>
    <w:rsid w:val="00CE5C62"/>
    <w:rsid w:val="00CE5DE0"/>
    <w:rsid w:val="00CE5EB6"/>
    <w:rsid w:val="00CE6B6C"/>
    <w:rsid w:val="00CE6F0B"/>
    <w:rsid w:val="00CE744C"/>
    <w:rsid w:val="00CF019A"/>
    <w:rsid w:val="00CF0698"/>
    <w:rsid w:val="00CF0C93"/>
    <w:rsid w:val="00CF1533"/>
    <w:rsid w:val="00CF1DC7"/>
    <w:rsid w:val="00CF21DC"/>
    <w:rsid w:val="00CF23FB"/>
    <w:rsid w:val="00CF27C2"/>
    <w:rsid w:val="00CF346A"/>
    <w:rsid w:val="00CF3774"/>
    <w:rsid w:val="00CF401F"/>
    <w:rsid w:val="00CF45D8"/>
    <w:rsid w:val="00CF45FB"/>
    <w:rsid w:val="00CF4A49"/>
    <w:rsid w:val="00CF5732"/>
    <w:rsid w:val="00CF6CE4"/>
    <w:rsid w:val="00CF76C2"/>
    <w:rsid w:val="00CF7FCA"/>
    <w:rsid w:val="00D007D2"/>
    <w:rsid w:val="00D0096A"/>
    <w:rsid w:val="00D00E13"/>
    <w:rsid w:val="00D01283"/>
    <w:rsid w:val="00D01DC6"/>
    <w:rsid w:val="00D021FA"/>
    <w:rsid w:val="00D03599"/>
    <w:rsid w:val="00D038EB"/>
    <w:rsid w:val="00D03C75"/>
    <w:rsid w:val="00D03C7F"/>
    <w:rsid w:val="00D04555"/>
    <w:rsid w:val="00D046C8"/>
    <w:rsid w:val="00D0475A"/>
    <w:rsid w:val="00D0493E"/>
    <w:rsid w:val="00D04B81"/>
    <w:rsid w:val="00D05229"/>
    <w:rsid w:val="00D0522D"/>
    <w:rsid w:val="00D05D50"/>
    <w:rsid w:val="00D06194"/>
    <w:rsid w:val="00D068E5"/>
    <w:rsid w:val="00D07EEF"/>
    <w:rsid w:val="00D10268"/>
    <w:rsid w:val="00D11658"/>
    <w:rsid w:val="00D12E84"/>
    <w:rsid w:val="00D13981"/>
    <w:rsid w:val="00D13B72"/>
    <w:rsid w:val="00D13E17"/>
    <w:rsid w:val="00D13EEB"/>
    <w:rsid w:val="00D14530"/>
    <w:rsid w:val="00D145A8"/>
    <w:rsid w:val="00D148A7"/>
    <w:rsid w:val="00D150F5"/>
    <w:rsid w:val="00D154C8"/>
    <w:rsid w:val="00D16286"/>
    <w:rsid w:val="00D17852"/>
    <w:rsid w:val="00D1790E"/>
    <w:rsid w:val="00D1794A"/>
    <w:rsid w:val="00D17C56"/>
    <w:rsid w:val="00D2065E"/>
    <w:rsid w:val="00D215FD"/>
    <w:rsid w:val="00D21956"/>
    <w:rsid w:val="00D21D24"/>
    <w:rsid w:val="00D221C4"/>
    <w:rsid w:val="00D228BC"/>
    <w:rsid w:val="00D22C2F"/>
    <w:rsid w:val="00D23555"/>
    <w:rsid w:val="00D236CF"/>
    <w:rsid w:val="00D245C1"/>
    <w:rsid w:val="00D247CF"/>
    <w:rsid w:val="00D248AA"/>
    <w:rsid w:val="00D253AC"/>
    <w:rsid w:val="00D255BE"/>
    <w:rsid w:val="00D258AB"/>
    <w:rsid w:val="00D2605D"/>
    <w:rsid w:val="00D26130"/>
    <w:rsid w:val="00D27C62"/>
    <w:rsid w:val="00D305D7"/>
    <w:rsid w:val="00D30963"/>
    <w:rsid w:val="00D31D46"/>
    <w:rsid w:val="00D31D7B"/>
    <w:rsid w:val="00D31F3F"/>
    <w:rsid w:val="00D33891"/>
    <w:rsid w:val="00D33AEA"/>
    <w:rsid w:val="00D34A7F"/>
    <w:rsid w:val="00D34C0C"/>
    <w:rsid w:val="00D35113"/>
    <w:rsid w:val="00D35602"/>
    <w:rsid w:val="00D36951"/>
    <w:rsid w:val="00D373BF"/>
    <w:rsid w:val="00D379B1"/>
    <w:rsid w:val="00D37BF8"/>
    <w:rsid w:val="00D40532"/>
    <w:rsid w:val="00D40565"/>
    <w:rsid w:val="00D41437"/>
    <w:rsid w:val="00D4209C"/>
    <w:rsid w:val="00D42791"/>
    <w:rsid w:val="00D42B60"/>
    <w:rsid w:val="00D42D2D"/>
    <w:rsid w:val="00D42D9C"/>
    <w:rsid w:val="00D44817"/>
    <w:rsid w:val="00D44841"/>
    <w:rsid w:val="00D448FB"/>
    <w:rsid w:val="00D44D61"/>
    <w:rsid w:val="00D45B37"/>
    <w:rsid w:val="00D46627"/>
    <w:rsid w:val="00D46C0E"/>
    <w:rsid w:val="00D46E5F"/>
    <w:rsid w:val="00D46E8A"/>
    <w:rsid w:val="00D47848"/>
    <w:rsid w:val="00D47883"/>
    <w:rsid w:val="00D47F20"/>
    <w:rsid w:val="00D50EE4"/>
    <w:rsid w:val="00D51C9B"/>
    <w:rsid w:val="00D527E9"/>
    <w:rsid w:val="00D53039"/>
    <w:rsid w:val="00D53324"/>
    <w:rsid w:val="00D535DF"/>
    <w:rsid w:val="00D538DD"/>
    <w:rsid w:val="00D547DA"/>
    <w:rsid w:val="00D551B1"/>
    <w:rsid w:val="00D557E5"/>
    <w:rsid w:val="00D55D41"/>
    <w:rsid w:val="00D56245"/>
    <w:rsid w:val="00D5656F"/>
    <w:rsid w:val="00D573B1"/>
    <w:rsid w:val="00D57739"/>
    <w:rsid w:val="00D57791"/>
    <w:rsid w:val="00D61B38"/>
    <w:rsid w:val="00D61E9C"/>
    <w:rsid w:val="00D61FD3"/>
    <w:rsid w:val="00D62360"/>
    <w:rsid w:val="00D62B09"/>
    <w:rsid w:val="00D6340C"/>
    <w:rsid w:val="00D636A2"/>
    <w:rsid w:val="00D6453A"/>
    <w:rsid w:val="00D64AA6"/>
    <w:rsid w:val="00D64D8C"/>
    <w:rsid w:val="00D64F64"/>
    <w:rsid w:val="00D6572E"/>
    <w:rsid w:val="00D66400"/>
    <w:rsid w:val="00D666BD"/>
    <w:rsid w:val="00D66C33"/>
    <w:rsid w:val="00D67755"/>
    <w:rsid w:val="00D67FA2"/>
    <w:rsid w:val="00D67FF0"/>
    <w:rsid w:val="00D70021"/>
    <w:rsid w:val="00D708E6"/>
    <w:rsid w:val="00D710AD"/>
    <w:rsid w:val="00D71E89"/>
    <w:rsid w:val="00D71EA2"/>
    <w:rsid w:val="00D71FCC"/>
    <w:rsid w:val="00D7363A"/>
    <w:rsid w:val="00D73F21"/>
    <w:rsid w:val="00D74208"/>
    <w:rsid w:val="00D748DB"/>
    <w:rsid w:val="00D74A73"/>
    <w:rsid w:val="00D74B20"/>
    <w:rsid w:val="00D74BB3"/>
    <w:rsid w:val="00D7503A"/>
    <w:rsid w:val="00D75C80"/>
    <w:rsid w:val="00D771D2"/>
    <w:rsid w:val="00D773D3"/>
    <w:rsid w:val="00D77D9A"/>
    <w:rsid w:val="00D77E09"/>
    <w:rsid w:val="00D814C4"/>
    <w:rsid w:val="00D825E0"/>
    <w:rsid w:val="00D82C47"/>
    <w:rsid w:val="00D82FC6"/>
    <w:rsid w:val="00D83BA9"/>
    <w:rsid w:val="00D83FEE"/>
    <w:rsid w:val="00D843B1"/>
    <w:rsid w:val="00D84F43"/>
    <w:rsid w:val="00D85630"/>
    <w:rsid w:val="00D85642"/>
    <w:rsid w:val="00D86008"/>
    <w:rsid w:val="00D860AE"/>
    <w:rsid w:val="00D86FF3"/>
    <w:rsid w:val="00D86FFD"/>
    <w:rsid w:val="00D87058"/>
    <w:rsid w:val="00D8729E"/>
    <w:rsid w:val="00D876D5"/>
    <w:rsid w:val="00D90635"/>
    <w:rsid w:val="00D90A35"/>
    <w:rsid w:val="00D919CB"/>
    <w:rsid w:val="00D91A66"/>
    <w:rsid w:val="00D91B9F"/>
    <w:rsid w:val="00D91BED"/>
    <w:rsid w:val="00D925E7"/>
    <w:rsid w:val="00D935B9"/>
    <w:rsid w:val="00D942FE"/>
    <w:rsid w:val="00D950AA"/>
    <w:rsid w:val="00D9533A"/>
    <w:rsid w:val="00D95876"/>
    <w:rsid w:val="00D97073"/>
    <w:rsid w:val="00D97190"/>
    <w:rsid w:val="00D97283"/>
    <w:rsid w:val="00D976A5"/>
    <w:rsid w:val="00D97B1E"/>
    <w:rsid w:val="00DA0A83"/>
    <w:rsid w:val="00DA1CED"/>
    <w:rsid w:val="00DA2121"/>
    <w:rsid w:val="00DA25C4"/>
    <w:rsid w:val="00DA2A06"/>
    <w:rsid w:val="00DA3770"/>
    <w:rsid w:val="00DA3823"/>
    <w:rsid w:val="00DA3E81"/>
    <w:rsid w:val="00DA471A"/>
    <w:rsid w:val="00DA4804"/>
    <w:rsid w:val="00DA56F6"/>
    <w:rsid w:val="00DA6377"/>
    <w:rsid w:val="00DA6ACE"/>
    <w:rsid w:val="00DA6D78"/>
    <w:rsid w:val="00DA7DCB"/>
    <w:rsid w:val="00DB074A"/>
    <w:rsid w:val="00DB0C13"/>
    <w:rsid w:val="00DB1082"/>
    <w:rsid w:val="00DB13DA"/>
    <w:rsid w:val="00DB2704"/>
    <w:rsid w:val="00DB3B98"/>
    <w:rsid w:val="00DB3E8D"/>
    <w:rsid w:val="00DB4000"/>
    <w:rsid w:val="00DB4509"/>
    <w:rsid w:val="00DB4987"/>
    <w:rsid w:val="00DB4D15"/>
    <w:rsid w:val="00DB510E"/>
    <w:rsid w:val="00DB5718"/>
    <w:rsid w:val="00DB5EB4"/>
    <w:rsid w:val="00DB6ACF"/>
    <w:rsid w:val="00DB6F28"/>
    <w:rsid w:val="00DB738D"/>
    <w:rsid w:val="00DB7CC2"/>
    <w:rsid w:val="00DC0B4F"/>
    <w:rsid w:val="00DC1533"/>
    <w:rsid w:val="00DC168B"/>
    <w:rsid w:val="00DC1992"/>
    <w:rsid w:val="00DC2188"/>
    <w:rsid w:val="00DC2B98"/>
    <w:rsid w:val="00DC31DA"/>
    <w:rsid w:val="00DC33BB"/>
    <w:rsid w:val="00DC3BAE"/>
    <w:rsid w:val="00DC3C53"/>
    <w:rsid w:val="00DC56FB"/>
    <w:rsid w:val="00DC5F70"/>
    <w:rsid w:val="00DC5FEF"/>
    <w:rsid w:val="00DC7120"/>
    <w:rsid w:val="00DC7843"/>
    <w:rsid w:val="00DD044F"/>
    <w:rsid w:val="00DD1168"/>
    <w:rsid w:val="00DD1856"/>
    <w:rsid w:val="00DD1DDD"/>
    <w:rsid w:val="00DD1E81"/>
    <w:rsid w:val="00DD2CB7"/>
    <w:rsid w:val="00DD30D9"/>
    <w:rsid w:val="00DD3915"/>
    <w:rsid w:val="00DD3ACE"/>
    <w:rsid w:val="00DD4071"/>
    <w:rsid w:val="00DD4914"/>
    <w:rsid w:val="00DD5017"/>
    <w:rsid w:val="00DD5044"/>
    <w:rsid w:val="00DD62E5"/>
    <w:rsid w:val="00DD6ABE"/>
    <w:rsid w:val="00DD7748"/>
    <w:rsid w:val="00DD7C64"/>
    <w:rsid w:val="00DD7E0D"/>
    <w:rsid w:val="00DE0975"/>
    <w:rsid w:val="00DE099E"/>
    <w:rsid w:val="00DE18CF"/>
    <w:rsid w:val="00DE24AC"/>
    <w:rsid w:val="00DE260D"/>
    <w:rsid w:val="00DE36A0"/>
    <w:rsid w:val="00DE371E"/>
    <w:rsid w:val="00DE376C"/>
    <w:rsid w:val="00DE5810"/>
    <w:rsid w:val="00DE64FB"/>
    <w:rsid w:val="00DE6F06"/>
    <w:rsid w:val="00DE7031"/>
    <w:rsid w:val="00DE7051"/>
    <w:rsid w:val="00DF16C7"/>
    <w:rsid w:val="00DF28F7"/>
    <w:rsid w:val="00DF2FEA"/>
    <w:rsid w:val="00DF3A5B"/>
    <w:rsid w:val="00DF416B"/>
    <w:rsid w:val="00DF5292"/>
    <w:rsid w:val="00DF5674"/>
    <w:rsid w:val="00DF56C3"/>
    <w:rsid w:val="00DF570F"/>
    <w:rsid w:val="00DF5ED4"/>
    <w:rsid w:val="00DF6B6E"/>
    <w:rsid w:val="00E0085D"/>
    <w:rsid w:val="00E011D4"/>
    <w:rsid w:val="00E02247"/>
    <w:rsid w:val="00E023C8"/>
    <w:rsid w:val="00E0259D"/>
    <w:rsid w:val="00E025F8"/>
    <w:rsid w:val="00E028EC"/>
    <w:rsid w:val="00E02B6E"/>
    <w:rsid w:val="00E030F3"/>
    <w:rsid w:val="00E033F2"/>
    <w:rsid w:val="00E03558"/>
    <w:rsid w:val="00E0456B"/>
    <w:rsid w:val="00E047BA"/>
    <w:rsid w:val="00E04D54"/>
    <w:rsid w:val="00E05180"/>
    <w:rsid w:val="00E05721"/>
    <w:rsid w:val="00E05D95"/>
    <w:rsid w:val="00E0622E"/>
    <w:rsid w:val="00E0627A"/>
    <w:rsid w:val="00E06431"/>
    <w:rsid w:val="00E07CB9"/>
    <w:rsid w:val="00E10041"/>
    <w:rsid w:val="00E10573"/>
    <w:rsid w:val="00E108BB"/>
    <w:rsid w:val="00E108E4"/>
    <w:rsid w:val="00E122C6"/>
    <w:rsid w:val="00E122CF"/>
    <w:rsid w:val="00E12BCC"/>
    <w:rsid w:val="00E12C3D"/>
    <w:rsid w:val="00E13131"/>
    <w:rsid w:val="00E1324A"/>
    <w:rsid w:val="00E14499"/>
    <w:rsid w:val="00E144B5"/>
    <w:rsid w:val="00E1567C"/>
    <w:rsid w:val="00E159D2"/>
    <w:rsid w:val="00E15C8E"/>
    <w:rsid w:val="00E15E1B"/>
    <w:rsid w:val="00E16D00"/>
    <w:rsid w:val="00E16D07"/>
    <w:rsid w:val="00E17B97"/>
    <w:rsid w:val="00E17E03"/>
    <w:rsid w:val="00E17EB5"/>
    <w:rsid w:val="00E2005D"/>
    <w:rsid w:val="00E203FA"/>
    <w:rsid w:val="00E205D4"/>
    <w:rsid w:val="00E205F5"/>
    <w:rsid w:val="00E21204"/>
    <w:rsid w:val="00E212D6"/>
    <w:rsid w:val="00E21574"/>
    <w:rsid w:val="00E216DC"/>
    <w:rsid w:val="00E21A83"/>
    <w:rsid w:val="00E2278D"/>
    <w:rsid w:val="00E22BBE"/>
    <w:rsid w:val="00E2368A"/>
    <w:rsid w:val="00E23950"/>
    <w:rsid w:val="00E23B76"/>
    <w:rsid w:val="00E240EA"/>
    <w:rsid w:val="00E24A10"/>
    <w:rsid w:val="00E25AEB"/>
    <w:rsid w:val="00E25CB3"/>
    <w:rsid w:val="00E269C0"/>
    <w:rsid w:val="00E26C9A"/>
    <w:rsid w:val="00E26DBA"/>
    <w:rsid w:val="00E277E2"/>
    <w:rsid w:val="00E27BA8"/>
    <w:rsid w:val="00E27CA4"/>
    <w:rsid w:val="00E30093"/>
    <w:rsid w:val="00E30189"/>
    <w:rsid w:val="00E30CD7"/>
    <w:rsid w:val="00E311B7"/>
    <w:rsid w:val="00E315E1"/>
    <w:rsid w:val="00E3175F"/>
    <w:rsid w:val="00E31BB5"/>
    <w:rsid w:val="00E31FAD"/>
    <w:rsid w:val="00E320E0"/>
    <w:rsid w:val="00E32DE5"/>
    <w:rsid w:val="00E32E4B"/>
    <w:rsid w:val="00E330AF"/>
    <w:rsid w:val="00E331DE"/>
    <w:rsid w:val="00E33CB8"/>
    <w:rsid w:val="00E33DBC"/>
    <w:rsid w:val="00E3486B"/>
    <w:rsid w:val="00E3487E"/>
    <w:rsid w:val="00E34934"/>
    <w:rsid w:val="00E36068"/>
    <w:rsid w:val="00E36C51"/>
    <w:rsid w:val="00E36C63"/>
    <w:rsid w:val="00E36CCD"/>
    <w:rsid w:val="00E378F9"/>
    <w:rsid w:val="00E3792C"/>
    <w:rsid w:val="00E406B4"/>
    <w:rsid w:val="00E4074F"/>
    <w:rsid w:val="00E41BE8"/>
    <w:rsid w:val="00E4237E"/>
    <w:rsid w:val="00E431AE"/>
    <w:rsid w:val="00E4380C"/>
    <w:rsid w:val="00E43F5C"/>
    <w:rsid w:val="00E441E1"/>
    <w:rsid w:val="00E44496"/>
    <w:rsid w:val="00E44941"/>
    <w:rsid w:val="00E45C1B"/>
    <w:rsid w:val="00E45F6D"/>
    <w:rsid w:val="00E46010"/>
    <w:rsid w:val="00E46061"/>
    <w:rsid w:val="00E4632C"/>
    <w:rsid w:val="00E46642"/>
    <w:rsid w:val="00E46978"/>
    <w:rsid w:val="00E46ECA"/>
    <w:rsid w:val="00E471B3"/>
    <w:rsid w:val="00E50C16"/>
    <w:rsid w:val="00E50D08"/>
    <w:rsid w:val="00E52325"/>
    <w:rsid w:val="00E52522"/>
    <w:rsid w:val="00E52996"/>
    <w:rsid w:val="00E52ABB"/>
    <w:rsid w:val="00E52ABC"/>
    <w:rsid w:val="00E54DC0"/>
    <w:rsid w:val="00E54FAC"/>
    <w:rsid w:val="00E551A0"/>
    <w:rsid w:val="00E551D0"/>
    <w:rsid w:val="00E5540C"/>
    <w:rsid w:val="00E55624"/>
    <w:rsid w:val="00E56148"/>
    <w:rsid w:val="00E561AE"/>
    <w:rsid w:val="00E56A87"/>
    <w:rsid w:val="00E56B5E"/>
    <w:rsid w:val="00E571C1"/>
    <w:rsid w:val="00E5794B"/>
    <w:rsid w:val="00E57F55"/>
    <w:rsid w:val="00E6039B"/>
    <w:rsid w:val="00E607BA"/>
    <w:rsid w:val="00E60973"/>
    <w:rsid w:val="00E60DB5"/>
    <w:rsid w:val="00E614F2"/>
    <w:rsid w:val="00E62080"/>
    <w:rsid w:val="00E625B6"/>
    <w:rsid w:val="00E636EA"/>
    <w:rsid w:val="00E63AD6"/>
    <w:rsid w:val="00E643D7"/>
    <w:rsid w:val="00E6497E"/>
    <w:rsid w:val="00E64998"/>
    <w:rsid w:val="00E64BAC"/>
    <w:rsid w:val="00E64C42"/>
    <w:rsid w:val="00E64CDC"/>
    <w:rsid w:val="00E64DF6"/>
    <w:rsid w:val="00E66421"/>
    <w:rsid w:val="00E6675A"/>
    <w:rsid w:val="00E674D9"/>
    <w:rsid w:val="00E67C3D"/>
    <w:rsid w:val="00E67CF1"/>
    <w:rsid w:val="00E70932"/>
    <w:rsid w:val="00E72995"/>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7D05"/>
    <w:rsid w:val="00E80344"/>
    <w:rsid w:val="00E804A4"/>
    <w:rsid w:val="00E80F38"/>
    <w:rsid w:val="00E81267"/>
    <w:rsid w:val="00E813A2"/>
    <w:rsid w:val="00E8174E"/>
    <w:rsid w:val="00E8191B"/>
    <w:rsid w:val="00E833F8"/>
    <w:rsid w:val="00E835D1"/>
    <w:rsid w:val="00E83AA0"/>
    <w:rsid w:val="00E83D4F"/>
    <w:rsid w:val="00E847E9"/>
    <w:rsid w:val="00E85070"/>
    <w:rsid w:val="00E85FB2"/>
    <w:rsid w:val="00E86530"/>
    <w:rsid w:val="00E86619"/>
    <w:rsid w:val="00E87EE7"/>
    <w:rsid w:val="00E87FC6"/>
    <w:rsid w:val="00E902B0"/>
    <w:rsid w:val="00E902F0"/>
    <w:rsid w:val="00E90768"/>
    <w:rsid w:val="00E907C9"/>
    <w:rsid w:val="00E90A5D"/>
    <w:rsid w:val="00E914B6"/>
    <w:rsid w:val="00E9221B"/>
    <w:rsid w:val="00E929BE"/>
    <w:rsid w:val="00E92D37"/>
    <w:rsid w:val="00E93A9D"/>
    <w:rsid w:val="00E93AB4"/>
    <w:rsid w:val="00E93BEF"/>
    <w:rsid w:val="00E94CA9"/>
    <w:rsid w:val="00E94DC6"/>
    <w:rsid w:val="00E95B88"/>
    <w:rsid w:val="00E95CE4"/>
    <w:rsid w:val="00E96222"/>
    <w:rsid w:val="00E96417"/>
    <w:rsid w:val="00E965C8"/>
    <w:rsid w:val="00E9679F"/>
    <w:rsid w:val="00E96882"/>
    <w:rsid w:val="00E96A4E"/>
    <w:rsid w:val="00E96B27"/>
    <w:rsid w:val="00E972FE"/>
    <w:rsid w:val="00E9792A"/>
    <w:rsid w:val="00EA00A1"/>
    <w:rsid w:val="00EA07FD"/>
    <w:rsid w:val="00EA0AE9"/>
    <w:rsid w:val="00EA0B82"/>
    <w:rsid w:val="00EA0F6C"/>
    <w:rsid w:val="00EA226A"/>
    <w:rsid w:val="00EA28D4"/>
    <w:rsid w:val="00EA2C95"/>
    <w:rsid w:val="00EA3494"/>
    <w:rsid w:val="00EA3889"/>
    <w:rsid w:val="00EA4732"/>
    <w:rsid w:val="00EA4A8B"/>
    <w:rsid w:val="00EA561C"/>
    <w:rsid w:val="00EA5F4D"/>
    <w:rsid w:val="00EA627B"/>
    <w:rsid w:val="00EA667D"/>
    <w:rsid w:val="00EA67FE"/>
    <w:rsid w:val="00EA7452"/>
    <w:rsid w:val="00EA7989"/>
    <w:rsid w:val="00EA7C02"/>
    <w:rsid w:val="00EA7ECA"/>
    <w:rsid w:val="00EA7FA8"/>
    <w:rsid w:val="00EB05BE"/>
    <w:rsid w:val="00EB0BB9"/>
    <w:rsid w:val="00EB0D36"/>
    <w:rsid w:val="00EB1535"/>
    <w:rsid w:val="00EB1AAA"/>
    <w:rsid w:val="00EB1E2E"/>
    <w:rsid w:val="00EB3A88"/>
    <w:rsid w:val="00EB3C4C"/>
    <w:rsid w:val="00EB3F01"/>
    <w:rsid w:val="00EB475D"/>
    <w:rsid w:val="00EB4E8E"/>
    <w:rsid w:val="00EB511E"/>
    <w:rsid w:val="00EB54CE"/>
    <w:rsid w:val="00EB75E3"/>
    <w:rsid w:val="00EC0706"/>
    <w:rsid w:val="00EC0BDE"/>
    <w:rsid w:val="00EC0CAB"/>
    <w:rsid w:val="00EC1204"/>
    <w:rsid w:val="00EC153B"/>
    <w:rsid w:val="00EC1C5D"/>
    <w:rsid w:val="00EC2381"/>
    <w:rsid w:val="00EC2685"/>
    <w:rsid w:val="00EC2A45"/>
    <w:rsid w:val="00EC2C0B"/>
    <w:rsid w:val="00EC3086"/>
    <w:rsid w:val="00EC3102"/>
    <w:rsid w:val="00EC34EF"/>
    <w:rsid w:val="00EC357B"/>
    <w:rsid w:val="00EC38C4"/>
    <w:rsid w:val="00EC3AE8"/>
    <w:rsid w:val="00EC40AA"/>
    <w:rsid w:val="00EC4F93"/>
    <w:rsid w:val="00EC5604"/>
    <w:rsid w:val="00EC5A04"/>
    <w:rsid w:val="00EC5CC7"/>
    <w:rsid w:val="00EC5FC0"/>
    <w:rsid w:val="00EC7775"/>
    <w:rsid w:val="00ED19E6"/>
    <w:rsid w:val="00ED1FA6"/>
    <w:rsid w:val="00ED22D9"/>
    <w:rsid w:val="00ED2789"/>
    <w:rsid w:val="00ED325A"/>
    <w:rsid w:val="00ED3EB0"/>
    <w:rsid w:val="00ED4987"/>
    <w:rsid w:val="00ED49EA"/>
    <w:rsid w:val="00ED4D3C"/>
    <w:rsid w:val="00ED4D9A"/>
    <w:rsid w:val="00ED55AB"/>
    <w:rsid w:val="00ED58D4"/>
    <w:rsid w:val="00ED61BA"/>
    <w:rsid w:val="00ED638C"/>
    <w:rsid w:val="00EE0122"/>
    <w:rsid w:val="00EE112F"/>
    <w:rsid w:val="00EE1577"/>
    <w:rsid w:val="00EE1819"/>
    <w:rsid w:val="00EE21CF"/>
    <w:rsid w:val="00EE30D6"/>
    <w:rsid w:val="00EE3D22"/>
    <w:rsid w:val="00EE3DDE"/>
    <w:rsid w:val="00EE429B"/>
    <w:rsid w:val="00EE4832"/>
    <w:rsid w:val="00EE4E25"/>
    <w:rsid w:val="00EE4E49"/>
    <w:rsid w:val="00EE535D"/>
    <w:rsid w:val="00EE5397"/>
    <w:rsid w:val="00EE696E"/>
    <w:rsid w:val="00EF0148"/>
    <w:rsid w:val="00EF0AAC"/>
    <w:rsid w:val="00EF0C65"/>
    <w:rsid w:val="00EF1709"/>
    <w:rsid w:val="00EF2717"/>
    <w:rsid w:val="00EF3381"/>
    <w:rsid w:val="00EF3931"/>
    <w:rsid w:val="00EF4D50"/>
    <w:rsid w:val="00EF5559"/>
    <w:rsid w:val="00EF6816"/>
    <w:rsid w:val="00EF6AF0"/>
    <w:rsid w:val="00EF6F83"/>
    <w:rsid w:val="00EF74D4"/>
    <w:rsid w:val="00EF7930"/>
    <w:rsid w:val="00F00540"/>
    <w:rsid w:val="00F00C3B"/>
    <w:rsid w:val="00F0112C"/>
    <w:rsid w:val="00F016AF"/>
    <w:rsid w:val="00F01D61"/>
    <w:rsid w:val="00F02333"/>
    <w:rsid w:val="00F023B3"/>
    <w:rsid w:val="00F02A5B"/>
    <w:rsid w:val="00F02B13"/>
    <w:rsid w:val="00F03CF4"/>
    <w:rsid w:val="00F042A7"/>
    <w:rsid w:val="00F04B81"/>
    <w:rsid w:val="00F04CE7"/>
    <w:rsid w:val="00F0593F"/>
    <w:rsid w:val="00F05BA2"/>
    <w:rsid w:val="00F07001"/>
    <w:rsid w:val="00F07A68"/>
    <w:rsid w:val="00F07CBA"/>
    <w:rsid w:val="00F07E9A"/>
    <w:rsid w:val="00F100CA"/>
    <w:rsid w:val="00F109E8"/>
    <w:rsid w:val="00F115C0"/>
    <w:rsid w:val="00F11693"/>
    <w:rsid w:val="00F11714"/>
    <w:rsid w:val="00F11CA4"/>
    <w:rsid w:val="00F12233"/>
    <w:rsid w:val="00F12464"/>
    <w:rsid w:val="00F12516"/>
    <w:rsid w:val="00F1254E"/>
    <w:rsid w:val="00F12688"/>
    <w:rsid w:val="00F12D96"/>
    <w:rsid w:val="00F13D43"/>
    <w:rsid w:val="00F15155"/>
    <w:rsid w:val="00F15466"/>
    <w:rsid w:val="00F155D4"/>
    <w:rsid w:val="00F157FF"/>
    <w:rsid w:val="00F164F6"/>
    <w:rsid w:val="00F165FF"/>
    <w:rsid w:val="00F16E24"/>
    <w:rsid w:val="00F173D6"/>
    <w:rsid w:val="00F17B75"/>
    <w:rsid w:val="00F17DF5"/>
    <w:rsid w:val="00F206AE"/>
    <w:rsid w:val="00F21CDC"/>
    <w:rsid w:val="00F223C9"/>
    <w:rsid w:val="00F2321D"/>
    <w:rsid w:val="00F2322A"/>
    <w:rsid w:val="00F23B01"/>
    <w:rsid w:val="00F24153"/>
    <w:rsid w:val="00F24C94"/>
    <w:rsid w:val="00F2602F"/>
    <w:rsid w:val="00F264B1"/>
    <w:rsid w:val="00F26776"/>
    <w:rsid w:val="00F269A5"/>
    <w:rsid w:val="00F274A9"/>
    <w:rsid w:val="00F2774E"/>
    <w:rsid w:val="00F27B57"/>
    <w:rsid w:val="00F27BF7"/>
    <w:rsid w:val="00F301C9"/>
    <w:rsid w:val="00F3034C"/>
    <w:rsid w:val="00F304B5"/>
    <w:rsid w:val="00F3079B"/>
    <w:rsid w:val="00F308AF"/>
    <w:rsid w:val="00F309F0"/>
    <w:rsid w:val="00F30CA5"/>
    <w:rsid w:val="00F312FB"/>
    <w:rsid w:val="00F32258"/>
    <w:rsid w:val="00F32B0C"/>
    <w:rsid w:val="00F343A3"/>
    <w:rsid w:val="00F344E9"/>
    <w:rsid w:val="00F3528B"/>
    <w:rsid w:val="00F355B0"/>
    <w:rsid w:val="00F35A08"/>
    <w:rsid w:val="00F35CFF"/>
    <w:rsid w:val="00F3615B"/>
    <w:rsid w:val="00F363E3"/>
    <w:rsid w:val="00F3659A"/>
    <w:rsid w:val="00F36CD1"/>
    <w:rsid w:val="00F36E3C"/>
    <w:rsid w:val="00F37338"/>
    <w:rsid w:val="00F3733C"/>
    <w:rsid w:val="00F374AD"/>
    <w:rsid w:val="00F4046B"/>
    <w:rsid w:val="00F40A0B"/>
    <w:rsid w:val="00F40AB2"/>
    <w:rsid w:val="00F40CF1"/>
    <w:rsid w:val="00F40D77"/>
    <w:rsid w:val="00F40F85"/>
    <w:rsid w:val="00F411E1"/>
    <w:rsid w:val="00F41A68"/>
    <w:rsid w:val="00F41C65"/>
    <w:rsid w:val="00F41EA2"/>
    <w:rsid w:val="00F4235C"/>
    <w:rsid w:val="00F423A0"/>
    <w:rsid w:val="00F424CF"/>
    <w:rsid w:val="00F42566"/>
    <w:rsid w:val="00F42678"/>
    <w:rsid w:val="00F42838"/>
    <w:rsid w:val="00F42B65"/>
    <w:rsid w:val="00F435E6"/>
    <w:rsid w:val="00F4485C"/>
    <w:rsid w:val="00F44CB0"/>
    <w:rsid w:val="00F45431"/>
    <w:rsid w:val="00F45759"/>
    <w:rsid w:val="00F45D9D"/>
    <w:rsid w:val="00F4607A"/>
    <w:rsid w:val="00F46430"/>
    <w:rsid w:val="00F466C0"/>
    <w:rsid w:val="00F47012"/>
    <w:rsid w:val="00F47200"/>
    <w:rsid w:val="00F47896"/>
    <w:rsid w:val="00F47BD0"/>
    <w:rsid w:val="00F47EA3"/>
    <w:rsid w:val="00F510C1"/>
    <w:rsid w:val="00F51375"/>
    <w:rsid w:val="00F51660"/>
    <w:rsid w:val="00F5178D"/>
    <w:rsid w:val="00F517DE"/>
    <w:rsid w:val="00F51907"/>
    <w:rsid w:val="00F5251E"/>
    <w:rsid w:val="00F52737"/>
    <w:rsid w:val="00F52B69"/>
    <w:rsid w:val="00F531C6"/>
    <w:rsid w:val="00F53AC6"/>
    <w:rsid w:val="00F541B4"/>
    <w:rsid w:val="00F5445C"/>
    <w:rsid w:val="00F54B27"/>
    <w:rsid w:val="00F54DBD"/>
    <w:rsid w:val="00F5544D"/>
    <w:rsid w:val="00F55473"/>
    <w:rsid w:val="00F55CFF"/>
    <w:rsid w:val="00F562B9"/>
    <w:rsid w:val="00F563F4"/>
    <w:rsid w:val="00F568BF"/>
    <w:rsid w:val="00F56E46"/>
    <w:rsid w:val="00F571A9"/>
    <w:rsid w:val="00F571BE"/>
    <w:rsid w:val="00F5785E"/>
    <w:rsid w:val="00F57BFE"/>
    <w:rsid w:val="00F60721"/>
    <w:rsid w:val="00F614EF"/>
    <w:rsid w:val="00F619E7"/>
    <w:rsid w:val="00F61C3D"/>
    <w:rsid w:val="00F63003"/>
    <w:rsid w:val="00F636F1"/>
    <w:rsid w:val="00F640FB"/>
    <w:rsid w:val="00F64167"/>
    <w:rsid w:val="00F6474A"/>
    <w:rsid w:val="00F6550B"/>
    <w:rsid w:val="00F65761"/>
    <w:rsid w:val="00F65917"/>
    <w:rsid w:val="00F66250"/>
    <w:rsid w:val="00F667DC"/>
    <w:rsid w:val="00F66817"/>
    <w:rsid w:val="00F66CF3"/>
    <w:rsid w:val="00F66FE1"/>
    <w:rsid w:val="00F671E3"/>
    <w:rsid w:val="00F672B6"/>
    <w:rsid w:val="00F67591"/>
    <w:rsid w:val="00F67743"/>
    <w:rsid w:val="00F70613"/>
    <w:rsid w:val="00F709F3"/>
    <w:rsid w:val="00F70BC8"/>
    <w:rsid w:val="00F70C79"/>
    <w:rsid w:val="00F715C9"/>
    <w:rsid w:val="00F7167A"/>
    <w:rsid w:val="00F719B0"/>
    <w:rsid w:val="00F71F59"/>
    <w:rsid w:val="00F725CD"/>
    <w:rsid w:val="00F7289C"/>
    <w:rsid w:val="00F73A58"/>
    <w:rsid w:val="00F73D7C"/>
    <w:rsid w:val="00F749FD"/>
    <w:rsid w:val="00F74C67"/>
    <w:rsid w:val="00F74DBD"/>
    <w:rsid w:val="00F75199"/>
    <w:rsid w:val="00F756D5"/>
    <w:rsid w:val="00F75E3F"/>
    <w:rsid w:val="00F764BB"/>
    <w:rsid w:val="00F773CA"/>
    <w:rsid w:val="00F7764A"/>
    <w:rsid w:val="00F7769D"/>
    <w:rsid w:val="00F77CEA"/>
    <w:rsid w:val="00F77E78"/>
    <w:rsid w:val="00F80112"/>
    <w:rsid w:val="00F8029D"/>
    <w:rsid w:val="00F80352"/>
    <w:rsid w:val="00F80553"/>
    <w:rsid w:val="00F80D89"/>
    <w:rsid w:val="00F80D8F"/>
    <w:rsid w:val="00F8224F"/>
    <w:rsid w:val="00F824C1"/>
    <w:rsid w:val="00F82DB8"/>
    <w:rsid w:val="00F8326B"/>
    <w:rsid w:val="00F83392"/>
    <w:rsid w:val="00F8447C"/>
    <w:rsid w:val="00F84815"/>
    <w:rsid w:val="00F85033"/>
    <w:rsid w:val="00F85E3E"/>
    <w:rsid w:val="00F85F2F"/>
    <w:rsid w:val="00F86C6C"/>
    <w:rsid w:val="00F878AD"/>
    <w:rsid w:val="00F901DF"/>
    <w:rsid w:val="00F90C24"/>
    <w:rsid w:val="00F90D12"/>
    <w:rsid w:val="00F91FDE"/>
    <w:rsid w:val="00F92423"/>
    <w:rsid w:val="00F9262F"/>
    <w:rsid w:val="00F92E12"/>
    <w:rsid w:val="00F93C74"/>
    <w:rsid w:val="00F93E07"/>
    <w:rsid w:val="00F94284"/>
    <w:rsid w:val="00F95549"/>
    <w:rsid w:val="00F955F6"/>
    <w:rsid w:val="00F95B43"/>
    <w:rsid w:val="00F95EF7"/>
    <w:rsid w:val="00F968A8"/>
    <w:rsid w:val="00F96AFA"/>
    <w:rsid w:val="00F96C2B"/>
    <w:rsid w:val="00F97397"/>
    <w:rsid w:val="00FA0AF5"/>
    <w:rsid w:val="00FA1296"/>
    <w:rsid w:val="00FA12DF"/>
    <w:rsid w:val="00FA2467"/>
    <w:rsid w:val="00FA2DE9"/>
    <w:rsid w:val="00FA3E6F"/>
    <w:rsid w:val="00FA422E"/>
    <w:rsid w:val="00FA4373"/>
    <w:rsid w:val="00FA45DF"/>
    <w:rsid w:val="00FA550B"/>
    <w:rsid w:val="00FA565D"/>
    <w:rsid w:val="00FA5BEE"/>
    <w:rsid w:val="00FA63F0"/>
    <w:rsid w:val="00FA6CD2"/>
    <w:rsid w:val="00FA70D7"/>
    <w:rsid w:val="00FA78AE"/>
    <w:rsid w:val="00FB0473"/>
    <w:rsid w:val="00FB0919"/>
    <w:rsid w:val="00FB11DB"/>
    <w:rsid w:val="00FB1752"/>
    <w:rsid w:val="00FB1B5F"/>
    <w:rsid w:val="00FB1E0D"/>
    <w:rsid w:val="00FB1F5C"/>
    <w:rsid w:val="00FB2397"/>
    <w:rsid w:val="00FB29A3"/>
    <w:rsid w:val="00FB3BDC"/>
    <w:rsid w:val="00FB3FAF"/>
    <w:rsid w:val="00FB4E20"/>
    <w:rsid w:val="00FB56A6"/>
    <w:rsid w:val="00FB57A0"/>
    <w:rsid w:val="00FB6632"/>
    <w:rsid w:val="00FB7784"/>
    <w:rsid w:val="00FC01CF"/>
    <w:rsid w:val="00FC044A"/>
    <w:rsid w:val="00FC1050"/>
    <w:rsid w:val="00FC2001"/>
    <w:rsid w:val="00FC2527"/>
    <w:rsid w:val="00FC2911"/>
    <w:rsid w:val="00FC2ED8"/>
    <w:rsid w:val="00FC3A8A"/>
    <w:rsid w:val="00FC3AE7"/>
    <w:rsid w:val="00FC41DA"/>
    <w:rsid w:val="00FC4398"/>
    <w:rsid w:val="00FC48F6"/>
    <w:rsid w:val="00FC51BC"/>
    <w:rsid w:val="00FC54FE"/>
    <w:rsid w:val="00FC610A"/>
    <w:rsid w:val="00FC6325"/>
    <w:rsid w:val="00FC64E4"/>
    <w:rsid w:val="00FC6686"/>
    <w:rsid w:val="00FC66FE"/>
    <w:rsid w:val="00FC6AB9"/>
    <w:rsid w:val="00FC6C21"/>
    <w:rsid w:val="00FC6D9E"/>
    <w:rsid w:val="00FC75A6"/>
    <w:rsid w:val="00FC75CC"/>
    <w:rsid w:val="00FD0235"/>
    <w:rsid w:val="00FD0CBA"/>
    <w:rsid w:val="00FD1CE3"/>
    <w:rsid w:val="00FD20C3"/>
    <w:rsid w:val="00FD218F"/>
    <w:rsid w:val="00FD2E7A"/>
    <w:rsid w:val="00FD34CF"/>
    <w:rsid w:val="00FD3EDF"/>
    <w:rsid w:val="00FD478D"/>
    <w:rsid w:val="00FD4F1C"/>
    <w:rsid w:val="00FD59DD"/>
    <w:rsid w:val="00FD5A53"/>
    <w:rsid w:val="00FD7A4D"/>
    <w:rsid w:val="00FD7AAE"/>
    <w:rsid w:val="00FD7C37"/>
    <w:rsid w:val="00FD7C7D"/>
    <w:rsid w:val="00FD7F0C"/>
    <w:rsid w:val="00FE06C9"/>
    <w:rsid w:val="00FE0AF2"/>
    <w:rsid w:val="00FE1B4B"/>
    <w:rsid w:val="00FE1FB2"/>
    <w:rsid w:val="00FE22A5"/>
    <w:rsid w:val="00FE26E9"/>
    <w:rsid w:val="00FE3C1D"/>
    <w:rsid w:val="00FE3E5C"/>
    <w:rsid w:val="00FE44E8"/>
    <w:rsid w:val="00FE4544"/>
    <w:rsid w:val="00FE4CCD"/>
    <w:rsid w:val="00FE5411"/>
    <w:rsid w:val="00FE66B0"/>
    <w:rsid w:val="00FE6BFB"/>
    <w:rsid w:val="00FF0120"/>
    <w:rsid w:val="00FF08FF"/>
    <w:rsid w:val="00FF0ACA"/>
    <w:rsid w:val="00FF1152"/>
    <w:rsid w:val="00FF1522"/>
    <w:rsid w:val="00FF1B31"/>
    <w:rsid w:val="00FF26DC"/>
    <w:rsid w:val="00FF2726"/>
    <w:rsid w:val="00FF2A66"/>
    <w:rsid w:val="00FF2D87"/>
    <w:rsid w:val="00FF38F3"/>
    <w:rsid w:val="00FF3D9F"/>
    <w:rsid w:val="00FF3E4B"/>
    <w:rsid w:val="00FF4202"/>
    <w:rsid w:val="00FF4375"/>
    <w:rsid w:val="00FF4861"/>
    <w:rsid w:val="00FF4871"/>
    <w:rsid w:val="00FF5973"/>
    <w:rsid w:val="00FF5D1C"/>
    <w:rsid w:val="00FF5D77"/>
    <w:rsid w:val="00FF65FF"/>
    <w:rsid w:val="00FF6A0E"/>
    <w:rsid w:val="00FF6D50"/>
    <w:rsid w:val="00FF6EC8"/>
    <w:rsid w:val="00FF7247"/>
    <w:rsid w:val="00FF7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407390"/>
  <w15:docId w15:val="{0DAA2CFC-2EB8-4E25-B2EF-1B6DBA8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1DF"/>
    <w:pPr>
      <w:tabs>
        <w:tab w:val="num" w:pos="567"/>
      </w:tabs>
      <w:ind w:firstLine="567"/>
      <w:jc w:val="both"/>
    </w:pPr>
    <w:rPr>
      <w:sz w:val="28"/>
      <w:szCs w:val="28"/>
    </w:rPr>
  </w:style>
  <w:style w:type="paragraph" w:styleId="Heading1">
    <w:name w:val="heading 1"/>
    <w:basedOn w:val="Normal"/>
    <w:next w:val="Normal"/>
    <w:link w:val="Heading1Char"/>
    <w:uiPriority w:val="9"/>
    <w:qFormat/>
    <w:rsid w:val="0057401E"/>
    <w:pPr>
      <w:keepNext/>
      <w:keepLines/>
      <w:numPr>
        <w:numId w:val="1"/>
      </w:numPr>
      <w:outlineLvl w:val="0"/>
    </w:pPr>
    <w:rPr>
      <w:rFonts w:eastAsiaTheme="majorEastAsia" w:cstheme="majorBidi"/>
      <w:b/>
      <w:bCs/>
      <w:color w:val="000000" w:themeColor="text1"/>
    </w:rPr>
  </w:style>
  <w:style w:type="paragraph" w:styleId="Heading2">
    <w:name w:val="heading 2"/>
    <w:basedOn w:val="Normal"/>
    <w:next w:val="Normal"/>
    <w:link w:val="Heading2Char"/>
    <w:unhideWhenUsed/>
    <w:qFormat/>
    <w:rsid w:val="003D4DC9"/>
    <w:pPr>
      <w:keepNext/>
      <w:keepLines/>
      <w:numPr>
        <w:ilvl w:val="1"/>
        <w:numId w:val="1"/>
      </w:numP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740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40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740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5740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740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5740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5740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447F"/>
    <w:rPr>
      <w:rFonts w:ascii="Tahoma" w:hAnsi="Tahoma" w:cs="Tahoma"/>
      <w:sz w:val="16"/>
      <w:szCs w:val="16"/>
    </w:rPr>
  </w:style>
  <w:style w:type="character" w:customStyle="1" w:styleId="BalloonTextChar">
    <w:name w:val="Balloon Text Char"/>
    <w:basedOn w:val="DefaultParagraphFont"/>
    <w:link w:val="BalloonText"/>
    <w:rsid w:val="0034447F"/>
    <w:rPr>
      <w:rFonts w:ascii="Tahoma" w:hAnsi="Tahoma" w:cs="Tahoma"/>
      <w:sz w:val="16"/>
      <w:szCs w:val="16"/>
    </w:rPr>
  </w:style>
  <w:style w:type="paragraph" w:styleId="ListParagraph">
    <w:name w:val="List Paragraph"/>
    <w:aliases w:val="Akapit z listą BS,Bullet1,Bullets,IBL List Paragraph,List Paragraph (numbered (a)),List Paragraph 1,List Paragraph nowy,List_Paragraph,Multilevel para_II,NUMBERED PARAGRAPH,Numbered List Paragraph,References,Абзац списка1,маркированный"/>
    <w:basedOn w:val="Normal"/>
    <w:link w:val="ListParagraphChar"/>
    <w:uiPriority w:val="34"/>
    <w:qFormat/>
    <w:rsid w:val="006735DD"/>
    <w:pPr>
      <w:ind w:left="720"/>
      <w:contextualSpacing/>
    </w:pPr>
  </w:style>
  <w:style w:type="character" w:styleId="Hyperlink">
    <w:name w:val="Hyperlink"/>
    <w:basedOn w:val="DefaultParagraphFont"/>
    <w:uiPriority w:val="99"/>
    <w:unhideWhenUsed/>
    <w:rsid w:val="006735DD"/>
    <w:rPr>
      <w:color w:val="0000FF"/>
      <w:u w:val="single"/>
    </w:rPr>
  </w:style>
  <w:style w:type="paragraph" w:styleId="TOC1">
    <w:name w:val="toc 1"/>
    <w:basedOn w:val="Normal"/>
    <w:next w:val="Normal"/>
    <w:autoRedefine/>
    <w:uiPriority w:val="39"/>
    <w:unhideWhenUsed/>
    <w:rsid w:val="00AC1C9C"/>
    <w:pPr>
      <w:tabs>
        <w:tab w:val="right" w:leader="dot" w:pos="9628"/>
      </w:tabs>
    </w:pPr>
    <w:rPr>
      <w:rFonts w:cstheme="majorHAnsi"/>
      <w:b/>
      <w:bCs/>
      <w:caps/>
    </w:rPr>
  </w:style>
  <w:style w:type="paragraph" w:styleId="NormalWeb">
    <w:name w:val="Normal (Web)"/>
    <w:aliases w:val=" Знак Знак Знак Знак Зн, Знак Знак1 Знак, Знак Знак1 Знак Знак, Знак4,Знак4,Знак4 Знак,Знак4 Знак Знак,Обычный (Web)1,Обычный (веб) Знак Знак Знак,Обычный (веб) Знак Знак Знак Знак,Обычный (веб) Знак Знак1,Обычный (веб) Знак1"/>
    <w:basedOn w:val="Normal"/>
    <w:link w:val="NormalWebChar"/>
    <w:uiPriority w:val="99"/>
    <w:unhideWhenUsed/>
    <w:qFormat/>
    <w:rsid w:val="006735DD"/>
    <w:pPr>
      <w:spacing w:before="100" w:beforeAutospacing="1" w:after="100" w:afterAutospacing="1"/>
    </w:pPr>
  </w:style>
  <w:style w:type="character" w:customStyle="1" w:styleId="Heading1Char">
    <w:name w:val="Heading 1 Char"/>
    <w:basedOn w:val="DefaultParagraphFont"/>
    <w:link w:val="Heading1"/>
    <w:uiPriority w:val="9"/>
    <w:rsid w:val="0057401E"/>
    <w:rPr>
      <w:rFonts w:eastAsiaTheme="majorEastAsia" w:cstheme="majorBidi"/>
      <w:b/>
      <w:bCs/>
      <w:color w:val="000000" w:themeColor="text1"/>
      <w:sz w:val="28"/>
      <w:szCs w:val="28"/>
    </w:rPr>
  </w:style>
  <w:style w:type="paragraph" w:styleId="Subtitle">
    <w:name w:val="Subtitle"/>
    <w:basedOn w:val="Normal"/>
    <w:next w:val="Normal"/>
    <w:link w:val="SubtitleChar"/>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SubtitleChar">
    <w:name w:val="Subtitle Char"/>
    <w:basedOn w:val="DefaultParagraphFont"/>
    <w:link w:val="Subtitle"/>
    <w:rsid w:val="001E4E09"/>
    <w:rPr>
      <w:rFonts w:eastAsiaTheme="majorEastAsia" w:cstheme="majorBidi"/>
      <w:iCs/>
      <w:color w:val="000000" w:themeColor="text1"/>
      <w:spacing w:val="15"/>
      <w:sz w:val="28"/>
      <w:szCs w:val="24"/>
    </w:rPr>
  </w:style>
  <w:style w:type="paragraph" w:styleId="TOCHeading">
    <w:name w:val="TOC Heading"/>
    <w:basedOn w:val="Heading1"/>
    <w:next w:val="Normal"/>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Heading2Char">
    <w:name w:val="Heading 2 Char"/>
    <w:basedOn w:val="DefaultParagraphFont"/>
    <w:link w:val="Heading2"/>
    <w:rsid w:val="003D4DC9"/>
    <w:rPr>
      <w:rFonts w:eastAsiaTheme="majorEastAsia" w:cstheme="majorBidi"/>
      <w:b/>
      <w:bCs/>
      <w:color w:val="000000" w:themeColor="text1"/>
      <w:sz w:val="28"/>
      <w:szCs w:val="26"/>
    </w:rPr>
  </w:style>
  <w:style w:type="character" w:customStyle="1" w:styleId="Heading3Char">
    <w:name w:val="Heading 3 Char"/>
    <w:basedOn w:val="DefaultParagraphFont"/>
    <w:link w:val="Heading3"/>
    <w:uiPriority w:val="9"/>
    <w:rsid w:val="0057401E"/>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57401E"/>
    <w:rPr>
      <w:rFonts w:asciiTheme="majorHAnsi" w:eastAsiaTheme="majorEastAsia" w:hAnsiTheme="majorHAnsi" w:cstheme="majorBidi"/>
      <w:b/>
      <w:bCs/>
      <w:i/>
      <w:iCs/>
      <w:color w:val="4F81BD" w:themeColor="accent1"/>
      <w:sz w:val="28"/>
      <w:szCs w:val="28"/>
    </w:rPr>
  </w:style>
  <w:style w:type="character" w:customStyle="1" w:styleId="Heading5Char">
    <w:name w:val="Heading 5 Char"/>
    <w:basedOn w:val="DefaultParagraphFont"/>
    <w:link w:val="Heading5"/>
    <w:semiHidden/>
    <w:rsid w:val="0057401E"/>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semiHidden/>
    <w:rsid w:val="0057401E"/>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semiHidden/>
    <w:rsid w:val="0057401E"/>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semiHidden/>
    <w:rsid w:val="0057401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57401E"/>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rsid w:val="00B90193"/>
    <w:pPr>
      <w:tabs>
        <w:tab w:val="right" w:leader="dot" w:pos="9628"/>
      </w:tabs>
      <w:ind w:firstLine="0"/>
    </w:pPr>
  </w:style>
  <w:style w:type="paragraph" w:styleId="NoSpacing">
    <w:name w:val="No Spacing"/>
    <w:aliases w:val="Medium Grid 2,14 TNR,Clips Body,Letters,No Spacing1,No Spacing11,No Spacing2,Айгерим,Без интеБез интервала,Без интервала111,Без интерваль,Елжан,Исполнитель,МОЙ СТИЛЬ,Обя,без интервала,исполнитель,мелкий,мой рабочий,норма,свой,No Spacing_0"/>
    <w:basedOn w:val="Normal"/>
    <w:link w:val="NoSpacingChar"/>
    <w:qFormat/>
    <w:rsid w:val="007303F0"/>
    <w:pPr>
      <w:tabs>
        <w:tab w:val="num" w:pos="0"/>
      </w:tabs>
    </w:pPr>
    <w:rPr>
      <w:rFonts w:eastAsia="SimSun"/>
      <w:szCs w:val="22"/>
      <w:lang w:eastAsia="zh-CN"/>
    </w:rPr>
  </w:style>
  <w:style w:type="character" w:customStyle="1" w:styleId="NoSpacingChar">
    <w:name w:val="No Spacing Char"/>
    <w:aliases w:val="Medium Grid 2 Char,14 TNR Char,Clips Body Char,Letters Char,No Spacing1 Char,No Spacing11 Char,No Spacing2 Char,Айгерим Char,Без интеБез интервала Char,Без интервала111 Char,Без интерваль Char,Елжан Char,Исполнитель Char,МОЙ СТИЛЬ Char"/>
    <w:basedOn w:val="DefaultParagraphFont"/>
    <w:link w:val="NoSpacing"/>
    <w:rsid w:val="007303F0"/>
    <w:rPr>
      <w:rFonts w:eastAsia="SimSun"/>
      <w:sz w:val="28"/>
      <w:szCs w:val="22"/>
      <w:lang w:eastAsia="zh-CN"/>
    </w:rPr>
  </w:style>
  <w:style w:type="character" w:styleId="FootnoteReference">
    <w:name w:val="footnote reference"/>
    <w:aliases w:val="ftref,Знак сноски 1,Знак сноски-FN"/>
    <w:qFormat/>
    <w:rsid w:val="007303F0"/>
    <w:rPr>
      <w:vertAlign w:val="superscript"/>
    </w:rPr>
  </w:style>
  <w:style w:type="paragraph" w:styleId="FootnoteText">
    <w:name w:val="footnote text"/>
    <w:basedOn w:val="Normal"/>
    <w:link w:val="FootnoteTextChar"/>
    <w:uiPriority w:val="99"/>
    <w:unhideWhenUsed/>
    <w:qFormat/>
    <w:rsid w:val="007303F0"/>
    <w:pPr>
      <w:tabs>
        <w:tab w:val="num" w:pos="0"/>
      </w:tabs>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qFormat/>
    <w:rsid w:val="007303F0"/>
    <w:rPr>
      <w:rFonts w:ascii="Calibri" w:eastAsia="Calibri" w:hAnsi="Calibri"/>
      <w:lang w:eastAsia="en-US"/>
    </w:rPr>
  </w:style>
  <w:style w:type="character" w:customStyle="1" w:styleId="apple-converted-space">
    <w:name w:val="apple-converted-space"/>
    <w:basedOn w:val="DefaultParagraphFont"/>
    <w:rsid w:val="007303F0"/>
  </w:style>
  <w:style w:type="character" w:customStyle="1" w:styleId="ListParagraphChar">
    <w:name w:val="List Paragraph Char"/>
    <w:aliases w:val="Akapit z listą BS Char,Bullet1 Char,Bullets Char,IBL List Paragraph Char,List Paragraph (numbered (a)) Char,List Paragraph 1 Char,List Paragraph nowy Char,List_Paragraph Char,Multilevel para_II Char,NUMBERED PARAGRAPH Char"/>
    <w:link w:val="ListParagraph"/>
    <w:uiPriority w:val="34"/>
    <w:qFormat/>
    <w:locked/>
    <w:rsid w:val="007303F0"/>
    <w:rPr>
      <w:sz w:val="24"/>
      <w:szCs w:val="24"/>
    </w:rPr>
  </w:style>
  <w:style w:type="paragraph" w:customStyle="1" w:styleId="a">
    <w:name w:val="СтильА"/>
    <w:basedOn w:val="Normal"/>
    <w:link w:val="a0"/>
    <w:autoRedefine/>
    <w:qFormat/>
    <w:rsid w:val="007303F0"/>
    <w:rPr>
      <w:rFonts w:eastAsia="Calibri"/>
      <w:szCs w:val="22"/>
      <w:lang w:eastAsia="en-US"/>
    </w:rPr>
  </w:style>
  <w:style w:type="character" w:customStyle="1" w:styleId="a0">
    <w:name w:val="СтильА Знак"/>
    <w:basedOn w:val="DefaultParagraphFont"/>
    <w:link w:val="a"/>
    <w:rsid w:val="007303F0"/>
    <w:rPr>
      <w:rFonts w:eastAsia="Calibri"/>
      <w:sz w:val="28"/>
      <w:szCs w:val="22"/>
      <w:lang w:eastAsia="en-US"/>
    </w:rPr>
  </w:style>
  <w:style w:type="character" w:customStyle="1" w:styleId="apple-style-span">
    <w:name w:val="apple-style-span"/>
    <w:basedOn w:val="DefaultParagraphFont"/>
    <w:rsid w:val="007303F0"/>
  </w:style>
  <w:style w:type="paragraph" w:styleId="HTMLPreformatted">
    <w:name w:val="HTML Preformatted"/>
    <w:basedOn w:val="Normal"/>
    <w:link w:val="HTMLPreformattedChar"/>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Header">
    <w:name w:val="header"/>
    <w:basedOn w:val="Normal"/>
    <w:link w:val="HeaderChar"/>
    <w:uiPriority w:val="99"/>
    <w:rsid w:val="00123184"/>
    <w:pPr>
      <w:tabs>
        <w:tab w:val="center" w:pos="4677"/>
        <w:tab w:val="right" w:pos="9355"/>
      </w:tabs>
    </w:pPr>
  </w:style>
  <w:style w:type="character" w:customStyle="1" w:styleId="HeaderChar">
    <w:name w:val="Header Char"/>
    <w:basedOn w:val="DefaultParagraphFont"/>
    <w:link w:val="Header"/>
    <w:uiPriority w:val="99"/>
    <w:rsid w:val="00123184"/>
    <w:rPr>
      <w:sz w:val="24"/>
      <w:szCs w:val="24"/>
    </w:rPr>
  </w:style>
  <w:style w:type="paragraph" w:styleId="Footer">
    <w:name w:val="footer"/>
    <w:basedOn w:val="Normal"/>
    <w:link w:val="FooterChar"/>
    <w:uiPriority w:val="99"/>
    <w:rsid w:val="00123184"/>
    <w:pPr>
      <w:tabs>
        <w:tab w:val="center" w:pos="4677"/>
        <w:tab w:val="right" w:pos="9355"/>
      </w:tabs>
    </w:pPr>
  </w:style>
  <w:style w:type="character" w:customStyle="1" w:styleId="FooterChar">
    <w:name w:val="Footer Char"/>
    <w:basedOn w:val="DefaultParagraphFont"/>
    <w:link w:val="Footer"/>
    <w:uiPriority w:val="99"/>
    <w:rsid w:val="00123184"/>
    <w:rPr>
      <w:sz w:val="24"/>
      <w:szCs w:val="24"/>
    </w:rPr>
  </w:style>
  <w:style w:type="character" w:styleId="Emphasis">
    <w:name w:val="Emphasis"/>
    <w:basedOn w:val="DefaultParagraphFont"/>
    <w:uiPriority w:val="20"/>
    <w:qFormat/>
    <w:rsid w:val="00237ECD"/>
    <w:rPr>
      <w:i/>
      <w:iCs/>
    </w:rPr>
  </w:style>
  <w:style w:type="character" w:styleId="FollowedHyperlink">
    <w:name w:val="FollowedHyperlink"/>
    <w:basedOn w:val="DefaultParagraphFont"/>
    <w:rsid w:val="00F80112"/>
    <w:rPr>
      <w:color w:val="800080" w:themeColor="followedHyperlink"/>
      <w:u w:val="single"/>
    </w:rPr>
  </w:style>
  <w:style w:type="paragraph" w:styleId="DocumentMap">
    <w:name w:val="Document Map"/>
    <w:basedOn w:val="Normal"/>
    <w:link w:val="DocumentMapChar"/>
    <w:rsid w:val="009B5641"/>
    <w:rPr>
      <w:rFonts w:ascii="Tahoma" w:hAnsi="Tahoma" w:cs="Tahoma"/>
      <w:sz w:val="16"/>
      <w:szCs w:val="16"/>
    </w:rPr>
  </w:style>
  <w:style w:type="character" w:customStyle="1" w:styleId="DocumentMapChar">
    <w:name w:val="Document Map Char"/>
    <w:basedOn w:val="DefaultParagraphFont"/>
    <w:link w:val="DocumentMap"/>
    <w:rsid w:val="009B5641"/>
    <w:rPr>
      <w:rFonts w:ascii="Tahoma" w:hAnsi="Tahoma" w:cs="Tahoma"/>
      <w:sz w:val="16"/>
      <w:szCs w:val="16"/>
    </w:rPr>
  </w:style>
  <w:style w:type="paragraph" w:customStyle="1" w:styleId="disclaimer">
    <w:name w:val="disclaimer"/>
    <w:basedOn w:val="Normal"/>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Normal"/>
    <w:rsid w:val="00AC4C93"/>
    <w:pPr>
      <w:jc w:val="left"/>
    </w:pPr>
    <w:rPr>
      <w:sz w:val="24"/>
      <w:szCs w:val="24"/>
    </w:rPr>
  </w:style>
  <w:style w:type="paragraph" w:styleId="BodyText">
    <w:name w:val="Body Text"/>
    <w:basedOn w:val="Normal"/>
    <w:link w:val="BodyTextChar"/>
    <w:rsid w:val="00AC4C93"/>
    <w:rPr>
      <w:rFonts w:cs="Courier New"/>
      <w:szCs w:val="20"/>
    </w:rPr>
  </w:style>
  <w:style w:type="character" w:customStyle="1" w:styleId="BodyTextChar">
    <w:name w:val="Body Text Char"/>
    <w:basedOn w:val="DefaultParagraphFont"/>
    <w:link w:val="BodyText"/>
    <w:rsid w:val="00AC4C93"/>
    <w:rPr>
      <w:rFonts w:cs="Courier New"/>
      <w:sz w:val="28"/>
    </w:rPr>
  </w:style>
  <w:style w:type="character" w:customStyle="1" w:styleId="hl">
    <w:name w:val="hl"/>
    <w:basedOn w:val="DefaultParagraphFont"/>
    <w:rsid w:val="00083E3F"/>
  </w:style>
  <w:style w:type="paragraph" w:styleId="BodyTextIndent">
    <w:name w:val="Body Text Indent"/>
    <w:basedOn w:val="Normal"/>
    <w:link w:val="BodyTextIndentChar"/>
    <w:rsid w:val="00D61E9C"/>
    <w:pPr>
      <w:spacing w:after="120"/>
      <w:ind w:left="283"/>
      <w:jc w:val="left"/>
    </w:pPr>
    <w:rPr>
      <w:sz w:val="24"/>
      <w:szCs w:val="24"/>
    </w:rPr>
  </w:style>
  <w:style w:type="character" w:customStyle="1" w:styleId="BodyTextIndentChar">
    <w:name w:val="Body Text Indent Char"/>
    <w:basedOn w:val="DefaultParagraphFont"/>
    <w:link w:val="BodyTextIndent"/>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TableGrid">
    <w:name w:val="Table Grid"/>
    <w:basedOn w:val="TableNormal"/>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92AC8"/>
    <w:pPr>
      <w:spacing w:after="200"/>
    </w:pPr>
    <w:rPr>
      <w:b/>
      <w:bCs/>
      <w:color w:val="4F81BD" w:themeColor="accent1"/>
      <w:sz w:val="18"/>
      <w:szCs w:val="18"/>
    </w:rPr>
  </w:style>
  <w:style w:type="character" w:customStyle="1" w:styleId="fontstyle01">
    <w:name w:val="fontstyle01"/>
    <w:basedOn w:val="DefaultParagraphFont"/>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943C3D"/>
    <w:rPr>
      <w:rFonts w:ascii="Times New Roman" w:hAnsi="Times New Roman" w:cs="Times New Roman" w:hint="default"/>
      <w:b w:val="0"/>
      <w:bCs w:val="0"/>
      <w:i w:val="0"/>
      <w:iCs w:val="0"/>
      <w:color w:val="000000"/>
      <w:sz w:val="24"/>
      <w:szCs w:val="24"/>
    </w:rPr>
  </w:style>
  <w:style w:type="paragraph" w:styleId="Title">
    <w:name w:val="Title"/>
    <w:basedOn w:val="Normal"/>
    <w:link w:val="TitleChar"/>
    <w:qFormat/>
    <w:rsid w:val="00693F48"/>
    <w:pPr>
      <w:tabs>
        <w:tab w:val="clear" w:pos="567"/>
      </w:tabs>
      <w:ind w:firstLine="0"/>
      <w:jc w:val="center"/>
    </w:pPr>
    <w:rPr>
      <w:b/>
      <w:bCs/>
      <w:szCs w:val="24"/>
    </w:rPr>
  </w:style>
  <w:style w:type="character" w:customStyle="1" w:styleId="TitleChar">
    <w:name w:val="Title Char"/>
    <w:basedOn w:val="DefaultParagraphFont"/>
    <w:link w:val="Title"/>
    <w:rsid w:val="00693F48"/>
    <w:rPr>
      <w:b/>
      <w:bCs/>
      <w:sz w:val="28"/>
      <w:szCs w:val="24"/>
    </w:rPr>
  </w:style>
  <w:style w:type="paragraph" w:customStyle="1" w:styleId="TableParagraph">
    <w:name w:val="Table Paragraph"/>
    <w:basedOn w:val="Normal"/>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NormalWebChar">
    <w:name w:val="Normal (Web) Char"/>
    <w:aliases w:val=" Знак Знак Знак Знак Зн Char, Знак Знак1 Знак Char, Знак Знак1 Знак Знак Char, Знак4 Char,Знак4 Char,Знак4 Знак Char,Знак4 Знак Знак Char,Обычный (Web)1 Char,Обычный (веб) Знак Знак Знак Char,Обычный (веб) Знак Знак Знак Знак Char"/>
    <w:basedOn w:val="DefaultParagraphFont"/>
    <w:link w:val="NormalWeb"/>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GridTable4-Accent1">
    <w:name w:val="Grid Table 4 Accent 1"/>
    <w:basedOn w:val="TableNormal"/>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3">
    <w:name w:val="toc 3"/>
    <w:basedOn w:val="Normal"/>
    <w:next w:val="Normal"/>
    <w:autoRedefine/>
    <w:uiPriority w:val="39"/>
    <w:unhideWhenUsed/>
    <w:rsid w:val="00E17E03"/>
    <w:pPr>
      <w:tabs>
        <w:tab w:val="clear" w:pos="567"/>
      </w:tabs>
      <w:spacing w:after="100"/>
      <w:ind w:left="560"/>
    </w:pPr>
  </w:style>
  <w:style w:type="character" w:customStyle="1" w:styleId="1">
    <w:name w:val="Неразрешенное упоминание1"/>
    <w:basedOn w:val="DefaultParagraphFont"/>
    <w:uiPriority w:val="99"/>
    <w:semiHidden/>
    <w:unhideWhenUsed/>
    <w:rsid w:val="000859DA"/>
    <w:rPr>
      <w:color w:val="605E5C"/>
      <w:shd w:val="clear" w:color="auto" w:fill="E1DFDD"/>
    </w:rPr>
  </w:style>
  <w:style w:type="table" w:customStyle="1" w:styleId="2">
    <w:name w:val="Сетка таблицы2"/>
    <w:basedOn w:val="TableNormal"/>
    <w:next w:val="TableGrid"/>
    <w:uiPriority w:val="39"/>
    <w:rsid w:val="00AD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TableNormal"/>
    <w:next w:val="TableGrid"/>
    <w:uiPriority w:val="39"/>
    <w:rsid w:val="00032A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TableNormal"/>
    <w:next w:val="TableGrid"/>
    <w:uiPriority w:val="59"/>
    <w:rsid w:val="00263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TableNormal"/>
    <w:next w:val="TableGrid"/>
    <w:uiPriority w:val="59"/>
    <w:rsid w:val="00FD1C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576F4F"/>
    <w:pPr>
      <w:spacing w:after="120" w:line="480" w:lineRule="auto"/>
    </w:pPr>
  </w:style>
  <w:style w:type="character" w:customStyle="1" w:styleId="BodyText2Char">
    <w:name w:val="Body Text 2 Char"/>
    <w:basedOn w:val="DefaultParagraphFont"/>
    <w:link w:val="BodyText2"/>
    <w:semiHidden/>
    <w:rsid w:val="00576F4F"/>
    <w:rPr>
      <w:sz w:val="28"/>
      <w:szCs w:val="28"/>
    </w:rPr>
  </w:style>
  <w:style w:type="paragraph" w:customStyle="1" w:styleId="j16">
    <w:name w:val="j16"/>
    <w:basedOn w:val="Normal"/>
    <w:rsid w:val="00836D09"/>
    <w:pPr>
      <w:tabs>
        <w:tab w:val="clear" w:pos="567"/>
      </w:tabs>
      <w:spacing w:before="100" w:beforeAutospacing="1" w:after="100" w:afterAutospacing="1"/>
      <w:ind w:firstLine="0"/>
      <w:jc w:val="left"/>
    </w:pPr>
    <w:rPr>
      <w:sz w:val="24"/>
      <w:szCs w:val="24"/>
    </w:rPr>
  </w:style>
  <w:style w:type="paragraph" w:customStyle="1" w:styleId="a1">
    <w:name w:val="Подпункт спецификации"/>
    <w:basedOn w:val="BodyTextIndent"/>
    <w:rsid w:val="00836D09"/>
    <w:pPr>
      <w:tabs>
        <w:tab w:val="clear" w:pos="567"/>
      </w:tabs>
      <w:suppressAutoHyphens/>
      <w:autoSpaceDE w:val="0"/>
      <w:spacing w:after="60"/>
      <w:ind w:left="0" w:firstLine="0"/>
      <w:jc w:val="both"/>
    </w:pPr>
    <w:rPr>
      <w:rFonts w:ascii="Arial" w:hAnsi="Arial" w:cs="Arial"/>
      <w:color w:val="000000"/>
      <w:sz w:val="20"/>
      <w:szCs w:val="20"/>
      <w:lang w:eastAsia="zh-CN"/>
    </w:rPr>
  </w:style>
  <w:style w:type="character" w:customStyle="1" w:styleId="markedcontent">
    <w:name w:val="markedcontent"/>
    <w:basedOn w:val="DefaultParagraphFont"/>
    <w:rsid w:val="00791B16"/>
  </w:style>
  <w:style w:type="character" w:styleId="Strong">
    <w:name w:val="Strong"/>
    <w:basedOn w:val="DefaultParagraphFont"/>
    <w:uiPriority w:val="22"/>
    <w:qFormat/>
    <w:rsid w:val="00E54FAC"/>
    <w:rPr>
      <w:b/>
      <w:bCs/>
    </w:rPr>
  </w:style>
  <w:style w:type="table" w:styleId="PlainTable2">
    <w:name w:val="Plain Table 2"/>
    <w:basedOn w:val="TableNormal"/>
    <w:uiPriority w:val="42"/>
    <w:rsid w:val="00ED63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DefaultParagraphFont"/>
    <w:rsid w:val="00F85F2F"/>
  </w:style>
  <w:style w:type="numbering" w:customStyle="1" w:styleId="NoList1">
    <w:name w:val="No List1"/>
    <w:next w:val="NoList"/>
    <w:uiPriority w:val="99"/>
    <w:semiHidden/>
    <w:unhideWhenUsed/>
    <w:rsid w:val="00A57506"/>
  </w:style>
  <w:style w:type="table" w:customStyle="1" w:styleId="TableGrid1">
    <w:name w:val="Table Grid1"/>
    <w:basedOn w:val="TableNormal"/>
    <w:next w:val="TableGrid"/>
    <w:uiPriority w:val="39"/>
    <w:rsid w:val="00A5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57506"/>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3">
    <w:name w:val="Сетка таблицы23"/>
    <w:basedOn w:val="TableNormal"/>
    <w:next w:val="TableGrid"/>
    <w:uiPriority w:val="39"/>
    <w:rsid w:val="00A575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TableNormal"/>
    <w:next w:val="TableGrid"/>
    <w:uiPriority w:val="39"/>
    <w:rsid w:val="00A575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TableNormal"/>
    <w:next w:val="TableGrid"/>
    <w:uiPriority w:val="59"/>
    <w:rsid w:val="00A575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TableNormal"/>
    <w:next w:val="TableGrid"/>
    <w:uiPriority w:val="59"/>
    <w:rsid w:val="00A575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A57506"/>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image" Target="media/image4.svg"/><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image" Target="media/image7.png"/><Relationship Id="rId42" Type="http://schemas.openxmlformats.org/officeDocument/2006/relationships/chart" Target="charts/chart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4.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5.xml"/><Relationship Id="rId36" Type="http://schemas.openxmlformats.org/officeDocument/2006/relationships/chart" Target="charts/chart19.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chart" Target="charts/chart16.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5.png"/><Relationship Id="rId30" Type="http://schemas.openxmlformats.org/officeDocument/2006/relationships/hyperlink" Target="https://profit.kz/news/62409/Dohodi-ot-uslug-svyazi-v-Kazahstane-v-yanvare-dekabre-2021-goda/" TargetMode="External"/><Relationship Id="rId35" Type="http://schemas.openxmlformats.org/officeDocument/2006/relationships/image" Target="media/image8.png"/><Relationship Id="rId43"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oleObject" Target="embeddings/Microsoft_Excel_Chart.xls"/><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id1027001\Desktop\OLS\&#1057;&#1072;&#1103;\&#1043;&#1054;&#1044;&#1054;&#1042;&#1054;&#1049;%20&#1054;&#1058;&#1063;&#1045;&#1058;%20&#1040;&#1047;&#1056;&#1050;%202022\&#1088;&#1080;&#1089;&#1091;&#1085;&#1086;&#1082;%20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id1027001\Desktop\OLS\&#1057;&#1072;&#1103;\&#1043;&#1054;&#1044;&#1054;&#1042;&#1054;&#1049;%20&#1054;&#1058;&#1063;&#1045;&#1058;%20&#1040;&#1047;&#1056;&#1050;%202022\&#1088;&#1080;&#1089;.%201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55;&#1086;&#1083;&#1100;&#1079;&#1086;&#1074;&#1072;&#1090;&#1077;&#1083;&#1100;\Downloads\&#1042;&#1086;&#1079;&#1076;&#1091;&#1096;&#1085;&#1099;&#1081;%20&#1090;&#1088;&#1072;&#1085;&#1089;&#1087;&#1086;&#1088;&#1090;%20(6).xls"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id1027001\Desktop\OLS\&#1057;&#1072;&#1103;\&#1043;&#1054;&#1044;&#1054;&#1042;&#1054;&#1049;%20&#1054;&#1058;&#1063;&#1045;&#1058;%20&#1040;&#1047;&#1056;&#1050;%202022\24%2025%2027.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uid1027001\Desktop\OLS\&#1057;&#1072;&#1103;\&#1043;&#1054;&#1044;&#1054;&#1042;&#1054;&#1049;%20&#1054;&#1058;&#1063;&#1045;&#1058;%20&#1040;&#1047;&#1056;&#1050;%202022\24%2025%2027.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Парақ1!$C$1</c:f>
              <c:strCache>
                <c:ptCount val="1"/>
                <c:pt idx="0">
                  <c:v>2019</c:v>
                </c:pt>
              </c:strCache>
            </c:strRef>
          </c:tx>
          <c:spPr>
            <a:solidFill>
              <a:schemeClr val="accent1"/>
            </a:solidFill>
            <a:ln>
              <a:noFill/>
            </a:ln>
            <a:effectLst/>
          </c:spPr>
          <c:invertIfNegative val="0"/>
          <c:cat>
            <c:strRef>
              <c:f>Парақ1!$B$2:$B$7</c:f>
              <c:strCache>
                <c:ptCount val="6"/>
                <c:pt idx="0">
                  <c:v>Fuel </c:v>
                </c:pt>
                <c:pt idx="1">
                  <c:v>Coal </c:v>
                </c:pt>
                <c:pt idx="2">
                  <c:v>Railway transportation</c:v>
                </c:pt>
                <c:pt idx="3">
                  <c:v>Air transportation</c:v>
                </c:pt>
                <c:pt idx="4">
                  <c:v>Cellular communication</c:v>
                </c:pt>
                <c:pt idx="5">
                  <c:v>Power supply</c:v>
                </c:pt>
              </c:strCache>
            </c:strRef>
          </c:cat>
          <c:val>
            <c:numRef>
              <c:f>Парақ1!$C$2:$C$7</c:f>
              <c:numCache>
                <c:formatCode>0</c:formatCode>
                <c:ptCount val="6"/>
                <c:pt idx="0">
                  <c:v>86</c:v>
                </c:pt>
                <c:pt idx="1">
                  <c:v>73.8</c:v>
                </c:pt>
                <c:pt idx="2">
                  <c:v>100</c:v>
                </c:pt>
                <c:pt idx="3">
                  <c:v>86</c:v>
                </c:pt>
                <c:pt idx="4">
                  <c:v>100</c:v>
                </c:pt>
                <c:pt idx="5">
                  <c:v>100</c:v>
                </c:pt>
              </c:numCache>
            </c:numRef>
          </c:val>
          <c:extLst>
            <c:ext xmlns:c16="http://schemas.microsoft.com/office/drawing/2014/chart" uri="{C3380CC4-5D6E-409C-BE32-E72D297353CC}">
              <c16:uniqueId val="{00000000-A44F-4B8F-94E2-3DC4D14B746E}"/>
            </c:ext>
          </c:extLst>
        </c:ser>
        <c:ser>
          <c:idx val="1"/>
          <c:order val="1"/>
          <c:tx>
            <c:strRef>
              <c:f>Парақ1!$D$1</c:f>
              <c:strCache>
                <c:ptCount val="1"/>
                <c:pt idx="0">
                  <c:v>2020</c:v>
                </c:pt>
              </c:strCache>
            </c:strRef>
          </c:tx>
          <c:spPr>
            <a:solidFill>
              <a:schemeClr val="accent2"/>
            </a:solidFill>
            <a:ln>
              <a:noFill/>
            </a:ln>
            <a:effectLst/>
          </c:spPr>
          <c:invertIfNegative val="0"/>
          <c:cat>
            <c:strRef>
              <c:f>Парақ1!$B$2:$B$7</c:f>
              <c:strCache>
                <c:ptCount val="6"/>
                <c:pt idx="0">
                  <c:v>Fuel </c:v>
                </c:pt>
                <c:pt idx="1">
                  <c:v>Coal </c:v>
                </c:pt>
                <c:pt idx="2">
                  <c:v>Railway transportation</c:v>
                </c:pt>
                <c:pt idx="3">
                  <c:v>Air transportation</c:v>
                </c:pt>
                <c:pt idx="4">
                  <c:v>Cellular communication</c:v>
                </c:pt>
                <c:pt idx="5">
                  <c:v>Power supply</c:v>
                </c:pt>
              </c:strCache>
            </c:strRef>
          </c:cat>
          <c:val>
            <c:numRef>
              <c:f>Парақ1!$D$2:$D$7</c:f>
              <c:numCache>
                <c:formatCode>0</c:formatCode>
                <c:ptCount val="6"/>
                <c:pt idx="0">
                  <c:v>77</c:v>
                </c:pt>
                <c:pt idx="1">
                  <c:v>77.040000000000006</c:v>
                </c:pt>
                <c:pt idx="2">
                  <c:v>100</c:v>
                </c:pt>
                <c:pt idx="3">
                  <c:v>89</c:v>
                </c:pt>
                <c:pt idx="4">
                  <c:v>100</c:v>
                </c:pt>
                <c:pt idx="5">
                  <c:v>100</c:v>
                </c:pt>
              </c:numCache>
            </c:numRef>
          </c:val>
          <c:extLst>
            <c:ext xmlns:c16="http://schemas.microsoft.com/office/drawing/2014/chart" uri="{C3380CC4-5D6E-409C-BE32-E72D297353CC}">
              <c16:uniqueId val="{00000001-A44F-4B8F-94E2-3DC4D14B746E}"/>
            </c:ext>
          </c:extLst>
        </c:ser>
        <c:ser>
          <c:idx val="2"/>
          <c:order val="2"/>
          <c:tx>
            <c:strRef>
              <c:f>Парақ1!$E$1</c:f>
              <c:strCache>
                <c:ptCount val="1"/>
                <c:pt idx="0">
                  <c:v>2021</c:v>
                </c:pt>
              </c:strCache>
            </c:strRef>
          </c:tx>
          <c:spPr>
            <a:solidFill>
              <a:schemeClr val="accent3"/>
            </a:solidFill>
            <a:ln>
              <a:noFill/>
            </a:ln>
            <a:effectLst/>
          </c:spPr>
          <c:invertIfNegative val="0"/>
          <c:cat>
            <c:strRef>
              <c:f>Парақ1!$B$2:$B$7</c:f>
              <c:strCache>
                <c:ptCount val="6"/>
                <c:pt idx="0">
                  <c:v>Fuel </c:v>
                </c:pt>
                <c:pt idx="1">
                  <c:v>Coal </c:v>
                </c:pt>
                <c:pt idx="2">
                  <c:v>Railway transportation</c:v>
                </c:pt>
                <c:pt idx="3">
                  <c:v>Air transportation</c:v>
                </c:pt>
                <c:pt idx="4">
                  <c:v>Cellular communication</c:v>
                </c:pt>
                <c:pt idx="5">
                  <c:v>Power supply</c:v>
                </c:pt>
              </c:strCache>
            </c:strRef>
          </c:cat>
          <c:val>
            <c:numRef>
              <c:f>Парақ1!$E$2:$E$7</c:f>
              <c:numCache>
                <c:formatCode>0</c:formatCode>
                <c:ptCount val="6"/>
                <c:pt idx="0">
                  <c:v>80</c:v>
                </c:pt>
                <c:pt idx="1">
                  <c:v>74.44</c:v>
                </c:pt>
                <c:pt idx="2">
                  <c:v>100</c:v>
                </c:pt>
                <c:pt idx="3">
                  <c:v>93</c:v>
                </c:pt>
                <c:pt idx="4">
                  <c:v>100</c:v>
                </c:pt>
                <c:pt idx="5">
                  <c:v>100</c:v>
                </c:pt>
              </c:numCache>
            </c:numRef>
          </c:val>
          <c:extLst>
            <c:ext xmlns:c16="http://schemas.microsoft.com/office/drawing/2014/chart" uri="{C3380CC4-5D6E-409C-BE32-E72D297353CC}">
              <c16:uniqueId val="{00000002-A44F-4B8F-94E2-3DC4D14B746E}"/>
            </c:ext>
          </c:extLst>
        </c:ser>
        <c:ser>
          <c:idx val="3"/>
          <c:order val="3"/>
          <c:tx>
            <c:strRef>
              <c:f>Парақ1!$F$1</c:f>
              <c:strCache>
                <c:ptCount val="1"/>
                <c:pt idx="0">
                  <c:v>2022</c:v>
                </c:pt>
              </c:strCache>
            </c:strRef>
          </c:tx>
          <c:spPr>
            <a:solidFill>
              <a:schemeClr val="accent4"/>
            </a:solidFill>
            <a:ln>
              <a:noFill/>
            </a:ln>
            <a:effectLst/>
          </c:spPr>
          <c:invertIfNegative val="0"/>
          <c:cat>
            <c:strRef>
              <c:f>Парақ1!$B$2:$B$7</c:f>
              <c:strCache>
                <c:ptCount val="6"/>
                <c:pt idx="0">
                  <c:v>Fuel </c:v>
                </c:pt>
                <c:pt idx="1">
                  <c:v>Coal </c:v>
                </c:pt>
                <c:pt idx="2">
                  <c:v>Railway transportation</c:v>
                </c:pt>
                <c:pt idx="3">
                  <c:v>Air transportation</c:v>
                </c:pt>
                <c:pt idx="4">
                  <c:v>Cellular communication</c:v>
                </c:pt>
                <c:pt idx="5">
                  <c:v>Power supply</c:v>
                </c:pt>
              </c:strCache>
            </c:strRef>
          </c:cat>
          <c:val>
            <c:numRef>
              <c:f>Парақ1!$F$2:$F$7</c:f>
              <c:numCache>
                <c:formatCode>0</c:formatCode>
                <c:ptCount val="6"/>
                <c:pt idx="0">
                  <c:v>91</c:v>
                </c:pt>
                <c:pt idx="1">
                  <c:v>79.650000000000006</c:v>
                </c:pt>
                <c:pt idx="2">
                  <c:v>100</c:v>
                </c:pt>
                <c:pt idx="3">
                  <c:v>100</c:v>
                </c:pt>
                <c:pt idx="4">
                  <c:v>100</c:v>
                </c:pt>
                <c:pt idx="5">
                  <c:v>100</c:v>
                </c:pt>
              </c:numCache>
            </c:numRef>
          </c:val>
          <c:extLst>
            <c:ext xmlns:c16="http://schemas.microsoft.com/office/drawing/2014/chart" uri="{C3380CC4-5D6E-409C-BE32-E72D297353CC}">
              <c16:uniqueId val="{00000003-A44F-4B8F-94E2-3DC4D14B746E}"/>
            </c:ext>
          </c:extLst>
        </c:ser>
        <c:dLbls>
          <c:showLegendKey val="0"/>
          <c:showVal val="0"/>
          <c:showCatName val="0"/>
          <c:showSerName val="0"/>
          <c:showPercent val="0"/>
          <c:showBubbleSize val="0"/>
        </c:dLbls>
        <c:gapWidth val="219"/>
        <c:overlap val="-27"/>
        <c:axId val="1393421088"/>
        <c:axId val="1393423808"/>
      </c:barChart>
      <c:catAx>
        <c:axId val="13934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423808"/>
        <c:crosses val="autoZero"/>
        <c:auto val="1"/>
        <c:lblAlgn val="ctr"/>
        <c:lblOffset val="100"/>
        <c:noMultiLvlLbl val="0"/>
      </c:catAx>
      <c:valAx>
        <c:axId val="139342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42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155112252838745E-2"/>
          <c:y val="2.0168067226890758E-2"/>
          <c:w val="0.84495753386830896"/>
          <c:h val="0.66736663799378015"/>
        </c:manualLayout>
      </c:layout>
      <c:barChart>
        <c:barDir val="bar"/>
        <c:grouping val="clustered"/>
        <c:varyColors val="0"/>
        <c:ser>
          <c:idx val="0"/>
          <c:order val="0"/>
          <c:tx>
            <c:strRef>
              <c:f>Лист1!$B$1</c:f>
              <c:strCache>
                <c:ptCount val="1"/>
                <c:pt idx="0">
                  <c:v>others</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Лист1!$A$2:$A$3</c:f>
              <c:strCache>
                <c:ptCount val="2"/>
                <c:pt idx="0">
                  <c:v>RON 95</c:v>
                </c:pt>
                <c:pt idx="1">
                  <c:v>RON 92</c:v>
                </c:pt>
              </c:strCache>
            </c:strRef>
          </c:cat>
          <c:val>
            <c:numRef>
              <c:f>Лист1!$B$2:$B$3</c:f>
              <c:numCache>
                <c:formatCode>0%</c:formatCode>
                <c:ptCount val="2"/>
                <c:pt idx="0" formatCode="0.00%">
                  <c:v>0.126</c:v>
                </c:pt>
                <c:pt idx="1">
                  <c:v>0.09</c:v>
                </c:pt>
              </c:numCache>
            </c:numRef>
          </c:val>
          <c:extLst>
            <c:ext xmlns:c16="http://schemas.microsoft.com/office/drawing/2014/chart" uri="{C3380CC4-5D6E-409C-BE32-E72D297353CC}">
              <c16:uniqueId val="{00000000-A5F4-4A32-ADD4-125098F151E8}"/>
            </c:ext>
          </c:extLst>
        </c:ser>
        <c:ser>
          <c:idx val="1"/>
          <c:order val="1"/>
          <c:tx>
            <c:strRef>
              <c:f>Лист1!$C$1</c:f>
              <c:strCache>
                <c:ptCount val="1"/>
                <c:pt idx="0">
                  <c:v>"Petrosun" LLP and "NC KazMunayGas" JSC</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2-A5F4-4A32-ADD4-125098F151E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4-A5F4-4A32-ADD4-125098F151E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Лист1!$A$2:$A$3</c:f>
              <c:strCache>
                <c:ptCount val="2"/>
                <c:pt idx="0">
                  <c:v>RON 95</c:v>
                </c:pt>
                <c:pt idx="1">
                  <c:v>RON 92</c:v>
                </c:pt>
              </c:strCache>
            </c:strRef>
          </c:cat>
          <c:val>
            <c:numRef>
              <c:f>Лист1!$C$2:$C$3</c:f>
              <c:numCache>
                <c:formatCode>0%</c:formatCode>
                <c:ptCount val="2"/>
                <c:pt idx="0" formatCode="0.00%">
                  <c:v>0.71399999999999997</c:v>
                </c:pt>
                <c:pt idx="1">
                  <c:v>0.91</c:v>
                </c:pt>
              </c:numCache>
            </c:numRef>
          </c:val>
          <c:extLst>
            <c:ext xmlns:c16="http://schemas.microsoft.com/office/drawing/2014/chart" uri="{C3380CC4-5D6E-409C-BE32-E72D297353CC}">
              <c16:uniqueId val="{00000005-A5F4-4A32-ADD4-125098F151E8}"/>
            </c:ext>
          </c:extLst>
        </c:ser>
        <c:ser>
          <c:idx val="2"/>
          <c:order val="2"/>
          <c:tx>
            <c:strRef>
              <c:f>Лист1!$D$1</c:f>
              <c:strCache>
                <c:ptCount val="1"/>
                <c:pt idx="0">
                  <c:v>"Petrostar" LLP</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Лист1!$A$2:$A$3</c:f>
              <c:strCache>
                <c:ptCount val="2"/>
                <c:pt idx="0">
                  <c:v>RON 95</c:v>
                </c:pt>
                <c:pt idx="1">
                  <c:v>RON 92</c:v>
                </c:pt>
              </c:strCache>
            </c:strRef>
          </c:cat>
          <c:val>
            <c:numRef>
              <c:f>Лист1!$D$2:$D$3</c:f>
              <c:numCache>
                <c:formatCode>General</c:formatCode>
                <c:ptCount val="2"/>
                <c:pt idx="0" formatCode="0%">
                  <c:v>0.16</c:v>
                </c:pt>
              </c:numCache>
            </c:numRef>
          </c:val>
          <c:extLst>
            <c:ext xmlns:c16="http://schemas.microsoft.com/office/drawing/2014/chart" uri="{C3380CC4-5D6E-409C-BE32-E72D297353CC}">
              <c16:uniqueId val="{00000006-A5F4-4A32-ADD4-125098F151E8}"/>
            </c:ext>
          </c:extLst>
        </c:ser>
        <c:dLbls>
          <c:showLegendKey val="0"/>
          <c:showVal val="0"/>
          <c:showCatName val="0"/>
          <c:showSerName val="0"/>
          <c:showPercent val="0"/>
          <c:showBubbleSize val="0"/>
        </c:dLbls>
        <c:gapWidth val="182"/>
        <c:axId val="2086980320"/>
        <c:axId val="2086967264"/>
      </c:barChart>
      <c:catAx>
        <c:axId val="208698032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967264"/>
        <c:crosses val="autoZero"/>
        <c:auto val="1"/>
        <c:lblAlgn val="ctr"/>
        <c:lblOffset val="100"/>
        <c:noMultiLvlLbl val="0"/>
      </c:catAx>
      <c:valAx>
        <c:axId val="2086967264"/>
        <c:scaling>
          <c:orientation val="minMax"/>
          <c:max val="100"/>
        </c:scaling>
        <c:delete val="0"/>
        <c:axPos val="b"/>
        <c:numFmt formatCode="0.00%" sourceLinked="1"/>
        <c:majorTickMark val="none"/>
        <c:minorTickMark val="none"/>
        <c:tickLblPos val="nextTo"/>
        <c:spPr>
          <a:noFill/>
          <a:ln w="9525">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9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Sales</c:v>
                </c:pt>
              </c:strCache>
            </c:strRef>
          </c:tx>
          <c:dPt>
            <c:idx val="0"/>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5B-4199-A487-2D6B7A75A27E}"/>
              </c:ext>
            </c:extLst>
          </c:dPt>
          <c:dPt>
            <c:idx val="1"/>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5B-4199-A487-2D6B7A75A27E}"/>
              </c:ext>
            </c:extLst>
          </c:dPt>
          <c:dPt>
            <c:idx val="2"/>
            <c:bubble3D val="0"/>
            <c:spPr>
              <a:solidFill>
                <a:schemeClr val="accent1">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5B-4199-A487-2D6B7A75A27E}"/>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95B-4199-A487-2D6B7A75A27E}"/>
                </c:ext>
              </c:extLst>
            </c:dLbl>
            <c:dLbl>
              <c:idx val="1"/>
              <c:layout>
                <c:manualLayout>
                  <c:x val="0"/>
                  <c:y val="-9.631922944616443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5B-4199-A487-2D6B7A75A27E}"/>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95B-4199-A487-2D6B7A75A27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"Petrosun" LLP</c:v>
                </c:pt>
                <c:pt idx="1">
                  <c:v>"NC KazMunayGas" JSC</c:v>
                </c:pt>
                <c:pt idx="2">
                  <c:v>Others</c:v>
                </c:pt>
              </c:strCache>
            </c:strRef>
          </c:cat>
          <c:val>
            <c:numRef>
              <c:f>Лист1!$B$2:$B$4</c:f>
              <c:numCache>
                <c:formatCode>General</c:formatCode>
                <c:ptCount val="3"/>
                <c:pt idx="0">
                  <c:v>56.8</c:v>
                </c:pt>
                <c:pt idx="1">
                  <c:v>24</c:v>
                </c:pt>
                <c:pt idx="2">
                  <c:v>20</c:v>
                </c:pt>
              </c:numCache>
            </c:numRef>
          </c:val>
          <c:extLst>
            <c:ext xmlns:c16="http://schemas.microsoft.com/office/drawing/2014/chart" uri="{C3380CC4-5D6E-409C-BE32-E72D297353CC}">
              <c16:uniqueId val="{00000006-E95B-4199-A487-2D6B7A75A27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Sales</c:v>
                </c:pt>
              </c:strCache>
            </c:strRef>
          </c:tx>
          <c:dPt>
            <c:idx val="0"/>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77D-4F44-9FCC-AC8BFCE05ABF}"/>
              </c:ext>
            </c:extLst>
          </c:dPt>
          <c:dPt>
            <c:idx val="1"/>
            <c:bubble3D val="0"/>
            <c:spPr>
              <a:solidFill>
                <a:schemeClr val="accent1">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77D-4F44-9FCC-AC8BFCE05ABF}"/>
              </c:ext>
            </c:extLst>
          </c:dPt>
          <c:dPt>
            <c:idx val="2"/>
            <c:bubble3D val="0"/>
            <c:spPr>
              <a:solidFill>
                <a:schemeClr val="accent1">
                  <a:tint val="3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77D-4F44-9FCC-AC8BFCE05ABF}"/>
              </c:ext>
            </c:extLst>
          </c:dPt>
          <c:dLbls>
            <c:dLbl>
              <c:idx val="0"/>
              <c:layout>
                <c:manualLayout>
                  <c:x val="5.8424621804903494E-2"/>
                  <c:y val="-0.25045200201038698"/>
                </c:manualLayout>
              </c:layout>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7D-4F44-9FCC-AC8BFCE05ABF}"/>
                </c:ext>
              </c:extLst>
            </c:dLbl>
            <c:dLbl>
              <c:idx val="1"/>
              <c:layout>
                <c:manualLayout>
                  <c:x val="-3.7558685446009425E-2"/>
                  <c:y val="6.8085106382978725E-2"/>
                </c:manualLayout>
              </c:layout>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7D-4F44-9FCC-AC8BFCE05ABF}"/>
                </c:ext>
              </c:extLst>
            </c:dLbl>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"Petrosun" LLP and  "NC KazMunayGas" JSC</c:v>
                </c:pt>
                <c:pt idx="1">
                  <c:v>Others</c:v>
                </c:pt>
              </c:strCache>
            </c:strRef>
          </c:cat>
          <c:val>
            <c:numRef>
              <c:f>Лист1!$B$2:$B$3</c:f>
              <c:numCache>
                <c:formatCode>General</c:formatCode>
                <c:ptCount val="2"/>
                <c:pt idx="0">
                  <c:v>81</c:v>
                </c:pt>
                <c:pt idx="1">
                  <c:v>20</c:v>
                </c:pt>
              </c:numCache>
            </c:numRef>
          </c:val>
          <c:extLst>
            <c:ext xmlns:c16="http://schemas.microsoft.com/office/drawing/2014/chart" uri="{C3380CC4-5D6E-409C-BE32-E72D297353CC}">
              <c16:uniqueId val="{00000006-377D-4F44-9FCC-AC8BFCE05AB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Price of diesel fuel (KZT/ton)</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baseline="0">
                    <a:solidFill>
                      <a:schemeClr val="tx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January</c:v>
                </c:pt>
                <c:pt idx="1">
                  <c:v>February</c:v>
                </c:pt>
                <c:pt idx="2">
                  <c:v>March</c:v>
                </c:pt>
                <c:pt idx="3">
                  <c:v>April</c:v>
                </c:pt>
                <c:pt idx="4">
                  <c:v>May</c:v>
                </c:pt>
                <c:pt idx="5">
                  <c:v>June</c:v>
                </c:pt>
                <c:pt idx="6">
                  <c:v>July </c:v>
                </c:pt>
                <c:pt idx="7">
                  <c:v>August</c:v>
                </c:pt>
                <c:pt idx="8">
                  <c:v>September</c:v>
                </c:pt>
              </c:strCache>
            </c:strRef>
          </c:cat>
          <c:val>
            <c:numRef>
              <c:f>Лист1!$B$2:$B$10</c:f>
              <c:numCache>
                <c:formatCode>General</c:formatCode>
                <c:ptCount val="9"/>
                <c:pt idx="0">
                  <c:v>218782</c:v>
                </c:pt>
                <c:pt idx="1">
                  <c:v>221368</c:v>
                </c:pt>
                <c:pt idx="2">
                  <c:v>213123</c:v>
                </c:pt>
                <c:pt idx="3">
                  <c:v>215498</c:v>
                </c:pt>
                <c:pt idx="4">
                  <c:v>218528</c:v>
                </c:pt>
                <c:pt idx="5">
                  <c:v>222647</c:v>
                </c:pt>
                <c:pt idx="6">
                  <c:v>223250</c:v>
                </c:pt>
                <c:pt idx="7">
                  <c:v>223701</c:v>
                </c:pt>
                <c:pt idx="8">
                  <c:v>223820</c:v>
                </c:pt>
              </c:numCache>
            </c:numRef>
          </c:val>
          <c:smooth val="0"/>
          <c:extLst>
            <c:ext xmlns:c16="http://schemas.microsoft.com/office/drawing/2014/chart" uri="{C3380CC4-5D6E-409C-BE32-E72D297353CC}">
              <c16:uniqueId val="{00000000-6F26-477F-B85F-C7314F9629E4}"/>
            </c:ext>
          </c:extLst>
        </c:ser>
        <c:dLbls>
          <c:showLegendKey val="0"/>
          <c:showVal val="1"/>
          <c:showCatName val="0"/>
          <c:showSerName val="0"/>
          <c:showPercent val="0"/>
          <c:showBubbleSize val="0"/>
        </c:dLbls>
        <c:smooth val="0"/>
        <c:axId val="702093216"/>
        <c:axId val="702094880"/>
      </c:lineChart>
      <c:catAx>
        <c:axId val="7020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baseline="0">
                <a:solidFill>
                  <a:schemeClr val="tx1">
                    <a:lumMod val="65000"/>
                    <a:lumOff val="35000"/>
                  </a:schemeClr>
                </a:solidFill>
                <a:latin typeface="+mn-lt"/>
                <a:ea typeface="+mn-ea"/>
                <a:cs typeface="+mn-cs"/>
              </a:defRPr>
            </a:pPr>
            <a:endParaRPr lang="en-US"/>
          </a:p>
        </c:txPr>
        <c:crossAx val="702094880"/>
        <c:crosses val="autoZero"/>
        <c:auto val="1"/>
        <c:lblAlgn val="ctr"/>
        <c:lblOffset val="100"/>
        <c:noMultiLvlLbl val="0"/>
      </c:catAx>
      <c:valAx>
        <c:axId val="70209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baseline="0">
                <a:solidFill>
                  <a:schemeClr val="tx1">
                    <a:lumMod val="65000"/>
                    <a:lumOff val="35000"/>
                  </a:schemeClr>
                </a:solidFill>
                <a:latin typeface="+mn-lt"/>
                <a:ea typeface="+mn-ea"/>
                <a:cs typeface="+mn-cs"/>
              </a:defRPr>
            </a:pPr>
            <a:endParaRPr lang="en-US"/>
          </a:p>
        </c:txPr>
        <c:crossAx val="702093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40641243373987E-2"/>
          <c:y val="4.3978004072293922E-2"/>
          <c:w val="0.92050450707236253"/>
          <c:h val="0.77182058233551221"/>
        </c:manualLayout>
      </c:layout>
      <c:barChart>
        <c:barDir val="col"/>
        <c:grouping val="clustered"/>
        <c:varyColors val="0"/>
        <c:ser>
          <c:idx val="0"/>
          <c:order val="0"/>
          <c:tx>
            <c:strRef>
              <c:f>Sheet1!$C$6</c:f>
              <c:strCache>
                <c:ptCount val="1"/>
                <c:pt idx="0">
                  <c:v>generation, bln kW*h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Sheet1!$C$7:$C$15</c:f>
              <c:numCache>
                <c:formatCode>General</c:formatCode>
                <c:ptCount val="9"/>
                <c:pt idx="0">
                  <c:v>102.4</c:v>
                </c:pt>
                <c:pt idx="1">
                  <c:v>106.7</c:v>
                </c:pt>
                <c:pt idx="2">
                  <c:v>106</c:v>
                </c:pt>
                <c:pt idx="3">
                  <c:v>108</c:v>
                </c:pt>
                <c:pt idx="4">
                  <c:v>114.4</c:v>
                </c:pt>
                <c:pt idx="5">
                  <c:v>112.86</c:v>
                </c:pt>
                <c:pt idx="6">
                  <c:v>119.5</c:v>
                </c:pt>
                <c:pt idx="7">
                  <c:v>123.27</c:v>
                </c:pt>
                <c:pt idx="8">
                  <c:v>127.66</c:v>
                </c:pt>
              </c:numCache>
            </c:numRef>
          </c:val>
          <c:extLst>
            <c:ext xmlns:c16="http://schemas.microsoft.com/office/drawing/2014/chart" uri="{C3380CC4-5D6E-409C-BE32-E72D297353CC}">
              <c16:uniqueId val="{00000000-3678-48D2-96FC-79F24DCFD697}"/>
            </c:ext>
          </c:extLst>
        </c:ser>
        <c:dLbls>
          <c:showLegendKey val="0"/>
          <c:showVal val="0"/>
          <c:showCatName val="0"/>
          <c:showSerName val="0"/>
          <c:showPercent val="0"/>
          <c:showBubbleSize val="0"/>
        </c:dLbls>
        <c:gapWidth val="269"/>
        <c:axId val="1229523983"/>
        <c:axId val="1241950431"/>
      </c:barChart>
      <c:lineChart>
        <c:grouping val="standard"/>
        <c:varyColors val="0"/>
        <c:ser>
          <c:idx val="1"/>
          <c:order val="1"/>
          <c:tx>
            <c:strRef>
              <c:f>Sheet1!$D$6</c:f>
              <c:strCache>
                <c:ptCount val="1"/>
                <c:pt idx="0">
                  <c:v>consumption, bln kW*h</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Sheet1!$D$7:$D$15</c:f>
              <c:numCache>
                <c:formatCode>General</c:formatCode>
                <c:ptCount val="9"/>
                <c:pt idx="0">
                  <c:v>97.8</c:v>
                </c:pt>
                <c:pt idx="1">
                  <c:v>103.2</c:v>
                </c:pt>
                <c:pt idx="2">
                  <c:v>105.1</c:v>
                </c:pt>
                <c:pt idx="3">
                  <c:v>107.3</c:v>
                </c:pt>
                <c:pt idx="4">
                  <c:v>113.8</c:v>
                </c:pt>
                <c:pt idx="5">
                  <c:v>113.89</c:v>
                </c:pt>
                <c:pt idx="6">
                  <c:v>121.1</c:v>
                </c:pt>
                <c:pt idx="7">
                  <c:v>124.84</c:v>
                </c:pt>
                <c:pt idx="8">
                  <c:v>129.25</c:v>
                </c:pt>
              </c:numCache>
            </c:numRef>
          </c:val>
          <c:smooth val="0"/>
          <c:extLst>
            <c:ext xmlns:c16="http://schemas.microsoft.com/office/drawing/2014/chart" uri="{C3380CC4-5D6E-409C-BE32-E72D297353CC}">
              <c16:uniqueId val="{00000001-3678-48D2-96FC-79F24DCFD697}"/>
            </c:ext>
          </c:extLst>
        </c:ser>
        <c:dLbls>
          <c:showLegendKey val="0"/>
          <c:showVal val="0"/>
          <c:showCatName val="0"/>
          <c:showSerName val="0"/>
          <c:showPercent val="0"/>
          <c:showBubbleSize val="0"/>
        </c:dLbls>
        <c:marker val="1"/>
        <c:smooth val="0"/>
        <c:axId val="1229523983"/>
        <c:axId val="1241950431"/>
      </c:lineChart>
      <c:catAx>
        <c:axId val="1229523983"/>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950431"/>
        <c:crosses val="autoZero"/>
        <c:auto val="1"/>
        <c:lblAlgn val="ctr"/>
        <c:lblOffset val="100"/>
        <c:noMultiLvlLbl val="0"/>
      </c:catAx>
      <c:valAx>
        <c:axId val="1241950431"/>
        <c:scaling>
          <c:orientation val="minMax"/>
          <c:min val="9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52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and supply</a:t>
            </a:r>
            <a:r>
              <a:rPr lang="en-US" baseline="0"/>
              <a:t> of coal</a:t>
            </a:r>
            <a:r>
              <a:rPr lang="ru-RU"/>
              <a:t>, </a:t>
            </a:r>
            <a:r>
              <a:rPr lang="en-US"/>
              <a:t>mln tons</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Лист1!$D$23:$D$26</c:f>
              <c:strCache>
                <c:ptCount val="4"/>
                <c:pt idx="0">
                  <c:v>Coal production</c:v>
                </c:pt>
                <c:pt idx="1">
                  <c:v>Energy-producing enterprises</c:v>
                </c:pt>
                <c:pt idx="2">
                  <c:v>Industrial enterprises </c:v>
                </c:pt>
                <c:pt idx="3">
                  <c:v>Household and municipal needs and population</c:v>
                </c:pt>
              </c:strCache>
            </c:strRef>
          </c:cat>
          <c:val>
            <c:numRef>
              <c:f>Лист1!$E$23:$E$26</c:f>
              <c:numCache>
                <c:formatCode>#,##0.0</c:formatCode>
                <c:ptCount val="4"/>
                <c:pt idx="0">
                  <c:v>113.9</c:v>
                </c:pt>
                <c:pt idx="1">
                  <c:v>64.400000000000006</c:v>
                </c:pt>
                <c:pt idx="2">
                  <c:v>6.1</c:v>
                </c:pt>
                <c:pt idx="3" formatCode="#,##0.00">
                  <c:v>11.03</c:v>
                </c:pt>
              </c:numCache>
            </c:numRef>
          </c:val>
          <c:extLst>
            <c:ext xmlns:c16="http://schemas.microsoft.com/office/drawing/2014/chart" uri="{C3380CC4-5D6E-409C-BE32-E72D297353CC}">
              <c16:uniqueId val="{00000000-EAF0-4DAC-AD27-BC31E9EBEC92}"/>
            </c:ext>
          </c:extLst>
        </c:ser>
        <c:dLbls>
          <c:showLegendKey val="0"/>
          <c:showVal val="0"/>
          <c:showCatName val="0"/>
          <c:showSerName val="0"/>
          <c:showPercent val="0"/>
          <c:showBubbleSize val="0"/>
        </c:dLbls>
        <c:gapWidth val="182"/>
        <c:axId val="1645542544"/>
        <c:axId val="1512028624"/>
      </c:barChart>
      <c:catAx>
        <c:axId val="164554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28624"/>
        <c:crosses val="autoZero"/>
        <c:auto val="1"/>
        <c:lblAlgn val="ctr"/>
        <c:lblOffset val="100"/>
        <c:noMultiLvlLbl val="0"/>
      </c:catAx>
      <c:valAx>
        <c:axId val="15120286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54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C00000"/>
              </a:solidFill>
              <a:ln>
                <a:noFill/>
              </a:ln>
              <a:effectLst/>
            </c:spPr>
            <c:extLst>
              <c:ext xmlns:c16="http://schemas.microsoft.com/office/drawing/2014/chart" uri="{C3380CC4-5D6E-409C-BE32-E72D297353CC}">
                <c16:uniqueId val="{00000001-936F-4E32-B6FC-DFD506DA12DA}"/>
              </c:ext>
            </c:extLst>
          </c:dPt>
          <c:dPt>
            <c:idx val="1"/>
            <c:bubble3D val="0"/>
            <c:spPr>
              <a:solidFill>
                <a:schemeClr val="accent1">
                  <a:shade val="86000"/>
                </a:schemeClr>
              </a:solidFill>
              <a:ln>
                <a:noFill/>
              </a:ln>
              <a:effectLst/>
            </c:spPr>
            <c:extLst>
              <c:ext xmlns:c16="http://schemas.microsoft.com/office/drawing/2014/chart" uri="{C3380CC4-5D6E-409C-BE32-E72D297353CC}">
                <c16:uniqueId val="{00000003-936F-4E32-B6FC-DFD506DA12DA}"/>
              </c:ext>
            </c:extLst>
          </c:dPt>
          <c:dPt>
            <c:idx val="2"/>
            <c:bubble3D val="0"/>
            <c:spPr>
              <a:solidFill>
                <a:schemeClr val="accent1">
                  <a:tint val="86000"/>
                </a:schemeClr>
              </a:solidFill>
              <a:ln>
                <a:noFill/>
              </a:ln>
              <a:effectLst/>
            </c:spPr>
            <c:extLst>
              <c:ext xmlns:c16="http://schemas.microsoft.com/office/drawing/2014/chart" uri="{C3380CC4-5D6E-409C-BE32-E72D297353CC}">
                <c16:uniqueId val="{00000005-936F-4E32-B6FC-DFD506DA12DA}"/>
              </c:ext>
            </c:extLst>
          </c:dPt>
          <c:dPt>
            <c:idx val="3"/>
            <c:bubble3D val="0"/>
            <c:spPr>
              <a:solidFill>
                <a:schemeClr val="accent1">
                  <a:tint val="58000"/>
                </a:schemeClr>
              </a:solidFill>
              <a:ln>
                <a:noFill/>
              </a:ln>
              <a:effectLst/>
            </c:spPr>
            <c:extLst>
              <c:ext xmlns:c16="http://schemas.microsoft.com/office/drawing/2014/chart" uri="{C3380CC4-5D6E-409C-BE32-E72D297353CC}">
                <c16:uniqueId val="{00000007-936F-4E32-B6FC-DFD506DA12DA}"/>
              </c:ext>
            </c:extLst>
          </c:dPt>
          <c:dLbls>
            <c:dLbl>
              <c:idx val="0"/>
              <c:layout>
                <c:manualLayout>
                  <c:x val="4.9871503492231052E-2"/>
                  <c:y val="-8.7067965188561997E-2"/>
                </c:manualLayout>
              </c:layout>
              <c:tx>
                <c:rich>
                  <a:bodyPr rot="0" spcFirstLastPara="1" vertOverflow="clip"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70D22C12-DD01-4E36-B91D-2F2B9451E083}" type="CATEGORYNAME">
                      <a:rPr lang="en-US"/>
                      <a:pPr>
                        <a:defRPr sz="1050">
                          <a:solidFill>
                            <a:schemeClr val="tx1"/>
                          </a:solidFill>
                        </a:defRPr>
                      </a:pPr>
                      <a:t>[CATEGORY NAME]</a:t>
                    </a:fld>
                    <a:r>
                      <a:rPr lang="en-US" sz="1050" baseline="0">
                        <a:solidFill>
                          <a:schemeClr val="tx1"/>
                        </a:solidFill>
                      </a:rPr>
                      <a:t>; </a:t>
                    </a:r>
                  </a:p>
                  <a:p>
                    <a:pPr>
                      <a:defRPr sz="1050">
                        <a:solidFill>
                          <a:schemeClr val="tx1"/>
                        </a:solidFill>
                      </a:defRPr>
                    </a:pPr>
                    <a:fld id="{099413BE-4DCF-4162-96E1-96FDCA541004}" type="VALUE">
                      <a:rPr lang="en-US"/>
                      <a:pPr>
                        <a:defRPr sz="1050">
                          <a:solidFill>
                            <a:schemeClr val="tx1"/>
                          </a:solidFill>
                        </a:defRPr>
                      </a:pPr>
                      <a:t>[VALUE]</a:t>
                    </a:fld>
                    <a:endParaRPr lang="en-US"/>
                  </a:p>
                </c:rich>
              </c:tx>
              <c:spPr>
                <a:noFill/>
                <a:ln>
                  <a:noFill/>
                </a:ln>
                <a:effectLst/>
              </c:spPr>
              <c:txPr>
                <a:bodyPr rot="0" spcFirstLastPara="1" vertOverflow="clip"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9761628958391373"/>
                      <c:h val="0.33295344660864762"/>
                    </c:manualLayout>
                  </c15:layout>
                  <c15:dlblFieldTable/>
                  <c15:showDataLabelsRange val="0"/>
                </c:ext>
                <c:ext xmlns:c16="http://schemas.microsoft.com/office/drawing/2014/chart" uri="{C3380CC4-5D6E-409C-BE32-E72D297353CC}">
                  <c16:uniqueId val="{00000001-936F-4E32-B6FC-DFD506DA12DA}"/>
                </c:ext>
              </c:extLst>
            </c:dLbl>
            <c:dLbl>
              <c:idx val="1"/>
              <c:layout>
                <c:manualLayout>
                  <c:x val="-4.6608699052283556E-3"/>
                  <c:y val="1.4278675691854315E-2"/>
                </c:manualLayout>
              </c:layout>
              <c:tx>
                <c:rich>
                  <a:bodyPr rot="0" spcFirstLastPara="1" vertOverflow="clip"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17BDE38-948D-4547-849F-CE9C209E32DE}" type="CATEGORYNAME">
                      <a:rPr lang="en-US"/>
                      <a:pPr>
                        <a:defRPr sz="1050">
                          <a:solidFill>
                            <a:schemeClr val="tx1"/>
                          </a:solidFill>
                        </a:defRPr>
                      </a:pPr>
                      <a:t>[CATEGORY NAME]</a:t>
                    </a:fld>
                    <a:r>
                      <a:rPr lang="en-US" sz="1050" baseline="0">
                        <a:solidFill>
                          <a:schemeClr val="tx1"/>
                        </a:solidFill>
                      </a:rPr>
                      <a:t>; </a:t>
                    </a:r>
                  </a:p>
                  <a:p>
                    <a:pPr>
                      <a:defRPr sz="1050">
                        <a:solidFill>
                          <a:schemeClr val="tx1"/>
                        </a:solidFill>
                      </a:defRPr>
                    </a:pPr>
                    <a:fld id="{9FAE1540-4704-4456-8820-6802084F7089}" type="VALUE">
                      <a:rPr lang="en-US"/>
                      <a:pPr>
                        <a:defRPr sz="1050">
                          <a:solidFill>
                            <a:schemeClr val="tx1"/>
                          </a:solidFill>
                        </a:defRPr>
                      </a:pPr>
                      <a:t>[VALUE]</a:t>
                    </a:fld>
                    <a:endParaRPr lang="en-US"/>
                  </a:p>
                </c:rich>
              </c:tx>
              <c:spPr>
                <a:noFill/>
                <a:ln>
                  <a:noFill/>
                </a:ln>
                <a:effectLst/>
              </c:spPr>
              <c:txPr>
                <a:bodyPr rot="0" spcFirstLastPara="1" vertOverflow="clip"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530105524518932"/>
                      <c:h val="0.34087719298245617"/>
                    </c:manualLayout>
                  </c15:layout>
                  <c15:dlblFieldTable/>
                  <c15:showDataLabelsRange val="0"/>
                </c:ext>
                <c:ext xmlns:c16="http://schemas.microsoft.com/office/drawing/2014/chart" uri="{C3380CC4-5D6E-409C-BE32-E72D297353CC}">
                  <c16:uniqueId val="{00000003-936F-4E32-B6FC-DFD506DA12DA}"/>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"Kazakhtelecom" Group</c:v>
                </c:pt>
                <c:pt idx="1">
                  <c:v>"Kar-Tel" LLP</c:v>
                </c:pt>
              </c:strCache>
            </c:strRef>
          </c:cat>
          <c:val>
            <c:numRef>
              <c:f>Лист1!$B$2:$B$5</c:f>
              <c:numCache>
                <c:formatCode>0%</c:formatCode>
                <c:ptCount val="4"/>
                <c:pt idx="0">
                  <c:v>0.62</c:v>
                </c:pt>
                <c:pt idx="1">
                  <c:v>0.38</c:v>
                </c:pt>
              </c:numCache>
            </c:numRef>
          </c:val>
          <c:extLst>
            <c:ext xmlns:c16="http://schemas.microsoft.com/office/drawing/2014/chart" uri="{C3380CC4-5D6E-409C-BE32-E72D297353CC}">
              <c16:uniqueId val="{00000008-936F-4E32-B6FC-DFD506DA12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Лист1!$F$25</c:f>
              <c:strCache>
                <c:ptCount val="1"/>
                <c:pt idx="0">
                  <c:v>2020</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Лист1!$E$26:$E$28</c:f>
              <c:strCache>
                <c:ptCount val="3"/>
                <c:pt idx="0">
                  <c:v>"AirAstana" JSC and Fly Arystan</c:v>
                </c:pt>
                <c:pt idx="1">
                  <c:v>«Qazaq Air» JSC</c:v>
                </c:pt>
                <c:pt idx="2">
                  <c:v>«SCAT» JSC</c:v>
                </c:pt>
              </c:strCache>
            </c:strRef>
          </c:cat>
          <c:val>
            <c:numRef>
              <c:f>Лист1!$F$26:$F$28</c:f>
              <c:numCache>
                <c:formatCode>General</c:formatCode>
                <c:ptCount val="3"/>
                <c:pt idx="0">
                  <c:v>66.3</c:v>
                </c:pt>
                <c:pt idx="1">
                  <c:v>7.6</c:v>
                </c:pt>
                <c:pt idx="2">
                  <c:v>23.58</c:v>
                </c:pt>
              </c:numCache>
            </c:numRef>
          </c:val>
          <c:extLst>
            <c:ext xmlns:c16="http://schemas.microsoft.com/office/drawing/2014/chart" uri="{C3380CC4-5D6E-409C-BE32-E72D297353CC}">
              <c16:uniqueId val="{00000000-A6FF-44D6-8A83-836829DF4273}"/>
            </c:ext>
          </c:extLst>
        </c:ser>
        <c:ser>
          <c:idx val="1"/>
          <c:order val="1"/>
          <c:tx>
            <c:strRef>
              <c:f>Лист1!$G$25</c:f>
              <c:strCache>
                <c:ptCount val="1"/>
                <c:pt idx="0">
                  <c:v>2021</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Лист1!$E$26:$E$28</c:f>
              <c:strCache>
                <c:ptCount val="3"/>
                <c:pt idx="0">
                  <c:v>"AirAstana" JSC and Fly Arystan</c:v>
                </c:pt>
                <c:pt idx="1">
                  <c:v>«Qazaq Air» JSC</c:v>
                </c:pt>
                <c:pt idx="2">
                  <c:v>«SCAT» JSC</c:v>
                </c:pt>
              </c:strCache>
            </c:strRef>
          </c:cat>
          <c:val>
            <c:numRef>
              <c:f>Лист1!$G$26:$G$28</c:f>
              <c:numCache>
                <c:formatCode>General</c:formatCode>
                <c:ptCount val="3"/>
                <c:pt idx="0">
                  <c:v>73.13</c:v>
                </c:pt>
                <c:pt idx="1">
                  <c:v>6.19</c:v>
                </c:pt>
                <c:pt idx="2">
                  <c:v>20.68</c:v>
                </c:pt>
              </c:numCache>
            </c:numRef>
          </c:val>
          <c:extLst>
            <c:ext xmlns:c16="http://schemas.microsoft.com/office/drawing/2014/chart" uri="{C3380CC4-5D6E-409C-BE32-E72D297353CC}">
              <c16:uniqueId val="{00000001-A6FF-44D6-8A83-836829DF4273}"/>
            </c:ext>
          </c:extLst>
        </c:ser>
        <c:ser>
          <c:idx val="2"/>
          <c:order val="2"/>
          <c:tx>
            <c:strRef>
              <c:f>Лист1!$H$25</c:f>
              <c:strCache>
                <c:ptCount val="1"/>
                <c:pt idx="0">
                  <c:v>5 month of 2022 </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Лист1!$E$26:$E$28</c:f>
              <c:strCache>
                <c:ptCount val="3"/>
                <c:pt idx="0">
                  <c:v>"AirAstana" JSC and Fly Arystan</c:v>
                </c:pt>
                <c:pt idx="1">
                  <c:v>«Qazaq Air» JSC</c:v>
                </c:pt>
                <c:pt idx="2">
                  <c:v>«SCAT» JSC</c:v>
                </c:pt>
              </c:strCache>
            </c:strRef>
          </c:cat>
          <c:val>
            <c:numRef>
              <c:f>Лист1!$H$26:$H$28</c:f>
              <c:numCache>
                <c:formatCode>General</c:formatCode>
                <c:ptCount val="3"/>
                <c:pt idx="0">
                  <c:v>71.39</c:v>
                </c:pt>
                <c:pt idx="1">
                  <c:v>4.67</c:v>
                </c:pt>
                <c:pt idx="2">
                  <c:v>23.94</c:v>
                </c:pt>
              </c:numCache>
            </c:numRef>
          </c:val>
          <c:extLst>
            <c:ext xmlns:c16="http://schemas.microsoft.com/office/drawing/2014/chart" uri="{C3380CC4-5D6E-409C-BE32-E72D297353CC}">
              <c16:uniqueId val="{00000002-A6FF-44D6-8A83-836829DF4273}"/>
            </c:ext>
          </c:extLst>
        </c:ser>
        <c:dLbls>
          <c:showLegendKey val="0"/>
          <c:showVal val="0"/>
          <c:showCatName val="0"/>
          <c:showSerName val="0"/>
          <c:showPercent val="0"/>
          <c:showBubbleSize val="0"/>
        </c:dLbls>
        <c:gapWidth val="182"/>
        <c:axId val="1979528495"/>
        <c:axId val="1"/>
      </c:barChart>
      <c:catAx>
        <c:axId val="1979528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52849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5.7961175347406385E-2"/>
                  <c:y val="-7.8232225020455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D2-4391-90E0-7226E4EF1DF7}"/>
                </c:ext>
              </c:extLst>
            </c:dLbl>
            <c:dLbl>
              <c:idx val="1"/>
              <c:layout>
                <c:manualLayout>
                  <c:x val="-5.3718043916410309E-2"/>
                  <c:y val="-0.126815220971872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2-4391-90E0-7226E4EF1DF7}"/>
                </c:ext>
              </c:extLst>
            </c:dLbl>
            <c:dLbl>
              <c:idx val="5"/>
              <c:layout>
                <c:manualLayout>
                  <c:x val="2.0367030868779605E-3"/>
                  <c:y val="-2.4251118407769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D2-4391-90E0-7226E4EF1DF7}"/>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Лист1!$D$7:$J$7</c:f>
              <c:numCache>
                <c:formatCode>General</c:formatCode>
                <c:ptCount val="7"/>
                <c:pt idx="0">
                  <c:v>2015</c:v>
                </c:pt>
                <c:pt idx="1">
                  <c:v>2016</c:v>
                </c:pt>
                <c:pt idx="2">
                  <c:v>2017</c:v>
                </c:pt>
                <c:pt idx="3">
                  <c:v>2018</c:v>
                </c:pt>
                <c:pt idx="4">
                  <c:v>2019</c:v>
                </c:pt>
                <c:pt idx="5">
                  <c:v>2020</c:v>
                </c:pt>
                <c:pt idx="6">
                  <c:v>2021</c:v>
                </c:pt>
              </c:numCache>
            </c:numRef>
          </c:cat>
          <c:val>
            <c:numRef>
              <c:f>Лист1!$D$8:$J$8</c:f>
              <c:numCache>
                <c:formatCode>#,##0.00</c:formatCode>
                <c:ptCount val="7"/>
                <c:pt idx="0">
                  <c:v>5922.8</c:v>
                </c:pt>
                <c:pt idx="1">
                  <c:v>6021.7</c:v>
                </c:pt>
                <c:pt idx="2">
                  <c:v>7363.7</c:v>
                </c:pt>
                <c:pt idx="3">
                  <c:v>7555.6</c:v>
                </c:pt>
                <c:pt idx="4">
                  <c:v>8644.9</c:v>
                </c:pt>
                <c:pt idx="5" formatCode="#\ ##0.0">
                  <c:v>5494.48</c:v>
                </c:pt>
                <c:pt idx="6" formatCode="#\ ##0.0">
                  <c:v>9421.9699999999993</c:v>
                </c:pt>
              </c:numCache>
            </c:numRef>
          </c:val>
          <c:smooth val="0"/>
          <c:extLst>
            <c:ext xmlns:c16="http://schemas.microsoft.com/office/drawing/2014/chart" uri="{C3380CC4-5D6E-409C-BE32-E72D297353CC}">
              <c16:uniqueId val="{00000001-262F-4FE5-AEF5-CA4557B8EA01}"/>
            </c:ext>
          </c:extLst>
        </c:ser>
        <c:dLbls>
          <c:dLblPos val="t"/>
          <c:showLegendKey val="0"/>
          <c:showVal val="1"/>
          <c:showCatName val="0"/>
          <c:showSerName val="0"/>
          <c:showPercent val="0"/>
          <c:showBubbleSize val="0"/>
        </c:dLbls>
        <c:smooth val="0"/>
        <c:axId val="31930048"/>
        <c:axId val="1997585968"/>
      </c:lineChart>
      <c:catAx>
        <c:axId val="319300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997585968"/>
        <c:crosses val="autoZero"/>
        <c:auto val="1"/>
        <c:lblAlgn val="ctr"/>
        <c:lblOffset val="100"/>
        <c:noMultiLvlLbl val="0"/>
      </c:catAx>
      <c:valAx>
        <c:axId val="1997585968"/>
        <c:scaling>
          <c:orientation val="minMax"/>
          <c:min val="5000"/>
        </c:scaling>
        <c:delete val="1"/>
        <c:axPos val="l"/>
        <c:numFmt formatCode="#,##0.00" sourceLinked="1"/>
        <c:majorTickMark val="none"/>
        <c:minorTickMark val="none"/>
        <c:tickLblPos val="nextTo"/>
        <c:crossAx val="3193004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5-4DE6-9FF1-A431D53A9CB0}"/>
                </c:ext>
              </c:extLst>
            </c:dLbl>
            <c:dLbl>
              <c:idx val="1"/>
              <c:layout>
                <c:manualLayout>
                  <c:x val="0"/>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5-4DE6-9FF1-A431D53A9CB0}"/>
                </c:ext>
              </c:extLst>
            </c:dLbl>
            <c:dLbl>
              <c:idx val="2"/>
              <c:layout>
                <c:manualLayout>
                  <c:x val="2.7777777777777523E-3"/>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5-4DE6-9FF1-A431D53A9CB0}"/>
                </c:ext>
              </c:extLst>
            </c:dLbl>
            <c:dLbl>
              <c:idx val="3"/>
              <c:layout>
                <c:manualLayout>
                  <c:x val="2.7777777777777779E-3"/>
                  <c:y val="-0.36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5-4DE6-9FF1-A431D53A9CB0}"/>
                </c:ext>
              </c:extLst>
            </c:dLbl>
            <c:dLbl>
              <c:idx val="4"/>
              <c:layout>
                <c:manualLayout>
                  <c:x val="-4.1501131443926239E-17"/>
                  <c:y val="-9.856264958477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F5-4DE6-9FF1-A431D53A9CB0}"/>
                </c:ext>
              </c:extLst>
            </c:dLbl>
            <c:dLbl>
              <c:idx val="5"/>
              <c:layout>
                <c:manualLayout>
                  <c:x val="2.2637242291929874E-3"/>
                  <c:y val="-0.10403835233948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F5-4DE6-9FF1-A431D53A9CB0}"/>
                </c:ext>
              </c:extLst>
            </c:dLbl>
            <c:dLbl>
              <c:idx val="6"/>
              <c:layout>
                <c:manualLayout>
                  <c:x val="2.2637242291929874E-3"/>
                  <c:y val="-8.2135541320644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F5-4DE6-9FF1-A431D53A9CB0}"/>
                </c:ext>
              </c:extLst>
            </c:dLbl>
            <c:dLbl>
              <c:idx val="7"/>
              <c:layout>
                <c:manualLayout>
                  <c:x val="0"/>
                  <c:y val="-6.570843305651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F5-4DE6-9FF1-A431D53A9CB0}"/>
                </c:ext>
              </c:extLst>
            </c:dLbl>
            <c:dLbl>
              <c:idx val="8"/>
              <c:layout>
                <c:manualLayout>
                  <c:x val="4.5274484583859749E-3"/>
                  <c:y val="-0.21355240743367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F5-4DE6-9FF1-A431D53A9CB0}"/>
                </c:ext>
              </c:extLst>
            </c:dLbl>
            <c:dLbl>
              <c:idx val="9"/>
              <c:layout>
                <c:manualLayout>
                  <c:x val="0"/>
                  <c:y val="-7.118413581122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F5-4DE6-9FF1-A431D53A9CB0}"/>
                </c:ext>
              </c:extLst>
            </c:dLbl>
            <c:dLbl>
              <c:idx val="10"/>
              <c:layout>
                <c:manualLayout>
                  <c:x val="0"/>
                  <c:y val="-6.570843305651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F5-4DE6-9FF1-A431D53A9CB0}"/>
                </c:ext>
              </c:extLst>
            </c:dLbl>
            <c:dLbl>
              <c:idx val="11"/>
              <c:layout>
                <c:manualLayout>
                  <c:x val="2.2637242291929874E-3"/>
                  <c:y val="-9.856264958477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F5-4DE6-9FF1-A431D53A9CB0}"/>
                </c:ext>
              </c:extLst>
            </c:dLbl>
            <c:dLbl>
              <c:idx val="12"/>
              <c:layout>
                <c:manualLayout>
                  <c:x val="0"/>
                  <c:y val="-9.856264958477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F5-4DE6-9FF1-A431D53A9CB0}"/>
                </c:ext>
              </c:extLst>
            </c:dLbl>
            <c:dLbl>
              <c:idx val="13"/>
              <c:layout>
                <c:manualLayout>
                  <c:x val="0"/>
                  <c:y val="-9.856264958477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F5-4DE6-9FF1-A431D53A9CB0}"/>
                </c:ext>
              </c:extLst>
            </c:dLbl>
            <c:dLbl>
              <c:idx val="14"/>
              <c:layout>
                <c:manualLayout>
                  <c:x val="4.5274484583859749E-3"/>
                  <c:y val="-0.191649596414837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F5-4DE6-9FF1-A431D53A9CB0}"/>
                </c:ext>
              </c:extLst>
            </c:dLbl>
            <c:dLbl>
              <c:idx val="15"/>
              <c:layout>
                <c:manualLayout>
                  <c:x val="0"/>
                  <c:y val="-9.856264958477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F5-4DE6-9FF1-A431D53A9CB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'24'!$C$8:$C$23</c:f>
              <c:strCache>
                <c:ptCount val="16"/>
                <c:pt idx="0">
                  <c:v>Kostanay </c:v>
                </c:pt>
                <c:pt idx="1">
                  <c:v>Shymkent</c:v>
                </c:pt>
                <c:pt idx="2">
                  <c:v>Zhambyl</c:v>
                </c:pt>
                <c:pt idx="3">
                  <c:v>Nur-Sultan </c:v>
                </c:pt>
                <c:pt idx="4">
                  <c:v>Kyzylorda</c:v>
                </c:pt>
                <c:pt idx="5">
                  <c:v>EKR</c:v>
                </c:pt>
                <c:pt idx="6">
                  <c:v>Pavlodar</c:v>
                </c:pt>
                <c:pt idx="7">
                  <c:v>WKR</c:v>
                </c:pt>
                <c:pt idx="8">
                  <c:v>Karaganda</c:v>
                </c:pt>
                <c:pt idx="9">
                  <c:v>Almaty region</c:v>
                </c:pt>
                <c:pt idx="10">
                  <c:v>Turkestan </c:v>
                </c:pt>
                <c:pt idx="11">
                  <c:v>Aktobe</c:v>
                </c:pt>
                <c:pt idx="12">
                  <c:v>Akmola region</c:v>
                </c:pt>
                <c:pt idx="13">
                  <c:v>Atyrau </c:v>
                </c:pt>
                <c:pt idx="14">
                  <c:v>Mangiistau region</c:v>
                </c:pt>
                <c:pt idx="15">
                  <c:v>NKR</c:v>
                </c:pt>
              </c:strCache>
            </c:strRef>
          </c:cat>
          <c:val>
            <c:numRef>
              <c:f>'24'!$D$8:$D$23</c:f>
              <c:numCache>
                <c:formatCode>General</c:formatCode>
                <c:ptCount val="16"/>
                <c:pt idx="0">
                  <c:v>8</c:v>
                </c:pt>
                <c:pt idx="1">
                  <c:v>23</c:v>
                </c:pt>
                <c:pt idx="2">
                  <c:v>2</c:v>
                </c:pt>
                <c:pt idx="3">
                  <c:v>45</c:v>
                </c:pt>
                <c:pt idx="4">
                  <c:v>4</c:v>
                </c:pt>
                <c:pt idx="5">
                  <c:v>2</c:v>
                </c:pt>
                <c:pt idx="6">
                  <c:v>0</c:v>
                </c:pt>
                <c:pt idx="7">
                  <c:v>2</c:v>
                </c:pt>
                <c:pt idx="8">
                  <c:v>24</c:v>
                </c:pt>
                <c:pt idx="9">
                  <c:v>3</c:v>
                </c:pt>
                <c:pt idx="10">
                  <c:v>0</c:v>
                </c:pt>
                <c:pt idx="11">
                  <c:v>6</c:v>
                </c:pt>
                <c:pt idx="12">
                  <c:v>5</c:v>
                </c:pt>
                <c:pt idx="13">
                  <c:v>5</c:v>
                </c:pt>
                <c:pt idx="14">
                  <c:v>20</c:v>
                </c:pt>
                <c:pt idx="15">
                  <c:v>6</c:v>
                </c:pt>
              </c:numCache>
            </c:numRef>
          </c:val>
          <c:extLst>
            <c:ext xmlns:c16="http://schemas.microsoft.com/office/drawing/2014/chart" uri="{C3380CC4-5D6E-409C-BE32-E72D297353CC}">
              <c16:uniqueId val="{00000010-D0F5-4DE6-9FF1-A431D53A9CB0}"/>
            </c:ext>
          </c:extLst>
        </c:ser>
        <c:dLbls>
          <c:showLegendKey val="0"/>
          <c:showVal val="0"/>
          <c:showCatName val="0"/>
          <c:showSerName val="0"/>
          <c:showPercent val="0"/>
          <c:showBubbleSize val="0"/>
        </c:dLbls>
        <c:gapWidth val="150"/>
        <c:shape val="box"/>
        <c:axId val="790241456"/>
        <c:axId val="793872464"/>
        <c:axId val="0"/>
      </c:bar3DChart>
      <c:catAx>
        <c:axId val="790241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72464"/>
        <c:crosses val="autoZero"/>
        <c:auto val="1"/>
        <c:lblAlgn val="ctr"/>
        <c:lblOffset val="100"/>
        <c:noMultiLvlLbl val="0"/>
      </c:catAx>
      <c:valAx>
        <c:axId val="793872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024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Количество разрешенных видов деятельности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B306-463A-A91B-27ACEE770B7E}"/>
                </c:ext>
              </c:extLst>
            </c:dLbl>
            <c:dLbl>
              <c:idx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B306-463A-A91B-27ACEE770B7E}"/>
                </c:ext>
              </c:extLst>
            </c:dLbl>
            <c:dLbl>
              <c:idx val="2"/>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410</a:t>
                    </a:r>
                  </a:p>
                </c:rich>
              </c:tx>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306-463A-A91B-27ACEE770B7E}"/>
                </c:ext>
              </c:extLst>
            </c:dLbl>
            <c:dLbl>
              <c:idx val="3"/>
              <c:tx>
                <c:rich>
                  <a:bodyPr/>
                  <a:lstStyle/>
                  <a:p>
                    <a:r>
                      <a:rPr lang="en-US"/>
                      <a:t>365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306-463A-A91B-27ACEE770B7E}"/>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242</c:v>
                </c:pt>
                <c:pt idx="1">
                  <c:v>399</c:v>
                </c:pt>
                <c:pt idx="2">
                  <c:v>407</c:v>
                </c:pt>
                <c:pt idx="3">
                  <c:v>362</c:v>
                </c:pt>
              </c:numCache>
            </c:numRef>
          </c:val>
          <c:smooth val="0"/>
          <c:extLst>
            <c:ext xmlns:c16="http://schemas.microsoft.com/office/drawing/2014/chart" uri="{C3380CC4-5D6E-409C-BE32-E72D297353CC}">
              <c16:uniqueId val="{00000004-B306-463A-A91B-27ACEE770B7E}"/>
            </c:ext>
          </c:extLst>
        </c:ser>
        <c:dLbls>
          <c:showLegendKey val="0"/>
          <c:showVal val="0"/>
          <c:showCatName val="0"/>
          <c:showSerName val="0"/>
          <c:showPercent val="0"/>
          <c:showBubbleSize val="0"/>
        </c:dLbls>
        <c:marker val="1"/>
        <c:smooth val="0"/>
        <c:axId val="2086970528"/>
        <c:axId val="2086956384"/>
      </c:lineChart>
      <c:catAx>
        <c:axId val="208697052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86956384"/>
        <c:crosses val="autoZero"/>
        <c:auto val="1"/>
        <c:lblAlgn val="ctr"/>
        <c:lblOffset val="100"/>
        <c:noMultiLvlLbl val="0"/>
      </c:catAx>
      <c:valAx>
        <c:axId val="2086956384"/>
        <c:scaling>
          <c:orientation val="minMax"/>
          <c:max val="500"/>
          <c:min val="200"/>
        </c:scaling>
        <c:delete val="1"/>
        <c:axPos val="l"/>
        <c:numFmt formatCode="General" sourceLinked="1"/>
        <c:majorTickMark val="out"/>
        <c:minorTickMark val="none"/>
        <c:tickLblPos val="nextTo"/>
        <c:crossAx val="2086970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2.2637242291929979E-3"/>
                  <c:y val="-0.25223415139757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92-4749-B485-DD5FAA1EF174}"/>
                </c:ext>
              </c:extLst>
            </c:dLbl>
            <c:dLbl>
              <c:idx val="1"/>
              <c:layout>
                <c:manualLayout>
                  <c:x val="-2.075056572196312E-17"/>
                  <c:y val="-0.34776403774009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92-4749-B485-DD5FAA1EF174}"/>
                </c:ext>
              </c:extLst>
            </c:dLbl>
            <c:dLbl>
              <c:idx val="2"/>
              <c:layout>
                <c:manualLayout>
                  <c:x val="2.7777777777777523E-3"/>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92-4749-B485-DD5FAA1EF174}"/>
                </c:ext>
              </c:extLst>
            </c:dLbl>
            <c:dLbl>
              <c:idx val="3"/>
              <c:layout>
                <c:manualLayout>
                  <c:x val="5.1406147062933673E-4"/>
                  <c:y val="-0.147558547981599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92-4749-B485-DD5FAA1EF174}"/>
                </c:ext>
              </c:extLst>
            </c:dLbl>
            <c:dLbl>
              <c:idx val="4"/>
              <c:layout>
                <c:manualLayout>
                  <c:x val="-4.1501131443926239E-17"/>
                  <c:y val="-9.856264958477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92-4749-B485-DD5FAA1EF174}"/>
                </c:ext>
              </c:extLst>
            </c:dLbl>
            <c:dLbl>
              <c:idx val="5"/>
              <c:layout>
                <c:manualLayout>
                  <c:x val="2.2637242291929874E-3"/>
                  <c:y val="-0.10403835233948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92-4749-B485-DD5FAA1EF174}"/>
                </c:ext>
              </c:extLst>
            </c:dLbl>
            <c:dLbl>
              <c:idx val="6"/>
              <c:layout>
                <c:manualLayout>
                  <c:x val="2.2637242291929874E-3"/>
                  <c:y val="-8.2135541320644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92-4749-B485-DD5FAA1EF174}"/>
                </c:ext>
              </c:extLst>
            </c:dLbl>
            <c:dLbl>
              <c:idx val="7"/>
              <c:layout>
                <c:manualLayout>
                  <c:x val="0"/>
                  <c:y val="-6.570843305651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92-4749-B485-DD5FAA1EF174}"/>
                </c:ext>
              </c:extLst>
            </c:dLbl>
            <c:dLbl>
              <c:idx val="8"/>
              <c:layout>
                <c:manualLayout>
                  <c:x val="2.2637242291929874E-3"/>
                  <c:y val="-0.26283373222606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92-4749-B485-DD5FAA1EF174}"/>
                </c:ext>
              </c:extLst>
            </c:dLbl>
            <c:dLbl>
              <c:idx val="9"/>
              <c:layout>
                <c:manualLayout>
                  <c:x val="2.2637242291929874E-3"/>
                  <c:y val="-9.3086946830064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92-4749-B485-DD5FAA1EF174}"/>
                </c:ext>
              </c:extLst>
            </c:dLbl>
            <c:dLbl>
              <c:idx val="10"/>
              <c:layout>
                <c:manualLayout>
                  <c:x val="0"/>
                  <c:y val="-0.14236827162245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92-4749-B485-DD5FAA1EF174}"/>
                </c:ext>
              </c:extLst>
            </c:dLbl>
            <c:dLbl>
              <c:idx val="11"/>
              <c:layout>
                <c:manualLayout>
                  <c:x val="2.2637242291929874E-3"/>
                  <c:y val="-9.856264958477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92-4749-B485-DD5FAA1EF174}"/>
                </c:ext>
              </c:extLst>
            </c:dLbl>
            <c:dLbl>
              <c:idx val="12"/>
              <c:layout>
                <c:manualLayout>
                  <c:x val="2.2637242291929046E-3"/>
                  <c:y val="-7.665983856593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92-4749-B485-DD5FAA1EF174}"/>
                </c:ext>
              </c:extLst>
            </c:dLbl>
            <c:dLbl>
              <c:idx val="13"/>
              <c:layout>
                <c:manualLayout>
                  <c:x val="0"/>
                  <c:y val="-9.856264958477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92-4749-B485-DD5FAA1EF174}"/>
                </c:ext>
              </c:extLst>
            </c:dLbl>
            <c:dLbl>
              <c:idx val="14"/>
              <c:layout>
                <c:manualLayout>
                  <c:x val="2.2637242291929874E-3"/>
                  <c:y val="-0.22450381294309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092-4749-B485-DD5FAA1EF174}"/>
                </c:ext>
              </c:extLst>
            </c:dLbl>
            <c:dLbl>
              <c:idx val="15"/>
              <c:layout>
                <c:manualLayout>
                  <c:x val="0"/>
                  <c:y val="-9.856264958477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092-4749-B485-DD5FAA1EF1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'25'!$C$8:$C$23</c:f>
              <c:strCache>
                <c:ptCount val="16"/>
                <c:pt idx="0">
                  <c:v>Kostanay </c:v>
                </c:pt>
                <c:pt idx="1">
                  <c:v>Shymkent</c:v>
                </c:pt>
                <c:pt idx="2">
                  <c:v>Zhambyl</c:v>
                </c:pt>
                <c:pt idx="3">
                  <c:v>Nur-Sultan </c:v>
                </c:pt>
                <c:pt idx="4">
                  <c:v>Kyzylorda</c:v>
                </c:pt>
                <c:pt idx="5">
                  <c:v>EKR</c:v>
                </c:pt>
                <c:pt idx="6">
                  <c:v>Pavlodar</c:v>
                </c:pt>
                <c:pt idx="7">
                  <c:v>WKR</c:v>
                </c:pt>
                <c:pt idx="8">
                  <c:v>Karaganda</c:v>
                </c:pt>
                <c:pt idx="9">
                  <c:v>Almaty region</c:v>
                </c:pt>
                <c:pt idx="10">
                  <c:v>Turkestan </c:v>
                </c:pt>
                <c:pt idx="11">
                  <c:v>Aktobe</c:v>
                </c:pt>
                <c:pt idx="12">
                  <c:v>Akmola region</c:v>
                </c:pt>
                <c:pt idx="13">
                  <c:v>Atyrau </c:v>
                </c:pt>
                <c:pt idx="14">
                  <c:v>Mangiistau region</c:v>
                </c:pt>
                <c:pt idx="15">
                  <c:v>NKR</c:v>
                </c:pt>
              </c:strCache>
            </c:strRef>
          </c:cat>
          <c:val>
            <c:numRef>
              <c:f>'25'!$D$8:$D$23</c:f>
              <c:numCache>
                <c:formatCode>General</c:formatCode>
                <c:ptCount val="16"/>
                <c:pt idx="0">
                  <c:v>502</c:v>
                </c:pt>
                <c:pt idx="1">
                  <c:v>797</c:v>
                </c:pt>
                <c:pt idx="2">
                  <c:v>40</c:v>
                </c:pt>
                <c:pt idx="3">
                  <c:v>195</c:v>
                </c:pt>
                <c:pt idx="4">
                  <c:v>133</c:v>
                </c:pt>
                <c:pt idx="5">
                  <c:v>63</c:v>
                </c:pt>
                <c:pt idx="6">
                  <c:v>88</c:v>
                </c:pt>
                <c:pt idx="7">
                  <c:v>25</c:v>
                </c:pt>
                <c:pt idx="8">
                  <c:v>552</c:v>
                </c:pt>
                <c:pt idx="9">
                  <c:v>115</c:v>
                </c:pt>
                <c:pt idx="10">
                  <c:v>286</c:v>
                </c:pt>
                <c:pt idx="11">
                  <c:v>153</c:v>
                </c:pt>
                <c:pt idx="12">
                  <c:v>27</c:v>
                </c:pt>
                <c:pt idx="13">
                  <c:v>161</c:v>
                </c:pt>
                <c:pt idx="14">
                  <c:v>477</c:v>
                </c:pt>
                <c:pt idx="15">
                  <c:v>103</c:v>
                </c:pt>
              </c:numCache>
            </c:numRef>
          </c:val>
          <c:extLst>
            <c:ext xmlns:c16="http://schemas.microsoft.com/office/drawing/2014/chart" uri="{C3380CC4-5D6E-409C-BE32-E72D297353CC}">
              <c16:uniqueId val="{00000010-0092-4749-B485-DD5FAA1EF174}"/>
            </c:ext>
          </c:extLst>
        </c:ser>
        <c:dLbls>
          <c:showLegendKey val="0"/>
          <c:showVal val="0"/>
          <c:showCatName val="0"/>
          <c:showSerName val="0"/>
          <c:showPercent val="0"/>
          <c:showBubbleSize val="0"/>
        </c:dLbls>
        <c:gapWidth val="150"/>
        <c:shape val="box"/>
        <c:axId val="790241456"/>
        <c:axId val="793872464"/>
        <c:axId val="0"/>
      </c:bar3DChart>
      <c:catAx>
        <c:axId val="790241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72464"/>
        <c:crosses val="autoZero"/>
        <c:auto val="1"/>
        <c:lblAlgn val="ctr"/>
        <c:lblOffset val="100"/>
        <c:noMultiLvlLbl val="0"/>
      </c:catAx>
      <c:valAx>
        <c:axId val="793872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024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3054461942257217E-3"/>
          <c:y val="0.17215136265132433"/>
          <c:w val="0.99869449319895787"/>
          <c:h val="0.58718261821550377"/>
        </c:manualLayout>
      </c:layout>
      <c:barChart>
        <c:barDir val="col"/>
        <c:grouping val="stacked"/>
        <c:varyColors val="0"/>
        <c:ser>
          <c:idx val="0"/>
          <c:order val="0"/>
          <c:tx>
            <c:strRef>
              <c:f>Лист1!$B$1</c:f>
              <c:strCache>
                <c:ptCount val="1"/>
                <c:pt idx="0">
                  <c:v>Ряд 1</c:v>
                </c:pt>
              </c:strCache>
            </c:strRef>
          </c:tx>
          <c:spPr>
            <a:solidFill>
              <a:schemeClr val="accent1">
                <a:shade val="65000"/>
              </a:schemeClr>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3-A357-4363-9691-C2511BEF5D54}"/>
              </c:ext>
            </c:extLst>
          </c:dPt>
          <c:dLbls>
            <c:dLbl>
              <c:idx val="0"/>
              <c:layout>
                <c:manualLayout>
                  <c:x val="-3.8335514231682341E-3"/>
                  <c:y val="-0.23499751355977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7-4363-9691-C2511BEF5D54}"/>
                </c:ext>
              </c:extLst>
            </c:dLbl>
            <c:dLbl>
              <c:idx val="1"/>
              <c:layout>
                <c:manualLayout>
                  <c:x val="-3.9928392785688315E-17"/>
                  <c:y val="-0.29480619025598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57-4363-9691-C2511BEF5D54}"/>
                </c:ext>
              </c:extLst>
            </c:dLbl>
            <c:dLbl>
              <c:idx val="2"/>
              <c:layout>
                <c:manualLayout>
                  <c:x val="0"/>
                  <c:y val="-0.32767371295000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7-4363-9691-C2511BEF5D54}"/>
                </c:ext>
              </c:extLst>
            </c:dLbl>
            <c:dLbl>
              <c:idx val="3"/>
              <c:layout>
                <c:manualLayout>
                  <c:x val="0"/>
                  <c:y val="-0.35530181615471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7-4363-9691-C2511BEF5D54}"/>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203.9</c:v>
                </c:pt>
                <c:pt idx="1">
                  <c:v>270.89999999999998</c:v>
                </c:pt>
                <c:pt idx="2">
                  <c:v>330.5</c:v>
                </c:pt>
                <c:pt idx="3">
                  <c:v>344.4</c:v>
                </c:pt>
              </c:numCache>
            </c:numRef>
          </c:val>
          <c:extLst>
            <c:ext xmlns:c16="http://schemas.microsoft.com/office/drawing/2014/chart" uri="{C3380CC4-5D6E-409C-BE32-E72D297353CC}">
              <c16:uniqueId val="{00000004-A357-4363-9691-C2511BEF5D54}"/>
            </c:ext>
          </c:extLst>
        </c:ser>
        <c:ser>
          <c:idx val="1"/>
          <c:order val="1"/>
          <c:tx>
            <c:strRef>
              <c:f>Лист1!$C$1</c:f>
              <c:strCache>
                <c:ptCount val="1"/>
                <c:pt idx="0">
                  <c:v>Столбец1</c:v>
                </c:pt>
              </c:strCache>
            </c:strRef>
          </c:tx>
          <c:spPr>
            <a:solidFill>
              <a:schemeClr val="accent1"/>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5-A357-4363-9691-C2511BEF5D54}"/>
            </c:ext>
          </c:extLst>
        </c:ser>
        <c:ser>
          <c:idx val="2"/>
          <c:order val="2"/>
          <c:tx>
            <c:strRef>
              <c:f>Лист1!$D$1</c:f>
              <c:strCache>
                <c:ptCount val="1"/>
                <c:pt idx="0">
                  <c:v>Столбец2</c:v>
                </c:pt>
              </c:strCache>
            </c:strRef>
          </c:tx>
          <c:spPr>
            <a:solidFill>
              <a:schemeClr val="accent1">
                <a:tint val="65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extLst>
            <c:ext xmlns:c16="http://schemas.microsoft.com/office/drawing/2014/chart" uri="{C3380CC4-5D6E-409C-BE32-E72D297353CC}">
              <c16:uniqueId val="{00000006-A357-4363-9691-C2511BEF5D54}"/>
            </c:ext>
          </c:extLst>
        </c:ser>
        <c:dLbls>
          <c:showLegendKey val="0"/>
          <c:showVal val="0"/>
          <c:showCatName val="0"/>
          <c:showSerName val="0"/>
          <c:showPercent val="0"/>
          <c:showBubbleSize val="0"/>
        </c:dLbls>
        <c:gapWidth val="150"/>
        <c:overlap val="100"/>
        <c:axId val="192586016"/>
        <c:axId val="192564800"/>
      </c:barChart>
      <c:catAx>
        <c:axId val="1925860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564800"/>
        <c:crosses val="autoZero"/>
        <c:auto val="1"/>
        <c:lblAlgn val="ctr"/>
        <c:lblOffset val="100"/>
        <c:noMultiLvlLbl val="0"/>
      </c:catAx>
      <c:valAx>
        <c:axId val="192564800"/>
        <c:scaling>
          <c:orientation val="minMax"/>
        </c:scaling>
        <c:delete val="1"/>
        <c:axPos val="l"/>
        <c:numFmt formatCode="General" sourceLinked="1"/>
        <c:majorTickMark val="none"/>
        <c:minorTickMark val="none"/>
        <c:tickLblPos val="nextTo"/>
        <c:crossAx val="19258601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5901820232288E-2"/>
          <c:y val="5.7179998706594161E-2"/>
          <c:w val="0.93181013115246225"/>
          <c:h val="0.76673098222713021"/>
        </c:manualLayout>
      </c:layout>
      <c:barChart>
        <c:barDir val="bar"/>
        <c:grouping val="clustered"/>
        <c:varyColors val="0"/>
        <c:ser>
          <c:idx val="0"/>
          <c:order val="0"/>
          <c:tx>
            <c:strRef>
              <c:f>'27'!$C$8</c:f>
              <c:strCache>
                <c:ptCount val="1"/>
                <c:pt idx="0">
                  <c:v>Retail sales</c:v>
                </c:pt>
              </c:strCache>
            </c:strRef>
          </c:tx>
          <c:spPr>
            <a:solidFill>
              <a:schemeClr val="accent5">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'27'!$D$7:$G$7</c:f>
              <c:numCache>
                <c:formatCode>General</c:formatCode>
                <c:ptCount val="4"/>
                <c:pt idx="0">
                  <c:v>2019</c:v>
                </c:pt>
                <c:pt idx="1">
                  <c:v>2020</c:v>
                </c:pt>
                <c:pt idx="2">
                  <c:v>2021</c:v>
                </c:pt>
                <c:pt idx="3">
                  <c:v>2022</c:v>
                </c:pt>
              </c:numCache>
            </c:numRef>
          </c:cat>
          <c:val>
            <c:numRef>
              <c:f>'27'!$D$8:$G$8</c:f>
              <c:numCache>
                <c:formatCode>General</c:formatCode>
                <c:ptCount val="4"/>
                <c:pt idx="0">
                  <c:v>345.9</c:v>
                </c:pt>
                <c:pt idx="1">
                  <c:v>403.8</c:v>
                </c:pt>
                <c:pt idx="2">
                  <c:v>445.8</c:v>
                </c:pt>
                <c:pt idx="3">
                  <c:v>513.9</c:v>
                </c:pt>
              </c:numCache>
            </c:numRef>
          </c:val>
          <c:extLst>
            <c:ext xmlns:c16="http://schemas.microsoft.com/office/drawing/2014/chart" uri="{C3380CC4-5D6E-409C-BE32-E72D297353CC}">
              <c16:uniqueId val="{00000000-73D3-4B1A-A210-3C6DB92B4BE8}"/>
            </c:ext>
          </c:extLst>
        </c:ser>
        <c:ser>
          <c:idx val="1"/>
          <c:order val="1"/>
          <c:tx>
            <c:strRef>
              <c:f>'27'!$C$9</c:f>
              <c:strCache>
                <c:ptCount val="1"/>
                <c:pt idx="0">
                  <c:v>Guaranteed volume of free medical care, Outpatient pharmaceutical support</c:v>
                </c:pt>
              </c:strCache>
            </c:strRef>
          </c:tx>
          <c:spPr>
            <a:solidFill>
              <a:srgbClr val="C00000"/>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'27'!$D$7:$G$7</c:f>
              <c:numCache>
                <c:formatCode>General</c:formatCode>
                <c:ptCount val="4"/>
                <c:pt idx="0">
                  <c:v>2019</c:v>
                </c:pt>
                <c:pt idx="1">
                  <c:v>2020</c:v>
                </c:pt>
                <c:pt idx="2">
                  <c:v>2021</c:v>
                </c:pt>
                <c:pt idx="3">
                  <c:v>2022</c:v>
                </c:pt>
              </c:numCache>
            </c:numRef>
          </c:cat>
          <c:val>
            <c:numRef>
              <c:f>'27'!$D$9:$G$9</c:f>
              <c:numCache>
                <c:formatCode>General</c:formatCode>
                <c:ptCount val="4"/>
                <c:pt idx="0">
                  <c:v>203.1</c:v>
                </c:pt>
                <c:pt idx="1">
                  <c:v>257.3</c:v>
                </c:pt>
                <c:pt idx="2">
                  <c:v>299.2</c:v>
                </c:pt>
                <c:pt idx="3">
                  <c:v>341.9</c:v>
                </c:pt>
              </c:numCache>
            </c:numRef>
          </c:val>
          <c:extLst>
            <c:ext xmlns:c16="http://schemas.microsoft.com/office/drawing/2014/chart" uri="{C3380CC4-5D6E-409C-BE32-E72D297353CC}">
              <c16:uniqueId val="{00000001-73D3-4B1A-A210-3C6DB92B4BE8}"/>
            </c:ext>
          </c:extLst>
        </c:ser>
        <c:dLbls>
          <c:showLegendKey val="0"/>
          <c:showVal val="0"/>
          <c:showCatName val="0"/>
          <c:showSerName val="0"/>
          <c:showPercent val="0"/>
          <c:showBubbleSize val="0"/>
        </c:dLbls>
        <c:gapWidth val="182"/>
        <c:axId val="855307696"/>
        <c:axId val="793883280"/>
      </c:barChart>
      <c:catAx>
        <c:axId val="85530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83280"/>
        <c:crosses val="autoZero"/>
        <c:auto val="1"/>
        <c:lblAlgn val="ctr"/>
        <c:lblOffset val="100"/>
        <c:noMultiLvlLbl val="0"/>
      </c:catAx>
      <c:valAx>
        <c:axId val="793883280"/>
        <c:scaling>
          <c:orientation val="minMax"/>
        </c:scaling>
        <c:delete val="1"/>
        <c:axPos val="b"/>
        <c:numFmt formatCode="General" sourceLinked="1"/>
        <c:majorTickMark val="none"/>
        <c:minorTickMark val="none"/>
        <c:tickLblPos val="nextTo"/>
        <c:crossAx val="85530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43696943497682E-3"/>
          <c:y val="4.0001198328331967E-2"/>
          <c:w val="0.99140097426284501"/>
          <c:h val="0.74883038161764337"/>
        </c:manualLayout>
      </c:layout>
      <c:barChart>
        <c:barDir val="col"/>
        <c:grouping val="stacked"/>
        <c:varyColors val="0"/>
        <c:ser>
          <c:idx val="0"/>
          <c:order val="0"/>
          <c:tx>
            <c:strRef>
              <c:f>Лист1!$B$1</c:f>
              <c:strCache>
                <c:ptCount val="1"/>
                <c:pt idx="0">
                  <c:v>Столбец4</c:v>
                </c:pt>
              </c:strCache>
            </c:strRef>
          </c:tx>
          <c:spPr>
            <a:solidFill>
              <a:schemeClr val="accent1"/>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3-A71A-4140-A015-BC73D101D8A0}"/>
              </c:ext>
            </c:extLst>
          </c:dPt>
          <c:dLbls>
            <c:dLbl>
              <c:idx val="0"/>
              <c:layout>
                <c:manualLayout>
                  <c:x val="-1.5611006983357365E-4"/>
                  <c:y val="-0.24874649863440496"/>
                </c:manualLayout>
              </c:layout>
              <c:showLegendKey val="0"/>
              <c:showVal val="1"/>
              <c:showCatName val="0"/>
              <c:showSerName val="0"/>
              <c:showPercent val="0"/>
              <c:showBubbleSize val="0"/>
              <c:extLst>
                <c:ext xmlns:c15="http://schemas.microsoft.com/office/drawing/2012/chart" uri="{CE6537A1-D6FC-4f65-9D91-7224C49458BB}">
                  <c15:layout>
                    <c:manualLayout>
                      <c:w val="0.12773410930532134"/>
                      <c:h val="0.21024364044724378"/>
                    </c:manualLayout>
                  </c15:layout>
                </c:ext>
                <c:ext xmlns:c16="http://schemas.microsoft.com/office/drawing/2014/chart" uri="{C3380CC4-5D6E-409C-BE32-E72D297353CC}">
                  <c16:uniqueId val="{00000000-A71A-4140-A015-BC73D101D8A0}"/>
                </c:ext>
              </c:extLst>
            </c:dLbl>
            <c:dLbl>
              <c:idx val="1"/>
              <c:layout>
                <c:manualLayout>
                  <c:x val="0"/>
                  <c:y val="-0.30044787521407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1A-4140-A015-BC73D101D8A0}"/>
                </c:ext>
              </c:extLst>
            </c:dLbl>
            <c:dLbl>
              <c:idx val="2"/>
              <c:layout>
                <c:manualLayout>
                  <c:x val="-1.5914418404350309E-3"/>
                  <c:y val="-0.343777430484474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1A-4140-A015-BC73D101D8A0}"/>
                </c:ext>
              </c:extLst>
            </c:dLbl>
            <c:dLbl>
              <c:idx val="3"/>
              <c:layout>
                <c:manualLayout>
                  <c:x val="5.2888199416340825E-3"/>
                  <c:y val="-0.3351734330608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A-4140-A015-BC73D101D8A0}"/>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47.9</c:v>
                </c:pt>
                <c:pt idx="1">
                  <c:v>68.2</c:v>
                </c:pt>
                <c:pt idx="2">
                  <c:v>90.4</c:v>
                </c:pt>
                <c:pt idx="3">
                  <c:v>97.3</c:v>
                </c:pt>
              </c:numCache>
            </c:numRef>
          </c:val>
          <c:extLst>
            <c:ext xmlns:c16="http://schemas.microsoft.com/office/drawing/2014/chart" uri="{C3380CC4-5D6E-409C-BE32-E72D297353CC}">
              <c16:uniqueId val="{00000004-A71A-4140-A015-BC73D101D8A0}"/>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5-A71A-4140-A015-BC73D101D8A0}"/>
            </c:ext>
          </c:extLst>
        </c:ser>
        <c:dLbls>
          <c:showLegendKey val="0"/>
          <c:showVal val="0"/>
          <c:showCatName val="0"/>
          <c:showSerName val="0"/>
          <c:showPercent val="0"/>
          <c:showBubbleSize val="0"/>
        </c:dLbls>
        <c:gapWidth val="100"/>
        <c:overlap val="100"/>
        <c:axId val="192560448"/>
        <c:axId val="192569696"/>
      </c:barChart>
      <c:lineChart>
        <c:grouping val="standard"/>
        <c:varyColors val="0"/>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smooth val="0"/>
          <c:extLst>
            <c:ext xmlns:c16="http://schemas.microsoft.com/office/drawing/2014/chart" uri="{C3380CC4-5D6E-409C-BE32-E72D297353CC}">
              <c16:uniqueId val="{00000006-A71A-4140-A015-BC73D101D8A0}"/>
            </c:ext>
          </c:extLst>
        </c:ser>
        <c:ser>
          <c:idx val="3"/>
          <c:order val="3"/>
          <c:tx>
            <c:strRef>
              <c:f>Лист1!$E$1</c:f>
              <c:strCache>
                <c:ptCount val="1"/>
                <c:pt idx="0">
                  <c:v>Столбец3</c:v>
                </c:pt>
              </c:strCache>
            </c:strRef>
          </c:tx>
          <c:spPr>
            <a:ln w="28575" cap="rnd">
              <a:solidFill>
                <a:schemeClr val="accent4"/>
              </a:solidFill>
              <a:round/>
            </a:ln>
            <a:effectLst/>
          </c:spPr>
          <c:marker>
            <c:symbol val="none"/>
          </c:marker>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numCache>
            </c:numRef>
          </c:val>
          <c:smooth val="0"/>
          <c:extLst>
            <c:ext xmlns:c16="http://schemas.microsoft.com/office/drawing/2014/chart" uri="{C3380CC4-5D6E-409C-BE32-E72D297353CC}">
              <c16:uniqueId val="{00000007-A71A-4140-A015-BC73D101D8A0}"/>
            </c:ext>
          </c:extLst>
        </c:ser>
        <c:dLbls>
          <c:showLegendKey val="0"/>
          <c:showVal val="0"/>
          <c:showCatName val="0"/>
          <c:showSerName val="0"/>
          <c:showPercent val="0"/>
          <c:showBubbleSize val="0"/>
        </c:dLbls>
        <c:marker val="1"/>
        <c:smooth val="0"/>
        <c:axId val="192560448"/>
        <c:axId val="192569696"/>
      </c:lineChart>
      <c:catAx>
        <c:axId val="1925604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569696"/>
        <c:crosses val="autoZero"/>
        <c:auto val="1"/>
        <c:lblAlgn val="ctr"/>
        <c:lblOffset val="100"/>
        <c:noMultiLvlLbl val="0"/>
      </c:catAx>
      <c:valAx>
        <c:axId val="192569696"/>
        <c:scaling>
          <c:orientation val="minMax"/>
        </c:scaling>
        <c:delete val="1"/>
        <c:axPos val="l"/>
        <c:numFmt formatCode="General" sourceLinked="1"/>
        <c:majorTickMark val="none"/>
        <c:minorTickMark val="none"/>
        <c:tickLblPos val="nextTo"/>
        <c:crossAx val="19256044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020224708084575E-2"/>
          <c:y val="2.2045947426600487E-2"/>
          <c:w val="0.92415109416708408"/>
          <c:h val="0.68346859971568852"/>
        </c:manualLayout>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0-DF84-4FF5-B1C7-39BBB1365797}"/>
                </c:ext>
              </c:extLst>
            </c:dLbl>
            <c:dLbl>
              <c:idx val="15"/>
              <c:delete val="1"/>
              <c:extLst>
                <c:ext xmlns:c15="http://schemas.microsoft.com/office/drawing/2012/chart" uri="{CE6537A1-D6FC-4f65-9D91-7224C49458BB}"/>
                <c:ext xmlns:c16="http://schemas.microsoft.com/office/drawing/2014/chart" uri="{C3380CC4-5D6E-409C-BE32-E72D297353CC}">
                  <c16:uniqueId val="{00000001-DF84-4FF5-B1C7-39BBB1365797}"/>
                </c:ext>
              </c:extLst>
            </c:dLbl>
            <c:dLbl>
              <c:idx val="16"/>
              <c:delete val="1"/>
              <c:extLst>
                <c:ext xmlns:c15="http://schemas.microsoft.com/office/drawing/2012/chart" uri="{CE6537A1-D6FC-4f65-9D91-7224C49458BB}"/>
                <c:ext xmlns:c16="http://schemas.microsoft.com/office/drawing/2014/chart" uri="{C3380CC4-5D6E-409C-BE32-E72D297353CC}">
                  <c16:uniqueId val="{00000002-DF84-4FF5-B1C7-39BBB13657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Лист1!$A$2:$A$18</c:f>
              <c:strCache>
                <c:ptCount val="17"/>
                <c:pt idx="0">
                  <c:v>Akmola</c:v>
                </c:pt>
                <c:pt idx="1">
                  <c:v>Aktobe</c:v>
                </c:pt>
                <c:pt idx="2">
                  <c:v>Almaty</c:v>
                </c:pt>
                <c:pt idx="3">
                  <c:v>Atyrau</c:v>
                </c:pt>
                <c:pt idx="4">
                  <c:v>EKR</c:v>
                </c:pt>
                <c:pt idx="5">
                  <c:v>Zhambyl</c:v>
                </c:pt>
                <c:pt idx="6">
                  <c:v>WKR</c:v>
                </c:pt>
                <c:pt idx="7">
                  <c:v>Karaganda</c:v>
                </c:pt>
                <c:pt idx="8">
                  <c:v>Kostanay</c:v>
                </c:pt>
                <c:pt idx="9">
                  <c:v>Kyzylorda</c:v>
                </c:pt>
                <c:pt idx="10">
                  <c:v>Pavlodar</c:v>
                </c:pt>
                <c:pt idx="11">
                  <c:v>NKR</c:v>
                </c:pt>
                <c:pt idx="12">
                  <c:v>Mangistau </c:v>
                </c:pt>
                <c:pt idx="13">
                  <c:v>Turkestan</c:v>
                </c:pt>
                <c:pt idx="14">
                  <c:v>Astana</c:v>
                </c:pt>
                <c:pt idx="15">
                  <c:v>Almaty</c:v>
                </c:pt>
                <c:pt idx="16">
                  <c:v>Shymkent</c:v>
                </c:pt>
              </c:strCache>
            </c:strRef>
          </c:cat>
          <c:val>
            <c:numRef>
              <c:f>Лист1!$B$2:$B$18</c:f>
              <c:numCache>
                <c:formatCode>General</c:formatCode>
                <c:ptCount val="17"/>
                <c:pt idx="0">
                  <c:v>5</c:v>
                </c:pt>
                <c:pt idx="1">
                  <c:v>4</c:v>
                </c:pt>
                <c:pt idx="2">
                  <c:v>10</c:v>
                </c:pt>
                <c:pt idx="3">
                  <c:v>5</c:v>
                </c:pt>
                <c:pt idx="4">
                  <c:v>12</c:v>
                </c:pt>
                <c:pt idx="5">
                  <c:v>8</c:v>
                </c:pt>
                <c:pt idx="6">
                  <c:v>11</c:v>
                </c:pt>
                <c:pt idx="7">
                  <c:v>8</c:v>
                </c:pt>
                <c:pt idx="8">
                  <c:v>5</c:v>
                </c:pt>
                <c:pt idx="9">
                  <c:v>5</c:v>
                </c:pt>
                <c:pt idx="10">
                  <c:v>7</c:v>
                </c:pt>
                <c:pt idx="11">
                  <c:v>4</c:v>
                </c:pt>
                <c:pt idx="12">
                  <c:v>7</c:v>
                </c:pt>
                <c:pt idx="13">
                  <c:v>11</c:v>
                </c:pt>
                <c:pt idx="14">
                  <c:v>17</c:v>
                </c:pt>
                <c:pt idx="15">
                  <c:v>27</c:v>
                </c:pt>
                <c:pt idx="16">
                  <c:v>9</c:v>
                </c:pt>
              </c:numCache>
            </c:numRef>
          </c:val>
          <c:extLst>
            <c:ext xmlns:c16="http://schemas.microsoft.com/office/drawing/2014/chart" uri="{C3380CC4-5D6E-409C-BE32-E72D297353CC}">
              <c16:uniqueId val="{00000003-DF84-4FF5-B1C7-39BBB1365797}"/>
            </c:ext>
          </c:extLst>
        </c:ser>
        <c:ser>
          <c:idx val="1"/>
          <c:order val="1"/>
          <c:tx>
            <c:strRef>
              <c:f>Лист1!$C$1</c:f>
              <c:strCache>
                <c:ptCount val="1"/>
                <c:pt idx="0">
                  <c:v>2021</c:v>
                </c:pt>
              </c:strCache>
            </c:strRef>
          </c:tx>
          <c:spPr>
            <a:solidFill>
              <a:schemeClr val="accent2"/>
            </a:solidFill>
            <a:ln>
              <a:noFill/>
            </a:ln>
            <a:effectLst/>
          </c:spPr>
          <c:invertIfNegative val="0"/>
          <c:dLbls>
            <c:dLbl>
              <c:idx val="11"/>
              <c:layout>
                <c:manualLayout>
                  <c:x val="-6.8852003972814839E-3"/>
                  <c:y val="-6.48800013525670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84-4FF5-B1C7-39BBB1365797}"/>
                </c:ext>
              </c:extLst>
            </c:dLbl>
            <c:dLbl>
              <c:idx val="15"/>
              <c:layout>
                <c:manualLayout>
                  <c:x val="-6.8852003972814839E-3"/>
                  <c:y val="7.0779000929322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84-4FF5-B1C7-39BBB1365797}"/>
                </c:ext>
              </c:extLst>
            </c:dLbl>
            <c:dLbl>
              <c:idx val="16"/>
              <c:layout>
                <c:manualLayout>
                  <c:x val="-9.18026719637548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84-4FF5-B1C7-39BBB13657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Лист1!$A$2:$A$18</c:f>
              <c:strCache>
                <c:ptCount val="17"/>
                <c:pt idx="0">
                  <c:v>Akmola</c:v>
                </c:pt>
                <c:pt idx="1">
                  <c:v>Aktobe</c:v>
                </c:pt>
                <c:pt idx="2">
                  <c:v>Almaty</c:v>
                </c:pt>
                <c:pt idx="3">
                  <c:v>Atyrau</c:v>
                </c:pt>
                <c:pt idx="4">
                  <c:v>EKR</c:v>
                </c:pt>
                <c:pt idx="5">
                  <c:v>Zhambyl</c:v>
                </c:pt>
                <c:pt idx="6">
                  <c:v>WKR</c:v>
                </c:pt>
                <c:pt idx="7">
                  <c:v>Karaganda</c:v>
                </c:pt>
                <c:pt idx="8">
                  <c:v>Kostanay</c:v>
                </c:pt>
                <c:pt idx="9">
                  <c:v>Kyzylorda</c:v>
                </c:pt>
                <c:pt idx="10">
                  <c:v>Pavlodar</c:v>
                </c:pt>
                <c:pt idx="11">
                  <c:v>NKR</c:v>
                </c:pt>
                <c:pt idx="12">
                  <c:v>Mangistau </c:v>
                </c:pt>
                <c:pt idx="13">
                  <c:v>Turkestan</c:v>
                </c:pt>
                <c:pt idx="14">
                  <c:v>Astana</c:v>
                </c:pt>
                <c:pt idx="15">
                  <c:v>Almaty</c:v>
                </c:pt>
                <c:pt idx="16">
                  <c:v>Shymkent</c:v>
                </c:pt>
              </c:strCache>
            </c:strRef>
          </c:cat>
          <c:val>
            <c:numRef>
              <c:f>Лист1!$C$2:$C$18</c:f>
              <c:numCache>
                <c:formatCode>General</c:formatCode>
                <c:ptCount val="17"/>
                <c:pt idx="0">
                  <c:v>8</c:v>
                </c:pt>
                <c:pt idx="1">
                  <c:v>10</c:v>
                </c:pt>
                <c:pt idx="2">
                  <c:v>13</c:v>
                </c:pt>
                <c:pt idx="3">
                  <c:v>12</c:v>
                </c:pt>
                <c:pt idx="4">
                  <c:v>17</c:v>
                </c:pt>
                <c:pt idx="5">
                  <c:v>11</c:v>
                </c:pt>
                <c:pt idx="6">
                  <c:v>13</c:v>
                </c:pt>
                <c:pt idx="7">
                  <c:v>11</c:v>
                </c:pt>
                <c:pt idx="8">
                  <c:v>6</c:v>
                </c:pt>
                <c:pt idx="9">
                  <c:v>7</c:v>
                </c:pt>
                <c:pt idx="10">
                  <c:v>8</c:v>
                </c:pt>
                <c:pt idx="11">
                  <c:v>4</c:v>
                </c:pt>
                <c:pt idx="12">
                  <c:v>10</c:v>
                </c:pt>
                <c:pt idx="13">
                  <c:v>14</c:v>
                </c:pt>
                <c:pt idx="14">
                  <c:v>23</c:v>
                </c:pt>
                <c:pt idx="15">
                  <c:v>27</c:v>
                </c:pt>
                <c:pt idx="16">
                  <c:v>9</c:v>
                </c:pt>
              </c:numCache>
            </c:numRef>
          </c:val>
          <c:extLst>
            <c:ext xmlns:c16="http://schemas.microsoft.com/office/drawing/2014/chart" uri="{C3380CC4-5D6E-409C-BE32-E72D297353CC}">
              <c16:uniqueId val="{00000007-DF84-4FF5-B1C7-39BBB1365797}"/>
            </c:ext>
          </c:extLst>
        </c:ser>
        <c:dLbls>
          <c:showLegendKey val="0"/>
          <c:showVal val="0"/>
          <c:showCatName val="0"/>
          <c:showSerName val="0"/>
          <c:showPercent val="0"/>
          <c:showBubbleSize val="0"/>
        </c:dLbls>
        <c:gapWidth val="219"/>
        <c:overlap val="-27"/>
        <c:axId val="192560992"/>
        <c:axId val="192561536"/>
      </c:barChart>
      <c:catAx>
        <c:axId val="1925609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561536"/>
        <c:crosses val="autoZero"/>
        <c:auto val="1"/>
        <c:lblAlgn val="ctr"/>
        <c:lblOffset val="100"/>
        <c:noMultiLvlLbl val="0"/>
      </c:catAx>
      <c:valAx>
        <c:axId val="192561536"/>
        <c:scaling>
          <c:orientation val="minMax"/>
        </c:scaling>
        <c:delete val="1"/>
        <c:axPos val="l"/>
        <c:numFmt formatCode="General" sourceLinked="1"/>
        <c:majorTickMark val="none"/>
        <c:minorTickMark val="none"/>
        <c:tickLblPos val="nextTo"/>
        <c:crossAx val="192560992"/>
        <c:crosses val="autoZero"/>
        <c:crossBetween val="between"/>
      </c:valAx>
      <c:spPr>
        <a:noFill/>
        <a:ln w="25400">
          <a:noFill/>
        </a:ln>
        <a:effectLst/>
      </c:spPr>
    </c:plotArea>
    <c:legend>
      <c:legendPos val="t"/>
      <c:layout>
        <c:manualLayout>
          <c:xMode val="edge"/>
          <c:yMode val="edge"/>
          <c:x val="0.2809952455227106"/>
          <c:y val="7.2155677946596719E-2"/>
          <c:w val="0.40275643213893808"/>
          <c:h val="5.472610059256514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Dominant</c:v>
          </c:tx>
          <c:spPr>
            <a:solidFill>
              <a:schemeClr val="accent1">
                <a:alpha val="70000"/>
              </a:schemeClr>
            </a:solidFill>
            <a:ln>
              <a:noFill/>
            </a:ln>
            <a:effectLst/>
          </c:spPr>
          <c:invertIfNegative val="0"/>
          <c:dLbls>
            <c:dLbl>
              <c:idx val="6"/>
              <c:layout>
                <c:manualLayout>
                  <c:x val="-6.937151472010121E-17"/>
                  <c:y val="7.76949914871976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2-4B1B-AF3B-ABEB4474D652}"/>
                </c:ext>
              </c:extLst>
            </c:dLbl>
            <c:dLbl>
              <c:idx val="7"/>
              <c:layout>
                <c:manualLayout>
                  <c:x val="-6.937151472010121E-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Turkestan</c:v>
                </c:pt>
                <c:pt idx="1">
                  <c:v>Pavlodar</c:v>
                </c:pt>
                <c:pt idx="2">
                  <c:v>Astana</c:v>
                </c:pt>
                <c:pt idx="3">
                  <c:v>Kyzylorda</c:v>
                </c:pt>
                <c:pt idx="4">
                  <c:v>Petropavlovsk</c:v>
                </c:pt>
                <c:pt idx="5">
                  <c:v>Aktau </c:v>
                </c:pt>
                <c:pt idx="6">
                  <c:v>Atyrau </c:v>
                </c:pt>
                <c:pt idx="7">
                  <c:v>Kostanay</c:v>
                </c:pt>
                <c:pt idx="8">
                  <c:v>Karaganda</c:v>
                </c:pt>
                <c:pt idx="9">
                  <c:v>Ust-Kamenogorsk</c:v>
                </c:pt>
                <c:pt idx="10">
                  <c:v>Kokshetau </c:v>
                </c:pt>
                <c:pt idx="11">
                  <c:v>Uralsk</c:v>
                </c:pt>
                <c:pt idx="12">
                  <c:v>Shymkent</c:v>
                </c:pt>
                <c:pt idx="13">
                  <c:v>Almaty </c:v>
                </c:pt>
                <c:pt idx="14">
                  <c:v>Taraz</c:v>
                </c:pt>
                <c:pt idx="15">
                  <c:v>Taldykorgan</c:v>
                </c:pt>
                <c:pt idx="16">
                  <c:v>Konaev</c:v>
                </c:pt>
                <c:pt idx="17">
                  <c:v>Aktobe</c:v>
                </c:pt>
              </c:strCache>
            </c:strRef>
          </c:cat>
          <c:val>
            <c:numRef>
              <c:f>Лист3!$J$5:$J$22</c:f>
              <c:numCache>
                <c:formatCode>0</c:formatCode>
                <c:ptCount val="18"/>
                <c:pt idx="0">
                  <c:v>100</c:v>
                </c:pt>
                <c:pt idx="1">
                  <c:v>99.4</c:v>
                </c:pt>
                <c:pt idx="2">
                  <c:v>99.15</c:v>
                </c:pt>
                <c:pt idx="3">
                  <c:v>98.7</c:v>
                </c:pt>
                <c:pt idx="4">
                  <c:v>97</c:v>
                </c:pt>
                <c:pt idx="5">
                  <c:v>94.8</c:v>
                </c:pt>
                <c:pt idx="6">
                  <c:v>94</c:v>
                </c:pt>
                <c:pt idx="7">
                  <c:v>86.36</c:v>
                </c:pt>
                <c:pt idx="8">
                  <c:v>85.31</c:v>
                </c:pt>
                <c:pt idx="9">
                  <c:v>84</c:v>
                </c:pt>
                <c:pt idx="10">
                  <c:v>76.78</c:v>
                </c:pt>
                <c:pt idx="11">
                  <c:v>76.5</c:v>
                </c:pt>
                <c:pt idx="12">
                  <c:v>73</c:v>
                </c:pt>
                <c:pt idx="13">
                  <c:v>71.66</c:v>
                </c:pt>
                <c:pt idx="14">
                  <c:v>69.099999999999994</c:v>
                </c:pt>
                <c:pt idx="15">
                  <c:v>58</c:v>
                </c:pt>
                <c:pt idx="16">
                  <c:v>48</c:v>
                </c:pt>
                <c:pt idx="17">
                  <c:v>37.130000000000003</c:v>
                </c:pt>
              </c:numCache>
            </c:numRef>
          </c:val>
          <c:extLst>
            <c:ext xmlns:c16="http://schemas.microsoft.com/office/drawing/2014/chart" uri="{C3380CC4-5D6E-409C-BE32-E72D297353CC}">
              <c16:uniqueId val="{00000002-E862-4B1B-AF3B-ABEB4474D652}"/>
            </c:ext>
          </c:extLst>
        </c:ser>
        <c:ser>
          <c:idx val="1"/>
          <c:order val="1"/>
          <c:tx>
            <c:v>Entity 2</c:v>
          </c:tx>
          <c:spPr>
            <a:solidFill>
              <a:schemeClr val="accent2">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Turkestan</c:v>
                </c:pt>
                <c:pt idx="1">
                  <c:v>Pavlodar</c:v>
                </c:pt>
                <c:pt idx="2">
                  <c:v>Astana</c:v>
                </c:pt>
                <c:pt idx="3">
                  <c:v>Kyzylorda</c:v>
                </c:pt>
                <c:pt idx="4">
                  <c:v>Petropavlovsk</c:v>
                </c:pt>
                <c:pt idx="5">
                  <c:v>Aktau </c:v>
                </c:pt>
                <c:pt idx="6">
                  <c:v>Atyrau </c:v>
                </c:pt>
                <c:pt idx="7">
                  <c:v>Kostanay</c:v>
                </c:pt>
                <c:pt idx="8">
                  <c:v>Karaganda</c:v>
                </c:pt>
                <c:pt idx="9">
                  <c:v>Ust-Kamenogorsk</c:v>
                </c:pt>
                <c:pt idx="10">
                  <c:v>Kokshetau </c:v>
                </c:pt>
                <c:pt idx="11">
                  <c:v>Uralsk</c:v>
                </c:pt>
                <c:pt idx="12">
                  <c:v>Shymkent</c:v>
                </c:pt>
                <c:pt idx="13">
                  <c:v>Almaty </c:v>
                </c:pt>
                <c:pt idx="14">
                  <c:v>Taraz</c:v>
                </c:pt>
                <c:pt idx="15">
                  <c:v>Taldykorgan</c:v>
                </c:pt>
                <c:pt idx="16">
                  <c:v>Konaev</c:v>
                </c:pt>
                <c:pt idx="17">
                  <c:v>Aktobe</c:v>
                </c:pt>
              </c:strCache>
            </c:strRef>
          </c:cat>
          <c:val>
            <c:numRef>
              <c:f>Лист3!$K$5:$K$22</c:f>
              <c:numCache>
                <c:formatCode>0</c:formatCode>
                <c:ptCount val="18"/>
                <c:pt idx="0">
                  <c:v>0</c:v>
                </c:pt>
                <c:pt idx="1">
                  <c:v>0.6</c:v>
                </c:pt>
                <c:pt idx="2">
                  <c:v>0.85</c:v>
                </c:pt>
                <c:pt idx="3">
                  <c:v>1.3</c:v>
                </c:pt>
                <c:pt idx="4">
                  <c:v>3</c:v>
                </c:pt>
                <c:pt idx="5">
                  <c:v>2.8</c:v>
                </c:pt>
                <c:pt idx="6">
                  <c:v>4</c:v>
                </c:pt>
                <c:pt idx="7">
                  <c:v>12.72</c:v>
                </c:pt>
                <c:pt idx="8">
                  <c:v>7.57</c:v>
                </c:pt>
                <c:pt idx="9">
                  <c:v>16</c:v>
                </c:pt>
                <c:pt idx="10">
                  <c:v>15.12</c:v>
                </c:pt>
                <c:pt idx="11">
                  <c:v>9</c:v>
                </c:pt>
                <c:pt idx="12">
                  <c:v>20.49</c:v>
                </c:pt>
                <c:pt idx="13">
                  <c:v>21.9</c:v>
                </c:pt>
                <c:pt idx="14">
                  <c:v>28.24</c:v>
                </c:pt>
                <c:pt idx="15">
                  <c:v>38.409999999999997</c:v>
                </c:pt>
                <c:pt idx="16">
                  <c:v>22</c:v>
                </c:pt>
                <c:pt idx="17">
                  <c:v>27.69</c:v>
                </c:pt>
              </c:numCache>
            </c:numRef>
          </c:val>
          <c:extLst>
            <c:ext xmlns:c16="http://schemas.microsoft.com/office/drawing/2014/chart" uri="{C3380CC4-5D6E-409C-BE32-E72D297353CC}">
              <c16:uniqueId val="{00000004-E862-4B1B-AF3B-ABEB4474D652}"/>
            </c:ext>
          </c:extLst>
        </c:ser>
        <c:ser>
          <c:idx val="2"/>
          <c:order val="2"/>
          <c:tx>
            <c:v>Entity 3</c:v>
          </c:tx>
          <c:spPr>
            <a:solidFill>
              <a:schemeClr val="accent3">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E862-4B1B-AF3B-ABEB4474D652}"/>
                </c:ext>
              </c:extLst>
            </c:dLbl>
            <c:dLbl>
              <c:idx val="1"/>
              <c:delete val="1"/>
              <c:extLst>
                <c:ext xmlns:c15="http://schemas.microsoft.com/office/drawing/2012/chart" uri="{CE6537A1-D6FC-4f65-9D91-7224C49458BB}"/>
                <c:ext xmlns:c16="http://schemas.microsoft.com/office/drawing/2014/chart" uri="{C3380CC4-5D6E-409C-BE32-E72D297353CC}">
                  <c16:uniqueId val="{00000006-E862-4B1B-AF3B-ABEB4474D652}"/>
                </c:ext>
              </c:extLst>
            </c:dLbl>
            <c:dLbl>
              <c:idx val="2"/>
              <c:delete val="1"/>
              <c:extLst>
                <c:ext xmlns:c15="http://schemas.microsoft.com/office/drawing/2012/chart" uri="{CE6537A1-D6FC-4f65-9D91-7224C49458BB}"/>
                <c:ext xmlns:c16="http://schemas.microsoft.com/office/drawing/2014/chart" uri="{C3380CC4-5D6E-409C-BE32-E72D297353CC}">
                  <c16:uniqueId val="{00000007-E862-4B1B-AF3B-ABEB4474D652}"/>
                </c:ext>
              </c:extLst>
            </c:dLbl>
            <c:dLbl>
              <c:idx val="3"/>
              <c:delete val="1"/>
              <c:extLst>
                <c:ext xmlns:c15="http://schemas.microsoft.com/office/drawing/2012/chart" uri="{CE6537A1-D6FC-4f65-9D91-7224C49458BB}"/>
                <c:ext xmlns:c16="http://schemas.microsoft.com/office/drawing/2014/chart" uri="{C3380CC4-5D6E-409C-BE32-E72D297353CC}">
                  <c16:uniqueId val="{00000008-E862-4B1B-AF3B-ABEB4474D652}"/>
                </c:ext>
              </c:extLst>
            </c:dLbl>
            <c:dLbl>
              <c:idx val="4"/>
              <c:delete val="1"/>
              <c:extLst>
                <c:ext xmlns:c15="http://schemas.microsoft.com/office/drawing/2012/chart" uri="{CE6537A1-D6FC-4f65-9D91-7224C49458BB}"/>
                <c:ext xmlns:c16="http://schemas.microsoft.com/office/drawing/2014/chart" uri="{C3380CC4-5D6E-409C-BE32-E72D297353CC}">
                  <c16:uniqueId val="{00000009-E862-4B1B-AF3B-ABEB4474D652}"/>
                </c:ext>
              </c:extLst>
            </c:dLbl>
            <c:dLbl>
              <c:idx val="9"/>
              <c:delete val="1"/>
              <c:extLst>
                <c:ext xmlns:c15="http://schemas.microsoft.com/office/drawing/2012/chart" uri="{CE6537A1-D6FC-4f65-9D91-7224C49458BB}"/>
                <c:ext xmlns:c16="http://schemas.microsoft.com/office/drawing/2014/chart" uri="{C3380CC4-5D6E-409C-BE32-E72D297353CC}">
                  <c16:uniqueId val="{0000000A-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Turkestan</c:v>
                </c:pt>
                <c:pt idx="1">
                  <c:v>Pavlodar</c:v>
                </c:pt>
                <c:pt idx="2">
                  <c:v>Astana</c:v>
                </c:pt>
                <c:pt idx="3">
                  <c:v>Kyzylorda</c:v>
                </c:pt>
                <c:pt idx="4">
                  <c:v>Petropavlovsk</c:v>
                </c:pt>
                <c:pt idx="5">
                  <c:v>Aktau </c:v>
                </c:pt>
                <c:pt idx="6">
                  <c:v>Atyrau </c:v>
                </c:pt>
                <c:pt idx="7">
                  <c:v>Kostanay</c:v>
                </c:pt>
                <c:pt idx="8">
                  <c:v>Karaganda</c:v>
                </c:pt>
                <c:pt idx="9">
                  <c:v>Ust-Kamenogorsk</c:v>
                </c:pt>
                <c:pt idx="10">
                  <c:v>Kokshetau </c:v>
                </c:pt>
                <c:pt idx="11">
                  <c:v>Uralsk</c:v>
                </c:pt>
                <c:pt idx="12">
                  <c:v>Shymkent</c:v>
                </c:pt>
                <c:pt idx="13">
                  <c:v>Almaty </c:v>
                </c:pt>
                <c:pt idx="14">
                  <c:v>Taraz</c:v>
                </c:pt>
                <c:pt idx="15">
                  <c:v>Taldykorgan</c:v>
                </c:pt>
                <c:pt idx="16">
                  <c:v>Konaev</c:v>
                </c:pt>
                <c:pt idx="17">
                  <c:v>Aktobe</c:v>
                </c:pt>
              </c:strCache>
            </c:strRef>
          </c:cat>
          <c:val>
            <c:numRef>
              <c:f>Лист3!$L$5:$L$22</c:f>
              <c:numCache>
                <c:formatCode>0</c:formatCode>
                <c:ptCount val="18"/>
                <c:pt idx="0">
                  <c:v>0</c:v>
                </c:pt>
                <c:pt idx="1">
                  <c:v>0</c:v>
                </c:pt>
                <c:pt idx="2">
                  <c:v>0</c:v>
                </c:pt>
                <c:pt idx="3">
                  <c:v>0</c:v>
                </c:pt>
                <c:pt idx="4">
                  <c:v>0</c:v>
                </c:pt>
                <c:pt idx="5">
                  <c:v>1.5</c:v>
                </c:pt>
                <c:pt idx="6">
                  <c:v>2</c:v>
                </c:pt>
                <c:pt idx="7">
                  <c:v>0.81</c:v>
                </c:pt>
                <c:pt idx="8">
                  <c:v>3.5</c:v>
                </c:pt>
                <c:pt idx="9" formatCode="General">
                  <c:v>0</c:v>
                </c:pt>
                <c:pt idx="10">
                  <c:v>8.1</c:v>
                </c:pt>
                <c:pt idx="11">
                  <c:v>8.5</c:v>
                </c:pt>
                <c:pt idx="12">
                  <c:v>4.9800000000000004</c:v>
                </c:pt>
                <c:pt idx="13">
                  <c:v>3.18</c:v>
                </c:pt>
                <c:pt idx="14">
                  <c:v>2.66</c:v>
                </c:pt>
                <c:pt idx="15">
                  <c:v>2.88</c:v>
                </c:pt>
                <c:pt idx="16">
                  <c:v>16</c:v>
                </c:pt>
                <c:pt idx="17">
                  <c:v>20.51</c:v>
                </c:pt>
              </c:numCache>
            </c:numRef>
          </c:val>
          <c:extLst>
            <c:ext xmlns:c16="http://schemas.microsoft.com/office/drawing/2014/chart" uri="{C3380CC4-5D6E-409C-BE32-E72D297353CC}">
              <c16:uniqueId val="{0000000B-E862-4B1B-AF3B-ABEB4474D652}"/>
            </c:ext>
          </c:extLst>
        </c:ser>
        <c:ser>
          <c:idx val="3"/>
          <c:order val="3"/>
          <c:tx>
            <c:v>Entity 4</c:v>
          </c:tx>
          <c:spPr>
            <a:solidFill>
              <a:schemeClr val="accent4">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E862-4B1B-AF3B-ABEB4474D652}"/>
                </c:ext>
              </c:extLst>
            </c:dLbl>
            <c:dLbl>
              <c:idx val="1"/>
              <c:delete val="1"/>
              <c:extLst>
                <c:ext xmlns:c15="http://schemas.microsoft.com/office/drawing/2012/chart" uri="{CE6537A1-D6FC-4f65-9D91-7224C49458BB}"/>
                <c:ext xmlns:c16="http://schemas.microsoft.com/office/drawing/2014/chart" uri="{C3380CC4-5D6E-409C-BE32-E72D297353CC}">
                  <c16:uniqueId val="{0000000D-E862-4B1B-AF3B-ABEB4474D652}"/>
                </c:ext>
              </c:extLst>
            </c:dLbl>
            <c:dLbl>
              <c:idx val="2"/>
              <c:delete val="1"/>
              <c:extLst>
                <c:ext xmlns:c15="http://schemas.microsoft.com/office/drawing/2012/chart" uri="{CE6537A1-D6FC-4f65-9D91-7224C49458BB}"/>
                <c:ext xmlns:c16="http://schemas.microsoft.com/office/drawing/2014/chart" uri="{C3380CC4-5D6E-409C-BE32-E72D297353CC}">
                  <c16:uniqueId val="{0000000E-E862-4B1B-AF3B-ABEB4474D652}"/>
                </c:ext>
              </c:extLst>
            </c:dLbl>
            <c:dLbl>
              <c:idx val="3"/>
              <c:delete val="1"/>
              <c:extLst>
                <c:ext xmlns:c15="http://schemas.microsoft.com/office/drawing/2012/chart" uri="{CE6537A1-D6FC-4f65-9D91-7224C49458BB}"/>
                <c:ext xmlns:c16="http://schemas.microsoft.com/office/drawing/2014/chart" uri="{C3380CC4-5D6E-409C-BE32-E72D297353CC}">
                  <c16:uniqueId val="{0000000F-E862-4B1B-AF3B-ABEB4474D652}"/>
                </c:ext>
              </c:extLst>
            </c:dLbl>
            <c:dLbl>
              <c:idx val="4"/>
              <c:delete val="1"/>
              <c:extLst>
                <c:ext xmlns:c15="http://schemas.microsoft.com/office/drawing/2012/chart" uri="{CE6537A1-D6FC-4f65-9D91-7224C49458BB}"/>
                <c:ext xmlns:c16="http://schemas.microsoft.com/office/drawing/2014/chart" uri="{C3380CC4-5D6E-409C-BE32-E72D297353CC}">
                  <c16:uniqueId val="{00000010-E862-4B1B-AF3B-ABEB4474D652}"/>
                </c:ext>
              </c:extLst>
            </c:dLbl>
            <c:dLbl>
              <c:idx val="6"/>
              <c:delete val="1"/>
              <c:extLst>
                <c:ext xmlns:c15="http://schemas.microsoft.com/office/drawing/2012/chart" uri="{CE6537A1-D6FC-4f65-9D91-7224C49458BB}"/>
                <c:ext xmlns:c16="http://schemas.microsoft.com/office/drawing/2014/chart" uri="{C3380CC4-5D6E-409C-BE32-E72D297353CC}">
                  <c16:uniqueId val="{00000011-E862-4B1B-AF3B-ABEB4474D652}"/>
                </c:ext>
              </c:extLst>
            </c:dLbl>
            <c:dLbl>
              <c:idx val="7"/>
              <c:delete val="1"/>
              <c:extLst>
                <c:ext xmlns:c15="http://schemas.microsoft.com/office/drawing/2012/chart" uri="{CE6537A1-D6FC-4f65-9D91-7224C49458BB}"/>
                <c:ext xmlns:c16="http://schemas.microsoft.com/office/drawing/2014/chart" uri="{C3380CC4-5D6E-409C-BE32-E72D297353CC}">
                  <c16:uniqueId val="{00000012-E862-4B1B-AF3B-ABEB4474D652}"/>
                </c:ext>
              </c:extLst>
            </c:dLbl>
            <c:dLbl>
              <c:idx val="9"/>
              <c:delete val="1"/>
              <c:extLst>
                <c:ext xmlns:c15="http://schemas.microsoft.com/office/drawing/2012/chart" uri="{CE6537A1-D6FC-4f65-9D91-7224C49458BB}"/>
                <c:ext xmlns:c16="http://schemas.microsoft.com/office/drawing/2014/chart" uri="{C3380CC4-5D6E-409C-BE32-E72D297353CC}">
                  <c16:uniqueId val="{00000013-E862-4B1B-AF3B-ABEB4474D652}"/>
                </c:ext>
              </c:extLst>
            </c:dLbl>
            <c:dLbl>
              <c:idx val="10"/>
              <c:delete val="1"/>
              <c:extLst>
                <c:ext xmlns:c15="http://schemas.microsoft.com/office/drawing/2012/chart" uri="{CE6537A1-D6FC-4f65-9D91-7224C49458BB}"/>
                <c:ext xmlns:c16="http://schemas.microsoft.com/office/drawing/2014/chart" uri="{C3380CC4-5D6E-409C-BE32-E72D297353CC}">
                  <c16:uniqueId val="{00000014-E862-4B1B-AF3B-ABEB4474D652}"/>
                </c:ext>
              </c:extLst>
            </c:dLbl>
            <c:dLbl>
              <c:idx val="14"/>
              <c:delete val="1"/>
              <c:extLst>
                <c:ext xmlns:c15="http://schemas.microsoft.com/office/drawing/2012/chart" uri="{CE6537A1-D6FC-4f65-9D91-7224C49458BB}"/>
                <c:ext xmlns:c16="http://schemas.microsoft.com/office/drawing/2014/chart" uri="{C3380CC4-5D6E-409C-BE32-E72D297353CC}">
                  <c16:uniqueId val="{00000015-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Turkestan</c:v>
                </c:pt>
                <c:pt idx="1">
                  <c:v>Pavlodar</c:v>
                </c:pt>
                <c:pt idx="2">
                  <c:v>Astana</c:v>
                </c:pt>
                <c:pt idx="3">
                  <c:v>Kyzylorda</c:v>
                </c:pt>
                <c:pt idx="4">
                  <c:v>Petropavlovsk</c:v>
                </c:pt>
                <c:pt idx="5">
                  <c:v>Aktau </c:v>
                </c:pt>
                <c:pt idx="6">
                  <c:v>Atyrau </c:v>
                </c:pt>
                <c:pt idx="7">
                  <c:v>Kostanay</c:v>
                </c:pt>
                <c:pt idx="8">
                  <c:v>Karaganda</c:v>
                </c:pt>
                <c:pt idx="9">
                  <c:v>Ust-Kamenogorsk</c:v>
                </c:pt>
                <c:pt idx="10">
                  <c:v>Kokshetau </c:v>
                </c:pt>
                <c:pt idx="11">
                  <c:v>Uralsk</c:v>
                </c:pt>
                <c:pt idx="12">
                  <c:v>Shymkent</c:v>
                </c:pt>
                <c:pt idx="13">
                  <c:v>Almaty </c:v>
                </c:pt>
                <c:pt idx="14">
                  <c:v>Taraz</c:v>
                </c:pt>
                <c:pt idx="15">
                  <c:v>Taldykorgan</c:v>
                </c:pt>
                <c:pt idx="16">
                  <c:v>Konaev</c:v>
                </c:pt>
                <c:pt idx="17">
                  <c:v>Aktobe</c:v>
                </c:pt>
              </c:strCache>
            </c:strRef>
          </c:cat>
          <c:val>
            <c:numRef>
              <c:f>Лист3!$M$5:$M$22</c:f>
              <c:numCache>
                <c:formatCode>0</c:formatCode>
                <c:ptCount val="18"/>
                <c:pt idx="0">
                  <c:v>0</c:v>
                </c:pt>
                <c:pt idx="1">
                  <c:v>0</c:v>
                </c:pt>
                <c:pt idx="2">
                  <c:v>0</c:v>
                </c:pt>
                <c:pt idx="3">
                  <c:v>0</c:v>
                </c:pt>
                <c:pt idx="4">
                  <c:v>0</c:v>
                </c:pt>
                <c:pt idx="5">
                  <c:v>0.8</c:v>
                </c:pt>
                <c:pt idx="6">
                  <c:v>0</c:v>
                </c:pt>
                <c:pt idx="7">
                  <c:v>0</c:v>
                </c:pt>
                <c:pt idx="8">
                  <c:v>3.16</c:v>
                </c:pt>
                <c:pt idx="9">
                  <c:v>0</c:v>
                </c:pt>
                <c:pt idx="10" formatCode="General">
                  <c:v>0</c:v>
                </c:pt>
                <c:pt idx="11">
                  <c:v>6</c:v>
                </c:pt>
                <c:pt idx="12">
                  <c:v>1.53</c:v>
                </c:pt>
                <c:pt idx="13">
                  <c:v>3.26</c:v>
                </c:pt>
                <c:pt idx="14">
                  <c:v>0</c:v>
                </c:pt>
                <c:pt idx="15">
                  <c:v>1</c:v>
                </c:pt>
                <c:pt idx="16">
                  <c:v>14</c:v>
                </c:pt>
                <c:pt idx="17">
                  <c:v>14.68</c:v>
                </c:pt>
              </c:numCache>
            </c:numRef>
          </c:val>
          <c:extLst>
            <c:ext xmlns:c16="http://schemas.microsoft.com/office/drawing/2014/chart" uri="{C3380CC4-5D6E-409C-BE32-E72D297353CC}">
              <c16:uniqueId val="{00000016-E862-4B1B-AF3B-ABEB4474D652}"/>
            </c:ext>
          </c:extLst>
        </c:ser>
        <c:dLbls>
          <c:showLegendKey val="0"/>
          <c:showVal val="0"/>
          <c:showCatName val="0"/>
          <c:showSerName val="0"/>
          <c:showPercent val="0"/>
          <c:showBubbleSize val="0"/>
        </c:dLbls>
        <c:gapWidth val="60"/>
        <c:overlap val="100"/>
        <c:axId val="192565888"/>
        <c:axId val="192562080"/>
      </c:barChart>
      <c:catAx>
        <c:axId val="192565888"/>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headEnd w="sm" len="sm"/>
            <a:tailEnd w="sm" len="sm"/>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92562080"/>
        <c:crosses val="autoZero"/>
        <c:auto val="1"/>
        <c:lblAlgn val="ctr"/>
        <c:lblOffset val="100"/>
        <c:noMultiLvlLbl val="0"/>
      </c:catAx>
      <c:valAx>
        <c:axId val="192562080"/>
        <c:scaling>
          <c:orientation val="minMax"/>
          <c:max val="100"/>
          <c:min val="20"/>
        </c:scaling>
        <c:delete val="1"/>
        <c:axPos val="b"/>
        <c:majorGridlines>
          <c:spPr>
            <a:ln w="9525">
              <a:gradFill rotWithShape="1">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crossAx val="192565888"/>
        <c:crosses val="autoZero"/>
        <c:crossBetween val="between"/>
        <c:majorUnit val="20"/>
      </c:valAx>
      <c:spPr>
        <a:noFill/>
        <a:ln>
          <a:noFill/>
        </a:ln>
        <a:effectLst/>
      </c:spPr>
    </c:plotArea>
    <c:legend>
      <c:legendPos val="b"/>
      <c:layout>
        <c:manualLayout>
          <c:xMode val="edge"/>
          <c:yMode val="edge"/>
          <c:x val="0.11043367579520935"/>
          <c:y val="0.91000687019491655"/>
          <c:w val="0.88402269651632792"/>
          <c:h val="5.293206138241111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w val="1"/>
          <c:h val="0.73026453720195239"/>
        </c:manualLayout>
      </c:layout>
      <c:lineChart>
        <c:grouping val="standard"/>
        <c:varyColors val="0"/>
        <c:ser>
          <c:idx val="0"/>
          <c:order val="0"/>
          <c:tx>
            <c:strRef>
              <c:f>Лист1!$B$1</c:f>
              <c:strCache>
                <c:ptCount val="1"/>
                <c:pt idx="0">
                  <c:v>Согласовано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4639669372842675E-2"/>
                  <c:y val="-7.8714563579878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2D-416B-BF52-9A1CFF4DE1D5}"/>
                </c:ext>
              </c:extLst>
            </c:dLbl>
            <c:dLbl>
              <c:idx val="1"/>
              <c:layout>
                <c:manualLayout>
                  <c:x val="-5.1312768495576297E-3"/>
                  <c:y val="-6.8166639446017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2D-416B-BF52-9A1CFF4DE1D5}"/>
                </c:ext>
              </c:extLst>
            </c:dLbl>
            <c:dLbl>
              <c:idx val="2"/>
              <c:layout>
                <c:manualLayout>
                  <c:x val="-1.4692535555646822E-2"/>
                  <c:y val="-6.4935728967470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2D-416B-BF52-9A1CFF4DE1D5}"/>
                </c:ext>
              </c:extLst>
            </c:dLbl>
            <c:dLbl>
              <c:idx val="3"/>
              <c:layout>
                <c:manualLayout>
                  <c:x val="-7.9051591122174109E-3"/>
                  <c:y val="-5.302869784958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2D-416B-BF52-9A1CFF4DE1D5}"/>
                </c:ext>
              </c:extLst>
            </c:dLbl>
            <c:dLbl>
              <c:idx val="4"/>
              <c:layout>
                <c:manualLayout>
                  <c:x val="-3.4412827485109133E-3"/>
                  <c:y val="-2.022404354979445E-2"/>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2D-416B-BF52-9A1CFF4DE1D5}"/>
                </c:ext>
              </c:extLst>
            </c:dLbl>
            <c:dLbl>
              <c:idx val="5"/>
              <c:layout>
                <c:manualLayout>
                  <c:x val="5.1312768495576297E-3"/>
                  <c:y val="-2.9214274048293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2D-416B-BF52-9A1CFF4DE1D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175</c:v>
                </c:pt>
                <c:pt idx="1">
                  <c:v>182</c:v>
                </c:pt>
                <c:pt idx="2">
                  <c:v>159</c:v>
                </c:pt>
                <c:pt idx="3">
                  <c:v>157</c:v>
                </c:pt>
                <c:pt idx="4">
                  <c:v>119</c:v>
                </c:pt>
              </c:numCache>
            </c:numRef>
          </c:val>
          <c:smooth val="0"/>
          <c:extLst>
            <c:ext xmlns:c16="http://schemas.microsoft.com/office/drawing/2014/chart" uri="{C3380CC4-5D6E-409C-BE32-E72D297353CC}">
              <c16:uniqueId val="{00000006-8C2D-416B-BF52-9A1CFF4DE1D5}"/>
            </c:ext>
          </c:extLst>
        </c:ser>
        <c:dLbls>
          <c:showLegendKey val="0"/>
          <c:showVal val="0"/>
          <c:showCatName val="0"/>
          <c:showSerName val="0"/>
          <c:showPercent val="0"/>
          <c:showBubbleSize val="0"/>
        </c:dLbls>
        <c:marker val="1"/>
        <c:smooth val="0"/>
        <c:axId val="2086969984"/>
        <c:axId val="2086963456"/>
      </c:lineChart>
      <c:catAx>
        <c:axId val="2086969984"/>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86963456"/>
        <c:crosses val="autoZero"/>
        <c:auto val="1"/>
        <c:lblAlgn val="ctr"/>
        <c:lblOffset val="100"/>
        <c:noMultiLvlLbl val="0"/>
      </c:catAx>
      <c:valAx>
        <c:axId val="2086963456"/>
        <c:scaling>
          <c:orientation val="minMax"/>
          <c:min val="50"/>
        </c:scaling>
        <c:delete val="1"/>
        <c:axPos val="l"/>
        <c:numFmt formatCode="General" sourceLinked="1"/>
        <c:majorTickMark val="out"/>
        <c:minorTickMark val="none"/>
        <c:tickLblPos val="nextTo"/>
        <c:crossAx val="208696998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48C2-4DBC-BFE2-21C95D83185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48C2-4DBC-BFE2-21C95D831858}"/>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48C2-4DBC-BFE2-21C95D831858}"/>
              </c:ext>
            </c:extLst>
          </c:dPt>
          <c:dPt>
            <c:idx val="4"/>
            <c:invertIfNegative val="0"/>
            <c:bubble3D val="0"/>
            <c:spPr>
              <a:solidFill>
                <a:srgbClr val="C00000"/>
              </a:solidFill>
              <a:ln>
                <a:noFill/>
              </a:ln>
              <a:effectLst/>
            </c:spPr>
            <c:extLst>
              <c:ext xmlns:c16="http://schemas.microsoft.com/office/drawing/2014/chart" uri="{C3380CC4-5D6E-409C-BE32-E72D297353CC}">
                <c16:uniqueId val="{00000007-48C2-4DBC-BFE2-21C95D831858}"/>
              </c:ext>
            </c:extLst>
          </c:dPt>
          <c:dLbls>
            <c:dLbl>
              <c:idx val="4"/>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48C2-4DBC-BFE2-21C95D831858}"/>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325</c:v>
                </c:pt>
                <c:pt idx="1">
                  <c:v>558</c:v>
                </c:pt>
                <c:pt idx="2">
                  <c:v>874</c:v>
                </c:pt>
                <c:pt idx="3">
                  <c:v>400</c:v>
                </c:pt>
                <c:pt idx="4">
                  <c:v>508</c:v>
                </c:pt>
              </c:numCache>
            </c:numRef>
          </c:val>
          <c:extLst>
            <c:ext xmlns:c16="http://schemas.microsoft.com/office/drawing/2014/chart" uri="{C3380CC4-5D6E-409C-BE32-E72D297353CC}">
              <c16:uniqueId val="{00000008-48C2-4DBC-BFE2-21C95D831858}"/>
            </c:ext>
          </c:extLst>
        </c:ser>
        <c:dLbls>
          <c:showLegendKey val="0"/>
          <c:showVal val="0"/>
          <c:showCatName val="0"/>
          <c:showSerName val="0"/>
          <c:showPercent val="0"/>
          <c:showBubbleSize val="0"/>
        </c:dLbls>
        <c:gapWidth val="100"/>
        <c:overlap val="-27"/>
        <c:axId val="2086960736"/>
        <c:axId val="2086971072"/>
      </c:barChart>
      <c:catAx>
        <c:axId val="2086960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86971072"/>
        <c:crosses val="autoZero"/>
        <c:auto val="1"/>
        <c:lblAlgn val="ctr"/>
        <c:lblOffset val="100"/>
        <c:noMultiLvlLbl val="0"/>
      </c:catAx>
      <c:valAx>
        <c:axId val="2086971072"/>
        <c:scaling>
          <c:orientation val="minMax"/>
        </c:scaling>
        <c:delete val="1"/>
        <c:axPos val="l"/>
        <c:numFmt formatCode="General" sourceLinked="1"/>
        <c:majorTickMark val="none"/>
        <c:minorTickMark val="none"/>
        <c:tickLblPos val="nextTo"/>
        <c:crossAx val="20869607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208663471056727E-2"/>
          <c:y val="0.13558586746622542"/>
          <c:w val="0.95304654993243221"/>
          <c:h val="0.627114102204801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68FC-430B-BB57-3E828DFFFE74}"/>
              </c:ext>
            </c:extLst>
          </c:dPt>
          <c:dLbls>
            <c:dLbl>
              <c:idx val="0"/>
              <c:layout>
                <c:manualLayout>
                  <c:x val="0"/>
                  <c:y val="-0.10108144451583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FC-430B-BB57-3E828DFFFE74}"/>
                </c:ext>
              </c:extLst>
            </c:dLbl>
            <c:dLbl>
              <c:idx val="1"/>
              <c:layout>
                <c:manualLayout>
                  <c:x val="-3.9194273752108585E-17"/>
                  <c:y val="-0.328081399692211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FC-430B-BB57-3E828DFFFE74}"/>
                </c:ext>
              </c:extLst>
            </c:dLbl>
            <c:dLbl>
              <c:idx val="2"/>
              <c:layout>
                <c:manualLayout>
                  <c:x val="-7.838854750421717E-17"/>
                  <c:y val="-0.129677120530711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FC-430B-BB57-3E828DFFFE74}"/>
                </c:ext>
              </c:extLst>
            </c:dLbl>
            <c:dLbl>
              <c:idx val="3"/>
              <c:layout>
                <c:manualLayout>
                  <c:x val="-7.838854750421717E-17"/>
                  <c:y val="-0.2274230901402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FC-430B-BB57-3E828DFFFE74}"/>
                </c:ext>
              </c:extLst>
            </c:dLbl>
            <c:dLbl>
              <c:idx val="4"/>
              <c:layout>
                <c:manualLayout>
                  <c:x val="0"/>
                  <c:y val="-0.28721839561326185"/>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C-430B-BB57-3E828DFFFE74}"/>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c:v>
                </c:pt>
                <c:pt idx="1">
                  <c:v>40</c:v>
                </c:pt>
                <c:pt idx="2">
                  <c:v>8</c:v>
                </c:pt>
                <c:pt idx="3">
                  <c:v>23</c:v>
                </c:pt>
                <c:pt idx="4">
                  <c:v>33</c:v>
                </c:pt>
              </c:numCache>
            </c:numRef>
          </c:val>
          <c:extLst>
            <c:ext xmlns:c16="http://schemas.microsoft.com/office/drawing/2014/chart" uri="{C3380CC4-5D6E-409C-BE32-E72D297353CC}">
              <c16:uniqueId val="{00000006-68FC-430B-BB57-3E828DFFFE74}"/>
            </c:ext>
          </c:extLst>
        </c:ser>
        <c:dLbls>
          <c:showLegendKey val="0"/>
          <c:showVal val="0"/>
          <c:showCatName val="0"/>
          <c:showSerName val="0"/>
          <c:showPercent val="0"/>
          <c:showBubbleSize val="0"/>
        </c:dLbls>
        <c:gapWidth val="100"/>
        <c:overlap val="-27"/>
        <c:axId val="2086955296"/>
        <c:axId val="2086949856"/>
      </c:barChart>
      <c:catAx>
        <c:axId val="20869552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86949856"/>
        <c:crosses val="autoZero"/>
        <c:auto val="1"/>
        <c:lblAlgn val="ctr"/>
        <c:lblOffset val="100"/>
        <c:noMultiLvlLbl val="1"/>
      </c:catAx>
      <c:valAx>
        <c:axId val="2086949856"/>
        <c:scaling>
          <c:orientation val="minMax"/>
          <c:max val="50"/>
        </c:scaling>
        <c:delete val="1"/>
        <c:axPos val="l"/>
        <c:numFmt formatCode="General" sourceLinked="1"/>
        <c:majorTickMark val="none"/>
        <c:minorTickMark val="none"/>
        <c:tickLblPos val="nextTo"/>
        <c:crossAx val="208695529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249447500504962E-2"/>
          <c:y val="5.8665216365475899E-2"/>
          <c:w val="0.9511047031968487"/>
          <c:h val="0.7186836917096891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D28-48AB-A132-70BE7084024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9D28-48AB-A132-70BE7084024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9D28-48AB-A132-70BE7084024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9D28-48AB-A132-70BE7084024E}"/>
              </c:ext>
            </c:extLst>
          </c:dPt>
          <c:dPt>
            <c:idx val="4"/>
            <c:invertIfNegative val="0"/>
            <c:bubble3D val="0"/>
            <c:spPr>
              <a:solidFill>
                <a:srgbClr val="C00000"/>
              </a:solidFill>
              <a:ln>
                <a:noFill/>
              </a:ln>
              <a:effectLst/>
            </c:spPr>
            <c:extLst>
              <c:ext xmlns:c16="http://schemas.microsoft.com/office/drawing/2014/chart" uri="{C3380CC4-5D6E-409C-BE32-E72D297353CC}">
                <c16:uniqueId val="{00000009-9D28-48AB-A132-70BE7084024E}"/>
              </c:ext>
            </c:extLst>
          </c:dPt>
          <c:dLbls>
            <c:dLbl>
              <c:idx val="4"/>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9D28-48AB-A132-70BE7084024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c:v>
                </c:pt>
                <c:pt idx="1">
                  <c:v>1</c:v>
                </c:pt>
                <c:pt idx="2">
                  <c:v>82</c:v>
                </c:pt>
                <c:pt idx="3">
                  <c:v>236</c:v>
                </c:pt>
                <c:pt idx="4">
                  <c:v>251</c:v>
                </c:pt>
              </c:numCache>
            </c:numRef>
          </c:val>
          <c:extLst>
            <c:ext xmlns:c16="http://schemas.microsoft.com/office/drawing/2014/chart" uri="{C3380CC4-5D6E-409C-BE32-E72D297353CC}">
              <c16:uniqueId val="{0000000A-9D28-48AB-A132-70BE7084024E}"/>
            </c:ext>
          </c:extLst>
        </c:ser>
        <c:dLbls>
          <c:showLegendKey val="0"/>
          <c:showVal val="0"/>
          <c:showCatName val="0"/>
          <c:showSerName val="0"/>
          <c:showPercent val="0"/>
          <c:showBubbleSize val="0"/>
        </c:dLbls>
        <c:gapWidth val="100"/>
        <c:overlap val="-27"/>
        <c:axId val="2086977056"/>
        <c:axId val="2086979776"/>
      </c:barChart>
      <c:catAx>
        <c:axId val="20869770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86979776"/>
        <c:crosses val="autoZero"/>
        <c:auto val="1"/>
        <c:lblAlgn val="ctr"/>
        <c:lblOffset val="100"/>
        <c:noMultiLvlLbl val="0"/>
      </c:catAx>
      <c:valAx>
        <c:axId val="2086979776"/>
        <c:scaling>
          <c:orientation val="minMax"/>
        </c:scaling>
        <c:delete val="1"/>
        <c:axPos val="l"/>
        <c:numFmt formatCode="General" sourceLinked="1"/>
        <c:majorTickMark val="none"/>
        <c:minorTickMark val="none"/>
        <c:tickLblPos val="nextTo"/>
        <c:crossAx val="20869770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расследований по видам нарушений</c:v>
                </c:pt>
              </c:strCache>
            </c:strRef>
          </c:tx>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1160-432D-83A7-F08EAFBEAE6A}"/>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1160-432D-83A7-F08EAFBEAE6A}"/>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1160-432D-83A7-F08EAFBEAE6A}"/>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1160-432D-83A7-F08EAFBEAE6A}"/>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1160-432D-83A7-F08EAFBEAE6A}"/>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1160-432D-83A7-F08EAFBEAE6A}"/>
              </c:ext>
            </c:extLst>
          </c:dPt>
          <c:dLbls>
            <c:dLbl>
              <c:idx val="0"/>
              <c:layout>
                <c:manualLayout>
                  <c:x val="-2.2255571923056598E-2"/>
                  <c:y val="5.3099297523331271E-2"/>
                </c:manualLayout>
              </c:layout>
              <c:tx>
                <c:rich>
                  <a:bodyPr/>
                  <a:lstStyle/>
                  <a:p>
                    <a:r>
                      <a:rPr lang="en-US"/>
                      <a:t>Anti-competitive agreements</a:t>
                    </a:r>
                    <a:r>
                      <a:rPr lang="en-US" baseline="0"/>
                      <a:t>
</a:t>
                    </a:r>
                    <a:fld id="{64DDFA21-8978-4351-8CD0-F165CD71120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055369127516776"/>
                      <c:h val="0.18288393903868697"/>
                    </c:manualLayout>
                  </c15:layout>
                  <c15:dlblFieldTable/>
                  <c15:showDataLabelsRange val="0"/>
                </c:ext>
                <c:ext xmlns:c16="http://schemas.microsoft.com/office/drawing/2014/chart" uri="{C3380CC4-5D6E-409C-BE32-E72D297353CC}">
                  <c16:uniqueId val="{00000001-1160-432D-83A7-F08EAFBEAE6A}"/>
                </c:ext>
              </c:extLst>
            </c:dLbl>
            <c:dLbl>
              <c:idx val="1"/>
              <c:layout>
                <c:manualLayout>
                  <c:x val="-4.7189597315436219E-2"/>
                  <c:y val="0"/>
                </c:manualLayout>
              </c:layout>
              <c:tx>
                <c:rich>
                  <a:bodyPr/>
                  <a:lstStyle/>
                  <a:p>
                    <a:r>
                      <a:rPr lang="ru-RU"/>
                      <a:t>С</a:t>
                    </a:r>
                    <a:r>
                      <a:rPr lang="en-US"/>
                      <a:t>oordination of economic activities</a:t>
                    </a:r>
                    <a:r>
                      <a:rPr lang="en-US" baseline="0"/>
                      <a:t>
</a:t>
                    </a:r>
                    <a:fld id="{7D312D9D-FB25-474F-9B08-F398FF0AB4B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5497063758389263"/>
                      <c:h val="0.2391559202813599"/>
                    </c:manualLayout>
                  </c15:layout>
                  <c15:dlblFieldTable/>
                  <c15:showDataLabelsRange val="0"/>
                </c:ext>
                <c:ext xmlns:c16="http://schemas.microsoft.com/office/drawing/2014/chart" uri="{C3380CC4-5D6E-409C-BE32-E72D297353CC}">
                  <c16:uniqueId val="{00000003-1160-432D-83A7-F08EAFBEAE6A}"/>
                </c:ext>
              </c:extLst>
            </c:dLbl>
            <c:dLbl>
              <c:idx val="2"/>
              <c:layout>
                <c:manualLayout>
                  <c:x val="4.1946308724832217E-2"/>
                  <c:y val="1.8757327080890972E-2"/>
                </c:manualLayout>
              </c:layout>
              <c:tx>
                <c:rich>
                  <a:bodyPr/>
                  <a:lstStyle/>
                  <a:p>
                    <a:r>
                      <a:rPr lang="en-US"/>
                      <a:t>Anti-competitive concerted actions</a:t>
                    </a:r>
                    <a:r>
                      <a:rPr lang="en-US" baseline="0"/>
                      <a:t>
</a:t>
                    </a:r>
                    <a:fld id="{768753CA-F095-4721-9D75-AF708E97DB0C}"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1250000000000006"/>
                      <c:h val="0.2391559202813599"/>
                    </c:manualLayout>
                  </c15:layout>
                  <c15:dlblFieldTable/>
                  <c15:showDataLabelsRange val="0"/>
                </c:ext>
                <c:ext xmlns:c16="http://schemas.microsoft.com/office/drawing/2014/chart" uri="{C3380CC4-5D6E-409C-BE32-E72D297353CC}">
                  <c16:uniqueId val="{00000005-1160-432D-83A7-F08EAFBEAE6A}"/>
                </c:ext>
              </c:extLst>
            </c:dLbl>
            <c:dLbl>
              <c:idx val="3"/>
              <c:layout>
                <c:manualLayout>
                  <c:x val="4.1947134439570891E-3"/>
                  <c:y val="-0.13129925875326545"/>
                </c:manualLayout>
              </c:layout>
              <c:tx>
                <c:rich>
                  <a:bodyPr/>
                  <a:lstStyle/>
                  <a:p>
                    <a:r>
                      <a:rPr lang="en-US"/>
                      <a:t>Abuse of dominant or monopolistic position</a:t>
                    </a:r>
                    <a:r>
                      <a:rPr lang="en-US" baseline="0"/>
                      <a:t>
</a:t>
                    </a:r>
                    <a:fld id="{E2416055-39DE-4E6F-933E-B00823A09A5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6203809517518362"/>
                      <c:h val="0.29706916764361074"/>
                    </c:manualLayout>
                  </c15:layout>
                  <c15:dlblFieldTable/>
                  <c15:showDataLabelsRange val="0"/>
                </c:ext>
                <c:ext xmlns:c16="http://schemas.microsoft.com/office/drawing/2014/chart" uri="{C3380CC4-5D6E-409C-BE32-E72D297353CC}">
                  <c16:uniqueId val="{00000007-1160-432D-83A7-F08EAFBEAE6A}"/>
                </c:ext>
              </c:extLst>
            </c:dLbl>
            <c:dLbl>
              <c:idx val="4"/>
              <c:layout>
                <c:manualLayout>
                  <c:x val="0.3669261612852085"/>
                  <c:y val="-5.8598185191698245E-4"/>
                </c:manualLayout>
              </c:layout>
              <c:tx>
                <c:rich>
                  <a:bodyPr/>
                  <a:lstStyle/>
                  <a:p>
                    <a:r>
                      <a:rPr lang="en-US"/>
                      <a:t>Anti-competitive actions of state and local executive bodies</a:t>
                    </a:r>
                    <a:r>
                      <a:rPr lang="en-US" baseline="0"/>
                      <a:t>
</a:t>
                    </a:r>
                    <a:fld id="{DAD091B7-1501-492E-A488-475754586638}"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40801174496644294"/>
                      <c:h val="0.1817116060961313"/>
                    </c:manualLayout>
                  </c15:layout>
                  <c15:dlblFieldTable/>
                  <c15:showDataLabelsRange val="0"/>
                </c:ext>
                <c:ext xmlns:c16="http://schemas.microsoft.com/office/drawing/2014/chart" uri="{C3380CC4-5D6E-409C-BE32-E72D297353CC}">
                  <c16:uniqueId val="{00000009-1160-432D-83A7-F08EAFBEAE6A}"/>
                </c:ext>
              </c:extLst>
            </c:dLbl>
            <c:dLbl>
              <c:idx val="5"/>
              <c:layout>
                <c:manualLayout>
                  <c:x val="-4.3001737303810218E-2"/>
                  <c:y val="-4.3376318874560373E-2"/>
                </c:manualLayout>
              </c:layout>
              <c:tx>
                <c:rich>
                  <a:bodyPr/>
                  <a:lstStyle/>
                  <a:p>
                    <a:r>
                      <a:rPr lang="en-US"/>
                      <a:t>Unfair competition</a:t>
                    </a:r>
                    <a:r>
                      <a:rPr lang="en-US" baseline="0"/>
                      <a:t>
</a:t>
                    </a:r>
                    <a:fld id="{5DB92C0C-EA9E-4ECA-B75B-5137E53639D2}"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160-432D-83A7-F08EAFBEAE6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Антиконкурентные соглашения</c:v>
                </c:pt>
                <c:pt idx="1">
                  <c:v>Координация экономической деятельности</c:v>
                </c:pt>
                <c:pt idx="2">
                  <c:v>Антиконкурентные согласованные действия</c:v>
                </c:pt>
                <c:pt idx="3">
                  <c:v>Злоупотребление доминирующим или монопольным положением</c:v>
                </c:pt>
                <c:pt idx="4">
                  <c:v>Антиконкурентные действия ГО и МИО</c:v>
                </c:pt>
                <c:pt idx="5">
                  <c:v>Недобросовестная конкуренция</c:v>
                </c:pt>
              </c:strCache>
            </c:strRef>
          </c:cat>
          <c:val>
            <c:numRef>
              <c:f>Лист1!$B$2:$B$7</c:f>
              <c:numCache>
                <c:formatCode>0.0</c:formatCode>
                <c:ptCount val="6"/>
                <c:pt idx="0">
                  <c:v>34.6</c:v>
                </c:pt>
                <c:pt idx="1">
                  <c:v>2.2999999999999998</c:v>
                </c:pt>
                <c:pt idx="2">
                  <c:v>19.5</c:v>
                </c:pt>
                <c:pt idx="3">
                  <c:v>27.8</c:v>
                </c:pt>
                <c:pt idx="4">
                  <c:v>12.8</c:v>
                </c:pt>
                <c:pt idx="5">
                  <c:v>3</c:v>
                </c:pt>
              </c:numCache>
            </c:numRef>
          </c:val>
          <c:extLst>
            <c:ext xmlns:c16="http://schemas.microsoft.com/office/drawing/2014/chart" uri="{C3380CC4-5D6E-409C-BE32-E72D297353CC}">
              <c16:uniqueId val="{0000000C-1160-432D-83A7-F08EAFBEAE6A}"/>
            </c:ext>
          </c:extLst>
        </c:ser>
        <c:dLbls>
          <c:showLegendKey val="0"/>
          <c:showVal val="0"/>
          <c:showCatName val="0"/>
          <c:showSerName val="0"/>
          <c:showPercent val="0"/>
          <c:showBubbleSize val="0"/>
          <c:showLeaderLines val="1"/>
        </c:dLbls>
        <c:firstSliceAng val="2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C79E-43BC-A00D-BA5147D9A5AF}"/>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C79E-43BC-A00D-BA5147D9A5AF}"/>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C79E-43BC-A00D-BA5147D9A5AF}"/>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C79E-43BC-A00D-BA5147D9A5AF}"/>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C79E-43BC-A00D-BA5147D9A5AF}"/>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C79E-43BC-A00D-BA5147D9A5AF}"/>
              </c:ext>
            </c:extLst>
          </c:dPt>
          <c:dLbls>
            <c:dLbl>
              <c:idx val="0"/>
              <c:layout>
                <c:manualLayout>
                  <c:x val="-2.2255571923056598E-2"/>
                  <c:y val="5.3099297523331271E-2"/>
                </c:manualLayout>
              </c:layout>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baseline="0"/>
                      <a:t>Vertical agreements
</a:t>
                    </a:r>
                    <a:fld id="{203F8924-747D-4395-B14D-433041893F65}" type="PERCENTAGE">
                      <a:rPr lang="en-US" baseline="0"/>
                      <a:pPr>
                        <a:defRPr>
                          <a:solidFill>
                            <a:schemeClr val="tx1">
                              <a:lumMod val="50000"/>
                              <a:lumOff val="50000"/>
                            </a:schemeClr>
                          </a:solidFill>
                        </a:defRPr>
                      </a:pPr>
                      <a:t>[PERCENTAGE]</a:t>
                    </a:fld>
                    <a:endParaRPr lang="en-US" baseline="0"/>
                  </a:p>
                </c:rich>
              </c:tx>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055369127516776"/>
                      <c:h val="0.18288393903868697"/>
                    </c:manualLayout>
                  </c15:layout>
                  <c15:dlblFieldTable/>
                  <c15:showDataLabelsRange val="0"/>
                </c:ext>
                <c:ext xmlns:c16="http://schemas.microsoft.com/office/drawing/2014/chart" uri="{C3380CC4-5D6E-409C-BE32-E72D297353CC}">
                  <c16:uniqueId val="{00000001-C79E-43BC-A00D-BA5147D9A5AF}"/>
                </c:ext>
              </c:extLst>
            </c:dLbl>
            <c:dLbl>
              <c:idx val="1"/>
              <c:layout>
                <c:manualLayout>
                  <c:x val="-2.2596509538656659E-3"/>
                  <c:y val="-7.5029308323563887E-2"/>
                </c:manualLayout>
              </c:layout>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t>Anti-competitive concerted actions</a:t>
                    </a:r>
                    <a:r>
                      <a:rPr lang="en-US" b="0" baseline="0">
                        <a:solidFill>
                          <a:schemeClr val="tx1">
                            <a:lumMod val="50000"/>
                            <a:lumOff val="50000"/>
                          </a:schemeClr>
                        </a:solidFill>
                      </a:rPr>
                      <a:t>
</a:t>
                    </a:r>
                    <a:fld id="{BF81F9E2-6973-4F6A-95A8-8F96B5317E6C}" type="PERCENTAGE">
                      <a:rPr lang="en-US"/>
                      <a:pPr>
                        <a:defRPr>
                          <a:solidFill>
                            <a:schemeClr val="tx1">
                              <a:lumMod val="50000"/>
                              <a:lumOff val="50000"/>
                            </a:schemeClr>
                          </a:solidFill>
                        </a:defRPr>
                      </a:pPr>
                      <a:t>[PERCENTAGE]</a:t>
                    </a:fld>
                    <a:endParaRPr lang="en-US" b="0" baseline="0">
                      <a:solidFill>
                        <a:schemeClr val="tx1">
                          <a:lumMod val="50000"/>
                          <a:lumOff val="50000"/>
                        </a:schemeClr>
                      </a:solidFill>
                    </a:endParaRP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721895973154368"/>
                      <c:h val="0.2391559202813599"/>
                    </c:manualLayout>
                  </c15:layout>
                  <c15:dlblFieldTable/>
                  <c15:showDataLabelsRange val="0"/>
                </c:ext>
                <c:ext xmlns:c16="http://schemas.microsoft.com/office/drawing/2014/chart" uri="{C3380CC4-5D6E-409C-BE32-E72D297353CC}">
                  <c16:uniqueId val="{00000003-C79E-43BC-A00D-BA5147D9A5AF}"/>
                </c:ext>
              </c:extLst>
            </c:dLbl>
            <c:dLbl>
              <c:idx val="2"/>
              <c:layout>
                <c:manualLayout>
                  <c:x val="0.24748322147651"/>
                  <c:y val="8.4407971864009376E-2"/>
                </c:manualLayout>
              </c:layout>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t>Abuse of dominant or monopolistic position</a:t>
                    </a:r>
                    <a:r>
                      <a:rPr lang="en-US" baseline="0"/>
                      <a:t>
</a:t>
                    </a:r>
                    <a:fld id="{678EC11A-91D6-4E66-A89D-4654BB3BEFEB}" type="PERCENTAGE">
                      <a:rPr lang="en-US" baseline="0"/>
                      <a:pPr>
                        <a:defRPr>
                          <a:solidFill>
                            <a:schemeClr val="tx1">
                              <a:lumMod val="50000"/>
                              <a:lumOff val="50000"/>
                            </a:schemeClr>
                          </a:solidFill>
                        </a:defRPr>
                      </a:pPr>
                      <a:t>[PERCENTAGE]</a:t>
                    </a:fld>
                    <a:endParaRPr lang="en-US" baseline="0"/>
                  </a:p>
                </c:rich>
              </c:tx>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250000000000006"/>
                      <c:h val="0.2391559202813599"/>
                    </c:manualLayout>
                  </c15:layout>
                  <c15:dlblFieldTable/>
                  <c15:showDataLabelsRange val="0"/>
                </c:ext>
                <c:ext xmlns:c16="http://schemas.microsoft.com/office/drawing/2014/chart" uri="{C3380CC4-5D6E-409C-BE32-E72D297353CC}">
                  <c16:uniqueId val="{00000005-C79E-43BC-A00D-BA5147D9A5AF}"/>
                </c:ext>
              </c:extLst>
            </c:dLbl>
            <c:dLbl>
              <c:idx val="3"/>
              <c:layout>
                <c:manualLayout>
                  <c:x val="2.2021894652010859E-2"/>
                  <c:y val="-0.19694990353638386"/>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ysClr val="windowText" lastClr="000000"/>
                        </a:solidFill>
                        <a:latin typeface="Times New Roman" panose="02020603050405020304" pitchFamily="18" charset="0"/>
                        <a:cs typeface="Times New Roman" panose="02020603050405020304" pitchFamily="18" charset="0"/>
                      </a:rPr>
                      <a:t>Anti-competitive actions of state and local executive bodies</a:t>
                    </a:r>
                    <a:r>
                      <a:rPr lang="en-US" baseline="0"/>
                      <a:t>
</a:t>
                    </a:r>
                    <a:fld id="{BABB5819-82F5-4BB7-B8A2-379235EE2DAF}" type="PERCENTAGE">
                      <a:rPr lang="en-US" baseline="0"/>
                      <a:pPr>
                        <a:defRPr b="1">
                          <a:solidFill>
                            <a:schemeClr val="tx1"/>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930319584632452"/>
                      <c:h val="0.29706916764361074"/>
                    </c:manualLayout>
                  </c15:layout>
                  <c15:dlblFieldTable/>
                  <c15:showDataLabelsRange val="0"/>
                </c:ext>
                <c:ext xmlns:c16="http://schemas.microsoft.com/office/drawing/2014/chart" uri="{C3380CC4-5D6E-409C-BE32-E72D297353CC}">
                  <c16:uniqueId val="{00000007-C79E-43BC-A00D-BA5147D9A5AF}"/>
                </c:ext>
              </c:extLst>
            </c:dLbl>
            <c:dLbl>
              <c:idx val="4"/>
              <c:layout>
                <c:manualLayout>
                  <c:x val="0.43823488611742323"/>
                  <c:y val="-5.8616647127784291E-3"/>
                </c:manualLayout>
              </c:layout>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50000"/>
                            <a:lumOff val="50000"/>
                          </a:sysClr>
                        </a:solidFill>
                        <a:latin typeface="Times New Roman" panose="02020603050405020304" pitchFamily="18" charset="0"/>
                        <a:cs typeface="Times New Roman" panose="02020603050405020304" pitchFamily="18" charset="0"/>
                      </a:rPr>
                      <a:t>Unfair competition</a:t>
                    </a:r>
                    <a:r>
                      <a:rPr lang="en-US" baseline="0"/>
                      <a:t>
</a:t>
                    </a:r>
                    <a:fld id="{F1140B18-10E2-4EC8-B475-A88A45E745D2}" type="PERCENTAGE">
                      <a:rPr lang="en-US" baseline="0"/>
                      <a:pPr>
                        <a:defRPr>
                          <a:solidFill>
                            <a:schemeClr val="tx1">
                              <a:lumMod val="50000"/>
                              <a:lumOff val="50000"/>
                            </a:schemeClr>
                          </a:solidFill>
                        </a:defRPr>
                      </a:pPr>
                      <a:t>[PERCENTAGE]</a:t>
                    </a:fld>
                    <a:endParaRPr lang="en-US" baseline="0"/>
                  </a:p>
                </c:rich>
              </c:tx>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801174496644294"/>
                      <c:h val="0.17116060961313012"/>
                    </c:manualLayout>
                  </c15:layout>
                  <c15:dlblFieldTable/>
                  <c15:showDataLabelsRange val="0"/>
                </c:ext>
                <c:ext xmlns:c16="http://schemas.microsoft.com/office/drawing/2014/chart" uri="{C3380CC4-5D6E-409C-BE32-E72D297353CC}">
                  <c16:uniqueId val="{00000009-C79E-43BC-A00D-BA5147D9A5AF}"/>
                </c:ext>
              </c:extLst>
            </c:dLbl>
            <c:dLbl>
              <c:idx val="5"/>
              <c:layout>
                <c:manualLayout>
                  <c:x val="-4.3001737303810218E-2"/>
                  <c:y val="-4.3376318874560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79E-43BC-A00D-BA5147D9A5A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Вертикальные соглашения</c:v>
                </c:pt>
                <c:pt idx="1">
                  <c:v>Антиконкурентные согласованные действия</c:v>
                </c:pt>
                <c:pt idx="2">
                  <c:v>Злоупотребление доминирующим или монопольным положением</c:v>
                </c:pt>
                <c:pt idx="3">
                  <c:v>Антиконкурентные действия ГО и МИО</c:v>
                </c:pt>
                <c:pt idx="4">
                  <c:v>Недобросовестная конкуренция</c:v>
                </c:pt>
              </c:strCache>
            </c:strRef>
          </c:cat>
          <c:val>
            <c:numRef>
              <c:f>Лист1!$B$2:$B$6</c:f>
              <c:numCache>
                <c:formatCode>0.0</c:formatCode>
                <c:ptCount val="5"/>
                <c:pt idx="0">
                  <c:v>5</c:v>
                </c:pt>
                <c:pt idx="1">
                  <c:v>97</c:v>
                </c:pt>
                <c:pt idx="2">
                  <c:v>196</c:v>
                </c:pt>
                <c:pt idx="3">
                  <c:v>136</c:v>
                </c:pt>
                <c:pt idx="4">
                  <c:v>74</c:v>
                </c:pt>
              </c:numCache>
            </c:numRef>
          </c:val>
          <c:extLst>
            <c:ext xmlns:c16="http://schemas.microsoft.com/office/drawing/2014/chart" uri="{C3380CC4-5D6E-409C-BE32-E72D297353CC}">
              <c16:uniqueId val="{0000000C-C79E-43BC-A00D-BA5147D9A5AF}"/>
            </c:ext>
          </c:extLst>
        </c:ser>
        <c:dLbls>
          <c:showLegendKey val="0"/>
          <c:showVal val="0"/>
          <c:showCatName val="0"/>
          <c:showSerName val="0"/>
          <c:showPercent val="0"/>
          <c:showBubbleSize val="0"/>
          <c:showLeaderLines val="1"/>
        </c:dLbls>
        <c:firstSliceAng val="2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Production</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Лист1!$A$2:$A$4</c:f>
              <c:strCache>
                <c:ptCount val="3"/>
                <c:pt idx="0">
                  <c:v>Gasoline</c:v>
                </c:pt>
                <c:pt idx="1">
                  <c:v>Diesel fuel</c:v>
                </c:pt>
                <c:pt idx="2">
                  <c:v>Jet fuel</c:v>
                </c:pt>
              </c:strCache>
            </c:strRef>
          </c:cat>
          <c:val>
            <c:numRef>
              <c:f>Лист1!$B$2:$B$4</c:f>
              <c:numCache>
                <c:formatCode>General</c:formatCode>
                <c:ptCount val="3"/>
                <c:pt idx="0">
                  <c:v>3221.2</c:v>
                </c:pt>
                <c:pt idx="1">
                  <c:v>4303.5</c:v>
                </c:pt>
                <c:pt idx="2">
                  <c:v>555.9</c:v>
                </c:pt>
              </c:numCache>
            </c:numRef>
          </c:val>
          <c:extLst>
            <c:ext xmlns:c16="http://schemas.microsoft.com/office/drawing/2014/chart" uri="{C3380CC4-5D6E-409C-BE32-E72D297353CC}">
              <c16:uniqueId val="{00000000-2D3A-43FC-9C5F-60761855F9E4}"/>
            </c:ext>
          </c:extLst>
        </c:ser>
        <c:ser>
          <c:idx val="1"/>
          <c:order val="1"/>
          <c:tx>
            <c:strRef>
              <c:f>Лист1!$C$1</c:f>
              <c:strCache>
                <c:ptCount val="1"/>
                <c:pt idx="0">
                  <c:v>Consumption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Лист1!$A$2:$A$4</c:f>
              <c:strCache>
                <c:ptCount val="3"/>
                <c:pt idx="0">
                  <c:v>Gasoline</c:v>
                </c:pt>
                <c:pt idx="1">
                  <c:v>Diesel fuel</c:v>
                </c:pt>
                <c:pt idx="2">
                  <c:v>Jet fuel</c:v>
                </c:pt>
              </c:strCache>
            </c:strRef>
          </c:cat>
          <c:val>
            <c:numRef>
              <c:f>Лист1!$C$2:$C$4</c:f>
              <c:numCache>
                <c:formatCode>General</c:formatCode>
                <c:ptCount val="3"/>
                <c:pt idx="0">
                  <c:v>3160</c:v>
                </c:pt>
                <c:pt idx="1">
                  <c:v>4406.1000000000004</c:v>
                </c:pt>
                <c:pt idx="2">
                  <c:v>696.1</c:v>
                </c:pt>
              </c:numCache>
            </c:numRef>
          </c:val>
          <c:extLst>
            <c:ext xmlns:c16="http://schemas.microsoft.com/office/drawing/2014/chart" uri="{C3380CC4-5D6E-409C-BE32-E72D297353CC}">
              <c16:uniqueId val="{00000001-2D3A-43FC-9C5F-60761855F9E4}"/>
            </c:ext>
          </c:extLst>
        </c:ser>
        <c:ser>
          <c:idx val="2"/>
          <c:order val="2"/>
          <c:tx>
            <c:strRef>
              <c:f>Лист1!$D$1</c:f>
              <c:strCache>
                <c:ptCount val="1"/>
                <c:pt idx="0">
                  <c:v>Import</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Лист1!$A$2:$A$4</c:f>
              <c:strCache>
                <c:ptCount val="3"/>
                <c:pt idx="0">
                  <c:v>Gasoline</c:v>
                </c:pt>
                <c:pt idx="1">
                  <c:v>Diesel fuel</c:v>
                </c:pt>
                <c:pt idx="2">
                  <c:v>Jet fuel</c:v>
                </c:pt>
              </c:strCache>
            </c:strRef>
          </c:cat>
          <c:val>
            <c:numRef>
              <c:f>Лист1!$D$2:$D$4</c:f>
              <c:numCache>
                <c:formatCode>General</c:formatCode>
                <c:ptCount val="3"/>
                <c:pt idx="0">
                  <c:v>0.6</c:v>
                </c:pt>
                <c:pt idx="1">
                  <c:v>102.5</c:v>
                </c:pt>
                <c:pt idx="2">
                  <c:v>140.19999999999999</c:v>
                </c:pt>
              </c:numCache>
            </c:numRef>
          </c:val>
          <c:extLst>
            <c:ext xmlns:c16="http://schemas.microsoft.com/office/drawing/2014/chart" uri="{C3380CC4-5D6E-409C-BE32-E72D297353CC}">
              <c16:uniqueId val="{00000002-2D3A-43FC-9C5F-60761855F9E4}"/>
            </c:ext>
          </c:extLst>
        </c:ser>
        <c:dLbls>
          <c:showLegendKey val="0"/>
          <c:showVal val="0"/>
          <c:showCatName val="0"/>
          <c:showSerName val="0"/>
          <c:showPercent val="0"/>
          <c:showBubbleSize val="0"/>
        </c:dLbls>
        <c:gapWidth val="219"/>
        <c:overlap val="-27"/>
        <c:axId val="2086959104"/>
        <c:axId val="2086950400"/>
      </c:barChart>
      <c:catAx>
        <c:axId val="20869591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950400"/>
        <c:crosses val="autoZero"/>
        <c:auto val="1"/>
        <c:lblAlgn val="ctr"/>
        <c:lblOffset val="100"/>
        <c:noMultiLvlLbl val="0"/>
      </c:catAx>
      <c:valAx>
        <c:axId val="2086950400"/>
        <c:scaling>
          <c:orientation val="minMax"/>
        </c:scaling>
        <c:delete val="1"/>
        <c:axPos val="l"/>
        <c:numFmt formatCode="General" sourceLinked="1"/>
        <c:majorTickMark val="none"/>
        <c:minorTickMark val="none"/>
        <c:tickLblPos val="nextTo"/>
        <c:crossAx val="20869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197"/>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cs:chartArea>
  <cs:dataLabel>
    <cs:lnRef idx="0"/>
    <cs:fillRef idx="0"/>
    <cs:effectRef idx="0"/>
    <cs:fontRef idx="minor">
      <a:schemeClr val="tx1">
        <a:lumMod val="65000"/>
        <a:lumOff val="35000"/>
      </a:schemeClr>
    </cs:fontRef>
    <cs:defRPr sz="1197"/>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862"/>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25000"/>
            <a:lumOff val="75000"/>
          </a:schemeClr>
        </a:solidFill>
        <a:round/>
        <a:headEnd w="sm" len="sm"/>
        <a:tailEnd w="sm" len="sm"/>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46000">
            <a:schemeClr val="phClr"/>
          </a:gs>
          <a:gs pos="100000">
            <a:schemeClr val="phClr">
              <a:lumMod val="20000"/>
              <a:lumOff val="80000"/>
              <a:alpha val="0"/>
            </a:schemeClr>
          </a:gs>
        </a:gsLst>
        <a:path path="circle">
          <a:fillToRect l="50000" t="-80000" r="50000" b="180000"/>
        </a:path>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cdr:x>
      <cdr:y>0.37223</cdr:y>
    </cdr:from>
    <cdr:to>
      <cdr:x>0.5</cdr:x>
      <cdr:y>0.72027</cdr:y>
    </cdr:to>
    <cdr:cxnSp macro="">
      <cdr:nvCxnSpPr>
        <cdr:cNvPr id="2" name="Google Shape;342;p40">
          <a:extLst xmlns:a="http://schemas.openxmlformats.org/drawingml/2006/main">
            <a:ext uri="{FF2B5EF4-FFF2-40B4-BE49-F238E27FC236}">
              <a16:creationId xmlns:a16="http://schemas.microsoft.com/office/drawing/2014/main" id="{21254977-D038-45F2-A194-6C30096C9F2E}"/>
            </a:ext>
          </a:extLst>
        </cdr:cNvPr>
        <cdr:cNvCxnSpPr/>
      </cdr:nvCxnSpPr>
      <cdr:spPr>
        <a:xfrm xmlns:a="http://schemas.openxmlformats.org/drawingml/2006/main" flipV="1">
          <a:off x="2738628" y="766578"/>
          <a:ext cx="0" cy="716755"/>
        </a:xfrm>
        <a:prstGeom xmlns:a="http://schemas.openxmlformats.org/drawingml/2006/main" prst="straightConnector1">
          <a:avLst/>
        </a:prstGeom>
        <a:noFill xmlns:a="http://schemas.openxmlformats.org/drawingml/2006/main"/>
        <a:ln xmlns:a="http://schemas.openxmlformats.org/drawingml/2006/main" w="19050">
          <a:solidFill>
            <a:srgbClr val="1B4361"/>
          </a:solidFill>
          <a:prstDash val="dot"/>
          <a:round/>
          <a:headEnd/>
          <a:tailEnd/>
        </a:ln>
      </cdr:spPr>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E7DEE-4EE6-4478-8C4E-D4300BCD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51372</Words>
  <Characters>292825</Characters>
  <Application>Microsoft Office Word</Application>
  <DocSecurity>0</DocSecurity>
  <Lines>2440</Lines>
  <Paragraphs>687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343510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dc:creator>
  <cp:lastModifiedBy>Yesmukhanov Alibek</cp:lastModifiedBy>
  <cp:revision>16</cp:revision>
  <cp:lastPrinted>2023-05-29T17:53:00Z</cp:lastPrinted>
  <dcterms:created xsi:type="dcterms:W3CDTF">2023-06-19T12:03:00Z</dcterms:created>
  <dcterms:modified xsi:type="dcterms:W3CDTF">2023-08-13T08:32:00Z</dcterms:modified>
</cp:coreProperties>
</file>