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74" w:rsidRDefault="00025A97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 w:rsidRPr="00916D66">
        <w:rPr>
          <w:color w:val="3399FF"/>
          <w:lang w:val="kk-KZ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>
        <w:rPr>
          <w:color w:val="3399FF"/>
          <w:lang w:val="kk-KZ"/>
        </w:rPr>
        <w:t xml:space="preserve">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B3874" w:rsidRDefault="005B3874">
      <w:pPr>
        <w:rPr>
          <w:color w:val="3399FF"/>
          <w:lang w:val="kk-KZ"/>
        </w:rPr>
      </w:pPr>
    </w:p>
    <w:p w:rsidR="005B3874" w:rsidRDefault="005B3874">
      <w:pPr>
        <w:rPr>
          <w:color w:val="3399FF"/>
          <w:lang w:val="kk-KZ"/>
        </w:rPr>
      </w:pPr>
    </w:p>
    <w:p w:rsidR="005B3874" w:rsidRDefault="005B3874">
      <w:pPr>
        <w:rPr>
          <w:color w:val="3399FF"/>
          <w:lang w:val="kk-KZ"/>
        </w:rPr>
      </w:pPr>
    </w:p>
    <w:p w:rsidR="005B3874" w:rsidRDefault="005B3874">
      <w:pPr>
        <w:rPr>
          <w:color w:val="3399FF"/>
          <w:lang w:val="kk-KZ"/>
        </w:rPr>
      </w:pPr>
    </w:p>
    <w:p w:rsidR="005B3874" w:rsidRDefault="005B3874">
      <w:pPr>
        <w:rPr>
          <w:color w:val="3399FF"/>
          <w:lang w:val="kk-KZ"/>
        </w:rPr>
      </w:pPr>
    </w:p>
    <w:p w:rsidR="005B3874" w:rsidRDefault="005B3874">
      <w:pPr>
        <w:rPr>
          <w:color w:val="3399FF"/>
          <w:lang w:val="kk-KZ"/>
        </w:rPr>
      </w:pPr>
    </w:p>
    <w:p w:rsidR="005B3874" w:rsidRDefault="00025A97">
      <w:pPr>
        <w:overflowPunct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CD71AF">
        <w:rPr>
          <w:rFonts w:eastAsiaTheme="minorHAnsi"/>
          <w:b/>
          <w:sz w:val="28"/>
          <w:szCs w:val="28"/>
          <w:lang w:val="kk-KZ" w:eastAsia="en-US"/>
        </w:rPr>
        <w:t>«Аңшылық алқаптар мен балық шаруашылығы су айдындарын және (немесе) учаскелерін бекітіп беру жөнінде конкурс өткізу қағидаларын және конкурсқа қатысушыларға қойылатын біліктілік талаптарын бекіту туралы» Қ</w:t>
      </w:r>
      <w:r w:rsidRPr="00CD71AF">
        <w:rPr>
          <w:rFonts w:eastAsiaTheme="minorHAnsi"/>
          <w:b/>
          <w:sz w:val="28"/>
          <w:szCs w:val="28"/>
          <w:lang w:val="kk-KZ" w:eastAsia="en-US"/>
        </w:rPr>
        <w:t>азақстан Республикасы Ауыл шаруашылығы министрінің</w:t>
      </w:r>
      <w:r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CD71AF">
        <w:rPr>
          <w:rFonts w:eastAsiaTheme="minorHAnsi"/>
          <w:b/>
          <w:sz w:val="28"/>
          <w:szCs w:val="28"/>
          <w:lang w:val="kk-KZ" w:eastAsia="en-US"/>
        </w:rPr>
        <w:t>2015 жылғы 19 наурыздағы № 18-04/245 бұйрығына өзгерістер енгізу туралы</w:t>
      </w:r>
    </w:p>
    <w:p w:rsidR="005B3874" w:rsidRDefault="005B3874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5B3874" w:rsidRDefault="005B3874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CD71AF">
        <w:rPr>
          <w:rFonts w:eastAsiaTheme="minorHAnsi"/>
          <w:b/>
          <w:sz w:val="28"/>
          <w:szCs w:val="28"/>
          <w:lang w:val="kk-KZ" w:eastAsia="en-US"/>
        </w:rPr>
        <w:t>БҰЙЫРАМЫН: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D71AF">
        <w:rPr>
          <w:rFonts w:eastAsiaTheme="minorHAnsi"/>
          <w:sz w:val="28"/>
          <w:szCs w:val="28"/>
          <w:lang w:val="kk-KZ" w:eastAsia="en-US"/>
        </w:rPr>
        <w:t>1. «Аңшылық алқаптар мен балық шаруашылығы су айдындарын және (немесе) учаскелерін бекітіп беру жөніндегі конкурсты өткі</w:t>
      </w:r>
      <w:r w:rsidRPr="00CD71AF">
        <w:rPr>
          <w:rFonts w:eastAsiaTheme="minorHAnsi"/>
          <w:sz w:val="28"/>
          <w:szCs w:val="28"/>
          <w:lang w:val="kk-KZ" w:eastAsia="en-US"/>
        </w:rPr>
        <w:t>зу қағидаларын және конкурсқа қатысушыларға қойылатын біліктілік талаптарын бекіту туралы» Қазақстан Республикасы Ауыл шаруашылығы министрінің 2015 жылғы 19 наурыздағы № 18-04/245 бұйрығына (нормативтік құқықтық актілерді мемлекеттік тіркеу тізілімінде № 1</w:t>
      </w:r>
      <w:r w:rsidRPr="00CD71AF">
        <w:rPr>
          <w:rFonts w:eastAsiaTheme="minorHAnsi"/>
          <w:sz w:val="28"/>
          <w:szCs w:val="28"/>
          <w:lang w:val="kk-KZ" w:eastAsia="en-US"/>
        </w:rPr>
        <w:t>1227 болып тіркелген) мынадай өзгерістер енгізілсін: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D71AF">
        <w:rPr>
          <w:rFonts w:eastAsiaTheme="minorHAnsi"/>
          <w:sz w:val="28"/>
          <w:szCs w:val="28"/>
          <w:lang w:val="kk-KZ" w:eastAsia="en-US"/>
        </w:rPr>
        <w:t xml:space="preserve">көрсетілген бұйрықпен бекітілген аңшылық алқаптар мен балық шаруашылығы су айдындарын және (немесе) учаскелерін бекітіп беру жөнінде конкурс өткізу </w:t>
      </w:r>
      <w:r w:rsidRPr="00040555">
        <w:rPr>
          <w:rFonts w:eastAsiaTheme="minorHAnsi"/>
          <w:sz w:val="28"/>
          <w:szCs w:val="28"/>
          <w:lang w:val="kk-KZ" w:eastAsia="en-US"/>
        </w:rPr>
        <w:t>қағидаларында</w:t>
      </w:r>
      <w:r w:rsidRPr="00040555">
        <w:rPr>
          <w:rFonts w:eastAsiaTheme="minorHAnsi"/>
          <w:sz w:val="28"/>
          <w:szCs w:val="28"/>
          <w:lang w:val="kk-KZ" w:eastAsia="en-US"/>
        </w:rPr>
        <w:t xml:space="preserve"> және конкурсқа қатысушыларға қойылатын бі</w:t>
      </w:r>
      <w:r w:rsidRPr="00040555">
        <w:rPr>
          <w:rFonts w:eastAsiaTheme="minorHAnsi"/>
          <w:sz w:val="28"/>
          <w:szCs w:val="28"/>
          <w:lang w:val="kk-KZ" w:eastAsia="en-US"/>
        </w:rPr>
        <w:t>ліктілік талаптарында:</w:t>
      </w:r>
    </w:p>
    <w:p w:rsidR="005B3874" w:rsidRDefault="00025A97">
      <w:pPr>
        <w:ind w:firstLine="851"/>
        <w:rPr>
          <w:sz w:val="28"/>
          <w:szCs w:val="28"/>
          <w:lang w:val="kk-KZ"/>
        </w:rPr>
      </w:pPr>
      <w:r w:rsidRPr="00040555">
        <w:rPr>
          <w:rFonts w:eastAsiaTheme="minorHAnsi"/>
          <w:sz w:val="28"/>
          <w:szCs w:val="28"/>
          <w:lang w:val="kk-KZ" w:eastAsia="en-US"/>
        </w:rPr>
        <w:t>19-тармақ мынадай редакцияда жазылсын:</w:t>
      </w:r>
      <w:r w:rsidRPr="00040555">
        <w:rPr>
          <w:sz w:val="28"/>
          <w:szCs w:val="28"/>
          <w:lang w:val="kk-KZ"/>
        </w:rPr>
        <w:t xml:space="preserve"> 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040555">
        <w:rPr>
          <w:sz w:val="28"/>
          <w:szCs w:val="28"/>
          <w:lang w:val="kk-KZ"/>
        </w:rPr>
        <w:t>«19. Аңшылық алқаптарды бекітіп беру бойынша</w:t>
      </w:r>
      <w:r w:rsidRPr="00CD71AF">
        <w:rPr>
          <w:sz w:val="28"/>
          <w:szCs w:val="28"/>
          <w:lang w:val="kk-KZ"/>
        </w:rPr>
        <w:t xml:space="preserve"> облыстық деңгейдегі жергілікті атқарушы органдар құратын комиссияның мүшелері: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1) облыстардың жергілікті атқарушы органдарының (облыс әкімінің орынбасарынан төмен емес), комиссия төрағасы;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2) облыстардың жергілікті атқарушы органдарының құрылымдық бөлімшелері (басшыдан төмен емес);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3) ведомствоның аумақтық бөлімшелері (басшының орынб</w:t>
      </w:r>
      <w:r w:rsidRPr="00CD71AF">
        <w:rPr>
          <w:sz w:val="28"/>
          <w:szCs w:val="28"/>
          <w:lang w:val="kk-KZ"/>
        </w:rPr>
        <w:t>асарынан төмен емес);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4) аңшылық шаруашылығы саласындағы ғылыми ұйымдардың;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5) аңшылар және аңшылық шаруашылығы субъектілері қоғамдық бірлестіктерінің аккредиттелген республикалық қауымдастықтары.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lastRenderedPageBreak/>
        <w:t>Халықаралық және республикалық маңызы бар балық шаруашылығы</w:t>
      </w:r>
      <w:r w:rsidRPr="00CD71AF">
        <w:rPr>
          <w:sz w:val="28"/>
          <w:szCs w:val="28"/>
          <w:lang w:val="kk-KZ"/>
        </w:rPr>
        <w:t xml:space="preserve"> су айдындарын және (немесе) учаскелерін бекітіп беру жөніндегі уәкілетті орган құратын комиссияның мүшелері: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CD71AF">
        <w:rPr>
          <w:sz w:val="28"/>
          <w:szCs w:val="28"/>
        </w:rPr>
        <w:t xml:space="preserve">1) </w:t>
      </w:r>
      <w:r w:rsidRPr="00FD7945">
        <w:rPr>
          <w:sz w:val="28"/>
          <w:szCs w:val="28"/>
        </w:rPr>
        <w:t>ведомство</w:t>
      </w:r>
      <w:r w:rsidRPr="00FD7945">
        <w:rPr>
          <w:sz w:val="28"/>
          <w:szCs w:val="28"/>
          <w:lang w:val="kk-KZ"/>
        </w:rPr>
        <w:t xml:space="preserve">ның </w:t>
      </w:r>
      <w:r w:rsidRPr="00FD7945">
        <w:rPr>
          <w:sz w:val="28"/>
          <w:szCs w:val="28"/>
        </w:rPr>
        <w:t>(төрағаның орынбасарынан төмен емес), комиссия төрағасы;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D7945">
        <w:rPr>
          <w:sz w:val="28"/>
          <w:szCs w:val="28"/>
        </w:rPr>
        <w:t xml:space="preserve">2) облыстардың жергілікті атқарушы </w:t>
      </w:r>
      <w:r w:rsidRPr="009C6038">
        <w:rPr>
          <w:sz w:val="28"/>
          <w:szCs w:val="28"/>
        </w:rPr>
        <w:t>органдарының (облыстың жергілікті атқа</w:t>
      </w:r>
      <w:r w:rsidRPr="009C6038">
        <w:rPr>
          <w:sz w:val="28"/>
          <w:szCs w:val="28"/>
        </w:rPr>
        <w:t>рушы органының табиғат пайдалану мәселелеріне жетекшілік ететін құрылымдық бөлімшесінің басшысынан төмен емес);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9C6038">
        <w:rPr>
          <w:sz w:val="28"/>
          <w:szCs w:val="28"/>
        </w:rPr>
        <w:t>3) ведомствоның аумақтық бөлімшелері</w:t>
      </w:r>
      <w:r w:rsidRPr="009C6038">
        <w:rPr>
          <w:sz w:val="28"/>
          <w:szCs w:val="28"/>
          <w:lang w:val="kk-KZ"/>
        </w:rPr>
        <w:t xml:space="preserve">нің </w:t>
      </w:r>
      <w:r w:rsidRPr="009C6038">
        <w:rPr>
          <w:sz w:val="28"/>
          <w:szCs w:val="28"/>
        </w:rPr>
        <w:t>(басшының</w:t>
      </w:r>
      <w:r w:rsidRPr="00FD7945">
        <w:rPr>
          <w:sz w:val="28"/>
          <w:szCs w:val="28"/>
        </w:rPr>
        <w:t xml:space="preserve"> орынбасарынан төмен емес);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D7945">
        <w:rPr>
          <w:sz w:val="28"/>
          <w:szCs w:val="28"/>
        </w:rPr>
        <w:t>4) балық ресурстары мен басқа да су жануарларын қорғау, өсімін молайту және пайдалану саласындағы ғылыми ұйымдар;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D7945">
        <w:rPr>
          <w:sz w:val="28"/>
          <w:szCs w:val="28"/>
        </w:rPr>
        <w:t>5) балық аулаушылар мен балық шаруашылығы субъектілері қоғамдық бірлестіктерінің аккредиттелген республикалық қауымдастығы</w:t>
      </w:r>
      <w:r w:rsidRPr="00FD7945">
        <w:rPr>
          <w:sz w:val="28"/>
          <w:szCs w:val="28"/>
          <w:lang w:val="kk-KZ"/>
        </w:rPr>
        <w:t>ның өкілдерінен тұра</w:t>
      </w:r>
      <w:r w:rsidRPr="00FD7945">
        <w:rPr>
          <w:sz w:val="28"/>
          <w:szCs w:val="28"/>
          <w:lang w:val="kk-KZ"/>
        </w:rPr>
        <w:t>ды</w:t>
      </w:r>
      <w:r w:rsidRPr="00FD7945">
        <w:rPr>
          <w:sz w:val="28"/>
          <w:szCs w:val="28"/>
        </w:rPr>
        <w:t>.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D7945">
        <w:rPr>
          <w:sz w:val="28"/>
          <w:szCs w:val="28"/>
        </w:rPr>
        <w:t>Жергілікті маңызы бар балық шаруашылығы су айдындарын және (немесе) учаскелерді бекітіп беру жөніндегі ведомствоның аумақтық бөлімшелері құратын комиссияның мүшелері: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D7945">
        <w:rPr>
          <w:sz w:val="28"/>
          <w:szCs w:val="28"/>
        </w:rPr>
        <w:t xml:space="preserve">1) ведомствоның аумақтық бөлімшелерінің, комиссия төрағасы (басшыдан </w:t>
      </w:r>
      <w:r w:rsidRPr="00F50250">
        <w:rPr>
          <w:sz w:val="28"/>
          <w:szCs w:val="28"/>
        </w:rPr>
        <w:t>төмен емес);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50250">
        <w:rPr>
          <w:sz w:val="28"/>
          <w:szCs w:val="28"/>
        </w:rPr>
        <w:t xml:space="preserve">2) </w:t>
      </w:r>
      <w:r w:rsidRPr="00F50250">
        <w:rPr>
          <w:sz w:val="28"/>
          <w:szCs w:val="28"/>
        </w:rPr>
        <w:t>облыстардың жергілікті атқарушы органдарының құрылымдық бөлімшелері</w:t>
      </w:r>
      <w:r w:rsidRPr="00F50250">
        <w:rPr>
          <w:sz w:val="28"/>
          <w:szCs w:val="28"/>
          <w:lang w:val="kk-KZ"/>
        </w:rPr>
        <w:t>нің</w:t>
      </w:r>
      <w:r w:rsidRPr="00F50250">
        <w:rPr>
          <w:sz w:val="28"/>
          <w:szCs w:val="28"/>
        </w:rPr>
        <w:t xml:space="preserve"> (облыстың жергілікті атқарушы органының табиғат пайдалану мәселелеріне жетекшілік ететін құрылымдық бөлімшесінің басшысынан төмен емес);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50250">
        <w:rPr>
          <w:sz w:val="28"/>
          <w:szCs w:val="28"/>
        </w:rPr>
        <w:t xml:space="preserve">3) балық ресурстары мен басқа да су жануарларын </w:t>
      </w:r>
      <w:r w:rsidRPr="00F50250">
        <w:rPr>
          <w:sz w:val="28"/>
          <w:szCs w:val="28"/>
        </w:rPr>
        <w:t>қорғау, өсімін молайту және пайдалану саласындағы ғылыми ұйымдар</w:t>
      </w:r>
      <w:r w:rsidRPr="00F50250">
        <w:rPr>
          <w:sz w:val="28"/>
          <w:szCs w:val="28"/>
          <w:lang w:val="kk-KZ"/>
        </w:rPr>
        <w:t>ының</w:t>
      </w:r>
      <w:r w:rsidRPr="00F50250">
        <w:rPr>
          <w:sz w:val="28"/>
          <w:szCs w:val="28"/>
        </w:rPr>
        <w:t>;</w:t>
      </w:r>
    </w:p>
    <w:p w:rsidR="005B3874" w:rsidRDefault="00025A97">
      <w:pPr>
        <w:ind w:firstLine="709"/>
        <w:jc w:val="both"/>
        <w:rPr>
          <w:sz w:val="28"/>
          <w:szCs w:val="28"/>
        </w:rPr>
      </w:pPr>
      <w:r w:rsidRPr="00F50250">
        <w:rPr>
          <w:sz w:val="28"/>
          <w:szCs w:val="28"/>
        </w:rPr>
        <w:t xml:space="preserve">4) балық аулаушылар </w:t>
      </w:r>
      <w:r w:rsidRPr="00F50250">
        <w:rPr>
          <w:sz w:val="28"/>
          <w:szCs w:val="28"/>
          <w:lang w:val="kk-KZ"/>
        </w:rPr>
        <w:t xml:space="preserve">және </w:t>
      </w:r>
      <w:r w:rsidRPr="00F50250">
        <w:rPr>
          <w:sz w:val="28"/>
          <w:szCs w:val="28"/>
        </w:rPr>
        <w:t>балық шаруашылығы субъектілері қоғамдық бірлестіктерінің аккредиттелген республикалық</w:t>
      </w:r>
      <w:r w:rsidRPr="00FD7945">
        <w:rPr>
          <w:sz w:val="28"/>
          <w:szCs w:val="28"/>
        </w:rPr>
        <w:t xml:space="preserve"> қауымдастығы</w:t>
      </w:r>
      <w:r w:rsidRPr="00FD7945">
        <w:rPr>
          <w:sz w:val="28"/>
          <w:szCs w:val="28"/>
          <w:lang w:val="kk-KZ"/>
        </w:rPr>
        <w:t>ның;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FD7945">
        <w:rPr>
          <w:sz w:val="28"/>
          <w:szCs w:val="28"/>
        </w:rPr>
        <w:t>5) су ресурстары жөніндегі аумақтық бөлімшелерд</w:t>
      </w:r>
      <w:r w:rsidRPr="00FD7945">
        <w:rPr>
          <w:sz w:val="28"/>
          <w:szCs w:val="28"/>
          <w:lang w:val="kk-KZ"/>
        </w:rPr>
        <w:t>ің</w:t>
      </w:r>
      <w:r w:rsidRPr="00FD7945">
        <w:rPr>
          <w:sz w:val="28"/>
          <w:szCs w:val="28"/>
        </w:rPr>
        <w:t xml:space="preserve"> (басшы</w:t>
      </w:r>
      <w:r w:rsidRPr="00FD7945">
        <w:rPr>
          <w:sz w:val="28"/>
          <w:szCs w:val="28"/>
          <w:lang w:val="kk-KZ"/>
        </w:rPr>
        <w:t xml:space="preserve"> о</w:t>
      </w:r>
      <w:r w:rsidRPr="00FD7945">
        <w:rPr>
          <w:sz w:val="28"/>
          <w:szCs w:val="28"/>
          <w:lang w:val="kk-KZ"/>
        </w:rPr>
        <w:t>рынбасарынан</w:t>
      </w:r>
      <w:r w:rsidRPr="00FD7945">
        <w:rPr>
          <w:sz w:val="28"/>
          <w:szCs w:val="28"/>
        </w:rPr>
        <w:t xml:space="preserve"> төмен емес) </w:t>
      </w:r>
      <w:r w:rsidRPr="00FD7945">
        <w:rPr>
          <w:sz w:val="28"/>
          <w:szCs w:val="28"/>
          <w:lang w:val="kk-KZ"/>
        </w:rPr>
        <w:t xml:space="preserve">өкілдерінен </w:t>
      </w:r>
      <w:r w:rsidRPr="00FD7945">
        <w:rPr>
          <w:sz w:val="28"/>
          <w:szCs w:val="28"/>
        </w:rPr>
        <w:t>тұрады.</w:t>
      </w:r>
      <w:r w:rsidRPr="00FD7945">
        <w:rPr>
          <w:sz w:val="28"/>
          <w:szCs w:val="28"/>
          <w:lang w:val="kk-KZ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D71AF">
        <w:rPr>
          <w:rFonts w:eastAsiaTheme="minorHAnsi"/>
          <w:sz w:val="28"/>
          <w:szCs w:val="28"/>
          <w:lang w:val="kk-KZ" w:eastAsia="en-US"/>
        </w:rPr>
        <w:t>27-</w:t>
      </w:r>
      <w:r w:rsidRPr="00F50250">
        <w:rPr>
          <w:rFonts w:eastAsiaTheme="minorHAnsi"/>
          <w:sz w:val="28"/>
          <w:szCs w:val="28"/>
          <w:lang w:val="kk-KZ" w:eastAsia="en-US"/>
        </w:rPr>
        <w:t>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F50250">
        <w:rPr>
          <w:rFonts w:eastAsiaTheme="minorHAnsi"/>
          <w:sz w:val="28"/>
          <w:szCs w:val="28"/>
          <w:lang w:val="kk-KZ" w:eastAsia="en-US"/>
        </w:rPr>
        <w:t>«</w:t>
      </w:r>
      <w:r w:rsidRPr="00F50250">
        <w:rPr>
          <w:sz w:val="28"/>
          <w:szCs w:val="28"/>
          <w:lang w:val="kk-KZ"/>
        </w:rPr>
        <w:t>27. Конкурсқа қатысу үшін кепілдік жарна бастапқы бағаның 15 (он бес пайызын) құрайды, бірақ 50 (елу мың) айлық есептік көрсеткіштен (бұдан әрі - АЕК) кем емес және 30 (отыз мың) АЕК аспайды.</w:t>
      </w:r>
      <w:r w:rsidRPr="00F50250">
        <w:rPr>
          <w:rFonts w:eastAsiaTheme="minorHAnsi"/>
          <w:sz w:val="28"/>
          <w:szCs w:val="28"/>
          <w:lang w:val="kk-KZ" w:eastAsia="en-US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8455B6">
        <w:rPr>
          <w:rFonts w:eastAsiaTheme="minorHAnsi"/>
          <w:sz w:val="28"/>
          <w:szCs w:val="28"/>
          <w:lang w:val="kk-KZ" w:eastAsia="en-US"/>
        </w:rPr>
        <w:t>38-тармақ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8455B6">
        <w:rPr>
          <w:rFonts w:eastAsiaTheme="minorHAnsi"/>
          <w:sz w:val="28"/>
          <w:szCs w:val="28"/>
          <w:lang w:val="kk-KZ" w:eastAsia="en-US"/>
        </w:rPr>
        <w:t xml:space="preserve">«38. </w:t>
      </w:r>
      <w:r w:rsidRPr="008455B6">
        <w:rPr>
          <w:sz w:val="28"/>
          <w:szCs w:val="28"/>
          <w:lang w:val="kk-KZ"/>
        </w:rPr>
        <w:t>Егер бірінші конку</w:t>
      </w:r>
      <w:r w:rsidRPr="008455B6">
        <w:rPr>
          <w:sz w:val="28"/>
          <w:szCs w:val="28"/>
          <w:lang w:val="kk-KZ"/>
        </w:rPr>
        <w:t>рсқа өтінімдерді қабылдау мерзімі аяқталған сәтте бір өтінім тіркелген болса, мұндай конкурс өтпеді</w:t>
      </w:r>
      <w:r w:rsidRPr="00CD71AF">
        <w:rPr>
          <w:sz w:val="28"/>
          <w:szCs w:val="28"/>
          <w:lang w:val="kk-KZ"/>
        </w:rPr>
        <w:t xml:space="preserve"> деп танылады.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 xml:space="preserve">Екінші және одан кейінгі конкурстар өтінімдерді қабылдау мерзімі аяқталған </w:t>
      </w:r>
      <w:r w:rsidRPr="009C6038">
        <w:rPr>
          <w:sz w:val="28"/>
          <w:szCs w:val="28"/>
          <w:lang w:val="kk-KZ"/>
        </w:rPr>
        <w:t>сәтте біліктілік талаптарға сәйкес кемінде бір тіркелген өтінім бол</w:t>
      </w:r>
      <w:r w:rsidRPr="009C6038">
        <w:rPr>
          <w:sz w:val="28"/>
          <w:szCs w:val="28"/>
          <w:lang w:val="kk-KZ"/>
        </w:rPr>
        <w:t>ған кезде өтті деп танылады.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sz w:val="28"/>
          <w:szCs w:val="28"/>
          <w:lang w:val="kk-KZ"/>
        </w:rPr>
        <w:t>Екінші және одан кейінгі конкурстарды</w:t>
      </w:r>
      <w:r w:rsidRPr="00CD71AF">
        <w:rPr>
          <w:sz w:val="28"/>
          <w:szCs w:val="28"/>
          <w:lang w:val="kk-KZ"/>
        </w:rPr>
        <w:t xml:space="preserve"> өткізу кезінде конкурстың екінші кезеңіне жалғыз қатысушы жіберілгенде онымен объектінің бастапқы бағасы </w:t>
      </w:r>
      <w:r w:rsidRPr="00CD71AF">
        <w:rPr>
          <w:sz w:val="28"/>
          <w:szCs w:val="28"/>
          <w:lang w:val="kk-KZ"/>
        </w:rPr>
        <w:lastRenderedPageBreak/>
        <w:t>төленген және шарт жасасқан жағдайда мұндай қатысушы конкурстың жеңімпазы болып таны</w:t>
      </w:r>
      <w:r w:rsidRPr="00CD71AF">
        <w:rPr>
          <w:sz w:val="28"/>
          <w:szCs w:val="28"/>
          <w:lang w:val="kk-KZ"/>
        </w:rPr>
        <w:t>лады.</w:t>
      </w:r>
      <w:r w:rsidRPr="00CD71AF">
        <w:rPr>
          <w:rFonts w:eastAsiaTheme="minorHAnsi"/>
          <w:sz w:val="28"/>
          <w:szCs w:val="28"/>
          <w:lang w:val="kk-KZ" w:eastAsia="en-US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D71AF">
        <w:rPr>
          <w:rFonts w:eastAsiaTheme="minorHAnsi"/>
          <w:sz w:val="28"/>
          <w:szCs w:val="28"/>
          <w:lang w:val="kk-KZ" w:eastAsia="en-US"/>
        </w:rPr>
        <w:t>42-тармақ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 xml:space="preserve">«42. Комиссия хатшысы </w:t>
      </w:r>
      <w:r w:rsidRPr="009C6038">
        <w:rPr>
          <w:sz w:val="28"/>
          <w:szCs w:val="28"/>
          <w:lang w:val="kk-KZ"/>
        </w:rPr>
        <w:t>өтінімдерді ашқан күнінен бастап үш жұмыс күні ішінде веб-порталда комиссияның барлық мүшелерінің ЭЦҚ-ын пайдалана отырып қол қою үшін рұқсат беру хаттамасын қалыптастырады.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sz w:val="28"/>
          <w:szCs w:val="28"/>
          <w:lang w:val="kk-KZ"/>
        </w:rPr>
        <w:t>Комиссия мүше</w:t>
      </w:r>
      <w:r w:rsidRPr="009C6038">
        <w:rPr>
          <w:sz w:val="28"/>
          <w:szCs w:val="28"/>
          <w:lang w:val="kk-KZ"/>
        </w:rPr>
        <w:t>сі рұқсат беру хаттамасына қол қоймаған жағдайда, Комиссия хатшысы хаттамада қолдың болмау себебі туралы ақпараты бар рұқсат беру хаттамасында қол қоймаған комиссия мүшелері көрсетіледі</w:t>
      </w:r>
      <w:r w:rsidRPr="009C6038">
        <w:rPr>
          <w:rFonts w:eastAsiaTheme="minorHAnsi"/>
          <w:sz w:val="28"/>
          <w:szCs w:val="28"/>
          <w:lang w:val="kk-KZ" w:eastAsia="en-US"/>
        </w:rPr>
        <w:t>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45-тармақ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rFonts w:eastAsiaTheme="minorHAnsi"/>
          <w:sz w:val="28"/>
          <w:szCs w:val="28"/>
          <w:lang w:val="kk-KZ" w:eastAsia="en-US"/>
        </w:rPr>
        <w:t>«</w:t>
      </w:r>
      <w:r w:rsidRPr="009C6038">
        <w:rPr>
          <w:sz w:val="28"/>
          <w:szCs w:val="28"/>
          <w:lang w:val="kk-KZ"/>
        </w:rPr>
        <w:t>45. Конкурстың екінші кезең</w:t>
      </w:r>
      <w:r w:rsidRPr="009C6038">
        <w:rPr>
          <w:sz w:val="28"/>
          <w:szCs w:val="28"/>
          <w:lang w:val="kk-KZ"/>
        </w:rPr>
        <w:t>ін өткізу күні мен уақытын тізілімнің веб-порталы жіберу хаттамасы веб-порталда жарияланған күннен бастап бірінші жұмыс күніне автоматты түрде тағайындайды.»;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47, 48, 49 және 50-тармақтары мынадай редакцияда жазылсын</w:t>
      </w:r>
      <w:r w:rsidRPr="00CD71AF">
        <w:rPr>
          <w:rFonts w:eastAsiaTheme="minorHAnsi"/>
          <w:sz w:val="28"/>
          <w:szCs w:val="28"/>
          <w:lang w:val="kk-KZ" w:eastAsia="en-US"/>
        </w:rPr>
        <w:t>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8455B6">
        <w:rPr>
          <w:rFonts w:eastAsiaTheme="minorHAnsi"/>
          <w:sz w:val="28"/>
          <w:szCs w:val="28"/>
          <w:lang w:val="kk-KZ" w:eastAsia="en-US"/>
        </w:rPr>
        <w:t>«</w:t>
      </w:r>
      <w:r w:rsidRPr="008455B6">
        <w:rPr>
          <w:sz w:val="28"/>
          <w:szCs w:val="28"/>
          <w:lang w:val="kk-KZ"/>
        </w:rPr>
        <w:t>47. Конкурстың екінші кезеңі веб-порт</w:t>
      </w:r>
      <w:r w:rsidRPr="008455B6">
        <w:rPr>
          <w:sz w:val="28"/>
          <w:szCs w:val="28"/>
          <w:lang w:val="kk-KZ"/>
        </w:rPr>
        <w:t>ал белгілеген уақытта басталады және мынадай түрде өткізіледі: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8455B6">
        <w:rPr>
          <w:sz w:val="28"/>
          <w:szCs w:val="28"/>
          <w:lang w:val="kk-KZ"/>
        </w:rPr>
        <w:t>1) екінші кезең басталған сәтте аукцион залында комиссия белгілеген бастапқы бағадан кем болмайтын өтінімде көрсетілген конкурсқа қатысушылардың баға</w:t>
      </w:r>
      <w:r w:rsidRPr="00CD71AF">
        <w:rPr>
          <w:sz w:val="28"/>
          <w:szCs w:val="28"/>
          <w:lang w:val="kk-KZ"/>
        </w:rPr>
        <w:t xml:space="preserve"> ұсыныстары көрсетіледі және конкурс бастала</w:t>
      </w:r>
      <w:r w:rsidRPr="00CD71AF">
        <w:rPr>
          <w:sz w:val="28"/>
          <w:szCs w:val="28"/>
          <w:lang w:val="kk-KZ"/>
        </w:rPr>
        <w:t>тын бастапқы баға қалыптастырылады;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2) конкурстың екінші кезеңі басталған сәттен бастап қатысушыға осы Қағиданың 49-тармағына сәйкес белгіленген қадамға басқа қатысушының ең жоғары ағымдағы бағасын арттыру мүмкіндігі беріледі;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3) Егер конкурстың екінші кез</w:t>
      </w:r>
      <w:r w:rsidRPr="00CD71AF">
        <w:rPr>
          <w:sz w:val="28"/>
          <w:szCs w:val="28"/>
          <w:lang w:val="kk-KZ"/>
        </w:rPr>
        <w:t xml:space="preserve">еңі </w:t>
      </w:r>
      <w:r w:rsidRPr="00462D41">
        <w:rPr>
          <w:sz w:val="28"/>
          <w:szCs w:val="28"/>
          <w:lang w:val="kk-KZ"/>
        </w:rPr>
        <w:t>басталғаннан бастап он минут ішінде қатысушылардың бірде-біреуі ағымдағы ең жоғары бағаны көтермесе, онда оны ұсынған қатысушы жеңімпаз деп танылады, ал конкурстың осы нысанасы бойынша конкурс өткізілген деп танылады;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4) Егер аукцион залында конкурстың екінші кезеңінің басынан бастап он минут ішінде қатысушылардың бірі осы Қағиданың 49-тармағына сәйкес белгіленген қадамға басқа қатысушының ең жоғары ағымдағы бағасын арттыру жолымен конкурс нысанасын сатып алу ниетін рас</w:t>
      </w:r>
      <w:r w:rsidRPr="00462D41">
        <w:rPr>
          <w:sz w:val="28"/>
          <w:szCs w:val="28"/>
          <w:lang w:val="kk-KZ"/>
        </w:rPr>
        <w:t>таса, онда ағымдағы баға белгіленген қадамға ұлғайтылады;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5) Егер ағымдағы баға ұлғайтылғаннан кейін он минут ішінде қатысушылардың бірде-біреуі ағымдағы бағаны ұлғайту жолымен конкурс нысанасын сатып алу ниетін растамайтын болса, онда конкурс нысанасын са</w:t>
      </w:r>
      <w:r w:rsidRPr="00462D41">
        <w:rPr>
          <w:sz w:val="28"/>
          <w:szCs w:val="28"/>
          <w:lang w:val="kk-KZ"/>
        </w:rPr>
        <w:t>тып алу ниетін соңғы растаған қатысушы жеңімпаз деп танылады, ал конкурс өткізілген деп танылады;</w:t>
      </w:r>
    </w:p>
    <w:p w:rsidR="005B3874" w:rsidRDefault="00025A97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62D41">
        <w:rPr>
          <w:sz w:val="28"/>
          <w:szCs w:val="28"/>
          <w:lang w:val="kk-KZ"/>
        </w:rPr>
        <w:t>6) Егер конкурстың екінші кезеңі аяқталған</w:t>
      </w:r>
      <w:r w:rsidRPr="00CD71AF">
        <w:rPr>
          <w:sz w:val="28"/>
          <w:szCs w:val="28"/>
          <w:lang w:val="kk-KZ"/>
        </w:rPr>
        <w:t xml:space="preserve"> сәтте сағат 17:00-де жеңімпаз анықталмаса, онда конкурстың нысанасын сатып алуға өзінің ниетін соңғы растаған қатысушы жеңімпаз болып танылады, ал конкурстың осы мәні бойынша конкурс өткізілген болып танылады.</w:t>
      </w:r>
      <w:r w:rsidRPr="00CD71AF">
        <w:rPr>
          <w:rFonts w:eastAsiaTheme="minorHAnsi"/>
          <w:sz w:val="28"/>
          <w:szCs w:val="28"/>
          <w:lang w:val="kk-KZ" w:eastAsia="en-US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>4</w:t>
      </w:r>
      <w:r w:rsidRPr="00CD71AF">
        <w:rPr>
          <w:sz w:val="28"/>
          <w:szCs w:val="28"/>
          <w:lang w:val="kk-KZ"/>
        </w:rPr>
        <w:t xml:space="preserve">8. Егер конкурстың </w:t>
      </w:r>
      <w:r w:rsidRPr="00462D41">
        <w:rPr>
          <w:sz w:val="28"/>
          <w:szCs w:val="28"/>
          <w:lang w:val="kk-KZ"/>
        </w:rPr>
        <w:t>екінші кезеңі басталған</w:t>
      </w:r>
      <w:r w:rsidRPr="00462D41">
        <w:rPr>
          <w:sz w:val="28"/>
          <w:szCs w:val="28"/>
          <w:lang w:val="kk-KZ"/>
        </w:rPr>
        <w:t xml:space="preserve"> сәтте екі және одан да көп қатысушының баға ұсыныстарында конкурс мәні үшін бірдей ең жоғары баға </w:t>
      </w:r>
      <w:r w:rsidRPr="00462D41">
        <w:rPr>
          <w:sz w:val="28"/>
          <w:szCs w:val="28"/>
          <w:lang w:val="kk-KZ"/>
        </w:rPr>
        <w:lastRenderedPageBreak/>
        <w:t>болған және осы ағымдағы баға он минут ішінде ұлғайтылмаған жағдайда, онда осы қатысушылардың арасында өтінімі бірдей ең жоғары бағаны қамтитын қатысушыларды</w:t>
      </w:r>
      <w:r w:rsidRPr="00462D41">
        <w:rPr>
          <w:sz w:val="28"/>
          <w:szCs w:val="28"/>
          <w:lang w:val="kk-KZ"/>
        </w:rPr>
        <w:t>ң басқа өтінімдерінен бұрын қабылданған қатысушы конкурстың жеңімпазы болып танылады.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>49. Конкурстың екінші кезеңі кезінде бағаны өзгерту қадамы былайша белгіленеді: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>1) айлық есептік көрсеткіштің 20 еселенген мөлшеріне дейінгі мөлшердегі ағымдағы баға кезі</w:t>
      </w:r>
      <w:r w:rsidRPr="006A35F3">
        <w:rPr>
          <w:sz w:val="28"/>
          <w:szCs w:val="28"/>
          <w:lang w:val="kk-KZ"/>
        </w:rPr>
        <w:t>нде өзгерту қадамы 20 процент мөлшерінде белгіленеді;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>2) ағымдағы баға айлық есептік көрсеткіштің 20 еселенгеннен 100 еселенгенге дейінгі мөлшерінде болған кезде өзгерту қадамы 30 процент мөлшерінде белгіленеді;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 xml:space="preserve">3) ағымдағы баға айлық есептік көрсеткіштің </w:t>
      </w:r>
      <w:r w:rsidRPr="006A35F3">
        <w:rPr>
          <w:sz w:val="28"/>
          <w:szCs w:val="28"/>
          <w:lang w:val="kk-KZ"/>
        </w:rPr>
        <w:t>100 еселенгеннен 250 еселенгенге дейінгі мөлшерінде болған кезде өзгерту қадамы 15 процент мөлшерінде белгіленеді;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>4) ағымдағы баға айлық есептік көрсеткіштің 250 еселенгеннен 500 еселенгенге дейінгі мөлшерінде болған кезде өзгерту қадамы 10 процент мөлшер</w:t>
      </w:r>
      <w:r w:rsidRPr="006A35F3">
        <w:rPr>
          <w:sz w:val="28"/>
          <w:szCs w:val="28"/>
          <w:lang w:val="kk-KZ"/>
        </w:rPr>
        <w:t>інде белгіленеді;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6A35F3">
        <w:rPr>
          <w:sz w:val="28"/>
          <w:szCs w:val="28"/>
          <w:lang w:val="kk-KZ"/>
        </w:rPr>
        <w:t>5) ағымдағы баға айлық есептік көрсеткіштің 500 еселенген мөлшерінен және одан жоғары мөлшерде болған кезде өзгерту қадамы 5 пайыз мөлшерінде белгіленеді.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50. Конкурстың нәтижелері туралы хаттаманы веб-портал қалыптастырады және ұйымдасты</w:t>
      </w:r>
      <w:r w:rsidRPr="00462D41">
        <w:rPr>
          <w:sz w:val="28"/>
          <w:szCs w:val="28"/>
          <w:lang w:val="kk-KZ"/>
        </w:rPr>
        <w:t>рушы мен жеңімпаз ЭЦҚ пайдалана отырып, ол өткізілетін күні қол қояды.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Конкурс нәтижелері туралы хаттама конкурс нәтижелерін және жеңімпаздың және облыстың жергілікті атқарушы органының немесе ведомствоның аумақтық бөлімшесінің конкурс нәтижесі болып табыл</w:t>
      </w:r>
      <w:r w:rsidRPr="00462D41">
        <w:rPr>
          <w:sz w:val="28"/>
          <w:szCs w:val="28"/>
          <w:lang w:val="kk-KZ"/>
        </w:rPr>
        <w:t>атын шарттарда шартқа қол қою міндеттемелерін тіркейтін құжат болып табылады.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62D41">
        <w:rPr>
          <w:sz w:val="28"/>
          <w:szCs w:val="28"/>
          <w:lang w:val="kk-KZ"/>
        </w:rPr>
        <w:t>Конкурстың нәтижелерін ведомствоның</w:t>
      </w:r>
      <w:r w:rsidRPr="009C6038">
        <w:rPr>
          <w:sz w:val="28"/>
          <w:szCs w:val="28"/>
          <w:lang w:val="kk-KZ"/>
        </w:rPr>
        <w:t xml:space="preserve"> аумақтық бөлімшелері және (немесе) ведомство конкурс нәтижелері туралы хаттамаға қол қойылған күннен бастап екі жұмыс күні ішінде шешім (қаулы</w:t>
      </w:r>
      <w:r w:rsidRPr="009C6038">
        <w:rPr>
          <w:sz w:val="28"/>
          <w:szCs w:val="28"/>
          <w:lang w:val="kk-KZ"/>
        </w:rPr>
        <w:t>) қабылдау үшін жергілікті атқарушы органдарға жібереді.</w:t>
      </w:r>
      <w:r w:rsidRPr="009C6038">
        <w:rPr>
          <w:rFonts w:eastAsiaTheme="minorHAnsi"/>
          <w:sz w:val="28"/>
          <w:szCs w:val="28"/>
          <w:lang w:val="kk-KZ" w:eastAsia="en-US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D71AF">
        <w:rPr>
          <w:rFonts w:eastAsiaTheme="minorHAnsi"/>
          <w:sz w:val="28"/>
          <w:szCs w:val="28"/>
          <w:lang w:val="kk-KZ" w:eastAsia="en-US"/>
        </w:rPr>
        <w:t>52-тармақ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 xml:space="preserve">«52. Жеңімпаз </w:t>
      </w:r>
      <w:r w:rsidRPr="00462D41">
        <w:rPr>
          <w:sz w:val="28"/>
          <w:szCs w:val="28"/>
          <w:lang w:val="kk-KZ"/>
        </w:rPr>
        <w:t>белгіленген мерзімде конкурс нәтижелері туралы хаттамаға не шартқа қол қоймаған немесе түпкілікті бағаны төлеу мерзімін бұзған жағдайда, ұйымдас</w:t>
      </w:r>
      <w:r w:rsidRPr="00462D41">
        <w:rPr>
          <w:sz w:val="28"/>
          <w:szCs w:val="28"/>
          <w:lang w:val="kk-KZ"/>
        </w:rPr>
        <w:t>тырушы веб-порталда конкурс нәтижелерінің күшін жою туралы актіні қалыптастырады және қол қояды.»;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62D41">
        <w:rPr>
          <w:rFonts w:eastAsiaTheme="minorHAnsi"/>
          <w:sz w:val="28"/>
          <w:szCs w:val="28"/>
          <w:lang w:val="kk-KZ" w:eastAsia="en-US"/>
        </w:rPr>
        <w:t>54-тармақ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«54. Облыстың жергілікті атқарушы органы түпкілікті бағаны төлеген күннен бастап он жұмыс күні ішінде объектілерді бек</w:t>
      </w:r>
      <w:r w:rsidRPr="00462D41">
        <w:rPr>
          <w:sz w:val="28"/>
          <w:szCs w:val="28"/>
          <w:lang w:val="kk-KZ"/>
        </w:rPr>
        <w:t>іту туралы шешім (қаулы) қабылдайды.»;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62D41">
        <w:rPr>
          <w:rFonts w:eastAsiaTheme="minorHAnsi"/>
          <w:sz w:val="28"/>
          <w:szCs w:val="28"/>
          <w:lang w:val="kk-KZ" w:eastAsia="en-US"/>
        </w:rPr>
        <w:t>55-тармақ мынадай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lastRenderedPageBreak/>
        <w:t>«55. Облыстың жергілікті атқарушы органының объектілерді бекіту туралы шешімі негізінде шешім қабы</w:t>
      </w:r>
      <w:r w:rsidRPr="009C6038">
        <w:rPr>
          <w:sz w:val="28"/>
          <w:szCs w:val="28"/>
          <w:lang w:val="kk-KZ"/>
        </w:rPr>
        <w:t>лданғаннан кейін үш жұмыс күні ішінде шарт жасалады.»;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56 және 57-тармақтары мын</w:t>
      </w:r>
      <w:r w:rsidRPr="009C6038">
        <w:rPr>
          <w:rFonts w:eastAsiaTheme="minorHAnsi"/>
          <w:sz w:val="28"/>
          <w:szCs w:val="28"/>
          <w:lang w:val="kk-KZ" w:eastAsia="en-US"/>
        </w:rPr>
        <w:t>адай редакцияда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sz w:val="28"/>
          <w:szCs w:val="28"/>
          <w:lang w:val="kk-KZ"/>
        </w:rPr>
        <w:t>«56. Конкурсты жеңіп шыққан тұлға конкурстың нәтижелері туралы хаттамаға немесе шартқа қол қоюдан бас тартқан жағдайда ол енгізген кепілдік жарнаны жоғалтады.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sz w:val="28"/>
          <w:szCs w:val="28"/>
          <w:lang w:val="kk-KZ"/>
        </w:rPr>
        <w:t>57. Аңшылық алқаптарды бекітіп беру кезіндегі шарт бойынша есеп айырысу</w:t>
      </w:r>
      <w:r w:rsidRPr="009C6038">
        <w:rPr>
          <w:sz w:val="28"/>
          <w:szCs w:val="28"/>
          <w:lang w:val="kk-KZ"/>
        </w:rPr>
        <w:t>лар облыстың жергілікті атқарушы органы мен жеңімпаз арасында жүргізіледі.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sz w:val="28"/>
          <w:szCs w:val="28"/>
          <w:lang w:val="kk-KZ"/>
        </w:rPr>
        <w:t>Балық шаруашылығы су айдындарын және (немесе) учаскелерін бекітіп беру кезінде шарт бойынша есеп айырысулар ведомствоның аумақтық бөлімшелері мен жеңімпаз арасында жүргізіледі.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sz w:val="28"/>
          <w:szCs w:val="28"/>
          <w:lang w:val="kk-KZ"/>
        </w:rPr>
        <w:t>Түпкілікті баға конкурс нәтижелері туралы хаттамаға қол қойылған күннен бастап он жұмыс күнінен кешіктірілмей бірыңғай оператордың есеп айырысу шотына енгізіледі.»;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58-тармақ алып тасталсын;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59-тармақ мынадай редакцияда</w:t>
      </w:r>
      <w:r w:rsidRPr="00CD71AF">
        <w:rPr>
          <w:rFonts w:eastAsiaTheme="minorHAnsi"/>
          <w:sz w:val="28"/>
          <w:szCs w:val="28"/>
          <w:lang w:val="kk-KZ" w:eastAsia="en-US"/>
        </w:rPr>
        <w:t xml:space="preserve">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CD71AF">
        <w:rPr>
          <w:sz w:val="28"/>
          <w:szCs w:val="28"/>
          <w:lang w:val="kk-KZ"/>
        </w:rPr>
        <w:t>«5</w:t>
      </w:r>
      <w:r>
        <w:rPr>
          <w:sz w:val="28"/>
          <w:szCs w:val="28"/>
          <w:lang w:val="kk-KZ"/>
        </w:rPr>
        <w:t>9</w:t>
      </w:r>
      <w:r w:rsidRPr="00CD71AF">
        <w:rPr>
          <w:sz w:val="28"/>
          <w:szCs w:val="28"/>
          <w:lang w:val="kk-KZ"/>
        </w:rPr>
        <w:t>. Жеңімпаз конкурстың н</w:t>
      </w:r>
      <w:r w:rsidRPr="00CD71AF">
        <w:rPr>
          <w:sz w:val="28"/>
          <w:szCs w:val="28"/>
          <w:lang w:val="kk-KZ"/>
        </w:rPr>
        <w:t>әтижелері туралы хаттамаға, шартқа, белгіленген мерзімде қол қоюдан бас тартқан, немесе түпкілікті бағаны төлеу мерзімін бұзған жағдайда, ұйымдастырушы веб-порталда қалыптастырылатын конкурс нәтижелерінің күшін жою туралы актіге қол қояды және конкурстың о</w:t>
      </w:r>
      <w:r w:rsidRPr="00CD71AF">
        <w:rPr>
          <w:sz w:val="28"/>
          <w:szCs w:val="28"/>
          <w:lang w:val="kk-KZ"/>
        </w:rPr>
        <w:t xml:space="preserve">сы нысанасы бойынша күші жойылған конкурстың шарттарымен конкурс қайтадан </w:t>
      </w:r>
      <w:r w:rsidRPr="009C6038">
        <w:rPr>
          <w:sz w:val="28"/>
          <w:szCs w:val="28"/>
          <w:lang w:val="kk-KZ"/>
        </w:rPr>
        <w:t>өткізіледі.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9C6038">
        <w:rPr>
          <w:sz w:val="28"/>
          <w:szCs w:val="28"/>
          <w:lang w:val="kk-KZ"/>
        </w:rPr>
        <w:t>Түпкілікті баға бірыңғай оператормен ұйымдастырушының веб-порталда жеңімпазбен түпкілікті бағаны төлеу туралы мәліметтер енгізілген күннен бастап 3 (үш) жұмыс күні ішінде</w:t>
      </w:r>
      <w:r w:rsidRPr="009C6038">
        <w:rPr>
          <w:sz w:val="28"/>
          <w:szCs w:val="28"/>
          <w:lang w:val="kk-KZ"/>
        </w:rPr>
        <w:t xml:space="preserve"> республикалық бюджеттің кірісіне аударылады.</w:t>
      </w:r>
      <w:r>
        <w:rPr>
          <w:sz w:val="28"/>
          <w:szCs w:val="28"/>
          <w:lang w:val="kk-KZ"/>
        </w:rPr>
        <w:t>»;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9C6038">
        <w:rPr>
          <w:rFonts w:eastAsiaTheme="minorHAnsi"/>
          <w:sz w:val="28"/>
          <w:szCs w:val="28"/>
          <w:lang w:val="kk-KZ" w:eastAsia="en-US"/>
        </w:rPr>
        <w:t>60-тармақ мынадай редакцияда</w:t>
      </w:r>
      <w:r w:rsidRPr="00CD71AF">
        <w:rPr>
          <w:rFonts w:eastAsiaTheme="minorHAnsi"/>
          <w:sz w:val="28"/>
          <w:szCs w:val="28"/>
          <w:lang w:val="kk-KZ" w:eastAsia="en-US"/>
        </w:rPr>
        <w:t xml:space="preserve"> жазылсын: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9C6038">
        <w:rPr>
          <w:sz w:val="28"/>
          <w:szCs w:val="28"/>
          <w:lang w:val="kk-KZ"/>
        </w:rPr>
        <w:t>60</w:t>
      </w:r>
      <w:r w:rsidRPr="009C6038">
        <w:rPr>
          <w:color w:val="000000"/>
          <w:spacing w:val="2"/>
          <w:sz w:val="28"/>
          <w:szCs w:val="28"/>
          <w:lang w:val="kk-KZ"/>
        </w:rPr>
        <w:t xml:space="preserve">. Өтінімге балық шаруашылығы су айдындарын және (немесе) учаскелерін бекітіп беру жөніндегі конкурсқа қатысушыларға қойылатын біліктілік талаптарында көрсетілген құжаттар қосымша қоса беріледі. </w:t>
      </w:r>
    </w:p>
    <w:p w:rsidR="005B3874" w:rsidRDefault="00025A97">
      <w:pPr>
        <w:overflowPunct/>
        <w:autoSpaceDE/>
        <w:autoSpaceDN/>
        <w:adjustRightInd/>
        <w:ind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9C6038">
        <w:rPr>
          <w:color w:val="000000"/>
          <w:spacing w:val="2"/>
          <w:sz w:val="28"/>
          <w:szCs w:val="28"/>
          <w:lang w:val="kk-KZ"/>
        </w:rPr>
        <w:t>Өтініш берушіде тереңдете қайта өңдеу жөніндегі технологиялар</w:t>
      </w:r>
      <w:r w:rsidRPr="009C6038">
        <w:rPr>
          <w:color w:val="000000"/>
          <w:spacing w:val="2"/>
          <w:sz w:val="28"/>
          <w:szCs w:val="28"/>
          <w:lang w:val="kk-KZ"/>
        </w:rPr>
        <w:t xml:space="preserve"> мен өндірістік қуаттардың болуын растау үшін ведомствоның ғылыми ұйымы артемия цисталарын қайта өңдеу саласындағы маманның (мамандардың) және (немесе) ұйымның (ұйымдардың) қатарынан комиссия құрады.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9C6038">
        <w:rPr>
          <w:color w:val="000000"/>
          <w:sz w:val="28"/>
          <w:szCs w:val="28"/>
          <w:lang w:val="kk-KZ"/>
        </w:rPr>
        <w:t xml:space="preserve">Жеңімпазбен </w:t>
      </w:r>
      <w:r w:rsidRPr="009C6038">
        <w:rPr>
          <w:sz w:val="28"/>
          <w:szCs w:val="28"/>
          <w:lang w:val="kk-KZ"/>
        </w:rPr>
        <w:t>қабылдап алу-беру актісіне қол қою туралы мә</w:t>
      </w:r>
      <w:r w:rsidRPr="009C6038">
        <w:rPr>
          <w:sz w:val="28"/>
          <w:szCs w:val="28"/>
          <w:lang w:val="kk-KZ"/>
        </w:rPr>
        <w:t>ліметтер ұйымдастырушымен веб-порталға екі күн ішінде енгізіледі.»;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қағидалардың </w:t>
      </w:r>
      <w:r w:rsidRPr="00462D41">
        <w:rPr>
          <w:sz w:val="28"/>
          <w:szCs w:val="28"/>
          <w:lang w:val="kk-KZ"/>
        </w:rPr>
        <w:t>2-қосымшасы осы бұйрықтың 1-қосымшасына сәйкес жаңа редакцияда жазылсын;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</w:t>
      </w:r>
      <w:r w:rsidRPr="00462D41">
        <w:rPr>
          <w:sz w:val="28"/>
          <w:szCs w:val="28"/>
          <w:lang w:val="kk-KZ"/>
        </w:rPr>
        <w:t xml:space="preserve"> қағидалар</w:t>
      </w:r>
      <w:r>
        <w:rPr>
          <w:sz w:val="28"/>
          <w:szCs w:val="28"/>
          <w:lang w:val="kk-KZ"/>
        </w:rPr>
        <w:t>д</w:t>
      </w:r>
      <w:r w:rsidRPr="00462D41">
        <w:rPr>
          <w:sz w:val="28"/>
          <w:szCs w:val="28"/>
          <w:lang w:val="kk-KZ"/>
        </w:rPr>
        <w:t xml:space="preserve">ың 4-қосымшасы осы бұйрықтың 2-қосымшасына сәйкес жаңа </w:t>
      </w:r>
      <w:r w:rsidRPr="00040555">
        <w:rPr>
          <w:sz w:val="28"/>
          <w:szCs w:val="28"/>
          <w:lang w:val="kk-KZ"/>
        </w:rPr>
        <w:t>редакцияда жазылсын;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040555">
        <w:rPr>
          <w:sz w:val="28"/>
          <w:szCs w:val="28"/>
          <w:lang w:val="kk-KZ"/>
        </w:rPr>
        <w:lastRenderedPageBreak/>
        <w:t>көрсетіл</w:t>
      </w:r>
      <w:r w:rsidRPr="00040555">
        <w:rPr>
          <w:sz w:val="28"/>
          <w:szCs w:val="28"/>
          <w:lang w:val="kk-KZ"/>
        </w:rPr>
        <w:t>ген бұйрықтың 2-қосымшасымен бекітілген аңшылық алқаптар мен балық шаруашылығы су айдындарын және (немесе) учаскелерін бекітіп беру жөніндегі конкурсқа</w:t>
      </w:r>
      <w:r w:rsidRPr="00462D41">
        <w:rPr>
          <w:sz w:val="28"/>
          <w:szCs w:val="28"/>
          <w:lang w:val="kk-KZ"/>
        </w:rPr>
        <w:t xml:space="preserve"> қатысушыларға қойылатын біліктілік талаптары осы бұйрықтың 3-қосымшасына сәйкес жаңа редакцияда жазылсын</w:t>
      </w:r>
      <w:r w:rsidRPr="00462D41">
        <w:rPr>
          <w:sz w:val="28"/>
          <w:szCs w:val="28"/>
          <w:lang w:val="kk-KZ"/>
        </w:rPr>
        <w:t>.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2.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1) осы бұйрықтың Қазақстан Республикасы Әділет министрлігінде мемлекеттік тіркелуін;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62D41">
        <w:rPr>
          <w:sz w:val="28"/>
          <w:szCs w:val="28"/>
          <w:lang w:val="kk-KZ"/>
        </w:rPr>
        <w:t>2) осы бұйрық ре</w:t>
      </w:r>
      <w:r w:rsidRPr="0040355B">
        <w:rPr>
          <w:sz w:val="28"/>
          <w:szCs w:val="28"/>
          <w:lang w:val="kk-KZ"/>
        </w:rPr>
        <w:t>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40355B">
        <w:rPr>
          <w:sz w:val="28"/>
          <w:szCs w:val="28"/>
          <w:lang w:val="kk-KZ"/>
        </w:rPr>
        <w:t xml:space="preserve">3) осы бұйрық мемлекеттік тіркелгеннен кейін он жұмыс күн ішінде Қазақстан </w:t>
      </w:r>
      <w:r w:rsidRPr="00A82E9F">
        <w:rPr>
          <w:sz w:val="28"/>
          <w:szCs w:val="28"/>
          <w:lang w:val="kk-KZ"/>
        </w:rPr>
        <w:t>Республикасы Экология және табиғи ресурстар м</w:t>
      </w:r>
      <w:r w:rsidRPr="00A82E9F">
        <w:rPr>
          <w:sz w:val="28"/>
          <w:szCs w:val="28"/>
          <w:lang w:val="kk-KZ"/>
        </w:rPr>
        <w:t>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A82E9F">
        <w:rPr>
          <w:sz w:val="28"/>
          <w:szCs w:val="28"/>
          <w:lang w:val="kk-KZ"/>
        </w:rPr>
        <w:t>3. Осы бұйрықтың орындалуын бақылау жетекшілік ететін Қазақстан Республикасының Экология жә</w:t>
      </w:r>
      <w:r w:rsidRPr="00A82E9F">
        <w:rPr>
          <w:sz w:val="28"/>
          <w:szCs w:val="28"/>
          <w:lang w:val="kk-KZ"/>
        </w:rPr>
        <w:t>не табиғи ресурстар вице-министріне жүктелсін.</w:t>
      </w:r>
    </w:p>
    <w:p w:rsidR="005B3874" w:rsidRDefault="00025A97">
      <w:pPr>
        <w:ind w:firstLine="709"/>
        <w:jc w:val="both"/>
        <w:rPr>
          <w:sz w:val="28"/>
          <w:szCs w:val="28"/>
          <w:lang w:val="kk-KZ"/>
        </w:rPr>
      </w:pPr>
      <w:r w:rsidRPr="00A82E9F">
        <w:rPr>
          <w:sz w:val="28"/>
          <w:szCs w:val="28"/>
          <w:lang w:val="kk-KZ"/>
        </w:rPr>
        <w:t>4. Осы бұйрық алғашқы ресми жарияланған күнінен кейін күнтізбелік алпыс күн өткен соң қолданысқа енгізіледі.</w:t>
      </w:r>
    </w:p>
    <w:p w:rsidR="005B3874" w:rsidRDefault="005B3874">
      <w:pPr>
        <w:rPr>
          <w:lang w:val="kk-KZ"/>
        </w:rPr>
      </w:pPr>
    </w:p>
    <w:p w:rsidR="005B3874" w:rsidRDefault="005B3874">
      <w:pPr>
        <w:rPr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B3874" w:rsidTr="007A3CEC">
        <w:tc>
          <w:tcPr>
            <w:tcW w:w="3652" w:type="dxa"/>
            <w:hideMark/>
          </w:tcPr>
          <w:p w:rsidR="005B3874" w:rsidRDefault="00025A97">
            <w:r>
              <w:rPr>
                <w:b/>
                <w:sz w:val="28"/>
              </w:rPr>
              <w:t>Қазақстан Республикасы Экология және табиғи ресурстар министрі</w:t>
            </w:r>
          </w:p>
        </w:tc>
        <w:tc>
          <w:tcPr>
            <w:tcW w:w="2126" w:type="dxa"/>
          </w:tcPr>
          <w:p w:rsidR="005B3874" w:rsidRDefault="005B3874"/>
        </w:tc>
        <w:tc>
          <w:tcPr>
            <w:tcW w:w="3152" w:type="dxa"/>
            <w:hideMark/>
          </w:tcPr>
          <w:p w:rsidR="005B3874" w:rsidRDefault="00025A97">
            <w:r>
              <w:rPr>
                <w:b/>
                <w:sz w:val="28"/>
              </w:rPr>
              <w:t>З. Сулейменова</w:t>
            </w:r>
          </w:p>
        </w:tc>
      </w:tr>
    </w:tbl>
    <w:p w:rsidR="005B3874" w:rsidRDefault="005B3874">
      <w:pPr>
        <w:overflowPunct/>
        <w:autoSpaceDE/>
        <w:autoSpaceDN/>
        <w:adjustRightInd/>
        <w:rPr>
          <w:lang w:val="kk-KZ"/>
        </w:rPr>
      </w:pPr>
    </w:p>
    <w:p w:rsidR="005B3874" w:rsidRDefault="005B3874">
      <w:pPr>
        <w:overflowPunct/>
        <w:autoSpaceDE/>
        <w:autoSpaceDN/>
        <w:adjustRightInd/>
        <w:rPr>
          <w:lang w:val="kk-KZ"/>
        </w:rPr>
      </w:pPr>
    </w:p>
    <w:p w:rsidR="005B3874" w:rsidRDefault="005B3874">
      <w:pPr>
        <w:overflowPunct/>
        <w:autoSpaceDE/>
        <w:autoSpaceDN/>
        <w:adjustRightInd/>
        <w:rPr>
          <w:lang w:val="kk-KZ"/>
        </w:rPr>
      </w:pPr>
    </w:p>
    <w:p w:rsidR="005B3874" w:rsidRDefault="00025A97">
      <w:pPr>
        <w:rPr>
          <w:sz w:val="28"/>
          <w:szCs w:val="28"/>
          <w:lang w:val="kk-KZ"/>
        </w:rPr>
      </w:pPr>
      <w:r w:rsidRPr="00A82E9F">
        <w:rPr>
          <w:sz w:val="28"/>
          <w:szCs w:val="28"/>
          <w:lang w:val="kk-KZ"/>
        </w:rPr>
        <w:t>«КЕЛІСІЛДІ»</w:t>
      </w:r>
    </w:p>
    <w:p w:rsidR="005B3874" w:rsidRDefault="00025A97">
      <w:pPr>
        <w:rPr>
          <w:sz w:val="28"/>
          <w:szCs w:val="28"/>
          <w:lang w:val="kk-KZ"/>
        </w:rPr>
      </w:pPr>
      <w:r w:rsidRPr="00A82E9F">
        <w:rPr>
          <w:sz w:val="28"/>
          <w:szCs w:val="28"/>
          <w:lang w:val="kk-KZ"/>
        </w:rPr>
        <w:t>Қазақстан Республикасы</w:t>
      </w:r>
    </w:p>
    <w:p w:rsidR="005B3874" w:rsidRDefault="00025A97">
      <w:pPr>
        <w:overflowPunct/>
        <w:autoSpaceDE/>
        <w:autoSpaceDN/>
        <w:adjustRightInd/>
        <w:rPr>
          <w:sz w:val="28"/>
          <w:szCs w:val="28"/>
          <w:lang w:val="kk-KZ"/>
        </w:rPr>
      </w:pPr>
      <w:r w:rsidRPr="00A82E9F">
        <w:rPr>
          <w:sz w:val="28"/>
          <w:szCs w:val="28"/>
          <w:lang w:val="kk-KZ"/>
        </w:rPr>
        <w:t>Ұлттық экономика министрлігі</w:t>
      </w:r>
    </w:p>
    <w:p w:rsidR="005B3874" w:rsidRDefault="005B3874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B3874" w:rsidRDefault="005B3874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B3874" w:rsidRDefault="00025A97">
      <w:pPr>
        <w:rPr>
          <w:sz w:val="28"/>
          <w:szCs w:val="28"/>
          <w:lang w:val="kk-KZ"/>
        </w:rPr>
      </w:pPr>
      <w:r w:rsidRPr="002E4BFC">
        <w:rPr>
          <w:sz w:val="28"/>
          <w:szCs w:val="28"/>
          <w:lang w:val="kk-KZ"/>
        </w:rPr>
        <w:t>«КЕЛІСІЛДІ»</w:t>
      </w:r>
    </w:p>
    <w:p w:rsidR="005B3874" w:rsidRDefault="00025A97">
      <w:pPr>
        <w:rPr>
          <w:sz w:val="28"/>
          <w:szCs w:val="28"/>
          <w:lang w:val="kk-KZ"/>
        </w:rPr>
      </w:pPr>
      <w:r w:rsidRPr="002E4BFC">
        <w:rPr>
          <w:sz w:val="28"/>
          <w:szCs w:val="28"/>
          <w:lang w:val="kk-KZ"/>
        </w:rPr>
        <w:t>Қазақстан Республикасы</w:t>
      </w:r>
    </w:p>
    <w:p w:rsidR="005B3874" w:rsidRDefault="00025A97">
      <w:pPr>
        <w:rPr>
          <w:sz w:val="28"/>
          <w:szCs w:val="28"/>
          <w:lang w:val="kk-KZ"/>
        </w:rPr>
      </w:pPr>
      <w:r w:rsidRPr="002E4BFC">
        <w:rPr>
          <w:sz w:val="28"/>
          <w:szCs w:val="28"/>
          <w:lang w:val="kk-KZ"/>
        </w:rPr>
        <w:t>Қаржы министрлігі</w:t>
      </w:r>
    </w:p>
    <w:p w:rsidR="005B3874" w:rsidRDefault="005B3874">
      <w:pPr>
        <w:overflowPunct/>
        <w:autoSpaceDE/>
        <w:autoSpaceDN/>
        <w:adjustRightInd/>
        <w:rPr>
          <w:lang w:val="kk-KZ"/>
        </w:rPr>
      </w:pPr>
    </w:p>
    <w:p w:rsidR="005B3874" w:rsidRDefault="005B3874">
      <w:pPr>
        <w:ind w:right="139"/>
        <w:jc w:val="center"/>
        <w:textAlignment w:val="baseline"/>
        <w:outlineLvl w:val="0"/>
        <w:rPr>
          <w:sz w:val="28"/>
          <w:szCs w:val="28"/>
          <w:lang w:val="kk-KZ"/>
        </w:rPr>
      </w:pPr>
    </w:p>
    <w:p w:rsidR="005B3874" w:rsidRDefault="005B3874"/>
    <w:p w:rsidR="005B3874" w:rsidRDefault="00025A97">
      <w:r>
        <w:rPr>
          <w:u w:val="single"/>
        </w:rPr>
        <w:t>Қазақстан Республикасының Әділет министрлігі</w:t>
      </w:r>
    </w:p>
    <w:p w:rsidR="005B3874" w:rsidRDefault="00025A97">
      <w:r>
        <w:rPr>
          <w:u w:val="single"/>
        </w:rPr>
        <w:t>________ облысының/қаласының Әділет департаменті</w:t>
      </w:r>
    </w:p>
    <w:p w:rsidR="005B3874" w:rsidRDefault="00025A97">
      <w:r>
        <w:rPr>
          <w:u w:val="single"/>
        </w:rPr>
        <w:t>Нормативтік құқықтық акті 05.06.2023</w:t>
      </w:r>
    </w:p>
    <w:p w:rsidR="005B3874" w:rsidRDefault="00025A97">
      <w:r>
        <w:rPr>
          <w:u w:val="single"/>
        </w:rPr>
        <w:t>Нормативтік құқықтық актілерді мемлекеттік</w:t>
      </w:r>
    </w:p>
    <w:p w:rsidR="005B3874" w:rsidRDefault="00025A97">
      <w:r>
        <w:rPr>
          <w:u w:val="single"/>
        </w:rPr>
        <w:t>тіркеудің тізіліміне № 32690 болып енгізілді</w:t>
      </w:r>
    </w:p>
    <w:p w:rsidR="005B3874" w:rsidRDefault="005B3874"/>
    <w:p w:rsidR="005B3874" w:rsidRDefault="00025A97">
      <w:r>
        <w:rPr>
          <w:u w:val="single"/>
        </w:rPr>
        <w:t>Результаты согласования</w:t>
      </w:r>
    </w:p>
    <w:p w:rsidR="005B3874" w:rsidRDefault="00025A97">
      <w:r>
        <w:t>Министерство экологии и природных ресурсов Республики Казахстан - Директор департамента юридической службы Мураткали Каримович Хайруллин, 22.05</w:t>
      </w:r>
      <w:r>
        <w:t>.2023 18:04:08, ЭЦҚ тексерудің оң нәтижесі</w:t>
      </w:r>
    </w:p>
    <w:p w:rsidR="005B3874" w:rsidRDefault="00025A97">
      <w:r>
        <w:lastRenderedPageBreak/>
        <w:t>Министерство юстиции РК - Вице-министр юстиции Республики Казахстан Ботагоз Шаймардановна Жакселекова, 30.05.2023 17:24:01, ЭЦҚ тексерудің оң нәтижесі</w:t>
      </w:r>
    </w:p>
    <w:p w:rsidR="005B3874" w:rsidRDefault="00025A97">
      <w:r>
        <w:rPr>
          <w:u w:val="single"/>
        </w:rPr>
        <w:t>Результаты подписания</w:t>
      </w:r>
    </w:p>
    <w:p w:rsidR="005B3874" w:rsidRDefault="00025A97">
      <w:r>
        <w:t xml:space="preserve">Қазақстан Республикасының Экология және </w:t>
      </w:r>
      <w:r>
        <w:t>табиғи ресурстар министрлігі - Қазақстан Республикасы Экология және табиғи ресурстар министрі З. Сулейменова, 31.05.2023 17:50:26, ЭЦҚ тексерудің оң нәтижесі</w:t>
      </w:r>
    </w:p>
    <w:sectPr w:rsidR="005B3874" w:rsidSect="0002790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97" w:rsidRDefault="00025A97">
      <w:r>
        <w:separator/>
      </w:r>
    </w:p>
  </w:endnote>
  <w:endnote w:type="continuationSeparator" w:id="0">
    <w:p w:rsidR="00025A97" w:rsidRDefault="000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74" w:rsidRDefault="005B3874">
    <w:pPr>
      <w:jc w:val="center"/>
    </w:pPr>
  </w:p>
  <w:p w:rsidR="005B3874" w:rsidRDefault="00025A97">
    <w:pPr>
      <w:jc w:val="center"/>
    </w:pPr>
    <w:r>
      <w:t>Нормативтік құқықтық актілерді мемлекеттік тіркеудің тізіліміне № 32690 болып енгізілді</w:t>
    </w:r>
  </w:p>
  <w:p w:rsidR="005B3874" w:rsidRDefault="00025A97">
    <w:pPr>
      <w:jc w:val="center"/>
    </w:pPr>
    <w:r>
      <w:t>ИС «ИПГО». Копия электронного документа. Дата  07.06.2023.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74" w:rsidRDefault="005B3874">
    <w:pPr>
      <w:jc w:val="center"/>
    </w:pPr>
  </w:p>
  <w:p w:rsidR="005B3874" w:rsidRDefault="00025A97">
    <w:pPr>
      <w:jc w:val="center"/>
    </w:pPr>
    <w:r>
      <w:t>ИС «ИПГО». Копия электронного документа. Дата  07.06.2023.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97" w:rsidRDefault="00025A97">
      <w:r>
        <w:separator/>
      </w:r>
    </w:p>
  </w:footnote>
  <w:footnote w:type="continuationSeparator" w:id="0">
    <w:p w:rsidR="00025A97" w:rsidRDefault="00025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74" w:rsidRDefault="00025A97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61.1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А 523481601"/>
          <w10:wrap anchorx="margin" anchory="margin"/>
        </v:shape>
      </w:pict>
    </w:r>
    <w:r>
      <w:rPr>
        <w:rStyle w:val="ae"/>
      </w:rPr>
      <w:pgNum/>
    </w:r>
  </w:p>
  <w:p w:rsidR="005B3874" w:rsidRDefault="005B38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74" w:rsidRDefault="00025A97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561.1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А 52348160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65CA7">
      <w:rPr>
        <w:rStyle w:val="ae"/>
        <w:noProof/>
      </w:rPr>
      <w:t>4</w:t>
    </w:r>
    <w:r>
      <w:rPr>
        <w:rStyle w:val="ae"/>
      </w:rPr>
      <w:fldChar w:fldCharType="end"/>
    </w:r>
  </w:p>
  <w:p w:rsidR="005B3874" w:rsidRDefault="005B387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5B3874" w:rsidTr="00DC45FB">
      <w:trPr>
        <w:trHeight w:val="1348"/>
      </w:trPr>
      <w:tc>
        <w:tcPr>
          <w:tcW w:w="4362" w:type="dxa"/>
          <w:shd w:val="clear" w:color="auto" w:fill="auto"/>
        </w:tcPr>
        <w:p w:rsidR="005B3874" w:rsidRDefault="00025A97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A646AF">
            <w:rPr>
              <w:b/>
              <w:bCs/>
              <w:color w:val="3399FF"/>
            </w:rPr>
            <w:t>РЕСПУБЛИКАСЫ</w:t>
          </w:r>
        </w:p>
        <w:p w:rsidR="005B3874" w:rsidRDefault="00025A9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ЭКОЛОГИЯ ЖӘНЕ ТАБИҒИ РЕСУРСТАР</w:t>
          </w:r>
          <w:r w:rsidRPr="00DC45FB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5B3874" w:rsidRDefault="00025A9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7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B3874" w:rsidRDefault="00025A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B3874" w:rsidRDefault="00025A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ЭКОЛОГИИ И ПРИРОДНЫХ РЕСУРСОВ</w:t>
          </w:r>
        </w:p>
        <w:p w:rsidR="005B3874" w:rsidRDefault="00025A9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5B3874" w:rsidTr="00DC45FB">
      <w:trPr>
        <w:trHeight w:val="591"/>
      </w:trPr>
      <w:tc>
        <w:tcPr>
          <w:tcW w:w="4362" w:type="dxa"/>
          <w:shd w:val="clear" w:color="auto" w:fill="auto"/>
        </w:tcPr>
        <w:p w:rsidR="005B3874" w:rsidRDefault="005B387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B3874" w:rsidRDefault="00025A9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5B3874" w:rsidRDefault="005B387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5B3874" w:rsidRDefault="00025A97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75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51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5B3874" w:rsidRDefault="00025A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5B3874" w:rsidRDefault="00025A97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61.1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АА 523481601"/>
          <w10:wrap anchorx="margin" anchory="margin"/>
        </v:shape>
      </w:pict>
    </w:r>
  </w:p>
  <w:p w:rsidR="005B3874" w:rsidRDefault="00025A97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2023 жылғы 1 маусымдағы</w:t>
    </w:r>
    <w:r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Pr="0087566C">
      <w:rPr>
        <w:b/>
        <w:bCs/>
        <w:color w:val="3399FF"/>
        <w:sz w:val="22"/>
        <w:szCs w:val="22"/>
      </w:rPr>
      <w:t xml:space="preserve">№ 176                      </w:t>
    </w:r>
  </w:p>
  <w:p w:rsidR="005B3874" w:rsidRDefault="005B3874">
    <w:pPr>
      <w:rPr>
        <w:color w:val="3A7234"/>
        <w:sz w:val="14"/>
        <w:szCs w:val="14"/>
        <w:lang w:val="kk-KZ"/>
      </w:rPr>
    </w:pPr>
  </w:p>
  <w:p w:rsidR="005B3874" w:rsidRDefault="005B3874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4C23"/>
    <w:multiLevelType w:val="hybridMultilevel"/>
    <w:tmpl w:val="20AEF83E"/>
    <w:lvl w:ilvl="0" w:tplc="2EAA94B2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2608972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82EE4C66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77FC967E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ECF8AEF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C93A644A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FDC055DA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3B20AAC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E598A808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">
    <w:nsid w:val="41384AB0"/>
    <w:multiLevelType w:val="multilevel"/>
    <w:tmpl w:val="EB304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6B266F6E"/>
    <w:multiLevelType w:val="hybridMultilevel"/>
    <w:tmpl w:val="58C4D11E"/>
    <w:lvl w:ilvl="0" w:tplc="115430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D2C606A">
      <w:start w:val="1"/>
      <w:numFmt w:val="lowerLetter"/>
      <w:lvlText w:val="%2."/>
      <w:lvlJc w:val="left"/>
      <w:pPr>
        <w:ind w:left="1785" w:hanging="360"/>
      </w:pPr>
    </w:lvl>
    <w:lvl w:ilvl="2" w:tplc="27881816">
      <w:start w:val="1"/>
      <w:numFmt w:val="lowerRoman"/>
      <w:lvlText w:val="%3."/>
      <w:lvlJc w:val="right"/>
      <w:pPr>
        <w:ind w:left="2505" w:hanging="180"/>
      </w:pPr>
    </w:lvl>
    <w:lvl w:ilvl="3" w:tplc="68E0D332">
      <w:start w:val="1"/>
      <w:numFmt w:val="decimal"/>
      <w:lvlText w:val="%4."/>
      <w:lvlJc w:val="left"/>
      <w:pPr>
        <w:ind w:left="3225" w:hanging="360"/>
      </w:pPr>
    </w:lvl>
    <w:lvl w:ilvl="4" w:tplc="9AE6E314">
      <w:start w:val="1"/>
      <w:numFmt w:val="lowerLetter"/>
      <w:lvlText w:val="%5."/>
      <w:lvlJc w:val="left"/>
      <w:pPr>
        <w:ind w:left="3945" w:hanging="360"/>
      </w:pPr>
    </w:lvl>
    <w:lvl w:ilvl="5" w:tplc="2834CB28">
      <w:start w:val="1"/>
      <w:numFmt w:val="lowerRoman"/>
      <w:lvlText w:val="%6."/>
      <w:lvlJc w:val="right"/>
      <w:pPr>
        <w:ind w:left="4665" w:hanging="180"/>
      </w:pPr>
    </w:lvl>
    <w:lvl w:ilvl="6" w:tplc="369A1A10">
      <w:start w:val="1"/>
      <w:numFmt w:val="decimal"/>
      <w:lvlText w:val="%7."/>
      <w:lvlJc w:val="left"/>
      <w:pPr>
        <w:ind w:left="5385" w:hanging="360"/>
      </w:pPr>
    </w:lvl>
    <w:lvl w:ilvl="7" w:tplc="517C8674">
      <w:start w:val="1"/>
      <w:numFmt w:val="lowerLetter"/>
      <w:lvlText w:val="%8."/>
      <w:lvlJc w:val="left"/>
      <w:pPr>
        <w:ind w:left="6105" w:hanging="360"/>
      </w:pPr>
    </w:lvl>
    <w:lvl w:ilvl="8" w:tplc="9A12538A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B43F76"/>
    <w:multiLevelType w:val="hybridMultilevel"/>
    <w:tmpl w:val="9068490A"/>
    <w:lvl w:ilvl="0" w:tplc="9C2270E4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34982244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2B270C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231434D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786925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6B947B00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22463A70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4EE04936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35D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7F0C3313"/>
    <w:multiLevelType w:val="multilevel"/>
    <w:tmpl w:val="5CE4F7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74"/>
    <w:rsid w:val="00025A97"/>
    <w:rsid w:val="00165CA7"/>
    <w:rsid w:val="005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ED0BA1-9AD9-4026-AC64-6C7CB58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10785</Characters>
  <Application>Microsoft Office Word</Application>
  <DocSecurity>0</DocSecurity>
  <Lines>89</Lines>
  <Paragraphs>25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12651</CharactersWithSpaces>
  <SharedDoc>false</SharedDoc>
  <HyperlinksChanged>false</HyperlinksChanged>
  <AppVersion>15.0000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2023-05-19T10:11:00Z</dcterms:created>
  <dc:creator>user</dc:creator>
  <lastModifiedBy>Айнаш Майкенова</lastModifiedBy>
  <dcterms:modified xsi:type="dcterms:W3CDTF">2023-05-19T10:11:00Z</dcterms:modified>
  <revision>2</revision>
  <dc:title>ЌАЗАЌСТАН</dc:title>
</coreProperties>
</file>

<file path=customXml/itemProps1.xml><?xml version="1.0" encoding="utf-8"?>
<ds:datastoreItem xmlns:ds="http://schemas.openxmlformats.org/officeDocument/2006/customXml" ds:itemID="{B14674C0-3868-4605-B152-A2FD1A99C9E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05C76D4-A19A-4D0C-AB8B-49EBDE13B03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Айнаш Майкенова</cp:lastModifiedBy>
  <cp:revision>2</cp:revision>
  <dcterms:created xsi:type="dcterms:W3CDTF">2023-06-07T12:03:00Z</dcterms:created>
  <dcterms:modified xsi:type="dcterms:W3CDTF">2023-06-07T12:03:00Z</dcterms:modified>
</cp:coreProperties>
</file>