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42B" w:rsidRDefault="00AE7971">
      <w:pPr>
        <w:pStyle w:val="a3"/>
        <w:spacing w:before="8"/>
        <w:rPr>
          <w:b w:val="0"/>
          <w:sz w:val="11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4093730F" wp14:editId="73B1CFE0">
            <wp:simplePos x="0" y="0"/>
            <wp:positionH relativeFrom="margin">
              <wp:align>center</wp:align>
            </wp:positionH>
            <wp:positionV relativeFrom="paragraph">
              <wp:posOffset>-368300</wp:posOffset>
            </wp:positionV>
            <wp:extent cx="7565800" cy="2322842"/>
            <wp:effectExtent l="0" t="0" r="0" b="1270"/>
            <wp:wrapNone/>
            <wp:docPr id="4" name="Рисунок 4" descr="C:\Users\Алексей\Desktop\МИОР 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МИОР приказ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6391"/>
                              </a14:imgEffect>
                            </a14:imgLayer>
                          </a14:imgProps>
                        </a:ext>
                      </a:extLst>
                    </a:blip>
                    <a:srcRect b="7882"/>
                    <a:stretch/>
                  </pic:blipFill>
                  <pic:spPr bwMode="auto">
                    <a:xfrm>
                      <a:off x="0" y="0"/>
                      <a:ext cx="7565800" cy="232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cx="http://schemas.microsoft.com/office/drawing/20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342B" w:rsidRDefault="00CA342B">
      <w:pPr>
        <w:rPr>
          <w:sz w:val="11"/>
        </w:rPr>
        <w:sectPr w:rsidR="00CA342B" w:rsidSect="0024613A">
          <w:headerReference w:type="default" r:id="rId10"/>
          <w:type w:val="continuous"/>
          <w:pgSz w:w="11910" w:h="16840"/>
          <w:pgMar w:top="640" w:right="640" w:bottom="280" w:left="980" w:header="720" w:footer="720" w:gutter="0"/>
          <w:cols w:space="720"/>
          <w:titlePg/>
          <w:docGrid w:linePitch="299"/>
        </w:sectPr>
      </w:pPr>
    </w:p>
    <w:p w:rsidR="00BD6E4F" w:rsidRPr="00BD2B82" w:rsidRDefault="00BD6E4F">
      <w:pPr>
        <w:pStyle w:val="a3"/>
        <w:rPr>
          <w:color w:val="00AFC7"/>
          <w:lang w:val="ru-RU"/>
        </w:rPr>
      </w:pPr>
    </w:p>
    <w:p w:rsidR="00BD6E4F" w:rsidRPr="008E0109" w:rsidRDefault="00BD6E4F">
      <w:pPr>
        <w:pStyle w:val="a3"/>
        <w:rPr>
          <w:b w:val="0"/>
          <w:sz w:val="22"/>
          <w:lang w:val="ru-RU"/>
        </w:rPr>
      </w:pPr>
    </w:p>
    <w:p w:rsidR="00AE7971" w:rsidRDefault="00AE7971" w:rsidP="0065647C">
      <w:pPr>
        <w:ind w:right="4960"/>
        <w:jc w:val="both"/>
        <w:rPr>
          <w:b/>
          <w:sz w:val="28"/>
          <w:lang w:val="ru-RU"/>
        </w:rPr>
      </w:pPr>
    </w:p>
    <w:p w:rsidR="00AE7971" w:rsidRDefault="00AE7971" w:rsidP="0065647C">
      <w:pPr>
        <w:ind w:right="4960"/>
        <w:jc w:val="both"/>
        <w:rPr>
          <w:b/>
          <w:sz w:val="28"/>
          <w:lang w:val="ru-RU"/>
        </w:rPr>
      </w:pPr>
    </w:p>
    <w:p w:rsidR="00AE7971" w:rsidRDefault="00AE7971" w:rsidP="0065647C">
      <w:pPr>
        <w:ind w:right="4960"/>
        <w:jc w:val="both"/>
        <w:rPr>
          <w:b/>
          <w:sz w:val="28"/>
          <w:lang w:val="ru-RU"/>
        </w:rPr>
      </w:pPr>
    </w:p>
    <w:p w:rsidR="00AE7971" w:rsidRDefault="00AE7971" w:rsidP="0065647C">
      <w:pPr>
        <w:ind w:right="4960"/>
        <w:jc w:val="both"/>
        <w:rPr>
          <w:b/>
          <w:sz w:val="28"/>
          <w:lang w:val="ru-RU"/>
        </w:rPr>
      </w:pPr>
    </w:p>
    <w:p w:rsidR="00AE7971" w:rsidRDefault="00AE7971" w:rsidP="0065647C">
      <w:pPr>
        <w:ind w:right="4960"/>
        <w:jc w:val="both"/>
        <w:rPr>
          <w:b/>
          <w:sz w:val="28"/>
          <w:lang w:val="ru-RU"/>
        </w:rPr>
      </w:pPr>
    </w:p>
    <w:p w:rsidR="00AE7971" w:rsidRDefault="00AE7971" w:rsidP="0065647C">
      <w:pPr>
        <w:ind w:right="4960"/>
        <w:jc w:val="both"/>
        <w:rPr>
          <w:b/>
          <w:sz w:val="28"/>
          <w:lang w:val="ru-RU"/>
        </w:rPr>
      </w:pPr>
    </w:p>
    <w:p w:rsidR="00AE7971" w:rsidRDefault="00AE7971" w:rsidP="0065647C">
      <w:pPr>
        <w:ind w:right="4960"/>
        <w:jc w:val="both"/>
        <w:rPr>
          <w:b/>
          <w:sz w:val="28"/>
          <w:lang w:val="ru-RU"/>
        </w:rPr>
      </w:pPr>
    </w:p>
    <w:p w:rsidR="00AE7971" w:rsidRDefault="00AE7971" w:rsidP="0065647C">
      <w:pPr>
        <w:ind w:right="4960"/>
        <w:jc w:val="both"/>
        <w:rPr>
          <w:b/>
          <w:sz w:val="28"/>
          <w:lang w:val="ru-RU"/>
        </w:rPr>
      </w:pPr>
    </w:p>
    <w:p w:rsidR="00AE7971" w:rsidRPr="00931ED1" w:rsidRDefault="00AE7971" w:rsidP="00AE7971">
      <w:pPr>
        <w:rPr>
          <w:rFonts w:ascii="Arial" w:hAnsi="Arial"/>
          <w:color w:val="30ABDC"/>
          <w:sz w:val="18"/>
          <w:szCs w:val="18"/>
          <w:lang w:val="kk-KZ"/>
        </w:rPr>
      </w:pPr>
      <w:r>
        <w:rPr>
          <w:rFonts w:ascii="Arial" w:hAnsi="Arial"/>
          <w:color w:val="30ABDC"/>
          <w:sz w:val="18"/>
          <w:szCs w:val="18"/>
          <w:lang w:val="kk-KZ"/>
        </w:rPr>
        <w:t xml:space="preserve">                           </w:t>
      </w:r>
      <w:r w:rsidRPr="00931ED1">
        <w:rPr>
          <w:rFonts w:ascii="Arial" w:hAnsi="Arial"/>
          <w:color w:val="30ABDC"/>
          <w:sz w:val="18"/>
          <w:szCs w:val="18"/>
          <w:lang w:val="kk-KZ"/>
        </w:rPr>
        <w:t>Астана қаласы</w:t>
      </w:r>
      <w:r>
        <w:rPr>
          <w:rFonts w:ascii="Arial" w:hAnsi="Arial"/>
          <w:color w:val="30ABDC"/>
          <w:sz w:val="18"/>
          <w:szCs w:val="18"/>
          <w:lang w:val="kk-KZ"/>
        </w:rPr>
        <w:t xml:space="preserve">                                                                                            </w:t>
      </w:r>
      <w:r w:rsidRPr="00931ED1">
        <w:rPr>
          <w:rFonts w:ascii="Arial" w:hAnsi="Arial"/>
          <w:color w:val="30ABDC"/>
          <w:sz w:val="18"/>
          <w:szCs w:val="18"/>
          <w:lang w:val="kk-KZ"/>
        </w:rPr>
        <w:t>город Астана</w:t>
      </w:r>
    </w:p>
    <w:p w:rsidR="00230607" w:rsidRDefault="00230607" w:rsidP="00C0031F">
      <w:pPr>
        <w:ind w:right="4960"/>
        <w:jc w:val="both"/>
        <w:rPr>
          <w:b/>
          <w:sz w:val="28"/>
          <w:lang w:val="kk-KZ"/>
        </w:rPr>
      </w:pPr>
    </w:p>
    <w:p w:rsidR="001A66AD" w:rsidRDefault="001A66AD" w:rsidP="001A66AD">
      <w:pPr>
        <w:pStyle w:val="3"/>
      </w:pPr>
      <w:r>
        <w:t xml:space="preserve">№ 149-НҚ </w:t>
      </w:r>
      <w:proofErr w:type="spellStart"/>
      <w:r>
        <w:t>от</w:t>
      </w:r>
      <w:proofErr w:type="spellEnd"/>
      <w:r>
        <w:t xml:space="preserve"> 28.04.2023 </w:t>
      </w:r>
    </w:p>
    <w:p w:rsidR="00980412" w:rsidRPr="001A66AD" w:rsidRDefault="00980412" w:rsidP="00C0031F">
      <w:pPr>
        <w:ind w:right="4960"/>
        <w:jc w:val="both"/>
        <w:rPr>
          <w:b/>
          <w:sz w:val="28"/>
          <w:lang w:val="ru-RU"/>
        </w:rPr>
      </w:pPr>
    </w:p>
    <w:p w:rsidR="00980412" w:rsidRDefault="00980412" w:rsidP="00C0031F">
      <w:pPr>
        <w:ind w:right="4960"/>
        <w:jc w:val="both"/>
        <w:rPr>
          <w:b/>
          <w:sz w:val="28"/>
          <w:lang w:val="kk-KZ"/>
        </w:rPr>
      </w:pPr>
    </w:p>
    <w:p w:rsidR="00980412" w:rsidRDefault="00980412" w:rsidP="00C0031F">
      <w:pPr>
        <w:ind w:right="4960"/>
        <w:jc w:val="both"/>
        <w:rPr>
          <w:b/>
          <w:sz w:val="28"/>
          <w:lang w:val="kk-KZ"/>
        </w:rPr>
      </w:pPr>
    </w:p>
    <w:p w:rsidR="003D095C" w:rsidRPr="00C0031F" w:rsidRDefault="00C0031F" w:rsidP="00C0031F">
      <w:pPr>
        <w:ind w:right="4960"/>
        <w:jc w:val="both"/>
        <w:rPr>
          <w:b/>
          <w:sz w:val="28"/>
          <w:lang w:val="kk-KZ"/>
        </w:rPr>
      </w:pPr>
      <w:r>
        <w:rPr>
          <w:b/>
          <w:sz w:val="28"/>
          <w:lang w:val="kk-KZ"/>
        </w:rPr>
        <w:t>«</w:t>
      </w:r>
      <w:r w:rsidRPr="00126B64">
        <w:rPr>
          <w:b/>
          <w:sz w:val="28"/>
          <w:lang w:val="kk-KZ"/>
        </w:rPr>
        <w:t>Үкіметтік емес ұйымдар</w:t>
      </w:r>
      <w:r>
        <w:rPr>
          <w:b/>
          <w:sz w:val="28"/>
          <w:lang w:val="kk-KZ"/>
        </w:rPr>
        <w:t xml:space="preserve"> үшін </w:t>
      </w:r>
      <w:r w:rsidR="00E52F58">
        <w:rPr>
          <w:b/>
          <w:sz w:val="28"/>
          <w:lang w:val="kk-KZ"/>
        </w:rPr>
        <w:t xml:space="preserve">                         </w:t>
      </w:r>
      <w:r>
        <w:rPr>
          <w:b/>
          <w:sz w:val="28"/>
          <w:lang w:val="kk-KZ"/>
        </w:rPr>
        <w:t>2023</w:t>
      </w:r>
      <w:r w:rsidRPr="00126B64">
        <w:rPr>
          <w:b/>
          <w:sz w:val="28"/>
          <w:lang w:val="kk-KZ"/>
        </w:rPr>
        <w:t xml:space="preserve"> жылға арналған мемлекеттік гранттардың басым бағыттарының тізбесін бекіту туралы</w:t>
      </w:r>
      <w:r>
        <w:rPr>
          <w:b/>
          <w:sz w:val="28"/>
          <w:lang w:val="kk-KZ"/>
        </w:rPr>
        <w:t>» Қазақстан Республикасы Ақпарат және қоғамдық даму министрі</w:t>
      </w:r>
      <w:r w:rsidR="00623D35">
        <w:rPr>
          <w:b/>
          <w:sz w:val="28"/>
          <w:lang w:val="kk-KZ"/>
        </w:rPr>
        <w:t>нің</w:t>
      </w:r>
      <w:r>
        <w:rPr>
          <w:b/>
          <w:sz w:val="28"/>
          <w:lang w:val="kk-KZ"/>
        </w:rPr>
        <w:t xml:space="preserve"> міндетін атқарушының 2022 жылғы</w:t>
      </w:r>
      <w:r w:rsidR="00623D35">
        <w:rPr>
          <w:b/>
          <w:sz w:val="28"/>
          <w:lang w:val="kk-KZ"/>
        </w:rPr>
        <w:t xml:space="preserve">                                   </w:t>
      </w:r>
      <w:r>
        <w:rPr>
          <w:b/>
          <w:sz w:val="28"/>
          <w:lang w:val="kk-KZ"/>
        </w:rPr>
        <w:t>30 желтоқсандағы №</w:t>
      </w:r>
      <w:r w:rsidR="00623D35">
        <w:rPr>
          <w:b/>
          <w:sz w:val="28"/>
          <w:lang w:val="kk-KZ"/>
        </w:rPr>
        <w:t xml:space="preserve"> </w:t>
      </w:r>
      <w:r>
        <w:rPr>
          <w:b/>
          <w:sz w:val="28"/>
          <w:lang w:val="kk-KZ"/>
        </w:rPr>
        <w:t>571 бұйрығына өзгеріс енгізу туралы</w:t>
      </w:r>
    </w:p>
    <w:p w:rsidR="003D095C" w:rsidRPr="007C25B1" w:rsidRDefault="003D095C" w:rsidP="003D095C">
      <w:pPr>
        <w:pStyle w:val="a9"/>
        <w:rPr>
          <w:sz w:val="28"/>
          <w:szCs w:val="28"/>
          <w:lang w:val="kk-KZ"/>
        </w:rPr>
      </w:pPr>
    </w:p>
    <w:p w:rsidR="003D095C" w:rsidRPr="007C25B1" w:rsidRDefault="003D095C" w:rsidP="003D095C">
      <w:pPr>
        <w:pStyle w:val="a9"/>
        <w:rPr>
          <w:sz w:val="28"/>
          <w:szCs w:val="28"/>
          <w:lang w:val="kk-KZ"/>
        </w:rPr>
      </w:pPr>
    </w:p>
    <w:p w:rsidR="00880F67" w:rsidRPr="0065647C" w:rsidRDefault="00880F67" w:rsidP="00880F67">
      <w:pPr>
        <w:ind w:firstLine="709"/>
        <w:jc w:val="both"/>
        <w:rPr>
          <w:sz w:val="28"/>
          <w:lang w:val="kk-KZ"/>
        </w:rPr>
      </w:pPr>
      <w:r w:rsidRPr="0065647C">
        <w:rPr>
          <w:b/>
          <w:sz w:val="28"/>
          <w:lang w:val="kk-KZ"/>
        </w:rPr>
        <w:t>БҰЙЫРАМЫН:</w:t>
      </w:r>
    </w:p>
    <w:p w:rsidR="006D6D62" w:rsidRPr="00C0031F" w:rsidRDefault="00880F67" w:rsidP="00C0031F">
      <w:pPr>
        <w:pStyle w:val="a5"/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sz w:val="28"/>
          <w:lang w:val="kk-KZ"/>
        </w:rPr>
      </w:pPr>
      <w:r w:rsidRPr="00C0031F">
        <w:rPr>
          <w:sz w:val="28"/>
          <w:lang w:val="kk-KZ"/>
        </w:rPr>
        <w:t xml:space="preserve"> </w:t>
      </w:r>
      <w:r w:rsidR="00C0031F" w:rsidRPr="00C0031F">
        <w:rPr>
          <w:sz w:val="28"/>
          <w:lang w:val="kk-KZ"/>
        </w:rPr>
        <w:t>«Үкіметтік емес ұйымдар үшін 2023 жылға арналған мемлекеттік гранттардың басым бағыттарының тізбесін бекіту туралы» Қазақстан Республикасы Ақпарат және қоғамдық даму министрі</w:t>
      </w:r>
      <w:r w:rsidR="00623D35">
        <w:rPr>
          <w:sz w:val="28"/>
          <w:lang w:val="kk-KZ"/>
        </w:rPr>
        <w:t>нің</w:t>
      </w:r>
      <w:r w:rsidR="00C0031F" w:rsidRPr="00C0031F">
        <w:rPr>
          <w:sz w:val="28"/>
          <w:lang w:val="kk-KZ"/>
        </w:rPr>
        <w:t xml:space="preserve"> міндетін атқарушының 2022 жылғы 30 желтоқсандағы №</w:t>
      </w:r>
      <w:r w:rsidR="00623D35">
        <w:rPr>
          <w:sz w:val="28"/>
          <w:lang w:val="kk-KZ"/>
        </w:rPr>
        <w:t xml:space="preserve"> </w:t>
      </w:r>
      <w:r w:rsidR="00C0031F" w:rsidRPr="00C0031F">
        <w:rPr>
          <w:sz w:val="28"/>
          <w:lang w:val="kk-KZ"/>
        </w:rPr>
        <w:t xml:space="preserve">571 бұйрығына </w:t>
      </w:r>
      <w:r w:rsidR="00623D35">
        <w:rPr>
          <w:sz w:val="28"/>
          <w:lang w:val="kk-KZ"/>
        </w:rPr>
        <w:t>мынадай</w:t>
      </w:r>
      <w:r w:rsidR="00623D35" w:rsidRPr="00C0031F">
        <w:rPr>
          <w:sz w:val="28"/>
          <w:lang w:val="kk-KZ"/>
        </w:rPr>
        <w:t xml:space="preserve"> </w:t>
      </w:r>
      <w:r w:rsidR="00C0031F" w:rsidRPr="00C0031F">
        <w:rPr>
          <w:sz w:val="28"/>
          <w:lang w:val="kk-KZ"/>
        </w:rPr>
        <w:t>өзгеріс енгізілсін</w:t>
      </w:r>
      <w:r w:rsidR="006D6D62" w:rsidRPr="00C0031F">
        <w:rPr>
          <w:sz w:val="28"/>
          <w:lang w:val="kk-KZ"/>
        </w:rPr>
        <w:t>:</w:t>
      </w:r>
    </w:p>
    <w:p w:rsidR="006D6D62" w:rsidRPr="00C0031F" w:rsidRDefault="00623D35" w:rsidP="006D6D62">
      <w:pPr>
        <w:tabs>
          <w:tab w:val="left" w:pos="709"/>
          <w:tab w:val="left" w:pos="1134"/>
        </w:tabs>
        <w:ind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>к</w:t>
      </w:r>
      <w:r w:rsidR="00C0031F">
        <w:rPr>
          <w:sz w:val="28"/>
          <w:lang w:val="kk-KZ"/>
        </w:rPr>
        <w:t xml:space="preserve">өрсетілген бұйрықпен бекітілген </w:t>
      </w:r>
      <w:r w:rsidR="00C0031F" w:rsidRPr="00C0031F">
        <w:rPr>
          <w:sz w:val="28"/>
          <w:lang w:val="kk-KZ"/>
        </w:rPr>
        <w:t xml:space="preserve">Үкіметтік емес ұйымдар үшін </w:t>
      </w:r>
      <w:r>
        <w:rPr>
          <w:sz w:val="28"/>
          <w:lang w:val="kk-KZ"/>
        </w:rPr>
        <w:t xml:space="preserve">                                      </w:t>
      </w:r>
      <w:r w:rsidR="00C0031F" w:rsidRPr="00C0031F">
        <w:rPr>
          <w:sz w:val="28"/>
          <w:lang w:val="kk-KZ"/>
        </w:rPr>
        <w:t>2023 жылға арналған мемлекеттік гранттардың басым бағыттарының тізбесін</w:t>
      </w:r>
      <w:r>
        <w:rPr>
          <w:sz w:val="28"/>
          <w:lang w:val="kk-KZ"/>
        </w:rPr>
        <w:t>де</w:t>
      </w:r>
      <w:r w:rsidR="00C0031F">
        <w:rPr>
          <w:sz w:val="28"/>
          <w:lang w:val="kk-KZ"/>
        </w:rPr>
        <w:t xml:space="preserve"> (бұдан әрі </w:t>
      </w:r>
      <w:r>
        <w:rPr>
          <w:sz w:val="28"/>
          <w:lang w:val="kk-KZ"/>
        </w:rPr>
        <w:t>–</w:t>
      </w:r>
      <w:r w:rsidR="00C0031F">
        <w:rPr>
          <w:sz w:val="28"/>
          <w:lang w:val="kk-KZ"/>
        </w:rPr>
        <w:t xml:space="preserve"> Тізбе)</w:t>
      </w:r>
      <w:r w:rsidR="006D6D62" w:rsidRPr="00C0031F">
        <w:rPr>
          <w:sz w:val="28"/>
          <w:lang w:val="kk-KZ"/>
        </w:rPr>
        <w:t>:</w:t>
      </w:r>
    </w:p>
    <w:p w:rsidR="006D6D62" w:rsidRDefault="00230607" w:rsidP="006D6D62">
      <w:pPr>
        <w:ind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>24,</w:t>
      </w:r>
      <w:r w:rsidR="00E52F58">
        <w:rPr>
          <w:sz w:val="28"/>
          <w:lang w:val="kk-KZ"/>
        </w:rPr>
        <w:t xml:space="preserve"> </w:t>
      </w:r>
      <w:r>
        <w:rPr>
          <w:sz w:val="28"/>
          <w:lang w:val="kk-KZ"/>
        </w:rPr>
        <w:t>25</w:t>
      </w:r>
      <w:r w:rsidR="001755F5">
        <w:rPr>
          <w:sz w:val="28"/>
          <w:lang w:val="kk-KZ"/>
        </w:rPr>
        <w:t>,</w:t>
      </w:r>
      <w:r w:rsidR="00E52F58">
        <w:rPr>
          <w:sz w:val="28"/>
          <w:lang w:val="kk-KZ"/>
        </w:rPr>
        <w:t xml:space="preserve"> </w:t>
      </w:r>
      <w:r w:rsidR="001755F5">
        <w:rPr>
          <w:sz w:val="28"/>
          <w:lang w:val="kk-KZ"/>
        </w:rPr>
        <w:t>27</w:t>
      </w:r>
      <w:r w:rsidR="00C0031F">
        <w:rPr>
          <w:sz w:val="28"/>
          <w:lang w:val="kk-KZ"/>
        </w:rPr>
        <w:t>-тармақ</w:t>
      </w:r>
      <w:r>
        <w:rPr>
          <w:sz w:val="28"/>
          <w:lang w:val="kk-KZ"/>
        </w:rPr>
        <w:t>та</w:t>
      </w:r>
      <w:r w:rsidR="004030F8">
        <w:rPr>
          <w:sz w:val="28"/>
          <w:lang w:val="kk-KZ"/>
        </w:rPr>
        <w:t>р</w:t>
      </w:r>
      <w:r w:rsidR="004777EE">
        <w:rPr>
          <w:sz w:val="28"/>
          <w:lang w:val="kk-KZ"/>
        </w:rPr>
        <w:t xml:space="preserve"> </w:t>
      </w:r>
      <w:r w:rsidR="004030F8" w:rsidRPr="00E86CD9">
        <w:rPr>
          <w:sz w:val="28"/>
          <w:lang w:val="kk-KZ"/>
        </w:rPr>
        <w:t>мынадай редакцияда жазылсын:</w:t>
      </w:r>
    </w:p>
    <w:p w:rsidR="00980412" w:rsidRPr="00980412" w:rsidRDefault="00980412" w:rsidP="006D6D62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«</w:t>
      </w:r>
    </w:p>
    <w:tbl>
      <w:tblPr>
        <w:tblStyle w:val="ac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2693"/>
        <w:gridCol w:w="993"/>
        <w:gridCol w:w="567"/>
        <w:gridCol w:w="1417"/>
        <w:gridCol w:w="992"/>
      </w:tblGrid>
      <w:tr w:rsidR="004030F8" w:rsidRPr="001A66AD" w:rsidTr="00F8793D">
        <w:trPr>
          <w:trHeight w:val="550"/>
        </w:trPr>
        <w:tc>
          <w:tcPr>
            <w:tcW w:w="567" w:type="dxa"/>
          </w:tcPr>
          <w:p w:rsidR="004030F8" w:rsidRPr="00685A17" w:rsidRDefault="004030F8" w:rsidP="004030F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1134" w:type="dxa"/>
          </w:tcPr>
          <w:p w:rsidR="004030F8" w:rsidRPr="004030F8" w:rsidRDefault="004030F8" w:rsidP="004030F8">
            <w:pPr>
              <w:jc w:val="both"/>
              <w:rPr>
                <w:sz w:val="24"/>
                <w:szCs w:val="24"/>
                <w:lang w:val="kk-KZ"/>
              </w:rPr>
            </w:pPr>
            <w:r w:rsidRPr="004030F8">
              <w:rPr>
                <w:sz w:val="24"/>
                <w:szCs w:val="24"/>
                <w:lang w:val="kk-KZ"/>
              </w:rPr>
              <w:t>Қоғамдық келісім мен жалпыұлттық бірлікті нығайту</w:t>
            </w:r>
          </w:p>
        </w:tc>
        <w:tc>
          <w:tcPr>
            <w:tcW w:w="1134" w:type="dxa"/>
          </w:tcPr>
          <w:p w:rsidR="004030F8" w:rsidRPr="004030F8" w:rsidRDefault="004030F8" w:rsidP="00E52F58">
            <w:pPr>
              <w:jc w:val="both"/>
              <w:rPr>
                <w:sz w:val="24"/>
                <w:szCs w:val="24"/>
                <w:lang w:val="kk-KZ"/>
              </w:rPr>
            </w:pPr>
            <w:r w:rsidRPr="004030F8">
              <w:rPr>
                <w:sz w:val="24"/>
                <w:szCs w:val="24"/>
                <w:lang w:val="kk-KZ"/>
              </w:rPr>
              <w:t xml:space="preserve">Дін мәселелері </w:t>
            </w:r>
            <w:r w:rsidR="00E52F58">
              <w:rPr>
                <w:sz w:val="24"/>
                <w:szCs w:val="24"/>
                <w:lang w:val="kk-KZ"/>
              </w:rPr>
              <w:t>бойынша</w:t>
            </w:r>
            <w:r w:rsidR="00E52F58" w:rsidRPr="004030F8">
              <w:rPr>
                <w:sz w:val="24"/>
                <w:szCs w:val="24"/>
                <w:lang w:val="kk-KZ"/>
              </w:rPr>
              <w:t xml:space="preserve"> </w:t>
            </w:r>
            <w:r w:rsidRPr="004030F8">
              <w:rPr>
                <w:sz w:val="24"/>
                <w:szCs w:val="24"/>
                <w:lang w:val="kk-KZ"/>
              </w:rPr>
              <w:t>білікті мамандарды даярлау</w:t>
            </w:r>
          </w:p>
        </w:tc>
        <w:tc>
          <w:tcPr>
            <w:tcW w:w="2693" w:type="dxa"/>
          </w:tcPr>
          <w:p w:rsidR="004030F8" w:rsidRPr="004030F8" w:rsidRDefault="004030F8" w:rsidP="00A84F05">
            <w:pPr>
              <w:jc w:val="both"/>
              <w:rPr>
                <w:sz w:val="24"/>
                <w:szCs w:val="24"/>
                <w:lang w:val="kk-KZ"/>
              </w:rPr>
            </w:pPr>
            <w:r w:rsidRPr="004030F8">
              <w:rPr>
                <w:sz w:val="24"/>
                <w:szCs w:val="24"/>
                <w:lang w:val="kk-KZ"/>
              </w:rPr>
              <w:t xml:space="preserve">Ақпараттық технологиялардың дамуымен Қазақстан үшін жат діни көзқарастардың таралу қаупі де артып келеді. Бүгінгі </w:t>
            </w:r>
            <w:r w:rsidR="00A84F05">
              <w:rPr>
                <w:sz w:val="24"/>
                <w:szCs w:val="24"/>
                <w:lang w:val="kk-KZ"/>
              </w:rPr>
              <w:t>күні</w:t>
            </w:r>
            <w:r w:rsidR="00A84F05" w:rsidRPr="004030F8">
              <w:rPr>
                <w:sz w:val="24"/>
                <w:szCs w:val="24"/>
                <w:lang w:val="kk-KZ"/>
              </w:rPr>
              <w:t xml:space="preserve"> </w:t>
            </w:r>
            <w:r w:rsidRPr="004030F8">
              <w:rPr>
                <w:sz w:val="24"/>
                <w:szCs w:val="24"/>
                <w:lang w:val="kk-KZ"/>
              </w:rPr>
              <w:t xml:space="preserve">радикалды және деструктивті діни ағымдардың идеологтары аудиторияға </w:t>
            </w:r>
            <w:r w:rsidR="00A84F05">
              <w:rPr>
                <w:sz w:val="24"/>
                <w:szCs w:val="24"/>
                <w:lang w:val="kk-KZ"/>
              </w:rPr>
              <w:t>ықпал</w:t>
            </w:r>
            <w:r w:rsidR="00A84F05" w:rsidRPr="004030F8">
              <w:rPr>
                <w:sz w:val="24"/>
                <w:szCs w:val="24"/>
                <w:lang w:val="kk-KZ"/>
              </w:rPr>
              <w:t xml:space="preserve"> </w:t>
            </w:r>
            <w:r w:rsidRPr="004030F8">
              <w:rPr>
                <w:sz w:val="24"/>
                <w:szCs w:val="24"/>
                <w:lang w:val="kk-KZ"/>
              </w:rPr>
              <w:t xml:space="preserve">етудің жаңа әдістерін қолдануда, бұл азаматтарды олардың </w:t>
            </w:r>
            <w:r w:rsidRPr="004030F8">
              <w:rPr>
                <w:sz w:val="24"/>
                <w:szCs w:val="24"/>
                <w:lang w:val="kk-KZ"/>
              </w:rPr>
              <w:lastRenderedPageBreak/>
              <w:t xml:space="preserve">қатарына </w:t>
            </w:r>
            <w:r w:rsidR="00A84F05">
              <w:rPr>
                <w:sz w:val="24"/>
                <w:szCs w:val="24"/>
                <w:lang w:val="kk-KZ"/>
              </w:rPr>
              <w:t>тарту</w:t>
            </w:r>
            <w:r w:rsidR="00A84F05" w:rsidRPr="004030F8">
              <w:rPr>
                <w:sz w:val="24"/>
                <w:szCs w:val="24"/>
                <w:lang w:val="kk-KZ"/>
              </w:rPr>
              <w:t xml:space="preserve"> </w:t>
            </w:r>
            <w:r w:rsidRPr="004030F8">
              <w:rPr>
                <w:sz w:val="24"/>
                <w:szCs w:val="24"/>
                <w:lang w:val="kk-KZ"/>
              </w:rPr>
              <w:t xml:space="preserve">деңгейін арттырады. </w:t>
            </w:r>
            <w:r w:rsidR="00A84F05">
              <w:rPr>
                <w:sz w:val="24"/>
                <w:szCs w:val="24"/>
                <w:lang w:val="kk-KZ"/>
              </w:rPr>
              <w:t>Тиісінше</w:t>
            </w:r>
            <w:r w:rsidRPr="004030F8">
              <w:rPr>
                <w:sz w:val="24"/>
                <w:szCs w:val="24"/>
                <w:lang w:val="kk-KZ"/>
              </w:rPr>
              <w:t xml:space="preserve"> тәжірибелі спикерлерді тарта отырып, оқыту семинарлары мен тренингтер өткізу арқылы дін мәселелері </w:t>
            </w:r>
            <w:r w:rsidR="00A84F05">
              <w:rPr>
                <w:sz w:val="24"/>
                <w:szCs w:val="24"/>
                <w:lang w:val="kk-KZ"/>
              </w:rPr>
              <w:t>бойынша</w:t>
            </w:r>
            <w:r w:rsidR="00A84F05" w:rsidRPr="004030F8">
              <w:rPr>
                <w:sz w:val="24"/>
                <w:szCs w:val="24"/>
                <w:lang w:val="kk-KZ"/>
              </w:rPr>
              <w:t xml:space="preserve"> </w:t>
            </w:r>
            <w:r w:rsidRPr="004030F8">
              <w:rPr>
                <w:sz w:val="24"/>
                <w:szCs w:val="24"/>
                <w:lang w:val="kk-KZ"/>
              </w:rPr>
              <w:t xml:space="preserve">ақпараттық-түсіндіру топтары мүшелерінің білімі мен дағдыларын </w:t>
            </w:r>
            <w:r w:rsidR="00A84F05">
              <w:rPr>
                <w:sz w:val="24"/>
                <w:szCs w:val="24"/>
                <w:lang w:val="kk-KZ"/>
              </w:rPr>
              <w:t xml:space="preserve">тұрақты түрде </w:t>
            </w:r>
            <w:r w:rsidRPr="004030F8">
              <w:rPr>
                <w:sz w:val="24"/>
                <w:szCs w:val="24"/>
                <w:lang w:val="kk-KZ"/>
              </w:rPr>
              <w:t xml:space="preserve">жетілдіру </w:t>
            </w:r>
            <w:r w:rsidR="00A84F05">
              <w:rPr>
                <w:sz w:val="24"/>
                <w:szCs w:val="24"/>
                <w:lang w:val="kk-KZ"/>
              </w:rPr>
              <w:t>талап етіледі</w:t>
            </w:r>
            <w:r w:rsidRPr="004030F8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4030F8" w:rsidRPr="004030F8" w:rsidRDefault="004030F8" w:rsidP="004030F8">
            <w:pPr>
              <w:jc w:val="both"/>
              <w:rPr>
                <w:sz w:val="24"/>
                <w:szCs w:val="24"/>
                <w:lang w:val="kk-KZ"/>
              </w:rPr>
            </w:pPr>
            <w:r w:rsidRPr="004030F8">
              <w:rPr>
                <w:sz w:val="24"/>
                <w:szCs w:val="24"/>
                <w:lang w:val="kk-KZ"/>
              </w:rPr>
              <w:lastRenderedPageBreak/>
              <w:t xml:space="preserve">2023 жыл –  </w:t>
            </w:r>
          </w:p>
          <w:p w:rsidR="004030F8" w:rsidRPr="004030F8" w:rsidRDefault="004030F8" w:rsidP="004030F8">
            <w:pPr>
              <w:jc w:val="both"/>
              <w:rPr>
                <w:sz w:val="24"/>
                <w:szCs w:val="24"/>
                <w:lang w:val="kk-KZ"/>
              </w:rPr>
            </w:pPr>
            <w:r w:rsidRPr="004030F8">
              <w:rPr>
                <w:sz w:val="24"/>
                <w:szCs w:val="24"/>
                <w:lang w:val="kk-KZ"/>
              </w:rPr>
              <w:t>31107  мың тг</w:t>
            </w:r>
          </w:p>
          <w:p w:rsidR="004030F8" w:rsidRPr="004030F8" w:rsidRDefault="004030F8" w:rsidP="004030F8">
            <w:pPr>
              <w:jc w:val="both"/>
              <w:rPr>
                <w:sz w:val="24"/>
                <w:szCs w:val="24"/>
                <w:lang w:val="kk-KZ"/>
              </w:rPr>
            </w:pPr>
          </w:p>
          <w:p w:rsidR="004030F8" w:rsidRPr="004030F8" w:rsidRDefault="004030F8" w:rsidP="004030F8">
            <w:pPr>
              <w:jc w:val="both"/>
              <w:rPr>
                <w:sz w:val="24"/>
                <w:szCs w:val="24"/>
                <w:lang w:val="kk-KZ"/>
              </w:rPr>
            </w:pPr>
            <w:r w:rsidRPr="004030F8">
              <w:rPr>
                <w:sz w:val="24"/>
                <w:szCs w:val="24"/>
                <w:lang w:val="kk-KZ"/>
              </w:rPr>
              <w:t>2024 жыл –</w:t>
            </w:r>
          </w:p>
          <w:p w:rsidR="004030F8" w:rsidRPr="004030F8" w:rsidRDefault="004030F8" w:rsidP="004030F8">
            <w:pPr>
              <w:jc w:val="both"/>
              <w:rPr>
                <w:sz w:val="24"/>
                <w:szCs w:val="24"/>
                <w:lang w:val="kk-KZ"/>
              </w:rPr>
            </w:pPr>
            <w:r w:rsidRPr="004030F8">
              <w:rPr>
                <w:sz w:val="24"/>
                <w:szCs w:val="24"/>
                <w:lang w:val="kk-KZ"/>
              </w:rPr>
              <w:t xml:space="preserve">38810 мың тг </w:t>
            </w:r>
          </w:p>
          <w:p w:rsidR="004030F8" w:rsidRPr="004030F8" w:rsidRDefault="004030F8" w:rsidP="004030F8">
            <w:pPr>
              <w:jc w:val="both"/>
              <w:rPr>
                <w:sz w:val="24"/>
                <w:szCs w:val="24"/>
                <w:lang w:val="kk-KZ"/>
              </w:rPr>
            </w:pPr>
          </w:p>
          <w:p w:rsidR="004030F8" w:rsidRPr="004030F8" w:rsidRDefault="004030F8" w:rsidP="004030F8">
            <w:pPr>
              <w:jc w:val="both"/>
              <w:rPr>
                <w:sz w:val="24"/>
                <w:szCs w:val="24"/>
                <w:lang w:val="kk-KZ"/>
              </w:rPr>
            </w:pPr>
            <w:r w:rsidRPr="004030F8">
              <w:rPr>
                <w:sz w:val="24"/>
                <w:szCs w:val="24"/>
                <w:lang w:val="kk-KZ"/>
              </w:rPr>
              <w:t xml:space="preserve">2025 жыл –  </w:t>
            </w:r>
          </w:p>
          <w:p w:rsidR="004030F8" w:rsidRPr="004030F8" w:rsidRDefault="004030F8" w:rsidP="004030F8">
            <w:pPr>
              <w:jc w:val="both"/>
              <w:rPr>
                <w:sz w:val="24"/>
                <w:szCs w:val="24"/>
                <w:lang w:val="kk-KZ"/>
              </w:rPr>
            </w:pPr>
            <w:r w:rsidRPr="004030F8">
              <w:rPr>
                <w:sz w:val="24"/>
                <w:szCs w:val="24"/>
                <w:lang w:val="kk-KZ"/>
              </w:rPr>
              <w:t xml:space="preserve">38810 мың тг </w:t>
            </w:r>
          </w:p>
          <w:p w:rsidR="004030F8" w:rsidRPr="004030F8" w:rsidRDefault="004030F8" w:rsidP="004030F8">
            <w:pPr>
              <w:jc w:val="both"/>
              <w:rPr>
                <w:sz w:val="24"/>
                <w:szCs w:val="24"/>
                <w:lang w:val="kk-KZ"/>
              </w:rPr>
            </w:pPr>
          </w:p>
          <w:p w:rsidR="004030F8" w:rsidRPr="004030F8" w:rsidRDefault="004030F8" w:rsidP="004030F8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030F8" w:rsidRPr="004030F8" w:rsidRDefault="004030F8" w:rsidP="004030F8">
            <w:pPr>
              <w:jc w:val="center"/>
              <w:rPr>
                <w:sz w:val="24"/>
                <w:szCs w:val="24"/>
                <w:lang w:val="kk-KZ"/>
              </w:rPr>
            </w:pPr>
            <w:r w:rsidRPr="004030F8">
              <w:rPr>
                <w:sz w:val="24"/>
                <w:szCs w:val="24"/>
                <w:lang w:val="kk-KZ"/>
              </w:rPr>
              <w:lastRenderedPageBreak/>
              <w:t>1 ұзақ мерзімді грант</w:t>
            </w:r>
          </w:p>
        </w:tc>
        <w:tc>
          <w:tcPr>
            <w:tcW w:w="1417" w:type="dxa"/>
          </w:tcPr>
          <w:p w:rsidR="004030F8" w:rsidRPr="004030F8" w:rsidRDefault="00A84F05" w:rsidP="00A84F0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Кемінде                </w:t>
            </w:r>
            <w:r w:rsidR="004030F8" w:rsidRPr="004030F8">
              <w:rPr>
                <w:sz w:val="24"/>
                <w:szCs w:val="24"/>
                <w:lang w:val="kk-KZ"/>
              </w:rPr>
              <w:t xml:space="preserve">17 өңірде </w:t>
            </w:r>
            <w:r w:rsidRPr="004030F8">
              <w:rPr>
                <w:sz w:val="24"/>
                <w:szCs w:val="24"/>
                <w:lang w:val="kk-KZ"/>
              </w:rPr>
              <w:t>(жыл сайын кемінде 1000 адамды қамти отырып)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4030F8" w:rsidRPr="004030F8">
              <w:rPr>
                <w:sz w:val="24"/>
                <w:szCs w:val="24"/>
                <w:lang w:val="kk-KZ"/>
              </w:rPr>
              <w:t xml:space="preserve">дін мәселелері </w:t>
            </w:r>
            <w:r>
              <w:rPr>
                <w:sz w:val="24"/>
                <w:szCs w:val="24"/>
                <w:lang w:val="kk-KZ"/>
              </w:rPr>
              <w:t>бойынша</w:t>
            </w:r>
            <w:r w:rsidRPr="004030F8">
              <w:rPr>
                <w:sz w:val="24"/>
                <w:szCs w:val="24"/>
                <w:lang w:val="kk-KZ"/>
              </w:rPr>
              <w:t xml:space="preserve"> </w:t>
            </w:r>
            <w:r w:rsidR="004030F8" w:rsidRPr="004030F8">
              <w:rPr>
                <w:sz w:val="24"/>
                <w:szCs w:val="24"/>
                <w:lang w:val="kk-KZ"/>
              </w:rPr>
              <w:t xml:space="preserve">өңірлік АТТ </w:t>
            </w:r>
            <w:r w:rsidR="004030F8" w:rsidRPr="004030F8">
              <w:rPr>
                <w:sz w:val="24"/>
                <w:szCs w:val="24"/>
                <w:lang w:val="kk-KZ"/>
              </w:rPr>
              <w:lastRenderedPageBreak/>
              <w:t>мүшелерінің біліктілігін арттыру.</w:t>
            </w:r>
          </w:p>
        </w:tc>
        <w:tc>
          <w:tcPr>
            <w:tcW w:w="992" w:type="dxa"/>
          </w:tcPr>
          <w:p w:rsidR="004030F8" w:rsidRPr="004030F8" w:rsidRDefault="00A84F05" w:rsidP="004B3C31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К</w:t>
            </w:r>
            <w:r w:rsidR="004030F8" w:rsidRPr="004030F8">
              <w:rPr>
                <w:sz w:val="24"/>
                <w:szCs w:val="24"/>
                <w:lang w:val="kk-KZ"/>
              </w:rPr>
              <w:t>емінде 17 өңірде іс-шараларды өткізуге арналған аудиторияның (</w:t>
            </w:r>
            <w:r>
              <w:rPr>
                <w:sz w:val="24"/>
                <w:szCs w:val="24"/>
                <w:lang w:val="kk-KZ"/>
              </w:rPr>
              <w:t>аудан</w:t>
            </w:r>
            <w:r>
              <w:rPr>
                <w:sz w:val="24"/>
                <w:szCs w:val="24"/>
                <w:lang w:val="kk-KZ"/>
              </w:rPr>
              <w:lastRenderedPageBreak/>
              <w:t xml:space="preserve">ы </w:t>
            </w:r>
            <w:r w:rsidR="004030F8" w:rsidRPr="004030F8">
              <w:rPr>
                <w:sz w:val="24"/>
                <w:szCs w:val="24"/>
                <w:lang w:val="kk-KZ"/>
              </w:rPr>
              <w:t>кемінде 20 м</w:t>
            </w:r>
            <w:r w:rsidR="004030F8" w:rsidRPr="004030F8">
              <w:rPr>
                <w:sz w:val="24"/>
                <w:szCs w:val="24"/>
                <w:vertAlign w:val="superscript"/>
                <w:lang w:val="kk-KZ"/>
              </w:rPr>
              <w:t>2</w:t>
            </w:r>
            <w:r w:rsidR="004030F8" w:rsidRPr="004030F8">
              <w:rPr>
                <w:sz w:val="24"/>
                <w:szCs w:val="24"/>
                <w:lang w:val="kk-KZ"/>
              </w:rPr>
              <w:t xml:space="preserve"> болатын меншікті немесе жалға </w:t>
            </w:r>
            <w:r>
              <w:rPr>
                <w:sz w:val="24"/>
                <w:szCs w:val="24"/>
                <w:lang w:val="kk-KZ"/>
              </w:rPr>
              <w:t>алынған</w:t>
            </w:r>
            <w:r w:rsidRPr="004030F8">
              <w:rPr>
                <w:sz w:val="24"/>
                <w:szCs w:val="24"/>
                <w:lang w:val="kk-KZ"/>
              </w:rPr>
              <w:t xml:space="preserve"> </w:t>
            </w:r>
            <w:r w:rsidR="004030F8" w:rsidRPr="004030F8">
              <w:rPr>
                <w:sz w:val="24"/>
                <w:szCs w:val="24"/>
                <w:lang w:val="kk-KZ"/>
              </w:rPr>
              <w:t>үй-жай</w:t>
            </w:r>
            <w:r w:rsidR="004B3C31">
              <w:rPr>
                <w:sz w:val="24"/>
                <w:szCs w:val="24"/>
                <w:lang w:val="kk-KZ"/>
              </w:rPr>
              <w:t>ының</w:t>
            </w:r>
            <w:r w:rsidR="004030F8" w:rsidRPr="004030F8">
              <w:rPr>
                <w:sz w:val="24"/>
                <w:szCs w:val="24"/>
                <w:lang w:val="kk-KZ"/>
              </w:rPr>
              <w:t>) болуы.</w:t>
            </w:r>
          </w:p>
        </w:tc>
      </w:tr>
      <w:tr w:rsidR="004030F8" w:rsidRPr="001A66AD" w:rsidTr="00F8793D">
        <w:trPr>
          <w:trHeight w:val="550"/>
        </w:trPr>
        <w:tc>
          <w:tcPr>
            <w:tcW w:w="567" w:type="dxa"/>
          </w:tcPr>
          <w:p w:rsidR="004030F8" w:rsidRPr="00685A17" w:rsidRDefault="004030F8" w:rsidP="004030F8">
            <w:pPr>
              <w:rPr>
                <w:sz w:val="24"/>
                <w:szCs w:val="24"/>
                <w:lang w:val="kk-KZ"/>
              </w:rPr>
            </w:pPr>
            <w:r w:rsidRPr="00685A17">
              <w:rPr>
                <w:sz w:val="24"/>
                <w:szCs w:val="24"/>
                <w:lang w:val="kk-KZ"/>
              </w:rPr>
              <w:lastRenderedPageBreak/>
              <w:t>2</w:t>
            </w: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4030F8" w:rsidRPr="00E95E53" w:rsidRDefault="004030F8" w:rsidP="004030F8">
            <w:pPr>
              <w:jc w:val="both"/>
              <w:rPr>
                <w:lang w:val="kk-KZ"/>
              </w:rPr>
            </w:pPr>
            <w:r w:rsidRPr="00E95E53">
              <w:rPr>
                <w:lang w:val="kk-KZ"/>
              </w:rPr>
              <w:t>Қоғамдық келісім мен жалпыұлттық бірлікті нығайту</w:t>
            </w:r>
          </w:p>
        </w:tc>
        <w:tc>
          <w:tcPr>
            <w:tcW w:w="1134" w:type="dxa"/>
          </w:tcPr>
          <w:p w:rsidR="004030F8" w:rsidRPr="00E95E53" w:rsidRDefault="004030F8" w:rsidP="004030F8">
            <w:pPr>
              <w:jc w:val="both"/>
              <w:rPr>
                <w:color w:val="000000"/>
                <w:lang w:val="kk-KZ"/>
              </w:rPr>
            </w:pPr>
            <w:r w:rsidRPr="00E95E53">
              <w:rPr>
                <w:color w:val="000000"/>
                <w:lang w:val="kk-KZ"/>
              </w:rPr>
              <w:t>Ел жастарының экстремистік идеологияға қарсы бастамаларын ұйымдастыру және ілгерілету</w:t>
            </w:r>
          </w:p>
        </w:tc>
        <w:tc>
          <w:tcPr>
            <w:tcW w:w="2693" w:type="dxa"/>
          </w:tcPr>
          <w:p w:rsidR="004030F8" w:rsidRPr="00E95E53" w:rsidRDefault="004030F8" w:rsidP="00BF6445">
            <w:pPr>
              <w:pStyle w:val="ad"/>
              <w:jc w:val="both"/>
              <w:rPr>
                <w:lang w:val="kk-KZ"/>
              </w:rPr>
            </w:pPr>
            <w:r w:rsidRPr="00E95E53">
              <w:rPr>
                <w:lang w:val="kk-KZ"/>
              </w:rPr>
              <w:t>Діни экстремизм мен терроризмнің таралуын</w:t>
            </w:r>
            <w:r w:rsidR="00BF6445">
              <w:rPr>
                <w:lang w:val="kk-KZ"/>
              </w:rPr>
              <w:t>ың алдын алу</w:t>
            </w:r>
            <w:r w:rsidRPr="00A07494">
              <w:rPr>
                <w:lang w:val="kk-KZ"/>
              </w:rPr>
              <w:t xml:space="preserve"> </w:t>
            </w:r>
            <w:r w:rsidR="00BF6445">
              <w:rPr>
                <w:lang w:val="kk-KZ"/>
              </w:rPr>
              <w:t xml:space="preserve"> </w:t>
            </w:r>
            <w:r w:rsidRPr="00E95E53">
              <w:rPr>
                <w:lang w:val="kk-KZ"/>
              </w:rPr>
              <w:t>мәселелері</w:t>
            </w:r>
            <w:r>
              <w:rPr>
                <w:lang w:val="kk-KZ"/>
              </w:rPr>
              <w:t xml:space="preserve"> </w:t>
            </w:r>
            <w:r w:rsidRPr="00C82918">
              <w:rPr>
                <w:lang w:val="kk-KZ"/>
              </w:rPr>
              <w:t>жөніндегі</w:t>
            </w:r>
            <w:r>
              <w:rPr>
                <w:lang w:val="kk-KZ"/>
              </w:rPr>
              <w:t xml:space="preserve"> </w:t>
            </w:r>
            <w:r w:rsidRPr="00E95E53">
              <w:rPr>
                <w:lang w:val="kk-KZ"/>
              </w:rPr>
              <w:t xml:space="preserve">ақпараттық жұмыстың дәстүрлі нысандары мен әдістерімен қатар жастардың ішкі әлеуетін дамыту және пайдалану қажет. </w:t>
            </w:r>
            <w:r w:rsidR="00BF6445">
              <w:rPr>
                <w:lang w:val="kk-KZ"/>
              </w:rPr>
              <w:t>Тиісінше</w:t>
            </w:r>
            <w:r w:rsidRPr="00E95E53">
              <w:rPr>
                <w:lang w:val="kk-KZ"/>
              </w:rPr>
              <w:t xml:space="preserve"> оқыту семинарлары мен тренингтерін ұйымдастыру арқылы деструктивті идеологияға тұрақты иммунитетті қалыптастыру үшін жастардың бастамалары мен </w:t>
            </w:r>
            <w:r w:rsidR="00BF6445">
              <w:rPr>
                <w:lang w:val="kk-KZ"/>
              </w:rPr>
              <w:t>креативті</w:t>
            </w:r>
            <w:r w:rsidR="00BF6445" w:rsidRPr="00E95E53">
              <w:rPr>
                <w:lang w:val="kk-KZ"/>
              </w:rPr>
              <w:t xml:space="preserve"> </w:t>
            </w:r>
            <w:r w:rsidRPr="00E95E53">
              <w:rPr>
                <w:lang w:val="kk-KZ"/>
              </w:rPr>
              <w:t>идеяларын ілгерілетуге мүмкіндік беретін жобаларды іске асыру талап етіледі.</w:t>
            </w:r>
          </w:p>
        </w:tc>
        <w:tc>
          <w:tcPr>
            <w:tcW w:w="993" w:type="dxa"/>
          </w:tcPr>
          <w:p w:rsidR="004030F8" w:rsidRPr="00E95E53" w:rsidRDefault="004030F8" w:rsidP="004030F8">
            <w:pPr>
              <w:jc w:val="both"/>
              <w:rPr>
                <w:lang w:val="kk-KZ"/>
              </w:rPr>
            </w:pPr>
            <w:r w:rsidRPr="00E95E53">
              <w:rPr>
                <w:lang w:val="kk-KZ"/>
              </w:rPr>
              <w:t xml:space="preserve">2023 жыл </w:t>
            </w:r>
            <w:r>
              <w:rPr>
                <w:lang w:val="kk-KZ"/>
              </w:rPr>
              <w:t>–</w:t>
            </w:r>
            <w:r w:rsidRPr="00E95E53">
              <w:rPr>
                <w:lang w:val="kk-KZ"/>
              </w:rPr>
              <w:t xml:space="preserve"> </w:t>
            </w:r>
          </w:p>
          <w:p w:rsidR="004030F8" w:rsidRPr="00E95E53" w:rsidRDefault="004030F8" w:rsidP="004030F8">
            <w:pPr>
              <w:jc w:val="both"/>
              <w:rPr>
                <w:lang w:val="kk-KZ"/>
              </w:rPr>
            </w:pPr>
            <w:r w:rsidRPr="005727C5">
              <w:rPr>
                <w:sz w:val="24"/>
                <w:szCs w:val="24"/>
                <w:lang w:val="kk-KZ"/>
              </w:rPr>
              <w:t>3</w:t>
            </w:r>
            <w:r>
              <w:rPr>
                <w:sz w:val="24"/>
                <w:szCs w:val="24"/>
                <w:lang w:val="kk-KZ"/>
              </w:rPr>
              <w:t>7281</w:t>
            </w:r>
            <w:r w:rsidRPr="005727C5">
              <w:rPr>
                <w:sz w:val="24"/>
                <w:szCs w:val="24"/>
                <w:lang w:val="kk-KZ"/>
              </w:rPr>
              <w:t xml:space="preserve"> </w:t>
            </w:r>
            <w:r w:rsidRPr="00E95E53">
              <w:rPr>
                <w:lang w:val="kk-KZ"/>
              </w:rPr>
              <w:t xml:space="preserve"> мың</w:t>
            </w:r>
            <w:r>
              <w:rPr>
                <w:lang w:val="kk-KZ"/>
              </w:rPr>
              <w:t xml:space="preserve"> </w:t>
            </w:r>
            <w:r w:rsidRPr="00E95E53">
              <w:rPr>
                <w:lang w:val="kk-KZ"/>
              </w:rPr>
              <w:t>тг</w:t>
            </w:r>
          </w:p>
          <w:p w:rsidR="004030F8" w:rsidRPr="00E95E53" w:rsidRDefault="004030F8" w:rsidP="004030F8">
            <w:pPr>
              <w:jc w:val="both"/>
              <w:rPr>
                <w:lang w:val="kk-KZ"/>
              </w:rPr>
            </w:pPr>
          </w:p>
          <w:p w:rsidR="004030F8" w:rsidRPr="00E95E53" w:rsidRDefault="004030F8" w:rsidP="004030F8">
            <w:pPr>
              <w:jc w:val="both"/>
              <w:rPr>
                <w:lang w:val="kk-KZ"/>
              </w:rPr>
            </w:pPr>
            <w:r w:rsidRPr="00E95E53">
              <w:rPr>
                <w:lang w:val="kk-KZ"/>
              </w:rPr>
              <w:t xml:space="preserve">2024 жыл </w:t>
            </w:r>
            <w:r>
              <w:rPr>
                <w:lang w:val="kk-KZ"/>
              </w:rPr>
              <w:t>–</w:t>
            </w:r>
            <w:r w:rsidRPr="00E95E53">
              <w:rPr>
                <w:lang w:val="kk-KZ"/>
              </w:rPr>
              <w:t xml:space="preserve"> </w:t>
            </w:r>
          </w:p>
          <w:p w:rsidR="004030F8" w:rsidRPr="00E95E53" w:rsidRDefault="004030F8" w:rsidP="004030F8">
            <w:pPr>
              <w:jc w:val="both"/>
              <w:rPr>
                <w:lang w:val="kk-KZ"/>
              </w:rPr>
            </w:pPr>
            <w:r w:rsidRPr="00E95E53">
              <w:rPr>
                <w:lang w:val="kk-KZ"/>
              </w:rPr>
              <w:t>49462 мың</w:t>
            </w:r>
            <w:r>
              <w:rPr>
                <w:lang w:val="kk-KZ"/>
              </w:rPr>
              <w:t xml:space="preserve"> </w:t>
            </w:r>
            <w:r w:rsidRPr="00E95E53">
              <w:rPr>
                <w:lang w:val="kk-KZ"/>
              </w:rPr>
              <w:t>тг</w:t>
            </w:r>
          </w:p>
          <w:p w:rsidR="004030F8" w:rsidRPr="00E95E53" w:rsidRDefault="004030F8" w:rsidP="004030F8">
            <w:pPr>
              <w:jc w:val="both"/>
              <w:rPr>
                <w:lang w:val="kk-KZ"/>
              </w:rPr>
            </w:pPr>
          </w:p>
          <w:p w:rsidR="004030F8" w:rsidRPr="00E95E53" w:rsidRDefault="004030F8" w:rsidP="004030F8">
            <w:pPr>
              <w:jc w:val="both"/>
              <w:rPr>
                <w:lang w:val="kk-KZ"/>
              </w:rPr>
            </w:pPr>
            <w:r w:rsidRPr="00E95E53">
              <w:rPr>
                <w:lang w:val="kk-KZ"/>
              </w:rPr>
              <w:t xml:space="preserve">2025 жыл </w:t>
            </w:r>
            <w:r>
              <w:rPr>
                <w:lang w:val="kk-KZ"/>
              </w:rPr>
              <w:t>–</w:t>
            </w:r>
            <w:r w:rsidRPr="00E95E53">
              <w:rPr>
                <w:lang w:val="kk-KZ"/>
              </w:rPr>
              <w:t xml:space="preserve"> </w:t>
            </w:r>
          </w:p>
          <w:p w:rsidR="004030F8" w:rsidRPr="00E95E53" w:rsidRDefault="004030F8" w:rsidP="004030F8">
            <w:pPr>
              <w:jc w:val="both"/>
              <w:rPr>
                <w:lang w:val="kk-KZ"/>
              </w:rPr>
            </w:pPr>
            <w:r w:rsidRPr="00E95E53">
              <w:rPr>
                <w:lang w:val="kk-KZ"/>
              </w:rPr>
              <w:t>49462 мың</w:t>
            </w:r>
            <w:r>
              <w:rPr>
                <w:lang w:val="kk-KZ"/>
              </w:rPr>
              <w:t xml:space="preserve"> </w:t>
            </w:r>
            <w:r w:rsidRPr="00E95E53">
              <w:rPr>
                <w:lang w:val="kk-KZ"/>
              </w:rPr>
              <w:t>тг</w:t>
            </w:r>
          </w:p>
          <w:p w:rsidR="004030F8" w:rsidRPr="00E95E53" w:rsidRDefault="004030F8" w:rsidP="004030F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4030F8" w:rsidRPr="00E95E53" w:rsidRDefault="004030F8" w:rsidP="004030F8">
            <w:pPr>
              <w:jc w:val="center"/>
              <w:rPr>
                <w:lang w:val="kk-KZ"/>
              </w:rPr>
            </w:pPr>
            <w:r w:rsidRPr="00E95E53">
              <w:rPr>
                <w:lang w:val="kk-KZ"/>
              </w:rPr>
              <w:t>1 ұзақ мерзімді грант</w:t>
            </w:r>
          </w:p>
        </w:tc>
        <w:tc>
          <w:tcPr>
            <w:tcW w:w="1417" w:type="dxa"/>
          </w:tcPr>
          <w:p w:rsidR="004030F8" w:rsidRPr="00E95E53" w:rsidRDefault="004030F8" w:rsidP="004030F8">
            <w:pPr>
              <w:jc w:val="both"/>
              <w:rPr>
                <w:lang w:val="kk-KZ"/>
              </w:rPr>
            </w:pPr>
            <w:r w:rsidRPr="00E95E53">
              <w:rPr>
                <w:lang w:val="kk-KZ"/>
              </w:rPr>
              <w:t>Жастар арасында экстремистік идеологияға қарсы тұрудың инновациялық және креативті әдістерін ұсын</w:t>
            </w:r>
            <w:r w:rsidR="00BF6445">
              <w:rPr>
                <w:lang w:val="kk-KZ"/>
              </w:rPr>
              <w:t xml:space="preserve">уға қабілетті </w:t>
            </w:r>
            <w:r w:rsidRPr="00E95E53">
              <w:rPr>
                <w:lang w:val="kk-KZ"/>
              </w:rPr>
              <w:t>жас мамандар арасынан кәсіби спикерлерді а</w:t>
            </w:r>
            <w:r w:rsidR="00BF6445">
              <w:rPr>
                <w:lang w:val="kk-KZ"/>
              </w:rPr>
              <w:t>йқындау</w:t>
            </w:r>
            <w:r w:rsidRPr="00E95E53">
              <w:rPr>
                <w:lang w:val="kk-KZ"/>
              </w:rPr>
              <w:t>.</w:t>
            </w:r>
          </w:p>
          <w:p w:rsidR="004030F8" w:rsidRPr="00E95E53" w:rsidRDefault="004030F8" w:rsidP="00C928CC">
            <w:pPr>
              <w:jc w:val="both"/>
              <w:rPr>
                <w:bCs/>
                <w:lang w:val="kk-KZ"/>
              </w:rPr>
            </w:pPr>
            <w:r w:rsidRPr="00E95E53">
              <w:rPr>
                <w:lang w:val="kk-KZ"/>
              </w:rPr>
              <w:t>17 өңірде</w:t>
            </w:r>
            <w:r w:rsidR="00BF6445">
              <w:rPr>
                <w:lang w:val="kk-KZ"/>
              </w:rPr>
              <w:t>гі</w:t>
            </w:r>
            <w:r w:rsidRPr="00E95E53">
              <w:rPr>
                <w:lang w:val="kk-KZ"/>
              </w:rPr>
              <w:t xml:space="preserve"> жастар </w:t>
            </w:r>
            <w:r w:rsidR="00BF6445">
              <w:rPr>
                <w:lang w:val="kk-KZ"/>
              </w:rPr>
              <w:t xml:space="preserve">қатарынан </w:t>
            </w:r>
            <w:r>
              <w:rPr>
                <w:lang w:val="kk-KZ"/>
              </w:rPr>
              <w:t>жыл сайын</w:t>
            </w:r>
            <w:r w:rsidRPr="00E95E53">
              <w:rPr>
                <w:lang w:val="kk-KZ"/>
              </w:rPr>
              <w:t xml:space="preserve"> кемінде </w:t>
            </w:r>
            <w:r>
              <w:rPr>
                <w:lang w:val="kk-KZ"/>
              </w:rPr>
              <w:t xml:space="preserve">1500 </w:t>
            </w:r>
            <w:r w:rsidRPr="00E95E53">
              <w:rPr>
                <w:lang w:val="kk-KZ"/>
              </w:rPr>
              <w:t xml:space="preserve">адамды </w:t>
            </w:r>
            <w:r w:rsidRPr="00092259">
              <w:rPr>
                <w:lang w:val="kk-KZ"/>
              </w:rPr>
              <w:t xml:space="preserve">(сондай-ақ </w:t>
            </w:r>
            <w:r>
              <w:rPr>
                <w:lang w:val="kk-KZ"/>
              </w:rPr>
              <w:t xml:space="preserve">жыл сайын </w:t>
            </w:r>
            <w:r w:rsidRPr="00092259">
              <w:rPr>
                <w:lang w:val="kk-KZ"/>
              </w:rPr>
              <w:t>кемінде 5000 әлеуметтік желі</w:t>
            </w:r>
            <w:r w:rsidR="00C928CC">
              <w:rPr>
                <w:lang w:val="kk-KZ"/>
              </w:rPr>
              <w:t>ні</w:t>
            </w:r>
            <w:r w:rsidRPr="00092259">
              <w:rPr>
                <w:lang w:val="kk-KZ"/>
              </w:rPr>
              <w:t xml:space="preserve"> </w:t>
            </w:r>
            <w:r w:rsidR="00C928CC">
              <w:rPr>
                <w:lang w:val="kk-KZ"/>
              </w:rPr>
              <w:t>пайдаланушы</w:t>
            </w:r>
            <w:r w:rsidR="00C928CC" w:rsidRPr="00092259">
              <w:rPr>
                <w:lang w:val="kk-KZ"/>
              </w:rPr>
              <w:t xml:space="preserve"> </w:t>
            </w:r>
            <w:r w:rsidRPr="00092259">
              <w:rPr>
                <w:lang w:val="kk-KZ"/>
              </w:rPr>
              <w:t>жастарды)</w:t>
            </w:r>
            <w:r w:rsidRPr="007E39A2">
              <w:rPr>
                <w:lang w:val="kk-KZ"/>
              </w:rPr>
              <w:t xml:space="preserve"> </w:t>
            </w:r>
            <w:r w:rsidRPr="00E95E53">
              <w:rPr>
                <w:lang w:val="kk-KZ"/>
              </w:rPr>
              <w:t xml:space="preserve"> қамту</w:t>
            </w:r>
          </w:p>
        </w:tc>
        <w:tc>
          <w:tcPr>
            <w:tcW w:w="992" w:type="dxa"/>
          </w:tcPr>
          <w:p w:rsidR="004030F8" w:rsidRPr="00E95E53" w:rsidRDefault="00C928CC" w:rsidP="004B3C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</w:t>
            </w:r>
            <w:r w:rsidR="004030F8" w:rsidRPr="00E95E53">
              <w:rPr>
                <w:lang w:val="kk-KZ"/>
              </w:rPr>
              <w:t xml:space="preserve">емінде 17 өңірде </w:t>
            </w:r>
            <w:r w:rsidR="004030F8">
              <w:rPr>
                <w:lang w:val="kk-KZ"/>
              </w:rPr>
              <w:t>і</w:t>
            </w:r>
            <w:r w:rsidR="004030F8" w:rsidRPr="00E95E53">
              <w:rPr>
                <w:lang w:val="kk-KZ"/>
              </w:rPr>
              <w:t>с-шараларды өткізуге арналған аудитория</w:t>
            </w:r>
            <w:r w:rsidR="004030F8">
              <w:rPr>
                <w:lang w:val="kk-KZ"/>
              </w:rPr>
              <w:t>ның</w:t>
            </w:r>
            <w:r w:rsidR="004030F8" w:rsidRPr="00E95E53">
              <w:rPr>
                <w:lang w:val="kk-KZ"/>
              </w:rPr>
              <w:t xml:space="preserve"> (</w:t>
            </w:r>
            <w:r>
              <w:rPr>
                <w:lang w:val="kk-KZ"/>
              </w:rPr>
              <w:t>ауданы</w:t>
            </w:r>
            <w:r w:rsidR="004030F8" w:rsidRPr="00E95E53">
              <w:rPr>
                <w:lang w:val="kk-KZ"/>
              </w:rPr>
              <w:t>кемінде 20 м</w:t>
            </w:r>
            <w:r w:rsidR="004030F8" w:rsidRPr="00E95E53">
              <w:rPr>
                <w:vertAlign w:val="superscript"/>
                <w:lang w:val="kk-KZ"/>
              </w:rPr>
              <w:t>2</w:t>
            </w:r>
            <w:r w:rsidR="004030F8" w:rsidRPr="00E95E53">
              <w:rPr>
                <w:lang w:val="kk-KZ"/>
              </w:rPr>
              <w:t xml:space="preserve"> болатын </w:t>
            </w:r>
            <w:r w:rsidR="004030F8" w:rsidRPr="004050AB">
              <w:rPr>
                <w:lang w:val="kk-KZ"/>
              </w:rPr>
              <w:t xml:space="preserve">меншікті </w:t>
            </w:r>
            <w:r w:rsidR="004030F8">
              <w:rPr>
                <w:lang w:val="kk-KZ"/>
              </w:rPr>
              <w:t xml:space="preserve">немесе жалға </w:t>
            </w:r>
            <w:r>
              <w:rPr>
                <w:lang w:val="kk-KZ"/>
              </w:rPr>
              <w:t xml:space="preserve">алынған </w:t>
            </w:r>
            <w:r w:rsidR="004030F8">
              <w:rPr>
                <w:lang w:val="kk-KZ"/>
              </w:rPr>
              <w:t>үй-жай</w:t>
            </w:r>
            <w:r w:rsidR="004B3C31">
              <w:rPr>
                <w:lang w:val="kk-KZ"/>
              </w:rPr>
              <w:t>ын</w:t>
            </w:r>
            <w:r>
              <w:rPr>
                <w:lang w:val="kk-KZ"/>
              </w:rPr>
              <w:t>ың</w:t>
            </w:r>
            <w:r w:rsidR="004030F8">
              <w:rPr>
                <w:lang w:val="kk-KZ"/>
              </w:rPr>
              <w:t>) болуы.</w:t>
            </w:r>
          </w:p>
        </w:tc>
      </w:tr>
      <w:tr w:rsidR="00934A6A" w:rsidRPr="001A66AD" w:rsidTr="00F8793D">
        <w:trPr>
          <w:trHeight w:val="550"/>
        </w:trPr>
        <w:tc>
          <w:tcPr>
            <w:tcW w:w="567" w:type="dxa"/>
          </w:tcPr>
          <w:p w:rsidR="00934A6A" w:rsidRPr="00685A17" w:rsidRDefault="00934A6A" w:rsidP="00934A6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1134" w:type="dxa"/>
          </w:tcPr>
          <w:p w:rsidR="00934A6A" w:rsidRPr="00DB4832" w:rsidRDefault="00934A6A" w:rsidP="00934A6A">
            <w:pPr>
              <w:jc w:val="both"/>
              <w:rPr>
                <w:lang w:val="kk-KZ"/>
              </w:rPr>
            </w:pPr>
            <w:r w:rsidRPr="00DB4832">
              <w:rPr>
                <w:lang w:val="kk-KZ"/>
              </w:rPr>
              <w:t xml:space="preserve">Қоғамдық келісім мен жалпыұлттық </w:t>
            </w:r>
            <w:r w:rsidRPr="00DB4832">
              <w:rPr>
                <w:lang w:val="kk-KZ"/>
              </w:rPr>
              <w:lastRenderedPageBreak/>
              <w:t>бірлікті нығайту</w:t>
            </w:r>
          </w:p>
          <w:p w:rsidR="00934A6A" w:rsidRPr="00DB4832" w:rsidRDefault="00934A6A" w:rsidP="00934A6A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</w:tcPr>
          <w:p w:rsidR="00934A6A" w:rsidRDefault="00934A6A" w:rsidP="00934A6A">
            <w:pPr>
              <w:jc w:val="both"/>
              <w:rPr>
                <w:lang w:val="kk-KZ"/>
              </w:rPr>
            </w:pPr>
            <w:r w:rsidRPr="00DB4832">
              <w:rPr>
                <w:lang w:val="kk-KZ"/>
              </w:rPr>
              <w:lastRenderedPageBreak/>
              <w:t>Азаматтық қоғам институттарының (ҮЕҰ) этносара</w:t>
            </w:r>
            <w:r w:rsidRPr="00DB4832">
              <w:rPr>
                <w:lang w:val="kk-KZ"/>
              </w:rPr>
              <w:lastRenderedPageBreak/>
              <w:t xml:space="preserve">лық келісімді нығайту және Қазақстан халқының бірлігін сақтау </w:t>
            </w:r>
            <w:r w:rsidR="00C928CC">
              <w:rPr>
                <w:lang w:val="kk-KZ"/>
              </w:rPr>
              <w:t>бойынша</w:t>
            </w:r>
            <w:r w:rsidRPr="00DB4832">
              <w:rPr>
                <w:lang w:val="kk-KZ"/>
              </w:rPr>
              <w:t>Қазақстан халқы Ассамблеясының құрылымдарымен өзара іс-қимыл</w:t>
            </w:r>
            <w:r w:rsidR="00C928CC">
              <w:rPr>
                <w:lang w:val="kk-KZ"/>
              </w:rPr>
              <w:t xml:space="preserve"> жасасу</w:t>
            </w:r>
            <w:r w:rsidRPr="00DB4832">
              <w:rPr>
                <w:lang w:val="kk-KZ"/>
              </w:rPr>
              <w:t xml:space="preserve">ын дамыту </w:t>
            </w:r>
          </w:p>
          <w:p w:rsidR="00934A6A" w:rsidRDefault="00934A6A" w:rsidP="00934A6A">
            <w:pPr>
              <w:jc w:val="both"/>
              <w:rPr>
                <w:lang w:val="kk-KZ"/>
              </w:rPr>
            </w:pPr>
          </w:p>
          <w:p w:rsidR="00934A6A" w:rsidRDefault="00934A6A" w:rsidP="00934A6A">
            <w:pPr>
              <w:jc w:val="both"/>
              <w:rPr>
                <w:lang w:val="kk-KZ"/>
              </w:rPr>
            </w:pPr>
          </w:p>
          <w:p w:rsidR="00934A6A" w:rsidRPr="00DB4832" w:rsidRDefault="00934A6A" w:rsidP="00934A6A">
            <w:pPr>
              <w:jc w:val="both"/>
              <w:rPr>
                <w:lang w:val="kk-KZ"/>
              </w:rPr>
            </w:pPr>
          </w:p>
        </w:tc>
        <w:tc>
          <w:tcPr>
            <w:tcW w:w="2693" w:type="dxa"/>
          </w:tcPr>
          <w:p w:rsidR="00934A6A" w:rsidRPr="00DB4832" w:rsidRDefault="00C928CC" w:rsidP="00934A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Жасалып</w:t>
            </w:r>
            <w:r w:rsidRPr="00DB4832">
              <w:rPr>
                <w:lang w:val="kk-KZ"/>
              </w:rPr>
              <w:t xml:space="preserve"> </w:t>
            </w:r>
            <w:r w:rsidR="00934A6A" w:rsidRPr="00DB4832">
              <w:rPr>
                <w:lang w:val="kk-KZ"/>
              </w:rPr>
              <w:t xml:space="preserve">жатқан жағдайларға қарамастан, қазақстандық ҮЕҰ-ның Қазақстан халқы Ассамблеясы құрылымдарымен өзара </w:t>
            </w:r>
            <w:r w:rsidR="00934A6A" w:rsidRPr="00DB4832">
              <w:rPr>
                <w:lang w:val="kk-KZ"/>
              </w:rPr>
              <w:lastRenderedPageBreak/>
              <w:t>іс-қимыл</w:t>
            </w:r>
            <w:r>
              <w:rPr>
                <w:lang w:val="kk-KZ"/>
              </w:rPr>
              <w:t xml:space="preserve"> жасасу</w:t>
            </w:r>
            <w:r w:rsidR="00934A6A" w:rsidRPr="00DB4832">
              <w:rPr>
                <w:lang w:val="kk-KZ"/>
              </w:rPr>
              <w:t>ының төмен</w:t>
            </w:r>
            <w:r>
              <w:rPr>
                <w:lang w:val="kk-KZ"/>
              </w:rPr>
              <w:t xml:space="preserve"> екен</w:t>
            </w:r>
            <w:r w:rsidR="00934A6A" w:rsidRPr="00DB4832">
              <w:rPr>
                <w:lang w:val="kk-KZ"/>
              </w:rPr>
              <w:t xml:space="preserve">дігі байқалады. Этносаралық келісімді қамтамасыз етуге, қоғамды интеграциялауға, қазақстандық бірегейлікті қалыптастыруға бағытталған Қазақстан халқы Ассамблеясының қызметіне ҮЕҰ-ны белсенді </w:t>
            </w:r>
            <w:r>
              <w:rPr>
                <w:lang w:val="kk-KZ"/>
              </w:rPr>
              <w:t xml:space="preserve">түрде </w:t>
            </w:r>
            <w:r w:rsidR="00934A6A" w:rsidRPr="00DB4832">
              <w:rPr>
                <w:lang w:val="kk-KZ"/>
              </w:rPr>
              <w:t>тарту қажет</w:t>
            </w:r>
            <w:r w:rsidR="00934A6A">
              <w:rPr>
                <w:lang w:val="kk-KZ"/>
              </w:rPr>
              <w:t>.</w:t>
            </w:r>
          </w:p>
          <w:p w:rsidR="00934A6A" w:rsidRPr="00DB4832" w:rsidRDefault="00934A6A" w:rsidP="00934A6A">
            <w:pPr>
              <w:jc w:val="both"/>
              <w:rPr>
                <w:lang w:val="kk-KZ"/>
              </w:rPr>
            </w:pPr>
          </w:p>
          <w:p w:rsidR="00934A6A" w:rsidRPr="00DB4832" w:rsidRDefault="00934A6A" w:rsidP="00934A6A">
            <w:pPr>
              <w:jc w:val="both"/>
              <w:rPr>
                <w:lang w:val="kk-KZ"/>
              </w:rPr>
            </w:pPr>
          </w:p>
          <w:p w:rsidR="00934A6A" w:rsidRPr="00DB4832" w:rsidRDefault="00934A6A" w:rsidP="00934A6A">
            <w:pPr>
              <w:jc w:val="both"/>
              <w:rPr>
                <w:lang w:val="kk-KZ"/>
              </w:rPr>
            </w:pPr>
          </w:p>
        </w:tc>
        <w:tc>
          <w:tcPr>
            <w:tcW w:w="993" w:type="dxa"/>
          </w:tcPr>
          <w:p w:rsidR="00934A6A" w:rsidRPr="00DB4832" w:rsidRDefault="00934A6A" w:rsidP="00934A6A">
            <w:pPr>
              <w:jc w:val="center"/>
              <w:rPr>
                <w:lang w:val="kk-KZ"/>
              </w:rPr>
            </w:pPr>
            <w:r w:rsidRPr="00DB4832">
              <w:rPr>
                <w:lang w:val="kk-KZ"/>
              </w:rPr>
              <w:lastRenderedPageBreak/>
              <w:t>2023 ж</w:t>
            </w:r>
            <w:r>
              <w:rPr>
                <w:lang w:val="kk-KZ"/>
              </w:rPr>
              <w:t>ыл</w:t>
            </w:r>
            <w:r w:rsidRPr="00DB4832">
              <w:rPr>
                <w:lang w:val="kk-KZ"/>
              </w:rPr>
              <w:t xml:space="preserve"> –</w:t>
            </w:r>
          </w:p>
          <w:p w:rsidR="00934A6A" w:rsidRPr="00DB4832" w:rsidRDefault="00934A6A" w:rsidP="00934A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Pr="00DB4832">
              <w:rPr>
                <w:lang w:val="kk-KZ"/>
              </w:rPr>
              <w:t>5</w:t>
            </w:r>
            <w:r>
              <w:rPr>
                <w:lang w:val="kk-KZ"/>
              </w:rPr>
              <w:t> </w:t>
            </w:r>
            <w:r w:rsidRPr="00DB4832">
              <w:rPr>
                <w:lang w:val="kk-KZ"/>
              </w:rPr>
              <w:t>175</w:t>
            </w:r>
            <w:r>
              <w:rPr>
                <w:lang w:val="kk-KZ"/>
              </w:rPr>
              <w:t xml:space="preserve"> </w:t>
            </w:r>
            <w:r w:rsidRPr="00DB4832">
              <w:rPr>
                <w:lang w:val="kk-KZ"/>
              </w:rPr>
              <w:t>мың т</w:t>
            </w:r>
            <w:r>
              <w:rPr>
                <w:lang w:val="kk-KZ"/>
              </w:rPr>
              <w:t>г</w:t>
            </w:r>
          </w:p>
          <w:p w:rsidR="00934A6A" w:rsidRPr="00DB4832" w:rsidRDefault="00934A6A" w:rsidP="00934A6A">
            <w:pPr>
              <w:jc w:val="center"/>
              <w:rPr>
                <w:lang w:val="kk-KZ"/>
              </w:rPr>
            </w:pPr>
          </w:p>
          <w:p w:rsidR="00934A6A" w:rsidRPr="00DB4832" w:rsidRDefault="00934A6A" w:rsidP="00934A6A">
            <w:pPr>
              <w:jc w:val="center"/>
              <w:rPr>
                <w:lang w:val="kk-KZ"/>
              </w:rPr>
            </w:pPr>
            <w:r w:rsidRPr="00DB4832">
              <w:rPr>
                <w:lang w:val="kk-KZ"/>
              </w:rPr>
              <w:lastRenderedPageBreak/>
              <w:t>2024 ж</w:t>
            </w:r>
            <w:r>
              <w:rPr>
                <w:lang w:val="kk-KZ"/>
              </w:rPr>
              <w:t>ыл</w:t>
            </w:r>
            <w:r w:rsidRPr="00DB4832">
              <w:rPr>
                <w:lang w:val="kk-KZ"/>
              </w:rPr>
              <w:t xml:space="preserve"> –</w:t>
            </w:r>
          </w:p>
          <w:p w:rsidR="00934A6A" w:rsidRPr="00DB4832" w:rsidRDefault="00934A6A" w:rsidP="00934A6A">
            <w:pPr>
              <w:jc w:val="center"/>
              <w:rPr>
                <w:lang w:val="kk-KZ"/>
              </w:rPr>
            </w:pPr>
            <w:r w:rsidRPr="00DB4832">
              <w:rPr>
                <w:lang w:val="kk-KZ"/>
              </w:rPr>
              <w:t>35</w:t>
            </w:r>
            <w:r>
              <w:rPr>
                <w:lang w:val="kk-KZ"/>
              </w:rPr>
              <w:t> </w:t>
            </w:r>
            <w:r w:rsidRPr="00DB4832">
              <w:rPr>
                <w:lang w:val="kk-KZ"/>
              </w:rPr>
              <w:t>175</w:t>
            </w:r>
            <w:r>
              <w:rPr>
                <w:lang w:val="kk-KZ"/>
              </w:rPr>
              <w:t xml:space="preserve"> </w:t>
            </w:r>
            <w:r w:rsidRPr="00DB4832">
              <w:rPr>
                <w:lang w:val="kk-KZ"/>
              </w:rPr>
              <w:t>мың т</w:t>
            </w:r>
            <w:r>
              <w:rPr>
                <w:lang w:val="kk-KZ"/>
              </w:rPr>
              <w:t>г</w:t>
            </w:r>
          </w:p>
          <w:p w:rsidR="00934A6A" w:rsidRPr="00DB4832" w:rsidRDefault="00934A6A" w:rsidP="00934A6A">
            <w:pPr>
              <w:jc w:val="center"/>
              <w:rPr>
                <w:lang w:val="kk-KZ"/>
              </w:rPr>
            </w:pPr>
          </w:p>
          <w:p w:rsidR="00934A6A" w:rsidRDefault="00934A6A" w:rsidP="00934A6A">
            <w:pPr>
              <w:jc w:val="both"/>
              <w:rPr>
                <w:lang w:val="kk-KZ"/>
              </w:rPr>
            </w:pPr>
            <w:r w:rsidRPr="00DB4832">
              <w:rPr>
                <w:lang w:val="kk-KZ"/>
              </w:rPr>
              <w:t>2025 ж</w:t>
            </w:r>
            <w:r>
              <w:rPr>
                <w:lang w:val="kk-KZ"/>
              </w:rPr>
              <w:t>ыл</w:t>
            </w:r>
            <w:r w:rsidRPr="00DB4832">
              <w:rPr>
                <w:lang w:val="kk-KZ"/>
              </w:rPr>
              <w:t xml:space="preserve"> </w:t>
            </w:r>
            <w:r>
              <w:rPr>
                <w:lang w:val="kk-KZ"/>
              </w:rPr>
              <w:t>–</w:t>
            </w:r>
            <w:r w:rsidRPr="00DB4832">
              <w:rPr>
                <w:lang w:val="kk-KZ"/>
              </w:rPr>
              <w:t xml:space="preserve"> </w:t>
            </w:r>
          </w:p>
          <w:p w:rsidR="00934A6A" w:rsidRPr="00DB4832" w:rsidRDefault="00934A6A" w:rsidP="00934A6A">
            <w:pPr>
              <w:jc w:val="center"/>
              <w:rPr>
                <w:lang w:val="kk-KZ"/>
              </w:rPr>
            </w:pPr>
            <w:r w:rsidRPr="00DB4832">
              <w:rPr>
                <w:lang w:val="kk-KZ"/>
              </w:rPr>
              <w:t>30</w:t>
            </w:r>
            <w:r>
              <w:rPr>
                <w:lang w:val="kk-KZ"/>
              </w:rPr>
              <w:t xml:space="preserve"> </w:t>
            </w:r>
            <w:r w:rsidRPr="00DB4832">
              <w:rPr>
                <w:lang w:val="kk-KZ"/>
              </w:rPr>
              <w:t>079</w:t>
            </w:r>
            <w:r>
              <w:rPr>
                <w:lang w:val="kk-KZ"/>
              </w:rPr>
              <w:t xml:space="preserve"> </w:t>
            </w:r>
            <w:r w:rsidRPr="00DB4832">
              <w:rPr>
                <w:lang w:val="kk-KZ"/>
              </w:rPr>
              <w:t>мың т</w:t>
            </w:r>
            <w:r>
              <w:rPr>
                <w:lang w:val="kk-KZ"/>
              </w:rPr>
              <w:t>г</w:t>
            </w:r>
          </w:p>
        </w:tc>
        <w:tc>
          <w:tcPr>
            <w:tcW w:w="567" w:type="dxa"/>
          </w:tcPr>
          <w:p w:rsidR="00934A6A" w:rsidRPr="00DB4832" w:rsidRDefault="00934A6A" w:rsidP="00934A6A">
            <w:pPr>
              <w:jc w:val="center"/>
              <w:rPr>
                <w:lang w:val="kk-KZ"/>
              </w:rPr>
            </w:pPr>
            <w:r w:rsidRPr="00DB4832">
              <w:rPr>
                <w:lang w:val="kk-KZ"/>
              </w:rPr>
              <w:lastRenderedPageBreak/>
              <w:t xml:space="preserve">1 ұзақ мерзімді </w:t>
            </w:r>
            <w:r w:rsidRPr="00DB4832">
              <w:rPr>
                <w:lang w:val="kk-KZ"/>
              </w:rPr>
              <w:lastRenderedPageBreak/>
              <w:t>грант</w:t>
            </w:r>
          </w:p>
          <w:p w:rsidR="00934A6A" w:rsidRPr="00DB4832" w:rsidRDefault="00934A6A" w:rsidP="00934A6A">
            <w:pPr>
              <w:jc w:val="center"/>
              <w:rPr>
                <w:lang w:val="kk-KZ"/>
              </w:rPr>
            </w:pPr>
          </w:p>
          <w:p w:rsidR="00934A6A" w:rsidRPr="00DB4832" w:rsidRDefault="00934A6A" w:rsidP="00934A6A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</w:tcPr>
          <w:p w:rsidR="00934A6A" w:rsidRPr="00DB4832" w:rsidRDefault="00934A6A" w:rsidP="00934A6A">
            <w:pPr>
              <w:jc w:val="both"/>
              <w:rPr>
                <w:b/>
                <w:lang w:val="kk-KZ"/>
              </w:rPr>
            </w:pPr>
            <w:r w:rsidRPr="00DB4832">
              <w:rPr>
                <w:b/>
                <w:lang w:val="kk-KZ"/>
              </w:rPr>
              <w:lastRenderedPageBreak/>
              <w:t>Нысаналы индикатор:</w:t>
            </w:r>
          </w:p>
          <w:p w:rsidR="00934A6A" w:rsidRPr="00535815" w:rsidRDefault="00934A6A" w:rsidP="00934A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</w:t>
            </w:r>
            <w:r w:rsidRPr="00DB4832">
              <w:rPr>
                <w:lang w:val="kk-KZ"/>
              </w:rPr>
              <w:t xml:space="preserve">азақстандық ҮЕҰ-ның Қазақстан </w:t>
            </w:r>
            <w:r w:rsidRPr="00DB4832">
              <w:rPr>
                <w:lang w:val="kk-KZ"/>
              </w:rPr>
              <w:lastRenderedPageBreak/>
              <w:t>халқы Ассамблеясы құрылымдарымен өзара іс-қимыл</w:t>
            </w:r>
            <w:r w:rsidR="00C928CC">
              <w:rPr>
                <w:lang w:val="kk-KZ"/>
              </w:rPr>
              <w:t xml:space="preserve"> жасасу</w:t>
            </w:r>
            <w:r w:rsidRPr="00DB4832">
              <w:rPr>
                <w:lang w:val="kk-KZ"/>
              </w:rPr>
              <w:t xml:space="preserve">ын жандандыру </w:t>
            </w:r>
            <w:r w:rsidRPr="00535815">
              <w:rPr>
                <w:lang w:val="kk-KZ"/>
              </w:rPr>
              <w:t>(</w:t>
            </w:r>
            <w:r w:rsidR="00C928CC" w:rsidRPr="0065413F">
              <w:rPr>
                <w:i/>
                <w:lang w:val="kk-KZ"/>
              </w:rPr>
              <w:t>этномәдени бірлестіктерден басқа</w:t>
            </w:r>
            <w:r w:rsidR="004B3C31">
              <w:rPr>
                <w:i/>
                <w:lang w:val="kk-KZ"/>
              </w:rPr>
              <w:t xml:space="preserve">, </w:t>
            </w:r>
            <w:r>
              <w:rPr>
                <w:lang w:val="kk-KZ"/>
              </w:rPr>
              <w:t xml:space="preserve">жыл сайын </w:t>
            </w:r>
            <w:r w:rsidRPr="00535815">
              <w:rPr>
                <w:lang w:val="kk-KZ"/>
              </w:rPr>
              <w:t>кемінде 100 ұйымды тарту</w:t>
            </w:r>
            <w:r w:rsidR="004B3C31">
              <w:rPr>
                <w:lang w:val="kk-KZ"/>
              </w:rPr>
              <w:t>)</w:t>
            </w:r>
            <w:r w:rsidRPr="00535815">
              <w:rPr>
                <w:lang w:val="kk-KZ"/>
              </w:rPr>
              <w:t xml:space="preserve">, </w:t>
            </w:r>
          </w:p>
          <w:p w:rsidR="00934A6A" w:rsidRPr="00DB4832" w:rsidRDefault="00934A6A" w:rsidP="00934A6A">
            <w:pPr>
              <w:jc w:val="both"/>
              <w:rPr>
                <w:b/>
                <w:lang w:val="kk-KZ"/>
              </w:rPr>
            </w:pPr>
            <w:r w:rsidRPr="00DB4832">
              <w:rPr>
                <w:b/>
                <w:lang w:val="kk-KZ"/>
              </w:rPr>
              <w:t>Күтілетін нәтиже:</w:t>
            </w:r>
          </w:p>
          <w:p w:rsidR="00934A6A" w:rsidRPr="00DB4832" w:rsidRDefault="00934A6A" w:rsidP="00934A6A">
            <w:pPr>
              <w:jc w:val="both"/>
              <w:rPr>
                <w:lang w:val="kk-KZ"/>
              </w:rPr>
            </w:pPr>
            <w:r w:rsidRPr="00DB4832">
              <w:rPr>
                <w:lang w:val="kk-KZ"/>
              </w:rPr>
              <w:t xml:space="preserve">1. </w:t>
            </w:r>
            <w:r>
              <w:rPr>
                <w:lang w:val="kk-KZ"/>
              </w:rPr>
              <w:t>Э</w:t>
            </w:r>
            <w:r w:rsidRPr="00DB4832">
              <w:rPr>
                <w:lang w:val="kk-KZ"/>
              </w:rPr>
              <w:t xml:space="preserve">тносаралық келісімді нығайту </w:t>
            </w:r>
            <w:r w:rsidR="004B3C31">
              <w:rPr>
                <w:lang w:val="kk-KZ"/>
              </w:rPr>
              <w:t xml:space="preserve">бойынша </w:t>
            </w:r>
            <w:r w:rsidRPr="00DB4832">
              <w:rPr>
                <w:lang w:val="kk-KZ"/>
              </w:rPr>
              <w:t>азаматтық қоғам институттарымен тиімді өзара іс-қимыл жаса</w:t>
            </w:r>
            <w:r w:rsidR="004B3C31">
              <w:rPr>
                <w:lang w:val="kk-KZ"/>
              </w:rPr>
              <w:t>с</w:t>
            </w:r>
            <w:r w:rsidRPr="00DB4832">
              <w:rPr>
                <w:lang w:val="kk-KZ"/>
              </w:rPr>
              <w:t>у үшін жағдайлар жасау.</w:t>
            </w:r>
          </w:p>
          <w:p w:rsidR="00934A6A" w:rsidRPr="00DB4832" w:rsidRDefault="00934A6A" w:rsidP="00934A6A">
            <w:pPr>
              <w:jc w:val="both"/>
              <w:rPr>
                <w:lang w:val="kk-KZ"/>
              </w:rPr>
            </w:pPr>
            <w:r w:rsidRPr="00DB4832">
              <w:rPr>
                <w:lang w:val="kk-KZ"/>
              </w:rPr>
              <w:t>2. Қазақстандық ҮЕҰ-ның ҚХА құрылымдарымен өзара іс-қимыл</w:t>
            </w:r>
            <w:r w:rsidR="004B3C31">
              <w:rPr>
                <w:lang w:val="kk-KZ"/>
              </w:rPr>
              <w:t xml:space="preserve"> жасасу</w:t>
            </w:r>
            <w:r w:rsidRPr="00DB4832">
              <w:rPr>
                <w:lang w:val="kk-KZ"/>
              </w:rPr>
              <w:t xml:space="preserve">ын дамыту, этносаралық келісімді, қоғамды интеграциялауды, қоғамдық сананы жаңғыртуды қамтамасыз етуге бағытталған ҚХА қызметіне </w:t>
            </w:r>
            <w:r w:rsidR="004B3C31" w:rsidRPr="00DB4832">
              <w:rPr>
                <w:lang w:val="kk-KZ"/>
              </w:rPr>
              <w:lastRenderedPageBreak/>
              <w:t xml:space="preserve">ҮЕҰ-ны </w:t>
            </w:r>
            <w:r w:rsidRPr="00DB4832">
              <w:rPr>
                <w:lang w:val="kk-KZ"/>
              </w:rPr>
              <w:t>тарту.</w:t>
            </w:r>
          </w:p>
          <w:p w:rsidR="00934A6A" w:rsidRDefault="00934A6A" w:rsidP="00934A6A">
            <w:pPr>
              <w:jc w:val="both"/>
              <w:rPr>
                <w:lang w:val="kk-KZ"/>
              </w:rPr>
            </w:pPr>
            <w:r w:rsidRPr="00DB4832">
              <w:rPr>
                <w:lang w:val="kk-KZ"/>
              </w:rPr>
              <w:t xml:space="preserve">3. </w:t>
            </w:r>
            <w:r w:rsidR="004B3C31">
              <w:rPr>
                <w:lang w:val="kk-KZ"/>
              </w:rPr>
              <w:t>А</w:t>
            </w:r>
            <w:r w:rsidR="004B3C31" w:rsidRPr="00DB4832">
              <w:rPr>
                <w:lang w:val="kk-KZ"/>
              </w:rPr>
              <w:t xml:space="preserve">заматтық қоғам институттарын </w:t>
            </w:r>
            <w:r w:rsidR="004B3C31">
              <w:rPr>
                <w:lang w:val="kk-KZ"/>
              </w:rPr>
              <w:t>а</w:t>
            </w:r>
            <w:r w:rsidRPr="00DB4832">
              <w:rPr>
                <w:lang w:val="kk-KZ"/>
              </w:rPr>
              <w:t>қпараттық агенттіктерде, баспа БАҚ-та</w:t>
            </w:r>
            <w:r w:rsidR="004B3C31">
              <w:rPr>
                <w:lang w:val="kk-KZ"/>
              </w:rPr>
              <w:t>рында</w:t>
            </w:r>
            <w:r w:rsidRPr="00DB4832">
              <w:rPr>
                <w:lang w:val="kk-KZ"/>
              </w:rPr>
              <w:t xml:space="preserve">, әлеуметтік желілерде материалдар жариялау түрінде этносаралық келісімді сақтау </w:t>
            </w:r>
            <w:r w:rsidR="004B3C31">
              <w:rPr>
                <w:lang w:val="kk-KZ"/>
              </w:rPr>
              <w:t xml:space="preserve">бойынша </w:t>
            </w:r>
            <w:r w:rsidRPr="00DB4832">
              <w:rPr>
                <w:lang w:val="kk-KZ"/>
              </w:rPr>
              <w:t>ақпараттық-түсіндіру жұмыстарына белсенді</w:t>
            </w:r>
            <w:r w:rsidR="004B3C31">
              <w:rPr>
                <w:lang w:val="kk-KZ"/>
              </w:rPr>
              <w:t xml:space="preserve"> түрде</w:t>
            </w:r>
            <w:r w:rsidRPr="00DB4832">
              <w:rPr>
                <w:lang w:val="kk-KZ"/>
              </w:rPr>
              <w:t xml:space="preserve"> тарту. </w:t>
            </w:r>
          </w:p>
          <w:p w:rsidR="00934A6A" w:rsidRDefault="00934A6A" w:rsidP="00934A6A">
            <w:pPr>
              <w:jc w:val="both"/>
              <w:rPr>
                <w:lang w:val="kk-KZ"/>
              </w:rPr>
            </w:pPr>
            <w:r w:rsidRPr="005348F7">
              <w:rPr>
                <w:lang w:val="kk-KZ"/>
              </w:rPr>
              <w:t xml:space="preserve">Сондай-ақ </w:t>
            </w:r>
            <w:r w:rsidR="004B3C31">
              <w:rPr>
                <w:lang w:val="kk-KZ"/>
              </w:rPr>
              <w:t>аталған</w:t>
            </w:r>
            <w:r w:rsidR="004B3C31" w:rsidRPr="005348F7">
              <w:rPr>
                <w:lang w:val="kk-KZ"/>
              </w:rPr>
              <w:t xml:space="preserve"> </w:t>
            </w:r>
            <w:r w:rsidRPr="005348F7">
              <w:rPr>
                <w:lang w:val="kk-KZ"/>
              </w:rPr>
              <w:t xml:space="preserve">бағыт бойынша </w:t>
            </w:r>
            <w:r w:rsidR="004B3C31">
              <w:rPr>
                <w:lang w:val="kk-KZ"/>
              </w:rPr>
              <w:t>м</w:t>
            </w:r>
            <w:r w:rsidRPr="005348F7">
              <w:rPr>
                <w:lang w:val="kk-KZ"/>
              </w:rPr>
              <w:t>инистрліктің аккаунттарына қолдау көрсету және ілгерілету.</w:t>
            </w:r>
          </w:p>
          <w:p w:rsidR="00934A6A" w:rsidRPr="00DB4832" w:rsidRDefault="00934A6A" w:rsidP="00934A6A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</w:tcPr>
          <w:p w:rsidR="00934A6A" w:rsidRPr="00DE3566" w:rsidRDefault="004B3C31" w:rsidP="00934A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К</w:t>
            </w:r>
            <w:r w:rsidR="00934A6A">
              <w:rPr>
                <w:lang w:val="kk-KZ"/>
              </w:rPr>
              <w:t>емінде 10 өңірде і</w:t>
            </w:r>
            <w:r w:rsidR="00934A6A" w:rsidRPr="002F0FA0">
              <w:rPr>
                <w:lang w:val="kk-KZ"/>
              </w:rPr>
              <w:t>с-</w:t>
            </w:r>
            <w:r w:rsidR="00934A6A" w:rsidRPr="00DE3566">
              <w:rPr>
                <w:lang w:val="kk-KZ"/>
              </w:rPr>
              <w:t xml:space="preserve">шараларды </w:t>
            </w:r>
            <w:r w:rsidR="00934A6A" w:rsidRPr="00DE3566">
              <w:rPr>
                <w:lang w:val="kk-KZ"/>
              </w:rPr>
              <w:lastRenderedPageBreak/>
              <w:t xml:space="preserve">өткізуге арналған аудиторияның </w:t>
            </w:r>
            <w:r w:rsidR="00934A6A" w:rsidRPr="00DE3566">
              <w:rPr>
                <w:lang w:val="kk-KZ" w:eastAsia="ru-RU"/>
              </w:rPr>
              <w:t xml:space="preserve">(жеке немесе жалға </w:t>
            </w:r>
            <w:r>
              <w:rPr>
                <w:lang w:val="kk-KZ" w:eastAsia="ru-RU"/>
              </w:rPr>
              <w:t>алынған</w:t>
            </w:r>
            <w:r w:rsidRPr="00DE3566">
              <w:rPr>
                <w:lang w:val="kk-KZ" w:eastAsia="ru-RU"/>
              </w:rPr>
              <w:t xml:space="preserve"> </w:t>
            </w:r>
            <w:r w:rsidR="00934A6A" w:rsidRPr="00DE3566">
              <w:rPr>
                <w:lang w:val="kk-KZ" w:eastAsia="ru-RU"/>
              </w:rPr>
              <w:t>үй-жай</w:t>
            </w:r>
            <w:r>
              <w:rPr>
                <w:lang w:val="kk-KZ" w:eastAsia="ru-RU"/>
              </w:rPr>
              <w:t>ының</w:t>
            </w:r>
            <w:r w:rsidR="00934A6A" w:rsidRPr="00DE3566">
              <w:rPr>
                <w:lang w:val="kk-KZ" w:eastAsia="ru-RU"/>
              </w:rPr>
              <w:t xml:space="preserve">) </w:t>
            </w:r>
            <w:r w:rsidR="00934A6A" w:rsidRPr="00DE3566">
              <w:rPr>
                <w:lang w:val="kk-KZ"/>
              </w:rPr>
              <w:t>болуы;</w:t>
            </w:r>
          </w:p>
          <w:p w:rsidR="00934A6A" w:rsidRPr="00DE3566" w:rsidRDefault="00D26ABE" w:rsidP="004B3C31">
            <w:pPr>
              <w:jc w:val="both"/>
              <w:rPr>
                <w:lang w:val="kk-KZ"/>
              </w:rPr>
            </w:pPr>
            <w:r w:rsidRPr="00DE3566">
              <w:rPr>
                <w:lang w:val="kk-KZ"/>
              </w:rPr>
              <w:t xml:space="preserve">Материалдық-техникалық жабдықтың (компьютерлер, принтер, </w:t>
            </w:r>
            <w:r w:rsidR="004B3C31">
              <w:rPr>
                <w:lang w:val="kk-KZ"/>
              </w:rPr>
              <w:t xml:space="preserve">түрлі </w:t>
            </w:r>
            <w:r w:rsidRPr="00DE3566">
              <w:rPr>
                <w:lang w:val="kk-KZ"/>
              </w:rPr>
              <w:t>түсті принтер, сканер,  фотокамера, бейнекамера)</w:t>
            </w:r>
            <w:r w:rsidR="004B3C31">
              <w:rPr>
                <w:lang w:val="kk-KZ"/>
              </w:rPr>
              <w:t xml:space="preserve"> </w:t>
            </w:r>
            <w:r w:rsidR="004B3C31" w:rsidRPr="00DE3566">
              <w:rPr>
                <w:lang w:val="kk-KZ"/>
              </w:rPr>
              <w:t>болуы</w:t>
            </w:r>
            <w:r w:rsidR="00934A6A" w:rsidRPr="00DE3566">
              <w:rPr>
                <w:lang w:val="kk-KZ"/>
              </w:rPr>
              <w:t>.</w:t>
            </w:r>
            <w:r w:rsidR="004B3C31" w:rsidRPr="00DE3566">
              <w:rPr>
                <w:lang w:val="kk-KZ"/>
              </w:rPr>
              <w:t xml:space="preserve"> </w:t>
            </w:r>
          </w:p>
        </w:tc>
      </w:tr>
    </w:tbl>
    <w:p w:rsidR="00880F67" w:rsidRPr="008F01D8" w:rsidRDefault="00880F67" w:rsidP="00880F67">
      <w:pPr>
        <w:ind w:firstLine="709"/>
        <w:contextualSpacing/>
        <w:jc w:val="right"/>
        <w:rPr>
          <w:sz w:val="28"/>
          <w:szCs w:val="28"/>
        </w:rPr>
      </w:pPr>
      <w:r w:rsidRPr="008F01D8">
        <w:rPr>
          <w:sz w:val="28"/>
          <w:szCs w:val="28"/>
        </w:rPr>
        <w:lastRenderedPageBreak/>
        <w:t>»;</w:t>
      </w:r>
    </w:p>
    <w:p w:rsidR="00880F67" w:rsidRPr="008F01D8" w:rsidRDefault="00880F67" w:rsidP="00880F67">
      <w:pPr>
        <w:ind w:firstLine="709"/>
        <w:contextualSpacing/>
        <w:jc w:val="both"/>
        <w:rPr>
          <w:sz w:val="28"/>
          <w:szCs w:val="28"/>
        </w:rPr>
      </w:pPr>
      <w:r w:rsidRPr="008F01D8">
        <w:rPr>
          <w:sz w:val="28"/>
          <w:szCs w:val="28"/>
        </w:rPr>
        <w:t>«</w:t>
      </w:r>
    </w:p>
    <w:tbl>
      <w:tblPr>
        <w:tblStyle w:val="ac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8"/>
        <w:gridCol w:w="2267"/>
        <w:gridCol w:w="2693"/>
        <w:gridCol w:w="993"/>
        <w:gridCol w:w="567"/>
        <w:gridCol w:w="1417"/>
        <w:gridCol w:w="992"/>
      </w:tblGrid>
      <w:tr w:rsidR="00880F67" w:rsidRPr="008F01D8" w:rsidTr="00F8793D">
        <w:trPr>
          <w:trHeight w:val="236"/>
        </w:trPr>
        <w:tc>
          <w:tcPr>
            <w:tcW w:w="568" w:type="dxa"/>
          </w:tcPr>
          <w:p w:rsidR="00880F67" w:rsidRPr="008F01D8" w:rsidRDefault="00880F67" w:rsidP="00880F6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880F67" w:rsidRPr="008F01D8" w:rsidRDefault="00880F67" w:rsidP="00880F67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A07494">
              <w:rPr>
                <w:sz w:val="28"/>
                <w:szCs w:val="28"/>
                <w:lang w:val="kk-KZ"/>
              </w:rPr>
              <w:t>2023 жылға БАРЛЫҒЫ</w:t>
            </w:r>
          </w:p>
        </w:tc>
        <w:tc>
          <w:tcPr>
            <w:tcW w:w="2693" w:type="dxa"/>
          </w:tcPr>
          <w:p w:rsidR="00880F67" w:rsidRPr="008F01D8" w:rsidRDefault="00880F67" w:rsidP="00880F6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80F67" w:rsidRPr="008F01D8" w:rsidRDefault="00F8793D" w:rsidP="00880F67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1755F5">
              <w:rPr>
                <w:sz w:val="28"/>
                <w:szCs w:val="28"/>
                <w:lang w:val="kk-KZ"/>
              </w:rPr>
              <w:t> </w:t>
            </w:r>
            <w:r>
              <w:rPr>
                <w:sz w:val="28"/>
                <w:szCs w:val="28"/>
                <w:lang w:val="kk-KZ"/>
              </w:rPr>
              <w:t>292</w:t>
            </w:r>
            <w:r w:rsidR="001755F5">
              <w:rPr>
                <w:sz w:val="28"/>
                <w:szCs w:val="28"/>
                <w:lang w:val="kk-KZ"/>
              </w:rPr>
              <w:t xml:space="preserve"> </w:t>
            </w:r>
            <w:r w:rsidR="00880F67" w:rsidRPr="00880F67">
              <w:rPr>
                <w:sz w:val="28"/>
                <w:szCs w:val="28"/>
                <w:lang w:val="kk-KZ"/>
              </w:rPr>
              <w:t>751</w:t>
            </w:r>
          </w:p>
        </w:tc>
        <w:tc>
          <w:tcPr>
            <w:tcW w:w="567" w:type="dxa"/>
          </w:tcPr>
          <w:p w:rsidR="00880F67" w:rsidRPr="008F01D8" w:rsidRDefault="00880F67" w:rsidP="00880F67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80F67" w:rsidRPr="008F01D8" w:rsidRDefault="00880F67" w:rsidP="00880F6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80F67" w:rsidRPr="008F01D8" w:rsidRDefault="00880F67" w:rsidP="00880F67">
            <w:pPr>
              <w:contextualSpacing/>
              <w:rPr>
                <w:sz w:val="28"/>
                <w:szCs w:val="28"/>
              </w:rPr>
            </w:pPr>
          </w:p>
        </w:tc>
      </w:tr>
    </w:tbl>
    <w:p w:rsidR="00880F67" w:rsidRPr="008F01D8" w:rsidRDefault="00880F67" w:rsidP="00880F67">
      <w:pPr>
        <w:ind w:firstLine="709"/>
        <w:contextualSpacing/>
        <w:jc w:val="right"/>
        <w:rPr>
          <w:sz w:val="28"/>
          <w:szCs w:val="28"/>
        </w:rPr>
      </w:pPr>
      <w:r w:rsidRPr="008F01D8">
        <w:rPr>
          <w:sz w:val="28"/>
          <w:szCs w:val="28"/>
        </w:rPr>
        <w:t>»</w:t>
      </w:r>
    </w:p>
    <w:p w:rsidR="00880F67" w:rsidRPr="00880F67" w:rsidRDefault="00880F67" w:rsidP="00880F67">
      <w:pPr>
        <w:ind w:firstLine="709"/>
        <w:contextualSpacing/>
        <w:jc w:val="both"/>
        <w:rPr>
          <w:sz w:val="28"/>
          <w:szCs w:val="28"/>
          <w:lang w:val="ru-RU"/>
        </w:rPr>
      </w:pPr>
      <w:proofErr w:type="spellStart"/>
      <w:r w:rsidRPr="00880F67">
        <w:rPr>
          <w:sz w:val="28"/>
          <w:szCs w:val="28"/>
          <w:lang w:val="ru-RU"/>
        </w:rPr>
        <w:t>деген</w:t>
      </w:r>
      <w:proofErr w:type="spellEnd"/>
      <w:r w:rsidRPr="00880F67">
        <w:rPr>
          <w:sz w:val="28"/>
          <w:szCs w:val="28"/>
          <w:lang w:val="ru-RU"/>
        </w:rPr>
        <w:t xml:space="preserve"> </w:t>
      </w:r>
      <w:proofErr w:type="spellStart"/>
      <w:r w:rsidRPr="00880F67">
        <w:rPr>
          <w:sz w:val="28"/>
          <w:szCs w:val="28"/>
          <w:lang w:val="ru-RU"/>
        </w:rPr>
        <w:t>жол</w:t>
      </w:r>
      <w:proofErr w:type="spellEnd"/>
      <w:r w:rsidRPr="00880F67">
        <w:rPr>
          <w:sz w:val="28"/>
          <w:szCs w:val="28"/>
          <w:lang w:val="ru-RU"/>
        </w:rPr>
        <w:t xml:space="preserve"> </w:t>
      </w:r>
      <w:proofErr w:type="spellStart"/>
      <w:r w:rsidRPr="00880F67">
        <w:rPr>
          <w:sz w:val="28"/>
          <w:szCs w:val="28"/>
          <w:lang w:val="ru-RU"/>
        </w:rPr>
        <w:t>мынадай</w:t>
      </w:r>
      <w:proofErr w:type="spellEnd"/>
      <w:r w:rsidRPr="00880F67">
        <w:rPr>
          <w:sz w:val="28"/>
          <w:szCs w:val="28"/>
          <w:lang w:val="ru-RU"/>
        </w:rPr>
        <w:t xml:space="preserve"> </w:t>
      </w:r>
      <w:proofErr w:type="spellStart"/>
      <w:r w:rsidRPr="00880F67">
        <w:rPr>
          <w:sz w:val="28"/>
          <w:szCs w:val="28"/>
          <w:lang w:val="ru-RU"/>
        </w:rPr>
        <w:t>редакцияда</w:t>
      </w:r>
      <w:proofErr w:type="spellEnd"/>
      <w:r w:rsidRPr="00880F67">
        <w:rPr>
          <w:sz w:val="28"/>
          <w:szCs w:val="28"/>
          <w:lang w:val="ru-RU"/>
        </w:rPr>
        <w:t xml:space="preserve"> </w:t>
      </w:r>
      <w:proofErr w:type="spellStart"/>
      <w:r w:rsidRPr="00880F67">
        <w:rPr>
          <w:sz w:val="28"/>
          <w:szCs w:val="28"/>
          <w:lang w:val="ru-RU"/>
        </w:rPr>
        <w:t>жазылсын</w:t>
      </w:r>
      <w:proofErr w:type="spellEnd"/>
      <w:r w:rsidRPr="00880F67">
        <w:rPr>
          <w:sz w:val="28"/>
          <w:szCs w:val="28"/>
          <w:lang w:val="ru-RU"/>
        </w:rPr>
        <w:t>:</w:t>
      </w:r>
    </w:p>
    <w:p w:rsidR="00880F67" w:rsidRPr="008F01D8" w:rsidRDefault="00880F67" w:rsidP="00880F67">
      <w:pPr>
        <w:ind w:firstLine="709"/>
        <w:contextualSpacing/>
        <w:jc w:val="both"/>
        <w:rPr>
          <w:sz w:val="28"/>
          <w:szCs w:val="28"/>
        </w:rPr>
      </w:pPr>
      <w:r w:rsidRPr="008F01D8">
        <w:rPr>
          <w:sz w:val="28"/>
          <w:szCs w:val="28"/>
        </w:rPr>
        <w:t>«</w:t>
      </w:r>
    </w:p>
    <w:tbl>
      <w:tblPr>
        <w:tblStyle w:val="ac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8"/>
        <w:gridCol w:w="2267"/>
        <w:gridCol w:w="2693"/>
        <w:gridCol w:w="993"/>
        <w:gridCol w:w="567"/>
        <w:gridCol w:w="1417"/>
        <w:gridCol w:w="992"/>
      </w:tblGrid>
      <w:tr w:rsidR="00880F67" w:rsidRPr="008F01D8" w:rsidTr="00F8793D">
        <w:trPr>
          <w:trHeight w:val="236"/>
        </w:trPr>
        <w:tc>
          <w:tcPr>
            <w:tcW w:w="568" w:type="dxa"/>
          </w:tcPr>
          <w:p w:rsidR="00880F67" w:rsidRPr="008F01D8" w:rsidRDefault="00880F67" w:rsidP="00880F6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880F67" w:rsidRPr="008F01D8" w:rsidRDefault="00880F67" w:rsidP="00880F67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A07494">
              <w:rPr>
                <w:sz w:val="28"/>
                <w:szCs w:val="28"/>
                <w:lang w:val="kk-KZ"/>
              </w:rPr>
              <w:t>2023 жылға БАРЛЫҒЫ</w:t>
            </w:r>
          </w:p>
        </w:tc>
        <w:tc>
          <w:tcPr>
            <w:tcW w:w="2693" w:type="dxa"/>
          </w:tcPr>
          <w:p w:rsidR="00880F67" w:rsidRPr="008F01D8" w:rsidRDefault="00880F67" w:rsidP="00880F6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80F67" w:rsidRPr="008F01D8" w:rsidRDefault="005736CF" w:rsidP="00880F67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1 262 867</w:t>
            </w:r>
          </w:p>
        </w:tc>
        <w:tc>
          <w:tcPr>
            <w:tcW w:w="567" w:type="dxa"/>
          </w:tcPr>
          <w:p w:rsidR="00880F67" w:rsidRPr="008F01D8" w:rsidRDefault="00880F67" w:rsidP="00880F67">
            <w:pPr>
              <w:tabs>
                <w:tab w:val="left" w:pos="0"/>
                <w:tab w:val="left" w:pos="34"/>
                <w:tab w:val="left" w:pos="175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80F67" w:rsidRPr="008F01D8" w:rsidRDefault="00880F67" w:rsidP="00880F6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80F67" w:rsidRPr="008F01D8" w:rsidRDefault="00880F67" w:rsidP="00880F67">
            <w:pPr>
              <w:contextualSpacing/>
              <w:rPr>
                <w:sz w:val="28"/>
                <w:szCs w:val="28"/>
              </w:rPr>
            </w:pPr>
          </w:p>
        </w:tc>
      </w:tr>
    </w:tbl>
    <w:p w:rsidR="00B41380" w:rsidRPr="00B41380" w:rsidRDefault="00B41380" w:rsidP="00B41380">
      <w:pPr>
        <w:ind w:firstLine="709"/>
        <w:contextualSpacing/>
        <w:jc w:val="right"/>
        <w:rPr>
          <w:sz w:val="28"/>
          <w:szCs w:val="28"/>
          <w:lang w:val="ru-RU"/>
        </w:rPr>
      </w:pPr>
      <w:r w:rsidRPr="008F01D8"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>.</w:t>
      </w:r>
    </w:p>
    <w:p w:rsidR="00880F67" w:rsidRPr="004777EE" w:rsidRDefault="00880F67" w:rsidP="006D6D62">
      <w:pPr>
        <w:ind w:firstLine="709"/>
        <w:jc w:val="both"/>
        <w:rPr>
          <w:sz w:val="28"/>
          <w:lang w:val="kk-KZ"/>
        </w:rPr>
      </w:pPr>
    </w:p>
    <w:p w:rsidR="00C0031F" w:rsidRPr="0065647C" w:rsidRDefault="00C0031F" w:rsidP="00C0031F">
      <w:pPr>
        <w:pStyle w:val="a5"/>
        <w:numPr>
          <w:ilvl w:val="0"/>
          <w:numId w:val="9"/>
        </w:numPr>
        <w:tabs>
          <w:tab w:val="left" w:pos="709"/>
          <w:tab w:val="left" w:pos="1276"/>
          <w:tab w:val="left" w:pos="1418"/>
        </w:tabs>
        <w:autoSpaceDE/>
        <w:autoSpaceDN/>
        <w:ind w:left="0" w:firstLine="709"/>
        <w:jc w:val="both"/>
        <w:rPr>
          <w:sz w:val="28"/>
          <w:lang w:val="kk-KZ"/>
        </w:rPr>
      </w:pPr>
      <w:r w:rsidRPr="0065647C">
        <w:rPr>
          <w:sz w:val="28"/>
          <w:lang w:val="kk-KZ"/>
        </w:rPr>
        <w:t xml:space="preserve">Қазақстан Республикасы Ақпарат және қоғамдық даму министрлігінің </w:t>
      </w:r>
      <w:r>
        <w:rPr>
          <w:rFonts w:eastAsiaTheme="minorHAnsi" w:cstheme="minorBidi"/>
          <w:sz w:val="28"/>
          <w:lang w:val="kk-KZ"/>
        </w:rPr>
        <w:t xml:space="preserve">Азаматтық қоғам істері, </w:t>
      </w:r>
      <w:r w:rsidR="00880F67">
        <w:rPr>
          <w:rFonts w:eastAsiaTheme="minorHAnsi" w:cstheme="minorBidi"/>
          <w:sz w:val="28"/>
          <w:lang w:val="kk-KZ"/>
        </w:rPr>
        <w:t>Дін</w:t>
      </w:r>
      <w:r>
        <w:rPr>
          <w:rFonts w:eastAsiaTheme="minorHAnsi" w:cstheme="minorBidi"/>
          <w:sz w:val="28"/>
          <w:lang w:val="kk-KZ"/>
        </w:rPr>
        <w:t xml:space="preserve"> істері</w:t>
      </w:r>
      <w:r w:rsidR="00934A6A">
        <w:rPr>
          <w:rFonts w:eastAsiaTheme="minorHAnsi" w:cstheme="minorBidi"/>
          <w:sz w:val="28"/>
          <w:lang w:val="kk-KZ"/>
        </w:rPr>
        <w:t xml:space="preserve">, </w:t>
      </w:r>
      <w:r w:rsidR="00934A6A" w:rsidRPr="00934A6A">
        <w:rPr>
          <w:rFonts w:eastAsiaTheme="minorHAnsi" w:cstheme="minorBidi"/>
          <w:sz w:val="28"/>
          <w:lang w:val="kk-KZ"/>
        </w:rPr>
        <w:t>Этносаралық қатынастарды дамыту</w:t>
      </w:r>
      <w:r>
        <w:rPr>
          <w:rFonts w:eastAsiaTheme="minorHAnsi" w:cstheme="minorBidi"/>
          <w:sz w:val="28"/>
          <w:lang w:val="kk-KZ"/>
        </w:rPr>
        <w:t xml:space="preserve"> </w:t>
      </w:r>
      <w:r>
        <w:rPr>
          <w:rFonts w:eastAsiaTheme="minorHAnsi" w:cstheme="minorBidi"/>
          <w:sz w:val="28"/>
          <w:lang w:val="kk-KZ"/>
        </w:rPr>
        <w:lastRenderedPageBreak/>
        <w:t>комитеттері</w:t>
      </w:r>
      <w:r w:rsidR="003D53D6">
        <w:rPr>
          <w:rFonts w:eastAsiaTheme="minorHAnsi" w:cstheme="minorBidi"/>
          <w:sz w:val="28"/>
          <w:lang w:val="kk-KZ"/>
        </w:rPr>
        <w:t xml:space="preserve"> </w:t>
      </w:r>
      <w:r w:rsidR="006967B0">
        <w:rPr>
          <w:rFonts w:eastAsiaTheme="minorHAnsi" w:cstheme="minorBidi"/>
          <w:sz w:val="28"/>
          <w:lang w:val="kk-KZ"/>
        </w:rPr>
        <w:t xml:space="preserve">және Оператор </w:t>
      </w:r>
      <w:r w:rsidR="00C2087B">
        <w:rPr>
          <w:rFonts w:eastAsiaTheme="minorHAnsi" w:cstheme="minorBidi"/>
          <w:sz w:val="28"/>
          <w:lang w:val="kk-KZ"/>
        </w:rPr>
        <w:t>–</w:t>
      </w:r>
      <w:r w:rsidR="006967B0">
        <w:rPr>
          <w:rFonts w:eastAsiaTheme="minorHAnsi" w:cstheme="minorBidi"/>
          <w:sz w:val="28"/>
          <w:lang w:val="kk-KZ"/>
        </w:rPr>
        <w:t xml:space="preserve"> </w:t>
      </w:r>
      <w:r w:rsidR="00C2087B">
        <w:rPr>
          <w:rFonts w:eastAsiaTheme="minorHAnsi" w:cstheme="minorBidi"/>
          <w:sz w:val="28"/>
          <w:lang w:val="kk-KZ"/>
        </w:rPr>
        <w:t>«</w:t>
      </w:r>
      <w:r w:rsidR="003D53D6" w:rsidRPr="00C0031F">
        <w:rPr>
          <w:rFonts w:eastAsiaTheme="minorHAnsi"/>
          <w:sz w:val="28"/>
          <w:szCs w:val="28"/>
          <w:lang w:val="kk-KZ"/>
        </w:rPr>
        <w:t>Азаматтық бастамаларды қолдау орталығы» коммерциялық емес акционерлік қоғамы</w:t>
      </w:r>
      <w:r>
        <w:rPr>
          <w:rFonts w:eastAsiaTheme="minorHAnsi" w:cstheme="minorBidi"/>
          <w:sz w:val="28"/>
          <w:lang w:val="kk-KZ"/>
        </w:rPr>
        <w:t xml:space="preserve"> Қазақстан Республикасының заңнамасында белгіленген тәртіппен осы бұйрықтан туындайтын өзге де шараларды қабылдауды қамтамасыз етсін.</w:t>
      </w:r>
    </w:p>
    <w:p w:rsidR="00C0031F" w:rsidRPr="0065647C" w:rsidRDefault="003D53D6" w:rsidP="004A1D70">
      <w:pPr>
        <w:tabs>
          <w:tab w:val="left" w:pos="709"/>
        </w:tabs>
        <w:ind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>3</w:t>
      </w:r>
      <w:r w:rsidR="00C0031F" w:rsidRPr="0065647C">
        <w:rPr>
          <w:sz w:val="28"/>
          <w:lang w:val="kk-KZ"/>
        </w:rPr>
        <w:t xml:space="preserve">. Осы бұйрықтың орындалуын бақылау жетекшілік ететін Қазақстан Республикасының Ақпарат және қоғамдық даму вице-министріне жүктелсін. </w:t>
      </w:r>
    </w:p>
    <w:p w:rsidR="00C0031F" w:rsidRPr="0065647C" w:rsidRDefault="003D53D6" w:rsidP="004A1D70">
      <w:pPr>
        <w:tabs>
          <w:tab w:val="left" w:pos="709"/>
        </w:tabs>
        <w:ind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>4</w:t>
      </w:r>
      <w:r w:rsidR="00C0031F" w:rsidRPr="0065647C">
        <w:rPr>
          <w:sz w:val="28"/>
          <w:lang w:val="kk-KZ"/>
        </w:rPr>
        <w:t xml:space="preserve">. Осы бұйрық қол қойылған күнінен бастап күшіне енеді. </w:t>
      </w:r>
    </w:p>
    <w:p w:rsidR="00694B1F" w:rsidRDefault="00C0031F" w:rsidP="004777EE">
      <w:pPr>
        <w:pStyle w:val="a9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Негіздеме</w:t>
      </w:r>
      <w:r w:rsidR="006D6D62" w:rsidRPr="0000188C">
        <w:rPr>
          <w:sz w:val="28"/>
          <w:szCs w:val="28"/>
          <w:lang w:val="kk-KZ"/>
        </w:rPr>
        <w:t xml:space="preserve">: </w:t>
      </w:r>
    </w:p>
    <w:p w:rsidR="00E66950" w:rsidRDefault="004777EE" w:rsidP="00694B1F">
      <w:pPr>
        <w:pStyle w:val="a9"/>
        <w:numPr>
          <w:ilvl w:val="0"/>
          <w:numId w:val="10"/>
        </w:numPr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«Азаматтық бастамаларды </w:t>
      </w:r>
      <w:r w:rsidRPr="004777EE">
        <w:rPr>
          <w:sz w:val="28"/>
          <w:szCs w:val="28"/>
          <w:lang w:val="kk-KZ"/>
        </w:rPr>
        <w:t xml:space="preserve">қолдау орталығы» </w:t>
      </w:r>
      <w:r w:rsidR="004030F8" w:rsidRPr="004030F8">
        <w:rPr>
          <w:sz w:val="28"/>
          <w:szCs w:val="28"/>
          <w:lang w:val="kk-KZ"/>
        </w:rPr>
        <w:t>коммерциялық емес акционерлік қоғамы</w:t>
      </w:r>
      <w:r w:rsidR="004030F8">
        <w:rPr>
          <w:sz w:val="28"/>
          <w:szCs w:val="28"/>
          <w:lang w:val="kk-KZ"/>
        </w:rPr>
        <w:t>ның</w:t>
      </w:r>
      <w:r w:rsidR="00E266F6">
        <w:rPr>
          <w:sz w:val="28"/>
          <w:szCs w:val="28"/>
          <w:lang w:val="kk-KZ"/>
        </w:rPr>
        <w:t xml:space="preserve"> 2023 жылғы 13 сәуірдегі </w:t>
      </w:r>
      <w:r w:rsidR="00C0031F">
        <w:rPr>
          <w:sz w:val="28"/>
          <w:szCs w:val="28"/>
          <w:lang w:val="kk-KZ"/>
        </w:rPr>
        <w:t>№</w:t>
      </w:r>
      <w:r w:rsidR="00C2087B">
        <w:rPr>
          <w:sz w:val="28"/>
          <w:szCs w:val="28"/>
          <w:lang w:val="kk-KZ"/>
        </w:rPr>
        <w:t xml:space="preserve"> </w:t>
      </w:r>
      <w:r w:rsidR="00E266F6" w:rsidRPr="009F2F24">
        <w:rPr>
          <w:sz w:val="28"/>
          <w:szCs w:val="28"/>
          <w:lang w:val="kk-KZ"/>
        </w:rPr>
        <w:t xml:space="preserve">04/27-607 </w:t>
      </w:r>
      <w:r>
        <w:rPr>
          <w:sz w:val="28"/>
          <w:szCs w:val="28"/>
          <w:lang w:val="kk-KZ"/>
        </w:rPr>
        <w:t>хаты</w:t>
      </w:r>
      <w:r w:rsidR="0000188C">
        <w:rPr>
          <w:sz w:val="28"/>
          <w:szCs w:val="28"/>
          <w:lang w:val="kk-KZ"/>
        </w:rPr>
        <w:t>.</w:t>
      </w:r>
    </w:p>
    <w:p w:rsidR="00694B1F" w:rsidRDefault="00694B1F" w:rsidP="00694B1F">
      <w:pPr>
        <w:pStyle w:val="a9"/>
        <w:numPr>
          <w:ilvl w:val="0"/>
          <w:numId w:val="10"/>
        </w:numPr>
        <w:ind w:left="0" w:firstLine="709"/>
        <w:jc w:val="both"/>
        <w:rPr>
          <w:sz w:val="28"/>
          <w:szCs w:val="28"/>
          <w:lang w:val="kk-KZ"/>
        </w:rPr>
      </w:pPr>
      <w:r w:rsidRPr="00694B1F">
        <w:rPr>
          <w:sz w:val="28"/>
          <w:szCs w:val="28"/>
          <w:lang w:val="kk-KZ"/>
        </w:rPr>
        <w:t xml:space="preserve">Этносаралық қатынастарды дамыту комитетінің 2023 жылғы </w:t>
      </w:r>
      <w:r w:rsidR="00866B86">
        <w:rPr>
          <w:sz w:val="28"/>
          <w:szCs w:val="28"/>
          <w:lang w:val="kk-KZ"/>
        </w:rPr>
        <w:t xml:space="preserve">                                             </w:t>
      </w:r>
      <w:r w:rsidRPr="00694B1F">
        <w:rPr>
          <w:sz w:val="28"/>
          <w:szCs w:val="28"/>
          <w:lang w:val="kk-KZ"/>
        </w:rPr>
        <w:t>19 сәуірдегі № 24-01-1-24/079-вн қызметтік жазбасы</w:t>
      </w:r>
      <w:r w:rsidR="00E0414B" w:rsidRPr="00E0414B">
        <w:rPr>
          <w:sz w:val="28"/>
          <w:szCs w:val="28"/>
          <w:lang w:val="kk-KZ"/>
        </w:rPr>
        <w:t>.</w:t>
      </w:r>
    </w:p>
    <w:p w:rsidR="003D095C" w:rsidRPr="00694B1F" w:rsidRDefault="00694B1F" w:rsidP="00694B1F">
      <w:pPr>
        <w:pStyle w:val="a9"/>
        <w:numPr>
          <w:ilvl w:val="0"/>
          <w:numId w:val="10"/>
        </w:numPr>
        <w:ind w:left="0" w:firstLine="709"/>
        <w:jc w:val="both"/>
        <w:rPr>
          <w:sz w:val="28"/>
          <w:szCs w:val="28"/>
          <w:lang w:val="kk-KZ"/>
        </w:rPr>
      </w:pPr>
      <w:r w:rsidRPr="00694B1F">
        <w:rPr>
          <w:sz w:val="28"/>
          <w:szCs w:val="28"/>
          <w:lang w:val="kk-KZ"/>
        </w:rPr>
        <w:t>Дін істері комитетінің 2023 жылғы 14 сәуірдегі</w:t>
      </w:r>
      <w:r>
        <w:rPr>
          <w:sz w:val="28"/>
          <w:szCs w:val="28"/>
          <w:lang w:val="kk-KZ"/>
        </w:rPr>
        <w:t xml:space="preserve"> </w:t>
      </w:r>
      <w:r w:rsidRPr="00694B1F">
        <w:rPr>
          <w:sz w:val="28"/>
          <w:szCs w:val="28"/>
          <w:lang w:val="kk-KZ"/>
        </w:rPr>
        <w:t>№-22-0</w:t>
      </w:r>
      <w:r w:rsidR="00E0414B">
        <w:rPr>
          <w:sz w:val="28"/>
          <w:szCs w:val="28"/>
          <w:lang w:val="kk-KZ"/>
        </w:rPr>
        <w:t>1-1-22/127-вн қызметтік жазбасы.</w:t>
      </w:r>
    </w:p>
    <w:p w:rsidR="00F8793D" w:rsidRDefault="00F8793D" w:rsidP="0000188C">
      <w:pPr>
        <w:pStyle w:val="a9"/>
        <w:jc w:val="both"/>
        <w:rPr>
          <w:sz w:val="28"/>
          <w:szCs w:val="28"/>
          <w:lang w:val="kk-KZ"/>
        </w:rPr>
      </w:pPr>
    </w:p>
    <w:p w:rsidR="008E5653" w:rsidRDefault="008E5653" w:rsidP="0000188C">
      <w:pPr>
        <w:pStyle w:val="a9"/>
        <w:jc w:val="both"/>
        <w:rPr>
          <w:sz w:val="28"/>
          <w:szCs w:val="28"/>
          <w:lang w:val="kk-KZ"/>
        </w:rPr>
      </w:pPr>
    </w:p>
    <w:p w:rsidR="00980412" w:rsidRDefault="00980412" w:rsidP="004A1D70">
      <w:pPr>
        <w:ind w:right="142" w:firstLine="709"/>
        <w:jc w:val="both"/>
        <w:rPr>
          <w:b/>
          <w:sz w:val="28"/>
          <w:szCs w:val="28"/>
          <w:lang w:val="kk-KZ"/>
        </w:rPr>
      </w:pPr>
      <w:r w:rsidRPr="00980412">
        <w:rPr>
          <w:b/>
          <w:sz w:val="28"/>
          <w:szCs w:val="28"/>
          <w:lang w:val="kk-KZ"/>
        </w:rPr>
        <w:t xml:space="preserve">Қазақстан Республикасының </w:t>
      </w:r>
    </w:p>
    <w:p w:rsidR="00980412" w:rsidRDefault="00B41380" w:rsidP="004A1D70">
      <w:pPr>
        <w:ind w:right="142"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</w:t>
      </w:r>
      <w:r w:rsidR="00980412" w:rsidRPr="00980412">
        <w:rPr>
          <w:b/>
          <w:sz w:val="28"/>
          <w:szCs w:val="28"/>
          <w:lang w:val="kk-KZ"/>
        </w:rPr>
        <w:t xml:space="preserve">қпарат және қоғамдық </w:t>
      </w:r>
    </w:p>
    <w:p w:rsidR="00BF0183" w:rsidRPr="004A1D70" w:rsidRDefault="00980412" w:rsidP="004A1D70">
      <w:pPr>
        <w:ind w:right="142" w:firstLine="709"/>
        <w:jc w:val="both"/>
        <w:rPr>
          <w:b/>
          <w:sz w:val="28"/>
          <w:szCs w:val="28"/>
          <w:lang w:val="kk-KZ"/>
        </w:rPr>
      </w:pPr>
      <w:r w:rsidRPr="00980412">
        <w:rPr>
          <w:b/>
          <w:sz w:val="28"/>
          <w:szCs w:val="28"/>
          <w:lang w:val="kk-KZ"/>
        </w:rPr>
        <w:t>даму</w:t>
      </w:r>
      <w:r>
        <w:rPr>
          <w:b/>
          <w:sz w:val="28"/>
          <w:szCs w:val="28"/>
          <w:lang w:val="kk-KZ"/>
        </w:rPr>
        <w:t xml:space="preserve"> </w:t>
      </w:r>
      <w:r w:rsidR="00866B86">
        <w:rPr>
          <w:b/>
          <w:sz w:val="28"/>
          <w:szCs w:val="28"/>
          <w:lang w:val="kk-KZ"/>
        </w:rPr>
        <w:t>м</w:t>
      </w:r>
      <w:r w:rsidR="00187F7B" w:rsidRPr="002E7908">
        <w:rPr>
          <w:b/>
          <w:sz w:val="28"/>
          <w:szCs w:val="28"/>
          <w:lang w:val="kk-KZ"/>
        </w:rPr>
        <w:t>инистр</w:t>
      </w:r>
      <w:r>
        <w:rPr>
          <w:b/>
          <w:sz w:val="28"/>
          <w:szCs w:val="28"/>
          <w:lang w:val="kk-KZ"/>
        </w:rPr>
        <w:t>і</w:t>
      </w:r>
      <w:r w:rsidR="003D095C" w:rsidRPr="002E7908">
        <w:rPr>
          <w:b/>
          <w:sz w:val="28"/>
          <w:szCs w:val="28"/>
          <w:lang w:val="kk-KZ"/>
        </w:rPr>
        <w:t xml:space="preserve">                 </w:t>
      </w:r>
      <w:r w:rsidR="003D095C">
        <w:rPr>
          <w:b/>
          <w:sz w:val="28"/>
          <w:szCs w:val="28"/>
          <w:lang w:val="kk-KZ"/>
        </w:rPr>
        <w:t xml:space="preserve">                           </w:t>
      </w:r>
      <w:r w:rsidR="00187F7B">
        <w:rPr>
          <w:b/>
          <w:sz w:val="28"/>
          <w:szCs w:val="28"/>
          <w:lang w:val="kk-KZ"/>
        </w:rPr>
        <w:t xml:space="preserve">           </w:t>
      </w:r>
      <w:r>
        <w:rPr>
          <w:b/>
          <w:sz w:val="28"/>
          <w:szCs w:val="28"/>
          <w:lang w:val="kk-KZ"/>
        </w:rPr>
        <w:t xml:space="preserve">         </w:t>
      </w:r>
      <w:r w:rsidR="00E66950">
        <w:rPr>
          <w:b/>
          <w:sz w:val="28"/>
          <w:szCs w:val="28"/>
          <w:lang w:val="kk-KZ"/>
        </w:rPr>
        <w:t xml:space="preserve">  </w:t>
      </w:r>
      <w:r w:rsidR="00C2087B">
        <w:rPr>
          <w:b/>
          <w:sz w:val="28"/>
          <w:szCs w:val="28"/>
          <w:lang w:val="kk-KZ"/>
        </w:rPr>
        <w:t xml:space="preserve">   </w:t>
      </w:r>
      <w:r w:rsidR="00E66950">
        <w:rPr>
          <w:b/>
          <w:sz w:val="28"/>
          <w:szCs w:val="28"/>
          <w:lang w:val="kk-KZ"/>
        </w:rPr>
        <w:t xml:space="preserve">  Д. Қыдырәлі</w:t>
      </w:r>
    </w:p>
    <w:sectPr w:rsidR="00BF0183" w:rsidRPr="004A1D70" w:rsidSect="00E66950">
      <w:type w:val="continuous"/>
      <w:pgSz w:w="11910" w:h="16840"/>
      <w:pgMar w:top="284" w:right="851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F8A" w:rsidRDefault="00233F8A" w:rsidP="0024613A">
      <w:r>
        <w:separator/>
      </w:r>
    </w:p>
  </w:endnote>
  <w:endnote w:type="continuationSeparator" w:id="0">
    <w:p w:rsidR="00233F8A" w:rsidRDefault="00233F8A" w:rsidP="0024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F8A" w:rsidRDefault="00233F8A" w:rsidP="0024613A">
      <w:r>
        <w:separator/>
      </w:r>
    </w:p>
  </w:footnote>
  <w:footnote w:type="continuationSeparator" w:id="0">
    <w:p w:rsidR="00233F8A" w:rsidRDefault="00233F8A" w:rsidP="00246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474937"/>
      <w:docPartObj>
        <w:docPartGallery w:val="Page Numbers (Top of Page)"/>
        <w:docPartUnique/>
      </w:docPartObj>
    </w:sdtPr>
    <w:sdtEndPr/>
    <w:sdtContent>
      <w:p w:rsidR="000D6F9B" w:rsidRDefault="00D85910">
        <w:pPr>
          <w:pStyle w:val="aa"/>
          <w:jc w:val="center"/>
        </w:pPr>
        <w:r>
          <w:fldChar w:fldCharType="begin"/>
        </w:r>
        <w:r w:rsidR="000D6F9B">
          <w:instrText>PAGE   \* MERGEFORMAT</w:instrText>
        </w:r>
        <w:r>
          <w:fldChar w:fldCharType="separate"/>
        </w:r>
        <w:r w:rsidR="00D07D5D">
          <w:rPr>
            <w:noProof/>
          </w:rPr>
          <w:t>5</w:t>
        </w:r>
        <w:r>
          <w:fldChar w:fldCharType="end"/>
        </w:r>
      </w:p>
    </w:sdtContent>
  </w:sdt>
  <w:p w:rsidR="000D6F9B" w:rsidRDefault="000D6F9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D5CED"/>
    <w:multiLevelType w:val="hybridMultilevel"/>
    <w:tmpl w:val="993C1BF4"/>
    <w:lvl w:ilvl="0" w:tplc="2B34C8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584A76"/>
    <w:multiLevelType w:val="hybridMultilevel"/>
    <w:tmpl w:val="BE6843F4"/>
    <w:lvl w:ilvl="0" w:tplc="49B0372A">
      <w:start w:val="1"/>
      <w:numFmt w:val="decimal"/>
      <w:lvlText w:val="%1."/>
      <w:lvlJc w:val="left"/>
      <w:pPr>
        <w:ind w:left="1143" w:hanging="435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940D57"/>
    <w:multiLevelType w:val="hybridMultilevel"/>
    <w:tmpl w:val="C5247800"/>
    <w:lvl w:ilvl="0" w:tplc="D0E0967A">
      <w:start w:val="1"/>
      <w:numFmt w:val="decimal"/>
      <w:lvlText w:val="%1."/>
      <w:lvlJc w:val="left"/>
      <w:pPr>
        <w:ind w:left="194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BD02F5F"/>
    <w:multiLevelType w:val="hybridMultilevel"/>
    <w:tmpl w:val="3F9E02E2"/>
    <w:lvl w:ilvl="0" w:tplc="80B28C5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355157"/>
    <w:multiLevelType w:val="hybridMultilevel"/>
    <w:tmpl w:val="55AC359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4FE138D4"/>
    <w:multiLevelType w:val="hybridMultilevel"/>
    <w:tmpl w:val="191C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A79ED"/>
    <w:multiLevelType w:val="multilevel"/>
    <w:tmpl w:val="A7AACD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4D43F0"/>
    <w:multiLevelType w:val="hybridMultilevel"/>
    <w:tmpl w:val="796E0E30"/>
    <w:lvl w:ilvl="0" w:tplc="78D880A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13941"/>
    <w:multiLevelType w:val="hybridMultilevel"/>
    <w:tmpl w:val="7A72C8D8"/>
    <w:lvl w:ilvl="0" w:tplc="487E7B5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B"/>
    <w:rsid w:val="0000188C"/>
    <w:rsid w:val="000048E9"/>
    <w:rsid w:val="00017214"/>
    <w:rsid w:val="00017FFB"/>
    <w:rsid w:val="00034801"/>
    <w:rsid w:val="000352B0"/>
    <w:rsid w:val="000621F8"/>
    <w:rsid w:val="000649B2"/>
    <w:rsid w:val="00067BB2"/>
    <w:rsid w:val="000D6F9B"/>
    <w:rsid w:val="0010321F"/>
    <w:rsid w:val="00113CBB"/>
    <w:rsid w:val="001409F4"/>
    <w:rsid w:val="0014668D"/>
    <w:rsid w:val="00151C0C"/>
    <w:rsid w:val="00156F6D"/>
    <w:rsid w:val="001755F5"/>
    <w:rsid w:val="00184997"/>
    <w:rsid w:val="00187F7B"/>
    <w:rsid w:val="0019358E"/>
    <w:rsid w:val="001A3115"/>
    <w:rsid w:val="001A66AD"/>
    <w:rsid w:val="00203D32"/>
    <w:rsid w:val="00217782"/>
    <w:rsid w:val="002177FA"/>
    <w:rsid w:val="00223E34"/>
    <w:rsid w:val="00230607"/>
    <w:rsid w:val="00233F8A"/>
    <w:rsid w:val="002366E1"/>
    <w:rsid w:val="0024613A"/>
    <w:rsid w:val="00263D6E"/>
    <w:rsid w:val="00282078"/>
    <w:rsid w:val="002B44E4"/>
    <w:rsid w:val="002F6CCD"/>
    <w:rsid w:val="00315AA8"/>
    <w:rsid w:val="003258C2"/>
    <w:rsid w:val="003A48E1"/>
    <w:rsid w:val="003D095C"/>
    <w:rsid w:val="003D39F1"/>
    <w:rsid w:val="003D53D6"/>
    <w:rsid w:val="003E078E"/>
    <w:rsid w:val="004030F8"/>
    <w:rsid w:val="00441617"/>
    <w:rsid w:val="004777EE"/>
    <w:rsid w:val="0049797E"/>
    <w:rsid w:val="004A1D70"/>
    <w:rsid w:val="004A7D45"/>
    <w:rsid w:val="004B3C31"/>
    <w:rsid w:val="004C3B28"/>
    <w:rsid w:val="004F630A"/>
    <w:rsid w:val="00535183"/>
    <w:rsid w:val="00540950"/>
    <w:rsid w:val="00557D87"/>
    <w:rsid w:val="005736CF"/>
    <w:rsid w:val="00574E12"/>
    <w:rsid w:val="00592AF6"/>
    <w:rsid w:val="005A6EC2"/>
    <w:rsid w:val="005A715C"/>
    <w:rsid w:val="005B2414"/>
    <w:rsid w:val="005B6D9D"/>
    <w:rsid w:val="005B7F46"/>
    <w:rsid w:val="005F37E5"/>
    <w:rsid w:val="005F4D88"/>
    <w:rsid w:val="00610AC0"/>
    <w:rsid w:val="00623D35"/>
    <w:rsid w:val="006354CE"/>
    <w:rsid w:val="0065647C"/>
    <w:rsid w:val="00685A23"/>
    <w:rsid w:val="006878C0"/>
    <w:rsid w:val="00694B1F"/>
    <w:rsid w:val="006967B0"/>
    <w:rsid w:val="006A6B92"/>
    <w:rsid w:val="006B342E"/>
    <w:rsid w:val="006C1393"/>
    <w:rsid w:val="006D6D62"/>
    <w:rsid w:val="00701ADF"/>
    <w:rsid w:val="00704310"/>
    <w:rsid w:val="0073496C"/>
    <w:rsid w:val="00764C69"/>
    <w:rsid w:val="007B40F8"/>
    <w:rsid w:val="007B4B00"/>
    <w:rsid w:val="007C3B98"/>
    <w:rsid w:val="0081477C"/>
    <w:rsid w:val="00841ED6"/>
    <w:rsid w:val="00855C32"/>
    <w:rsid w:val="00866B86"/>
    <w:rsid w:val="00880E06"/>
    <w:rsid w:val="00880F67"/>
    <w:rsid w:val="008841D5"/>
    <w:rsid w:val="00884889"/>
    <w:rsid w:val="008D237C"/>
    <w:rsid w:val="008E0109"/>
    <w:rsid w:val="008E5653"/>
    <w:rsid w:val="00910075"/>
    <w:rsid w:val="00934A6A"/>
    <w:rsid w:val="00942654"/>
    <w:rsid w:val="009558F6"/>
    <w:rsid w:val="009637CB"/>
    <w:rsid w:val="00966189"/>
    <w:rsid w:val="00980412"/>
    <w:rsid w:val="00A52E77"/>
    <w:rsid w:val="00A84F05"/>
    <w:rsid w:val="00A84FFE"/>
    <w:rsid w:val="00AD116C"/>
    <w:rsid w:val="00AE17FD"/>
    <w:rsid w:val="00AE7971"/>
    <w:rsid w:val="00B01416"/>
    <w:rsid w:val="00B32F62"/>
    <w:rsid w:val="00B409B0"/>
    <w:rsid w:val="00B41349"/>
    <w:rsid w:val="00B41380"/>
    <w:rsid w:val="00B75DC9"/>
    <w:rsid w:val="00B857D0"/>
    <w:rsid w:val="00BB22B5"/>
    <w:rsid w:val="00BD22A0"/>
    <w:rsid w:val="00BD2B82"/>
    <w:rsid w:val="00BD6E4F"/>
    <w:rsid w:val="00BF0183"/>
    <w:rsid w:val="00BF5695"/>
    <w:rsid w:val="00BF6445"/>
    <w:rsid w:val="00C0031F"/>
    <w:rsid w:val="00C2087B"/>
    <w:rsid w:val="00C34DDA"/>
    <w:rsid w:val="00C365C4"/>
    <w:rsid w:val="00C633E1"/>
    <w:rsid w:val="00C928CC"/>
    <w:rsid w:val="00CA342B"/>
    <w:rsid w:val="00CF345C"/>
    <w:rsid w:val="00D0636E"/>
    <w:rsid w:val="00D07D5D"/>
    <w:rsid w:val="00D26ABE"/>
    <w:rsid w:val="00D403B8"/>
    <w:rsid w:val="00D6112A"/>
    <w:rsid w:val="00D800F8"/>
    <w:rsid w:val="00D80C5E"/>
    <w:rsid w:val="00D826F6"/>
    <w:rsid w:val="00D85910"/>
    <w:rsid w:val="00D92940"/>
    <w:rsid w:val="00D96576"/>
    <w:rsid w:val="00DC6869"/>
    <w:rsid w:val="00DD1F96"/>
    <w:rsid w:val="00DD44D8"/>
    <w:rsid w:val="00DD5CAC"/>
    <w:rsid w:val="00DE2E15"/>
    <w:rsid w:val="00DE3566"/>
    <w:rsid w:val="00DF61F8"/>
    <w:rsid w:val="00E0414B"/>
    <w:rsid w:val="00E04739"/>
    <w:rsid w:val="00E266F6"/>
    <w:rsid w:val="00E52F58"/>
    <w:rsid w:val="00E66019"/>
    <w:rsid w:val="00E66950"/>
    <w:rsid w:val="00E66CA7"/>
    <w:rsid w:val="00E70E5F"/>
    <w:rsid w:val="00E761EE"/>
    <w:rsid w:val="00E82521"/>
    <w:rsid w:val="00E95C3E"/>
    <w:rsid w:val="00EA3D86"/>
    <w:rsid w:val="00EB38BA"/>
    <w:rsid w:val="00EB7946"/>
    <w:rsid w:val="00EC3924"/>
    <w:rsid w:val="00F43F47"/>
    <w:rsid w:val="00F44A1D"/>
    <w:rsid w:val="00F8793D"/>
    <w:rsid w:val="00F94AA0"/>
    <w:rsid w:val="00FA62A1"/>
    <w:rsid w:val="00FA74F0"/>
    <w:rsid w:val="00FC78F8"/>
    <w:rsid w:val="00FE0228"/>
    <w:rsid w:val="00FE1B77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64B12-2B0B-44F7-A2B0-68261DE4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6112A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D6F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558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F0183"/>
    <w:pPr>
      <w:keepNext/>
      <w:keepLines/>
      <w:widowControl/>
      <w:autoSpaceDE/>
      <w:autoSpaceDN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11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112A"/>
    <w:rPr>
      <w:b/>
      <w:bCs/>
      <w:sz w:val="24"/>
      <w:szCs w:val="24"/>
    </w:rPr>
  </w:style>
  <w:style w:type="paragraph" w:styleId="a5">
    <w:name w:val="List Paragraph"/>
    <w:aliases w:val="маркированный,Абзац списка11"/>
    <w:basedOn w:val="a"/>
    <w:link w:val="a6"/>
    <w:uiPriority w:val="34"/>
    <w:qFormat/>
    <w:rsid w:val="00D6112A"/>
  </w:style>
  <w:style w:type="paragraph" w:customStyle="1" w:styleId="TableParagraph">
    <w:name w:val="Table Paragraph"/>
    <w:basedOn w:val="a"/>
    <w:uiPriority w:val="1"/>
    <w:qFormat/>
    <w:rsid w:val="00D6112A"/>
  </w:style>
  <w:style w:type="paragraph" w:styleId="a7">
    <w:name w:val="Body Text Indent"/>
    <w:basedOn w:val="a"/>
    <w:link w:val="a8"/>
    <w:uiPriority w:val="99"/>
    <w:semiHidden/>
    <w:unhideWhenUsed/>
    <w:rsid w:val="000649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649B2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0649B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Абзац списка Знак"/>
    <w:aliases w:val="маркированный Знак,Абзац списка11 Знак"/>
    <w:link w:val="a5"/>
    <w:uiPriority w:val="99"/>
    <w:locked/>
    <w:rsid w:val="000649B2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BF0183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paragraph" w:styleId="aa">
    <w:name w:val="header"/>
    <w:basedOn w:val="a"/>
    <w:link w:val="ab"/>
    <w:uiPriority w:val="99"/>
    <w:unhideWhenUsed/>
    <w:rsid w:val="00BF018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BF0183"/>
    <w:rPr>
      <w:lang w:val="ru-RU"/>
    </w:rPr>
  </w:style>
  <w:style w:type="table" w:styleId="ac">
    <w:name w:val="Table Grid"/>
    <w:basedOn w:val="a1"/>
    <w:uiPriority w:val="39"/>
    <w:rsid w:val="00BF018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BF018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me">
    <w:name w:val="name"/>
    <w:basedOn w:val="a0"/>
    <w:rsid w:val="00BF0183"/>
  </w:style>
  <w:style w:type="character" w:customStyle="1" w:styleId="extended-textfull">
    <w:name w:val="extended-text__full"/>
    <w:basedOn w:val="a0"/>
    <w:rsid w:val="00BF0183"/>
  </w:style>
  <w:style w:type="character" w:styleId="ae">
    <w:name w:val="Strong"/>
    <w:basedOn w:val="a0"/>
    <w:uiPriority w:val="22"/>
    <w:qFormat/>
    <w:rsid w:val="00BF0183"/>
    <w:rPr>
      <w:b/>
      <w:bCs/>
    </w:rPr>
  </w:style>
  <w:style w:type="character" w:customStyle="1" w:styleId="tembr">
    <w:name w:val="tembr"/>
    <w:basedOn w:val="a0"/>
    <w:rsid w:val="00BF0183"/>
  </w:style>
  <w:style w:type="paragraph" w:styleId="af">
    <w:name w:val="footer"/>
    <w:basedOn w:val="a"/>
    <w:link w:val="af0"/>
    <w:uiPriority w:val="99"/>
    <w:unhideWhenUsed/>
    <w:rsid w:val="0024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4613A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0D6F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E70E5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0E5F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BD2B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558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8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D21EE-38D8-404C-BAF2-B92457E7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ца приказ на лат.cdr</vt:lpstr>
    </vt:vector>
  </TitlesOfParts>
  <Company/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ца приказ на лат.cdr</dc:title>
  <dc:creator>Расул</dc:creator>
  <cp:lastModifiedBy>User2</cp:lastModifiedBy>
  <cp:revision>2</cp:revision>
  <cp:lastPrinted>2020-12-24T09:48:00Z</cp:lastPrinted>
  <dcterms:created xsi:type="dcterms:W3CDTF">2023-04-28T09:56:00Z</dcterms:created>
  <dcterms:modified xsi:type="dcterms:W3CDTF">2023-04-28T09:56:00Z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2019-05-21T00:00:00Z</vt:filetime>
  </property>
</Properties>
</file>