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Pr="00AC5DC8" w:rsidRDefault="00386737" w:rsidP="00EF4E93">
      <w:pPr>
        <w:rPr>
          <w:color w:val="3399FF"/>
        </w:rPr>
      </w:pPr>
      <w:r w:rsidRPr="00AC5DC8">
        <w:rPr>
          <w:color w:val="3399FF"/>
        </w:rPr>
        <w:t xml:space="preserve">             </w:t>
      </w:r>
      <w:r w:rsidR="00DA79A3" w:rsidRPr="00AC5DC8">
        <w:rPr>
          <w:color w:val="3399FF"/>
        </w:rPr>
        <w:t xml:space="preserve">         Астана</w:t>
      </w:r>
      <w:r w:rsidR="00EF4E93" w:rsidRPr="00AC5DC8">
        <w:rPr>
          <w:color w:val="3399FF"/>
        </w:rPr>
        <w:t xml:space="preserve"> </w:t>
      </w:r>
      <w:proofErr w:type="spellStart"/>
      <w:r w:rsidR="00EF4E93" w:rsidRPr="00AC5DC8">
        <w:rPr>
          <w:color w:val="3399FF"/>
        </w:rPr>
        <w:t>қаласы</w:t>
      </w:r>
      <w:proofErr w:type="spellEnd"/>
      <w:r w:rsidR="00EF4E93" w:rsidRPr="00AC5DC8">
        <w:rPr>
          <w:color w:val="3399FF"/>
        </w:rPr>
        <w:t xml:space="preserve">                                                                                              </w:t>
      </w:r>
      <w:r w:rsidRPr="00AC5DC8">
        <w:rPr>
          <w:color w:val="3399FF"/>
        </w:rPr>
        <w:t xml:space="preserve"> </w:t>
      </w:r>
      <w:r w:rsidR="00EF4E93" w:rsidRPr="00AC5DC8">
        <w:rPr>
          <w:color w:val="3399FF"/>
        </w:rPr>
        <w:t xml:space="preserve">           город </w:t>
      </w:r>
      <w:r w:rsidR="00DA79A3" w:rsidRPr="00AC5DC8">
        <w:rPr>
          <w:color w:val="3399FF"/>
        </w:rPr>
        <w:t>Астана</w:t>
      </w:r>
      <w:r w:rsidR="00EF4E93" w:rsidRPr="00AC5DC8">
        <w:rPr>
          <w:color w:val="3399FF"/>
        </w:rPr>
        <w:t xml:space="preserve">                                                                                                               </w:t>
      </w:r>
    </w:p>
    <w:p w:rsidR="005C14F1" w:rsidRPr="00AC5DC8" w:rsidRDefault="005C14F1" w:rsidP="00934587">
      <w:pPr>
        <w:rPr>
          <w:sz w:val="28"/>
          <w:szCs w:val="28"/>
        </w:rPr>
      </w:pPr>
    </w:p>
    <w:p w:rsidR="0094678B" w:rsidRDefault="0094678B" w:rsidP="00934587">
      <w:pPr>
        <w:rPr>
          <w:sz w:val="28"/>
          <w:szCs w:val="28"/>
        </w:rPr>
      </w:pPr>
    </w:p>
    <w:p w:rsidR="00C16640" w:rsidRPr="00AC5DC8" w:rsidRDefault="00C16640" w:rsidP="00934587">
      <w:pPr>
        <w:rPr>
          <w:sz w:val="28"/>
          <w:szCs w:val="28"/>
        </w:rPr>
      </w:pPr>
    </w:p>
    <w:p w:rsidR="00C428A9" w:rsidRPr="00AC5D05" w:rsidRDefault="00C428A9" w:rsidP="00F659E9">
      <w:pPr>
        <w:ind w:right="-2"/>
        <w:jc w:val="center"/>
        <w:outlineLvl w:val="0"/>
        <w:rPr>
          <w:b/>
          <w:sz w:val="28"/>
          <w:szCs w:val="28"/>
        </w:rPr>
      </w:pPr>
      <w:r w:rsidRPr="00AC5D05">
        <w:rPr>
          <w:b/>
          <w:sz w:val="28"/>
          <w:szCs w:val="28"/>
        </w:rPr>
        <w:t>О внесении изменени</w:t>
      </w:r>
      <w:r w:rsidR="00AC5D05" w:rsidRPr="00AC5D05">
        <w:rPr>
          <w:b/>
          <w:sz w:val="28"/>
          <w:szCs w:val="28"/>
        </w:rPr>
        <w:t>я</w:t>
      </w:r>
      <w:r w:rsidRPr="00AC5D05">
        <w:rPr>
          <w:b/>
          <w:sz w:val="28"/>
          <w:szCs w:val="28"/>
        </w:rPr>
        <w:t xml:space="preserve"> и дополнени</w:t>
      </w:r>
      <w:r w:rsidR="00AC5DC8" w:rsidRPr="00AC5D05">
        <w:rPr>
          <w:b/>
          <w:sz w:val="28"/>
          <w:szCs w:val="28"/>
        </w:rPr>
        <w:t>й</w:t>
      </w:r>
      <w:r w:rsidRPr="00AC5D05">
        <w:rPr>
          <w:b/>
          <w:sz w:val="28"/>
          <w:szCs w:val="28"/>
        </w:rPr>
        <w:t xml:space="preserve"> </w:t>
      </w:r>
    </w:p>
    <w:p w:rsidR="00C428A9" w:rsidRPr="00AC5D05" w:rsidRDefault="00C428A9" w:rsidP="00F659E9">
      <w:pPr>
        <w:ind w:right="-2"/>
        <w:jc w:val="center"/>
        <w:outlineLvl w:val="0"/>
        <w:rPr>
          <w:b/>
          <w:bCs/>
          <w:sz w:val="28"/>
          <w:szCs w:val="28"/>
        </w:rPr>
      </w:pPr>
      <w:r w:rsidRPr="00AC5D05">
        <w:rPr>
          <w:b/>
          <w:sz w:val="28"/>
          <w:szCs w:val="28"/>
        </w:rPr>
        <w:t xml:space="preserve">в приказ </w:t>
      </w:r>
      <w:r w:rsidRPr="00AC5D05">
        <w:rPr>
          <w:b/>
          <w:bCs/>
          <w:sz w:val="28"/>
          <w:szCs w:val="28"/>
        </w:rPr>
        <w:t xml:space="preserve">Министра финансов Республики Казахстан </w:t>
      </w:r>
    </w:p>
    <w:p w:rsidR="00C428A9" w:rsidRPr="00AC5D05" w:rsidRDefault="00C428A9" w:rsidP="00F659E9">
      <w:pPr>
        <w:ind w:right="-2"/>
        <w:jc w:val="center"/>
        <w:outlineLvl w:val="0"/>
        <w:rPr>
          <w:b/>
          <w:bCs/>
          <w:sz w:val="28"/>
          <w:szCs w:val="28"/>
        </w:rPr>
      </w:pPr>
      <w:r w:rsidRPr="00AC5D05">
        <w:rPr>
          <w:b/>
          <w:bCs/>
          <w:sz w:val="28"/>
          <w:szCs w:val="28"/>
        </w:rPr>
        <w:t xml:space="preserve">от 11 декабря 2015 года № 648 «Об утверждении </w:t>
      </w:r>
    </w:p>
    <w:p w:rsidR="00C428A9" w:rsidRPr="00AC5D05" w:rsidRDefault="00C428A9" w:rsidP="00F659E9">
      <w:pPr>
        <w:ind w:right="-2"/>
        <w:jc w:val="center"/>
        <w:outlineLvl w:val="0"/>
        <w:rPr>
          <w:b/>
          <w:bCs/>
          <w:sz w:val="28"/>
          <w:szCs w:val="28"/>
        </w:rPr>
      </w:pPr>
      <w:r w:rsidRPr="00AC5D05">
        <w:rPr>
          <w:b/>
          <w:bCs/>
          <w:sz w:val="28"/>
          <w:szCs w:val="28"/>
        </w:rPr>
        <w:t>Правил осуществления государственных закупок»</w:t>
      </w:r>
    </w:p>
    <w:p w:rsidR="00C428A9" w:rsidRPr="00AC5D05" w:rsidRDefault="00C428A9" w:rsidP="00F659E9">
      <w:pPr>
        <w:ind w:right="-2"/>
        <w:jc w:val="center"/>
        <w:outlineLvl w:val="0"/>
        <w:rPr>
          <w:sz w:val="28"/>
          <w:szCs w:val="28"/>
        </w:rPr>
      </w:pPr>
    </w:p>
    <w:p w:rsidR="00C428A9" w:rsidRPr="00AC5DC8" w:rsidRDefault="00C428A9" w:rsidP="00F659E9">
      <w:pPr>
        <w:ind w:firstLine="709"/>
        <w:jc w:val="both"/>
        <w:rPr>
          <w:sz w:val="28"/>
          <w:szCs w:val="28"/>
        </w:rPr>
      </w:pPr>
    </w:p>
    <w:p w:rsidR="00C428A9" w:rsidRPr="00AC5DC8" w:rsidRDefault="00C428A9" w:rsidP="00F659E9">
      <w:pPr>
        <w:ind w:firstLine="709"/>
        <w:jc w:val="both"/>
        <w:rPr>
          <w:b/>
          <w:sz w:val="28"/>
          <w:szCs w:val="28"/>
        </w:rPr>
      </w:pPr>
      <w:r w:rsidRPr="00AC5DC8">
        <w:rPr>
          <w:b/>
          <w:sz w:val="28"/>
          <w:szCs w:val="28"/>
        </w:rPr>
        <w:t>ПРИКАЗЫВАЮ:</w:t>
      </w:r>
    </w:p>
    <w:p w:rsidR="00C428A9" w:rsidRPr="00AC5D05" w:rsidRDefault="00C428A9" w:rsidP="002A0A21">
      <w:pPr>
        <w:ind w:right="-2" w:firstLine="709"/>
        <w:jc w:val="both"/>
        <w:outlineLvl w:val="0"/>
        <w:rPr>
          <w:sz w:val="28"/>
          <w:szCs w:val="28"/>
        </w:rPr>
      </w:pPr>
      <w:r w:rsidRPr="00AC5DC8">
        <w:rPr>
          <w:sz w:val="28"/>
          <w:szCs w:val="28"/>
        </w:rPr>
        <w:t xml:space="preserve">1. </w:t>
      </w:r>
      <w:r w:rsidRPr="00AC5D05">
        <w:rPr>
          <w:sz w:val="28"/>
          <w:szCs w:val="28"/>
        </w:rPr>
        <w:t>Внести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изменени</w:t>
      </w:r>
      <w:r w:rsidR="00AC5D05" w:rsidRPr="00AC5D05">
        <w:rPr>
          <w:sz w:val="28"/>
          <w:szCs w:val="28"/>
        </w:rPr>
        <w:t>е</w:t>
      </w:r>
      <w:r w:rsidRPr="00AC5D05">
        <w:rPr>
          <w:sz w:val="28"/>
          <w:szCs w:val="28"/>
        </w:rPr>
        <w:t xml:space="preserve"> и дополнени</w:t>
      </w:r>
      <w:r w:rsidR="00AC5DC8" w:rsidRPr="00AC5D05">
        <w:rPr>
          <w:sz w:val="28"/>
          <w:szCs w:val="28"/>
        </w:rPr>
        <w:t>я</w:t>
      </w:r>
      <w:r w:rsidRPr="00AC5D05">
        <w:rPr>
          <w:sz w:val="28"/>
          <w:szCs w:val="28"/>
        </w:rPr>
        <w:t>:</w:t>
      </w:r>
    </w:p>
    <w:p w:rsidR="00C428A9" w:rsidRPr="00AC5DC8" w:rsidRDefault="00C428A9" w:rsidP="002A0A21">
      <w:pPr>
        <w:ind w:firstLine="709"/>
        <w:jc w:val="both"/>
        <w:rPr>
          <w:sz w:val="28"/>
          <w:szCs w:val="28"/>
        </w:rPr>
      </w:pPr>
      <w:r w:rsidRPr="00AC5DC8">
        <w:rPr>
          <w:sz w:val="28"/>
          <w:szCs w:val="28"/>
        </w:rPr>
        <w:t>в Правилах осуществления государственных закупок, утвержденных указанным приказом:</w:t>
      </w:r>
    </w:p>
    <w:p w:rsidR="00AC5DC8" w:rsidRPr="00AC5DC8" w:rsidRDefault="00C428A9" w:rsidP="002A0A21">
      <w:pPr>
        <w:pStyle w:val="af"/>
        <w:shd w:val="clear" w:color="auto" w:fill="FFFFFF"/>
        <w:spacing w:before="0" w:beforeAutospacing="0" w:after="0" w:afterAutospacing="0"/>
        <w:ind w:firstLine="709"/>
        <w:jc w:val="both"/>
        <w:textAlignment w:val="baseline"/>
        <w:rPr>
          <w:sz w:val="28"/>
          <w:szCs w:val="28"/>
        </w:rPr>
      </w:pPr>
      <w:r w:rsidRPr="00AC5DC8">
        <w:rPr>
          <w:sz w:val="28"/>
          <w:szCs w:val="28"/>
        </w:rPr>
        <w:t xml:space="preserve">пункт </w:t>
      </w:r>
      <w:r w:rsidR="00AC5DC8" w:rsidRPr="00AC5DC8">
        <w:rPr>
          <w:sz w:val="28"/>
          <w:szCs w:val="28"/>
        </w:rPr>
        <w:t>52</w:t>
      </w:r>
      <w:r w:rsidRPr="00AC5DC8">
        <w:rPr>
          <w:sz w:val="28"/>
          <w:szCs w:val="28"/>
        </w:rPr>
        <w:t xml:space="preserve"> изложить в следующей редакции:</w:t>
      </w:r>
    </w:p>
    <w:p w:rsidR="002A0A21" w:rsidRPr="002A0A21" w:rsidRDefault="00C428A9" w:rsidP="002A0A21">
      <w:pPr>
        <w:pStyle w:val="af"/>
        <w:shd w:val="clear" w:color="auto" w:fill="FFFFFF"/>
        <w:spacing w:before="0" w:beforeAutospacing="0" w:after="0" w:afterAutospacing="0"/>
        <w:ind w:firstLine="709"/>
        <w:jc w:val="both"/>
        <w:textAlignment w:val="baseline"/>
        <w:rPr>
          <w:sz w:val="28"/>
          <w:szCs w:val="28"/>
        </w:rPr>
      </w:pPr>
      <w:r w:rsidRPr="00AC5DC8">
        <w:rPr>
          <w:sz w:val="28"/>
          <w:szCs w:val="28"/>
        </w:rPr>
        <w:t>«</w:t>
      </w:r>
      <w:r w:rsidR="00AC5DC8" w:rsidRPr="00AC5DC8">
        <w:rPr>
          <w:sz w:val="28"/>
          <w:szCs w:val="28"/>
        </w:rPr>
        <w:t>52</w:t>
      </w:r>
      <w:r w:rsidRPr="00AC5DC8">
        <w:rPr>
          <w:sz w:val="28"/>
          <w:szCs w:val="28"/>
        </w:rPr>
        <w:t xml:space="preserve">. </w:t>
      </w:r>
      <w:r w:rsidR="002A0A21" w:rsidRPr="002A0A21">
        <w:rPr>
          <w:sz w:val="28"/>
          <w:szCs w:val="28"/>
        </w:rPr>
        <w:t xml:space="preserve">Сведения органов государственных доходов, обновляются на </w:t>
      </w:r>
      <w:r w:rsidR="00456C7B">
        <w:rPr>
          <w:sz w:val="28"/>
          <w:szCs w:val="28"/>
        </w:rPr>
        <w:br/>
      </w:r>
      <w:r w:rsidR="002A0A21" w:rsidRPr="002A0A21">
        <w:rPr>
          <w:sz w:val="28"/>
          <w:szCs w:val="28"/>
        </w:rPr>
        <w:t xml:space="preserve">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w:t>
      </w:r>
      <w:r w:rsidR="00456C7B">
        <w:rPr>
          <w:sz w:val="28"/>
          <w:szCs w:val="28"/>
        </w:rPr>
        <w:br/>
      </w:r>
      <w:r w:rsidR="002A0A21" w:rsidRPr="002A0A21">
        <w:rPr>
          <w:sz w:val="28"/>
          <w:szCs w:val="28"/>
        </w:rPr>
        <w:t>веб-портале показателей финансовой устойчивости реорганизованного юридического лица (правопреемника) путем слияния, присоединения.</w:t>
      </w:r>
    </w:p>
    <w:p w:rsidR="002A0A21" w:rsidRPr="002A0A21" w:rsidRDefault="002A0A21" w:rsidP="002A0A21">
      <w:pPr>
        <w:pStyle w:val="af"/>
        <w:shd w:val="clear" w:color="auto" w:fill="FFFFFF"/>
        <w:spacing w:before="0" w:beforeAutospacing="0" w:after="0" w:afterAutospacing="0"/>
        <w:ind w:firstLine="709"/>
        <w:jc w:val="both"/>
        <w:textAlignment w:val="baseline"/>
        <w:rPr>
          <w:sz w:val="28"/>
          <w:szCs w:val="28"/>
        </w:rPr>
      </w:pPr>
      <w:r w:rsidRPr="002A0A21">
        <w:rPr>
          <w:sz w:val="28"/>
          <w:szCs w:val="28"/>
        </w:rPr>
        <w:t>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последних 12 (двенадцати) месяцев на первом уровне (секции) структуры общего классификатора видов экономической деятельности.</w:t>
      </w:r>
    </w:p>
    <w:p w:rsidR="00C428A9" w:rsidRPr="00AC5DC8" w:rsidRDefault="002A0A21" w:rsidP="002A0A21">
      <w:pPr>
        <w:pStyle w:val="af"/>
        <w:shd w:val="clear" w:color="auto" w:fill="FFFFFF"/>
        <w:spacing w:before="0" w:beforeAutospacing="0" w:after="0" w:afterAutospacing="0"/>
        <w:ind w:firstLine="709"/>
        <w:jc w:val="both"/>
        <w:textAlignment w:val="baseline"/>
        <w:rPr>
          <w:sz w:val="28"/>
          <w:szCs w:val="28"/>
        </w:rPr>
      </w:pPr>
      <w:r w:rsidRPr="002A0A21">
        <w:rPr>
          <w:sz w:val="28"/>
          <w:szCs w:val="28"/>
        </w:rPr>
        <w:t>Сведения органов государственных доходов такого реорганизованного юри</w:t>
      </w:r>
      <w:r w:rsidR="004A39F4">
        <w:rPr>
          <w:sz w:val="28"/>
          <w:szCs w:val="28"/>
        </w:rPr>
        <w:t>дического лица (правопреемника)</w:t>
      </w:r>
      <w:r w:rsidRPr="002A0A21">
        <w:rPr>
          <w:sz w:val="28"/>
          <w:szCs w:val="28"/>
        </w:rPr>
        <w:t xml:space="preserve"> обновляются на веб-портале на основании обращения потенциального поставщика</w:t>
      </w:r>
      <w:r w:rsidR="00AC5DC8" w:rsidRPr="00AC5DC8">
        <w:rPr>
          <w:sz w:val="28"/>
          <w:szCs w:val="28"/>
        </w:rPr>
        <w:t>.</w:t>
      </w:r>
      <w:r w:rsidR="00C428A9" w:rsidRPr="00AC5DC8">
        <w:rPr>
          <w:sz w:val="28"/>
          <w:szCs w:val="28"/>
        </w:rPr>
        <w:t>»;</w:t>
      </w:r>
    </w:p>
    <w:p w:rsidR="00AC5DC8" w:rsidRPr="00AC5DC8" w:rsidRDefault="00C428A9" w:rsidP="002A0A21">
      <w:pPr>
        <w:ind w:left="-15" w:firstLine="709"/>
        <w:jc w:val="both"/>
        <w:rPr>
          <w:bCs/>
          <w:sz w:val="28"/>
          <w:szCs w:val="28"/>
        </w:rPr>
      </w:pPr>
      <w:r w:rsidRPr="00AC5DC8">
        <w:rPr>
          <w:bCs/>
          <w:sz w:val="28"/>
          <w:szCs w:val="28"/>
        </w:rPr>
        <w:t xml:space="preserve">дополнить пунктом </w:t>
      </w:r>
      <w:r w:rsidR="003A7077">
        <w:rPr>
          <w:bCs/>
          <w:sz w:val="28"/>
          <w:szCs w:val="28"/>
        </w:rPr>
        <w:t>94</w:t>
      </w:r>
      <w:r w:rsidR="00AC5DC8" w:rsidRPr="00AC5DC8">
        <w:rPr>
          <w:bCs/>
          <w:sz w:val="28"/>
          <w:szCs w:val="28"/>
        </w:rPr>
        <w:t>-1</w:t>
      </w:r>
      <w:r w:rsidRPr="00AC5DC8">
        <w:rPr>
          <w:bCs/>
          <w:sz w:val="28"/>
          <w:szCs w:val="28"/>
        </w:rPr>
        <w:t xml:space="preserve"> следующего содержания:</w:t>
      </w:r>
    </w:p>
    <w:p w:rsidR="00C428A9" w:rsidRPr="00AC5DC8" w:rsidRDefault="00C428A9" w:rsidP="002A0A21">
      <w:pPr>
        <w:ind w:left="-15" w:firstLine="709"/>
        <w:jc w:val="both"/>
        <w:rPr>
          <w:bCs/>
          <w:noProof/>
          <w:sz w:val="28"/>
          <w:szCs w:val="28"/>
        </w:rPr>
      </w:pPr>
      <w:r w:rsidRPr="00AC5DC8">
        <w:rPr>
          <w:bCs/>
          <w:sz w:val="28"/>
          <w:szCs w:val="28"/>
        </w:rPr>
        <w:lastRenderedPageBreak/>
        <w:t>«</w:t>
      </w:r>
      <w:r w:rsidR="003A7077">
        <w:rPr>
          <w:sz w:val="28"/>
          <w:szCs w:val="28"/>
        </w:rPr>
        <w:t>94</w:t>
      </w:r>
      <w:r w:rsidR="00AC5DC8" w:rsidRPr="00AC5DC8">
        <w:rPr>
          <w:sz w:val="28"/>
          <w:szCs w:val="28"/>
        </w:rPr>
        <w:t xml:space="preserve">-1. </w:t>
      </w:r>
      <w:r w:rsidR="00C16640" w:rsidRPr="00C16640">
        <w:rPr>
          <w:sz w:val="28"/>
          <w:szCs w:val="28"/>
        </w:rPr>
        <w:t xml:space="preserve">Заявка потенциального поставщика о внесении в электронный депозитарий сведений и документов, подтверждающих опыт работы, полученный в результате реорганизации путем слияния, присоединения и преобразования рассматривается ведомством уполномоченного органа и его территориальными подразделениями, после обновления (объединения) на </w:t>
      </w:r>
      <w:r w:rsidR="00456C7B">
        <w:rPr>
          <w:sz w:val="28"/>
          <w:szCs w:val="28"/>
        </w:rPr>
        <w:br/>
      </w:r>
      <w:r w:rsidR="00C16640" w:rsidRPr="00C16640">
        <w:rPr>
          <w:sz w:val="28"/>
          <w:szCs w:val="28"/>
        </w:rPr>
        <w:t>веб-портале показателей финансовой устойчивости реорганизуемых юридических лиц</w:t>
      </w:r>
      <w:r w:rsidR="00AC5DC8" w:rsidRPr="00AC5DC8">
        <w:rPr>
          <w:sz w:val="28"/>
          <w:szCs w:val="28"/>
        </w:rPr>
        <w:t>.</w:t>
      </w:r>
      <w:r w:rsidRPr="00AC5DC8">
        <w:rPr>
          <w:bCs/>
          <w:noProof/>
          <w:sz w:val="28"/>
          <w:szCs w:val="28"/>
        </w:rPr>
        <w:t>»;</w:t>
      </w:r>
    </w:p>
    <w:p w:rsidR="00AC5DC8" w:rsidRPr="00AC5DC8" w:rsidRDefault="00AC5DC8" w:rsidP="00AC5DC8">
      <w:pPr>
        <w:ind w:left="-15" w:firstLine="709"/>
        <w:jc w:val="both"/>
        <w:rPr>
          <w:bCs/>
          <w:sz w:val="28"/>
          <w:szCs w:val="28"/>
        </w:rPr>
      </w:pPr>
      <w:r w:rsidRPr="00AC5DC8">
        <w:rPr>
          <w:bCs/>
          <w:sz w:val="28"/>
          <w:szCs w:val="28"/>
        </w:rPr>
        <w:t>дополнить пункт</w:t>
      </w:r>
      <w:r w:rsidR="00AC5D05">
        <w:rPr>
          <w:bCs/>
          <w:sz w:val="28"/>
          <w:szCs w:val="28"/>
          <w:lang w:val="kk-KZ"/>
        </w:rPr>
        <w:t>а</w:t>
      </w:r>
      <w:r w:rsidRPr="00AC5DC8">
        <w:rPr>
          <w:bCs/>
          <w:sz w:val="28"/>
          <w:szCs w:val="28"/>
        </w:rPr>
        <w:t>м</w:t>
      </w:r>
      <w:r w:rsidR="00AC5D05">
        <w:rPr>
          <w:bCs/>
          <w:sz w:val="28"/>
          <w:szCs w:val="28"/>
          <w:lang w:val="kk-KZ"/>
        </w:rPr>
        <w:t>и</w:t>
      </w:r>
      <w:r w:rsidRPr="00AC5DC8">
        <w:rPr>
          <w:bCs/>
          <w:sz w:val="28"/>
          <w:szCs w:val="28"/>
        </w:rPr>
        <w:t xml:space="preserve"> 245-1 </w:t>
      </w:r>
      <w:r w:rsidR="00AC5D05">
        <w:rPr>
          <w:bCs/>
          <w:sz w:val="28"/>
          <w:szCs w:val="28"/>
          <w:lang w:val="kk-KZ"/>
        </w:rPr>
        <w:t xml:space="preserve">и 245-2 </w:t>
      </w:r>
      <w:r w:rsidRPr="00AC5DC8">
        <w:rPr>
          <w:bCs/>
          <w:sz w:val="28"/>
          <w:szCs w:val="28"/>
        </w:rPr>
        <w:t>следующего содержания:</w:t>
      </w:r>
    </w:p>
    <w:p w:rsidR="00AC5DC8" w:rsidRPr="00AC5DC8" w:rsidRDefault="00AC5DC8" w:rsidP="00B06D08">
      <w:pPr>
        <w:ind w:left="-15" w:firstLine="709"/>
        <w:jc w:val="both"/>
        <w:rPr>
          <w:bCs/>
          <w:noProof/>
          <w:sz w:val="28"/>
          <w:szCs w:val="28"/>
        </w:rPr>
      </w:pPr>
      <w:r w:rsidRPr="00AC5DC8">
        <w:rPr>
          <w:bCs/>
          <w:sz w:val="28"/>
          <w:szCs w:val="28"/>
        </w:rPr>
        <w:t>«</w:t>
      </w:r>
      <w:r w:rsidRPr="00AC5DC8">
        <w:rPr>
          <w:spacing w:val="2"/>
          <w:sz w:val="28"/>
          <w:szCs w:val="28"/>
          <w:shd w:val="clear" w:color="auto" w:fill="FFFFFF"/>
        </w:rPr>
        <w:t xml:space="preserve">245-1. </w:t>
      </w:r>
      <w:r w:rsidR="00B06D08" w:rsidRPr="00B06D08">
        <w:rPr>
          <w:spacing w:val="2"/>
          <w:sz w:val="28"/>
          <w:szCs w:val="28"/>
          <w:shd w:val="clear" w:color="auto" w:fill="FFFFFF"/>
        </w:rPr>
        <w:t>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w:t>
      </w:r>
      <w:r w:rsidR="00B06D08">
        <w:rPr>
          <w:spacing w:val="2"/>
          <w:sz w:val="28"/>
          <w:szCs w:val="28"/>
          <w:shd w:val="clear" w:color="auto" w:fill="FFFFFF"/>
        </w:rPr>
        <w:t>ученных с информационной системы</w:t>
      </w:r>
      <w:r w:rsidR="00B06D08" w:rsidRPr="00B06D08">
        <w:rPr>
          <w:spacing w:val="2"/>
          <w:sz w:val="28"/>
          <w:szCs w:val="28"/>
          <w:shd w:val="clear" w:color="auto" w:fill="FFFFFF"/>
        </w:rPr>
        <w:t xml:space="preserve"> уполномоченного государственного органа по регистрации юридических лиц</w:t>
      </w:r>
      <w:r w:rsidRPr="00AC5DC8">
        <w:rPr>
          <w:spacing w:val="2"/>
          <w:sz w:val="28"/>
          <w:szCs w:val="28"/>
          <w:shd w:val="clear" w:color="auto" w:fill="FFFFFF"/>
        </w:rPr>
        <w:t>.</w:t>
      </w:r>
    </w:p>
    <w:p w:rsidR="00C16640" w:rsidRPr="00C16640" w:rsidRDefault="00AC5DC8" w:rsidP="00C16640">
      <w:pPr>
        <w:ind w:left="-15" w:firstLine="709"/>
        <w:jc w:val="both"/>
        <w:rPr>
          <w:spacing w:val="2"/>
          <w:sz w:val="28"/>
          <w:szCs w:val="28"/>
          <w:shd w:val="clear" w:color="auto" w:fill="FFFFFF"/>
        </w:rPr>
      </w:pPr>
      <w:r w:rsidRPr="00AC5DC8">
        <w:rPr>
          <w:spacing w:val="2"/>
          <w:sz w:val="28"/>
          <w:szCs w:val="28"/>
          <w:shd w:val="clear" w:color="auto" w:fill="FFFFFF"/>
        </w:rPr>
        <w:t xml:space="preserve">245-2. </w:t>
      </w:r>
      <w:r w:rsidR="00C16640" w:rsidRPr="00C16640">
        <w:rPr>
          <w:spacing w:val="2"/>
          <w:sz w:val="28"/>
          <w:szCs w:val="28"/>
          <w:shd w:val="clear" w:color="auto" w:fill="FFFFFF"/>
        </w:rPr>
        <w:t>Для целей настоящих Правил опыт работы реорганизованного юридического лица не вносится в электронный депозитарий, а также не учитывается при расчете критериев, влияющих на конкурсное ценовое предложение, при наличии одного из следующих случаев:</w:t>
      </w:r>
    </w:p>
    <w:p w:rsidR="00C16640" w:rsidRPr="00C16640" w:rsidRDefault="00C16640" w:rsidP="00C16640">
      <w:pPr>
        <w:ind w:left="-15" w:firstLine="709"/>
        <w:jc w:val="both"/>
        <w:rPr>
          <w:spacing w:val="2"/>
          <w:sz w:val="28"/>
          <w:szCs w:val="28"/>
          <w:shd w:val="clear" w:color="auto" w:fill="FFFFFF"/>
        </w:rPr>
      </w:pPr>
      <w:r w:rsidRPr="00C16640">
        <w:rPr>
          <w:spacing w:val="2"/>
          <w:sz w:val="28"/>
          <w:szCs w:val="28"/>
          <w:shd w:val="clear" w:color="auto" w:fill="FFFFFF"/>
        </w:rPr>
        <w:t>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p w:rsidR="00C16640" w:rsidRPr="00C16640" w:rsidRDefault="00C16640" w:rsidP="00C16640">
      <w:pPr>
        <w:ind w:left="-15" w:firstLine="709"/>
        <w:jc w:val="both"/>
        <w:rPr>
          <w:spacing w:val="2"/>
          <w:sz w:val="28"/>
          <w:szCs w:val="28"/>
          <w:shd w:val="clear" w:color="auto" w:fill="FFFFFF"/>
        </w:rPr>
      </w:pPr>
      <w:r w:rsidRPr="00C16640">
        <w:rPr>
          <w:spacing w:val="2"/>
          <w:sz w:val="28"/>
          <w:szCs w:val="28"/>
          <w:shd w:val="clear" w:color="auto" w:fill="FFFFFF"/>
        </w:rPr>
        <w:t>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p w:rsidR="00C16640" w:rsidRPr="00C16640" w:rsidRDefault="00C16640" w:rsidP="00C16640">
      <w:pPr>
        <w:ind w:left="-15" w:firstLine="709"/>
        <w:jc w:val="both"/>
        <w:rPr>
          <w:spacing w:val="2"/>
          <w:sz w:val="28"/>
          <w:szCs w:val="28"/>
          <w:shd w:val="clear" w:color="auto" w:fill="FFFFFF"/>
        </w:rPr>
      </w:pPr>
      <w:r w:rsidRPr="00C16640">
        <w:rPr>
          <w:spacing w:val="2"/>
          <w:sz w:val="28"/>
          <w:szCs w:val="28"/>
          <w:shd w:val="clear" w:color="auto" w:fill="FFFFFF"/>
        </w:rPr>
        <w:t>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w:t>
      </w:r>
      <w:r w:rsidR="00B06D08">
        <w:rPr>
          <w:spacing w:val="2"/>
          <w:sz w:val="28"/>
          <w:szCs w:val="28"/>
          <w:shd w:val="clear" w:color="auto" w:fill="FFFFFF"/>
        </w:rPr>
        <w:t>отренные подпунктами 3), 4), 5) и 6)</w:t>
      </w:r>
      <w:r w:rsidR="00B06D08">
        <w:rPr>
          <w:spacing w:val="2"/>
          <w:sz w:val="28"/>
          <w:szCs w:val="28"/>
          <w:shd w:val="clear" w:color="auto" w:fill="FFFFFF"/>
          <w:lang w:val="kk-KZ"/>
        </w:rPr>
        <w:t xml:space="preserve"> </w:t>
      </w:r>
      <w:r w:rsidRPr="00C16640">
        <w:rPr>
          <w:spacing w:val="2"/>
          <w:sz w:val="28"/>
          <w:szCs w:val="28"/>
          <w:shd w:val="clear" w:color="auto" w:fill="FFFFFF"/>
        </w:rPr>
        <w:t>пункта 1 статьи 6 Закона;</w:t>
      </w:r>
    </w:p>
    <w:p w:rsidR="00531944" w:rsidRDefault="00C16640" w:rsidP="00C16640">
      <w:pPr>
        <w:ind w:left="-15" w:firstLine="709"/>
        <w:jc w:val="both"/>
        <w:rPr>
          <w:spacing w:val="2"/>
          <w:sz w:val="28"/>
          <w:szCs w:val="28"/>
          <w:shd w:val="clear" w:color="auto" w:fill="FFFFFF"/>
        </w:rPr>
      </w:pPr>
      <w:r w:rsidRPr="00C16640">
        <w:rPr>
          <w:spacing w:val="2"/>
          <w:sz w:val="28"/>
          <w:szCs w:val="28"/>
          <w:shd w:val="clear" w:color="auto" w:fill="FFFFFF"/>
        </w:rPr>
        <w:t>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r w:rsidR="00AC5DC8" w:rsidRPr="00AC5DC8">
        <w:rPr>
          <w:spacing w:val="2"/>
          <w:sz w:val="28"/>
          <w:szCs w:val="28"/>
          <w:shd w:val="clear" w:color="auto" w:fill="FFFFFF"/>
        </w:rPr>
        <w:t>.».</w:t>
      </w:r>
    </w:p>
    <w:p w:rsidR="00C428A9" w:rsidRPr="00AC5DC8" w:rsidRDefault="00C428A9" w:rsidP="00531944">
      <w:pPr>
        <w:ind w:left="-15" w:firstLine="709"/>
        <w:jc w:val="both"/>
        <w:rPr>
          <w:spacing w:val="2"/>
          <w:sz w:val="28"/>
          <w:szCs w:val="28"/>
          <w:shd w:val="clear" w:color="auto" w:fill="FFFFFF"/>
        </w:rPr>
      </w:pPr>
      <w:r w:rsidRPr="00AC5DC8">
        <w:rPr>
          <w:sz w:val="28"/>
          <w:szCs w:val="28"/>
        </w:rPr>
        <w:t xml:space="preserve">2. Департаменту законодательства государственных закупок и закупок </w:t>
      </w:r>
      <w:proofErr w:type="spellStart"/>
      <w:r w:rsidRPr="00AC5DC8">
        <w:rPr>
          <w:sz w:val="28"/>
          <w:szCs w:val="28"/>
        </w:rPr>
        <w:t>квазигосударственного</w:t>
      </w:r>
      <w:proofErr w:type="spellEnd"/>
      <w:r w:rsidRPr="00AC5DC8">
        <w:rPr>
          <w:sz w:val="28"/>
          <w:szCs w:val="28"/>
        </w:rPr>
        <w:t xml:space="preserve"> сектора Министерства финансов Республики Казахстан в установленном законодательством Республики Казахстан порядке обеспечить:</w:t>
      </w:r>
    </w:p>
    <w:p w:rsidR="00C428A9" w:rsidRPr="00AC5DC8" w:rsidRDefault="00C428A9" w:rsidP="00F659E9">
      <w:pPr>
        <w:ind w:firstLine="709"/>
        <w:jc w:val="both"/>
        <w:rPr>
          <w:sz w:val="28"/>
          <w:szCs w:val="28"/>
        </w:rPr>
      </w:pPr>
      <w:r w:rsidRPr="00AC5DC8">
        <w:rPr>
          <w:sz w:val="28"/>
          <w:szCs w:val="28"/>
        </w:rPr>
        <w:t>1) государственную регистрацию настоящего приказа в Министерстве юстиции Республики Казахстан;</w:t>
      </w:r>
    </w:p>
    <w:p w:rsidR="00C428A9" w:rsidRPr="00AC5DC8" w:rsidRDefault="00C428A9" w:rsidP="00F659E9">
      <w:pPr>
        <w:ind w:firstLine="709"/>
        <w:jc w:val="both"/>
        <w:rPr>
          <w:sz w:val="28"/>
          <w:szCs w:val="28"/>
        </w:rPr>
      </w:pPr>
      <w:r w:rsidRPr="00AC5DC8">
        <w:rPr>
          <w:sz w:val="28"/>
          <w:szCs w:val="28"/>
        </w:rPr>
        <w:t xml:space="preserve">2) размещение настоящего приказа на </w:t>
      </w:r>
      <w:proofErr w:type="spellStart"/>
      <w:r w:rsidRPr="00AC5DC8">
        <w:rPr>
          <w:sz w:val="28"/>
          <w:szCs w:val="28"/>
        </w:rPr>
        <w:t>интернет-ресурсе</w:t>
      </w:r>
      <w:proofErr w:type="spellEnd"/>
      <w:r w:rsidRPr="00AC5DC8">
        <w:rPr>
          <w:sz w:val="28"/>
          <w:szCs w:val="28"/>
        </w:rPr>
        <w:t xml:space="preserve"> Министерства финансов Республики Казахстан; </w:t>
      </w:r>
    </w:p>
    <w:p w:rsidR="00C428A9" w:rsidRPr="00AC5DC8" w:rsidRDefault="00C428A9" w:rsidP="00F659E9">
      <w:pPr>
        <w:ind w:firstLine="709"/>
        <w:jc w:val="both"/>
        <w:rPr>
          <w:sz w:val="28"/>
          <w:szCs w:val="28"/>
        </w:rPr>
      </w:pPr>
      <w:r w:rsidRPr="00AC5DC8">
        <w:rPr>
          <w:sz w:val="28"/>
          <w:szCs w:val="28"/>
        </w:rPr>
        <w:t xml:space="preserve">3) в течение десяти рабочих дней после государственной регистрации настоящего приказа в Министерстве юстиции Республики Казахстан </w:t>
      </w:r>
      <w:r w:rsidRPr="00AC5DC8">
        <w:rPr>
          <w:sz w:val="28"/>
          <w:szCs w:val="28"/>
        </w:rPr>
        <w:lastRenderedPageBreak/>
        <w:t>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p w:rsidR="00C428A9" w:rsidRPr="00AC5DC8" w:rsidRDefault="00C428A9" w:rsidP="00F659E9">
      <w:pPr>
        <w:ind w:firstLine="709"/>
        <w:jc w:val="both"/>
        <w:rPr>
          <w:sz w:val="28"/>
          <w:szCs w:val="28"/>
        </w:rPr>
      </w:pPr>
      <w:r w:rsidRPr="00AC5DC8">
        <w:rPr>
          <w:sz w:val="28"/>
          <w:szCs w:val="28"/>
        </w:rPr>
        <w:t>3. Настоящий приказ вводится в действие по истечении десяти календарных дней после дня его первого официального опубликования.</w:t>
      </w:r>
    </w:p>
    <w:p w:rsidR="00C428A9" w:rsidRPr="00AC5DC8" w:rsidRDefault="00C428A9" w:rsidP="00F659E9">
      <w:pPr>
        <w:rPr>
          <w:sz w:val="28"/>
          <w:szCs w:val="28"/>
        </w:rPr>
      </w:pPr>
    </w:p>
    <w:p w:rsidR="00C428A9" w:rsidRPr="00AC5DC8" w:rsidRDefault="00C428A9" w:rsidP="00F659E9">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RPr="00AC5DC8" w:rsidTr="0038799B">
        <w:tc>
          <w:tcPr>
            <w:tcW w:w="3652" w:type="dxa"/>
            <w:hideMark/>
          </w:tcPr>
          <w:p w:rsidR="0038799B" w:rsidRPr="00AC5DC8" w:rsidRDefault="0038799B" w:rsidP="00F659E9">
            <w:pPr>
              <w:rPr>
                <w:b/>
                <w:sz w:val="28"/>
                <w:szCs w:val="28"/>
              </w:rPr>
            </w:pPr>
            <w:r w:rsidRPr="00AC5DC8">
              <w:rPr>
                <w:b/>
                <w:sz w:val="28"/>
                <w:szCs w:val="28"/>
              </w:rPr>
              <w:t>Должность</w:t>
            </w:r>
          </w:p>
        </w:tc>
        <w:tc>
          <w:tcPr>
            <w:tcW w:w="2126" w:type="dxa"/>
          </w:tcPr>
          <w:p w:rsidR="0038799B" w:rsidRPr="00AC5DC8" w:rsidRDefault="0038799B" w:rsidP="00F659E9">
            <w:pPr>
              <w:rPr>
                <w:b/>
                <w:sz w:val="28"/>
                <w:szCs w:val="28"/>
              </w:rPr>
            </w:pPr>
          </w:p>
        </w:tc>
        <w:tc>
          <w:tcPr>
            <w:tcW w:w="3152" w:type="dxa"/>
            <w:hideMark/>
          </w:tcPr>
          <w:p w:rsidR="0038799B" w:rsidRPr="00AC5DC8" w:rsidRDefault="0038799B" w:rsidP="00F659E9">
            <w:pPr>
              <w:rPr>
                <w:b/>
                <w:sz w:val="28"/>
                <w:szCs w:val="28"/>
              </w:rPr>
            </w:pPr>
            <w:r w:rsidRPr="00AC5DC8">
              <w:rPr>
                <w:b/>
                <w:sz w:val="28"/>
                <w:szCs w:val="28"/>
              </w:rPr>
              <w:t>ФИО</w:t>
            </w:r>
          </w:p>
        </w:tc>
      </w:tr>
    </w:tbl>
    <w:p w:rsidR="0094678B" w:rsidRPr="00AC5DC8" w:rsidRDefault="0094678B" w:rsidP="00934587">
      <w:pPr>
        <w:rPr>
          <w:sz w:val="28"/>
          <w:szCs w:val="28"/>
        </w:rPr>
      </w:pPr>
    </w:p>
    <w:sectPr w:rsidR="0094678B" w:rsidRPr="00AC5DC8" w:rsidSect="00B45A5E">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98" w:rsidRDefault="005A1798">
      <w:r>
        <w:separator/>
      </w:r>
    </w:p>
  </w:endnote>
  <w:endnote w:type="continuationSeparator" w:id="0">
    <w:p w:rsidR="005A1798" w:rsidRDefault="005A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23" w:rsidRDefault="0047722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23" w:rsidRDefault="0047722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23" w:rsidRDefault="0047722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98" w:rsidRDefault="005A1798">
      <w:r>
        <w:separator/>
      </w:r>
    </w:p>
  </w:footnote>
  <w:footnote w:type="continuationSeparator" w:id="0">
    <w:p w:rsidR="005A1798" w:rsidRDefault="005A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77223">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26"/>
      <w:gridCol w:w="3936"/>
      <w:gridCol w:w="2126"/>
      <w:gridCol w:w="4263"/>
    </w:tblGrid>
    <w:tr w:rsidR="004B400D" w:rsidRPr="00D100F6" w:rsidTr="005D1846">
      <w:trPr>
        <w:trHeight w:val="1348"/>
      </w:trPr>
      <w:tc>
        <w:tcPr>
          <w:tcW w:w="4362" w:type="dxa"/>
          <w:gridSpan w:val="2"/>
          <w:shd w:val="clear" w:color="auto" w:fill="auto"/>
        </w:tcPr>
        <w:p w:rsidR="005D1846" w:rsidRDefault="00E15847" w:rsidP="00D52DE8">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5D1846" w:rsidRDefault="00E15847" w:rsidP="00D52DE8">
          <w:pPr>
            <w:spacing w:line="288" w:lineRule="auto"/>
            <w:ind w:right="459"/>
            <w:jc w:val="center"/>
            <w:rPr>
              <w:b/>
              <w:bCs/>
              <w:color w:val="3399FF"/>
              <w:lang w:val="kk-KZ"/>
            </w:rPr>
          </w:pPr>
          <w:r w:rsidRPr="005D1846">
            <w:rPr>
              <w:b/>
              <w:bCs/>
              <w:color w:val="3399FF"/>
              <w:lang w:val="kk-KZ"/>
            </w:rPr>
            <w:t>РЕСПУБЛИКАСЫ</w:t>
          </w:r>
          <w:r>
            <w:rPr>
              <w:b/>
              <w:bCs/>
              <w:color w:val="3399FF"/>
              <w:lang w:val="kk-KZ"/>
            </w:rPr>
            <w:t>НЫҢ</w:t>
          </w:r>
        </w:p>
        <w:p w:rsidR="004B400D" w:rsidRPr="00D100F6" w:rsidRDefault="00C428A9" w:rsidP="00C428A9">
          <w:pPr>
            <w:spacing w:line="288" w:lineRule="auto"/>
            <w:ind w:right="459"/>
            <w:jc w:val="center"/>
            <w:rPr>
              <w:b/>
              <w:color w:val="3A7298"/>
              <w:sz w:val="32"/>
              <w:szCs w:val="32"/>
              <w:lang w:val="kk-KZ"/>
            </w:rPr>
          </w:pPr>
          <w:r>
            <w:rPr>
              <w:b/>
              <w:bCs/>
              <w:color w:val="3399FF"/>
              <w:lang w:val="kk-KZ"/>
            </w:rPr>
            <w:t>ҚАРЖЫ</w:t>
          </w:r>
          <w:r w:rsidR="00E15847" w:rsidRPr="005D1846">
            <w:rPr>
              <w:b/>
              <w:bCs/>
              <w:color w:val="3399FF"/>
              <w:lang w:val="kk-KZ"/>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15847" w:rsidRDefault="00E15847" w:rsidP="00E15847">
          <w:pPr>
            <w:spacing w:line="288" w:lineRule="auto"/>
            <w:jc w:val="center"/>
            <w:rPr>
              <w:b/>
              <w:bCs/>
              <w:color w:val="3399FF"/>
              <w:lang w:val="kk-KZ"/>
            </w:rPr>
          </w:pPr>
          <w:r w:rsidRPr="00A646AF">
            <w:rPr>
              <w:b/>
              <w:bCs/>
              <w:color w:val="3399FF"/>
              <w:lang w:val="kk-KZ"/>
            </w:rPr>
            <w:t xml:space="preserve">МИНИСТЕРСТВО </w:t>
          </w:r>
        </w:p>
        <w:p w:rsidR="00C428A9" w:rsidRDefault="00C428A9" w:rsidP="00C428A9">
          <w:pPr>
            <w:spacing w:line="288" w:lineRule="auto"/>
            <w:jc w:val="center"/>
            <w:rPr>
              <w:b/>
              <w:bCs/>
              <w:color w:val="3399FF"/>
              <w:lang w:val="kk-KZ"/>
            </w:rPr>
          </w:pPr>
          <w:r>
            <w:rPr>
              <w:b/>
              <w:bCs/>
              <w:color w:val="3399FF"/>
              <w:lang w:val="kk-KZ"/>
            </w:rPr>
            <w:t xml:space="preserve">ФИНАНСОВ </w:t>
          </w:r>
        </w:p>
        <w:p w:rsidR="004B400D" w:rsidRPr="00D100F6" w:rsidRDefault="00E15847" w:rsidP="00C428A9">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rsidTr="005D1846">
      <w:trPr>
        <w:gridBefore w:val="1"/>
        <w:wBefore w:w="426" w:type="dxa"/>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5D1846"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655CCB11" wp14:editId="33E7332D">
                    <wp:simplePos x="0" y="0"/>
                    <wp:positionH relativeFrom="column">
                      <wp:posOffset>-3936365</wp:posOffset>
                    </wp:positionH>
                    <wp:positionV relativeFrom="page">
                      <wp:posOffset>70485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82C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ABQVIJ3QAAAAoBAAAPAAAAZHJzL2Rvd25yZXYueG1sTI9BT4NAEIXv&#10;Jv6HzZh4axc0YqEsjWn05qWVg8eFHYGUnUV2Keivd4wHe5z3vrx5L98tthdnHH3nSEG8jkAg1c50&#10;1Cgo315WGxA+aDK6d4QKvtDDrri+ynVm3EwHPB9DIziEfKYVtCEMmZS+btFqv3YDEnsfbrQ68Dk2&#10;0ox65nDby7soSqTVHfGHVg+4b7E+HSerIHn0Lpq+q/3huXz/LOfRVw/2Vanbm+VpCyLgEv5h+K3P&#10;1aHgTpWbyHjRK1glcZoyy04cg2DifpPymOpPkEUuLycUPwAAAP//AwBQSwECLQAUAAYACAAAACEA&#10;toM4kv4AAADhAQAAEwAAAAAAAAAAAAAAAAAAAAAAW0NvbnRlbnRfVHlwZXNdLnhtbFBLAQItABQA&#10;BgAIAAAAIQA4/SH/1gAAAJQBAAALAAAAAAAAAAAAAAAAAC8BAABfcmVscy8ucmVsc1BLAQItABQA&#10;BgAIAAAAIQCTVymCHQIAADQEAAAOAAAAAAAAAAAAAAAAAC4CAABkcnMvZTJvRG9jLnhtbFBLAQIt&#10;ABQABgAIAAAAIQABQVIJ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77223" w:rsidRDefault="00477223" w:rsidP="00477223">
    <w:pPr>
      <w:pStyle w:val="aa"/>
      <w:ind w:firstLine="1134"/>
      <w:rPr>
        <w:color w:val="3A7298"/>
        <w:sz w:val="22"/>
        <w:szCs w:val="22"/>
      </w:rPr>
    </w:pPr>
    <w:bookmarkStart w:id="0" w:name="_GoBack"/>
    <w:bookmarkEnd w:id="0"/>
    <w:r w:rsidRPr="00E04401">
      <w:rPr>
        <w:b/>
        <w:bCs/>
        <w:color w:val="3399FF"/>
        <w:sz w:val="22"/>
        <w:szCs w:val="22"/>
        <w:lang w:eastAsia="ru-RU"/>
      </w:rPr>
      <w:t xml:space="preserve">№ 402                                                    </w:t>
    </w:r>
    <w:r>
      <w:rPr>
        <w:b/>
        <w:bCs/>
        <w:color w:val="3399FF"/>
        <w:sz w:val="22"/>
        <w:szCs w:val="22"/>
        <w:lang w:eastAsia="ru-RU"/>
      </w:rPr>
      <w:tab/>
    </w:r>
    <w:r w:rsidRPr="00E04401">
      <w:rPr>
        <w:b/>
        <w:bCs/>
        <w:color w:val="3399FF"/>
        <w:sz w:val="22"/>
        <w:szCs w:val="22"/>
        <w:lang w:eastAsia="ru-RU"/>
      </w:rPr>
      <w:t xml:space="preserve">                                         </w:t>
    </w:r>
    <w:r>
      <w:rPr>
        <w:b/>
        <w:bCs/>
        <w:color w:val="3399FF"/>
        <w:sz w:val="22"/>
        <w:szCs w:val="22"/>
        <w:lang w:eastAsia="ru-RU"/>
      </w:rPr>
      <w:t xml:space="preserve">    от 20 апреля 2023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66A87"/>
    <w:rsid w:val="00073119"/>
    <w:rsid w:val="000922AA"/>
    <w:rsid w:val="000A77B4"/>
    <w:rsid w:val="000D4DAC"/>
    <w:rsid w:val="000F48E7"/>
    <w:rsid w:val="001204BA"/>
    <w:rsid w:val="001319EE"/>
    <w:rsid w:val="00143292"/>
    <w:rsid w:val="001763DE"/>
    <w:rsid w:val="001A1881"/>
    <w:rsid w:val="001B61C1"/>
    <w:rsid w:val="001F4925"/>
    <w:rsid w:val="001F64CB"/>
    <w:rsid w:val="002000F4"/>
    <w:rsid w:val="0022101F"/>
    <w:rsid w:val="0023374B"/>
    <w:rsid w:val="00251F3F"/>
    <w:rsid w:val="002A0A21"/>
    <w:rsid w:val="002A394A"/>
    <w:rsid w:val="002C49BE"/>
    <w:rsid w:val="00315CD9"/>
    <w:rsid w:val="003279CE"/>
    <w:rsid w:val="00330B0F"/>
    <w:rsid w:val="003623AC"/>
    <w:rsid w:val="00364E0B"/>
    <w:rsid w:val="00386737"/>
    <w:rsid w:val="0038799B"/>
    <w:rsid w:val="003A7077"/>
    <w:rsid w:val="003D781A"/>
    <w:rsid w:val="003F241E"/>
    <w:rsid w:val="00423754"/>
    <w:rsid w:val="00430E89"/>
    <w:rsid w:val="00456C7B"/>
    <w:rsid w:val="004726FE"/>
    <w:rsid w:val="00477223"/>
    <w:rsid w:val="0049623C"/>
    <w:rsid w:val="004A39F4"/>
    <w:rsid w:val="004B400D"/>
    <w:rsid w:val="004C34B8"/>
    <w:rsid w:val="004C4C4E"/>
    <w:rsid w:val="004E49BE"/>
    <w:rsid w:val="004F3375"/>
    <w:rsid w:val="00531944"/>
    <w:rsid w:val="005A1798"/>
    <w:rsid w:val="005C14F1"/>
    <w:rsid w:val="005D1846"/>
    <w:rsid w:val="005F2950"/>
    <w:rsid w:val="005F582C"/>
    <w:rsid w:val="00642211"/>
    <w:rsid w:val="006B6938"/>
    <w:rsid w:val="007006E3"/>
    <w:rsid w:val="007111E8"/>
    <w:rsid w:val="00731B2A"/>
    <w:rsid w:val="00740441"/>
    <w:rsid w:val="007767CD"/>
    <w:rsid w:val="00782A16"/>
    <w:rsid w:val="00787A78"/>
    <w:rsid w:val="007D5C5B"/>
    <w:rsid w:val="007E588D"/>
    <w:rsid w:val="0081000A"/>
    <w:rsid w:val="0082103D"/>
    <w:rsid w:val="008436CA"/>
    <w:rsid w:val="00866964"/>
    <w:rsid w:val="0086770B"/>
    <w:rsid w:val="00867FA4"/>
    <w:rsid w:val="008856E3"/>
    <w:rsid w:val="008B21A5"/>
    <w:rsid w:val="008E572C"/>
    <w:rsid w:val="00901D17"/>
    <w:rsid w:val="009139A9"/>
    <w:rsid w:val="00914138"/>
    <w:rsid w:val="00915A4B"/>
    <w:rsid w:val="00934587"/>
    <w:rsid w:val="0094678B"/>
    <w:rsid w:val="009924CE"/>
    <w:rsid w:val="009A1973"/>
    <w:rsid w:val="009B69F4"/>
    <w:rsid w:val="00A10052"/>
    <w:rsid w:val="00A17FE7"/>
    <w:rsid w:val="00A338BC"/>
    <w:rsid w:val="00A47D62"/>
    <w:rsid w:val="00A646AF"/>
    <w:rsid w:val="00A721B9"/>
    <w:rsid w:val="00AA225A"/>
    <w:rsid w:val="00AC5C47"/>
    <w:rsid w:val="00AC5D05"/>
    <w:rsid w:val="00AC5DC8"/>
    <w:rsid w:val="00AC76FB"/>
    <w:rsid w:val="00AD462C"/>
    <w:rsid w:val="00B0298F"/>
    <w:rsid w:val="00B06D08"/>
    <w:rsid w:val="00B45A5E"/>
    <w:rsid w:val="00B86340"/>
    <w:rsid w:val="00BD42EA"/>
    <w:rsid w:val="00BE28BE"/>
    <w:rsid w:val="00BE3CFA"/>
    <w:rsid w:val="00BE78CA"/>
    <w:rsid w:val="00C16640"/>
    <w:rsid w:val="00C428A9"/>
    <w:rsid w:val="00C634B7"/>
    <w:rsid w:val="00C7780A"/>
    <w:rsid w:val="00CA1875"/>
    <w:rsid w:val="00CA56D8"/>
    <w:rsid w:val="00CC7D90"/>
    <w:rsid w:val="00CE6A1B"/>
    <w:rsid w:val="00CF27A4"/>
    <w:rsid w:val="00D02BDF"/>
    <w:rsid w:val="00D03D0C"/>
    <w:rsid w:val="00D11982"/>
    <w:rsid w:val="00D14F06"/>
    <w:rsid w:val="00D42C93"/>
    <w:rsid w:val="00D52DE8"/>
    <w:rsid w:val="00D8374F"/>
    <w:rsid w:val="00DA79A3"/>
    <w:rsid w:val="00DB068D"/>
    <w:rsid w:val="00E15847"/>
    <w:rsid w:val="00E43190"/>
    <w:rsid w:val="00E57A5B"/>
    <w:rsid w:val="00E8227B"/>
    <w:rsid w:val="00E866E0"/>
    <w:rsid w:val="00EB54A3"/>
    <w:rsid w:val="00EC3C11"/>
    <w:rsid w:val="00EC6599"/>
    <w:rsid w:val="00ED53E0"/>
    <w:rsid w:val="00EE1A39"/>
    <w:rsid w:val="00EF4E93"/>
    <w:rsid w:val="00F22932"/>
    <w:rsid w:val="00F32A0B"/>
    <w:rsid w:val="00F525B9"/>
    <w:rsid w:val="00F64017"/>
    <w:rsid w:val="00F659E9"/>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92DB2"/>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C428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uiPriority w:val="99"/>
    <w:rsid w:val="004726FE"/>
    <w:pPr>
      <w:tabs>
        <w:tab w:val="center" w:pos="4677"/>
        <w:tab w:val="right" w:pos="9355"/>
      </w:tabs>
    </w:pPr>
  </w:style>
  <w:style w:type="character" w:customStyle="1" w:styleId="af4">
    <w:name w:val="Нижний колонтитул Знак"/>
    <w:basedOn w:val="a0"/>
    <w:link w:val="af3"/>
    <w:uiPriority w:val="99"/>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semiHidden/>
    <w:rsid w:val="00C428A9"/>
    <w:rPr>
      <w:rFonts w:asciiTheme="majorHAnsi" w:eastAsiaTheme="majorEastAsia" w:hAnsiTheme="majorHAnsi" w:cstheme="majorBidi"/>
      <w:color w:val="243F60" w:themeColor="accent1" w:themeShade="7F"/>
      <w:sz w:val="24"/>
      <w:szCs w:val="24"/>
    </w:rPr>
  </w:style>
  <w:style w:type="character" w:customStyle="1" w:styleId="af0">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f"/>
    <w:uiPriority w:val="99"/>
    <w:locked/>
    <w:rsid w:val="00C428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Ағабеков Әділет Жандосұлы</cp:lastModifiedBy>
  <cp:revision>21</cp:revision>
  <dcterms:created xsi:type="dcterms:W3CDTF">2023-01-05T12:39:00Z</dcterms:created>
  <dcterms:modified xsi:type="dcterms:W3CDTF">2023-04-20T08:52:00Z</dcterms:modified>
</cp:coreProperties>
</file>