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39560" w14:textId="751269D2" w:rsidR="00B862BA" w:rsidRPr="009B65B0" w:rsidRDefault="00B862BA" w:rsidP="00C5382B">
      <w:pPr>
        <w:rPr>
          <w:rFonts w:eastAsia="Calibri"/>
          <w:lang w:eastAsia="en-US"/>
        </w:rPr>
      </w:pPr>
      <w:bookmarkStart w:id="0" w:name="_Toc10818511"/>
      <w:bookmarkStart w:id="1" w:name="_GoBack"/>
      <w:bookmarkEnd w:id="1"/>
    </w:p>
    <w:p w14:paraId="5E729A45" w14:textId="6D952201" w:rsidR="009F4142" w:rsidRPr="00C01CE8" w:rsidRDefault="009F4142" w:rsidP="00C01CE8">
      <w:pPr>
        <w:tabs>
          <w:tab w:val="left" w:pos="0"/>
        </w:tabs>
        <w:autoSpaceDE w:val="0"/>
        <w:autoSpaceDN w:val="0"/>
        <w:adjustRightInd w:val="0"/>
        <w:jc w:val="both"/>
        <w:rPr>
          <w:rFonts w:eastAsia="Calibri"/>
          <w:color w:val="000000" w:themeColor="text1"/>
          <w:sz w:val="28"/>
          <w:szCs w:val="28"/>
          <w:lang w:eastAsia="en-US"/>
        </w:rPr>
      </w:pPr>
    </w:p>
    <w:p w14:paraId="0D467182" w14:textId="627D467D" w:rsidR="009F4142" w:rsidRPr="00C01CE8" w:rsidRDefault="009F4142" w:rsidP="00C01CE8">
      <w:pPr>
        <w:tabs>
          <w:tab w:val="left" w:pos="0"/>
        </w:tabs>
        <w:autoSpaceDE w:val="0"/>
        <w:autoSpaceDN w:val="0"/>
        <w:adjustRightInd w:val="0"/>
        <w:jc w:val="both"/>
        <w:rPr>
          <w:rFonts w:eastAsia="Calibri"/>
          <w:color w:val="000000" w:themeColor="text1"/>
          <w:sz w:val="28"/>
          <w:szCs w:val="28"/>
          <w:lang w:eastAsia="en-US"/>
        </w:rPr>
      </w:pPr>
    </w:p>
    <w:p w14:paraId="7B062770" w14:textId="3623E175" w:rsidR="009F4142" w:rsidRPr="00C01CE8" w:rsidRDefault="009F4142" w:rsidP="00C01CE8">
      <w:pPr>
        <w:tabs>
          <w:tab w:val="left" w:pos="0"/>
        </w:tabs>
        <w:autoSpaceDE w:val="0"/>
        <w:autoSpaceDN w:val="0"/>
        <w:adjustRightInd w:val="0"/>
        <w:jc w:val="both"/>
        <w:rPr>
          <w:rFonts w:eastAsia="Calibri"/>
          <w:color w:val="000000" w:themeColor="text1"/>
          <w:sz w:val="28"/>
          <w:szCs w:val="28"/>
          <w:lang w:eastAsia="en-US"/>
        </w:rPr>
      </w:pPr>
    </w:p>
    <w:p w14:paraId="198D2364" w14:textId="56937DA8" w:rsidR="009F4142" w:rsidRPr="00C01CE8" w:rsidRDefault="009F4142" w:rsidP="00C01CE8">
      <w:pPr>
        <w:tabs>
          <w:tab w:val="left" w:pos="0"/>
        </w:tabs>
        <w:autoSpaceDE w:val="0"/>
        <w:autoSpaceDN w:val="0"/>
        <w:adjustRightInd w:val="0"/>
        <w:jc w:val="both"/>
        <w:rPr>
          <w:rFonts w:eastAsia="Calibri"/>
          <w:color w:val="000000" w:themeColor="text1"/>
          <w:sz w:val="28"/>
          <w:szCs w:val="28"/>
          <w:lang w:eastAsia="en-US"/>
        </w:rPr>
      </w:pPr>
    </w:p>
    <w:p w14:paraId="73487710" w14:textId="3E0C8345" w:rsidR="009F4142" w:rsidRPr="00C01CE8" w:rsidRDefault="009F4142" w:rsidP="00C01CE8">
      <w:pPr>
        <w:tabs>
          <w:tab w:val="left" w:pos="0"/>
        </w:tabs>
        <w:autoSpaceDE w:val="0"/>
        <w:autoSpaceDN w:val="0"/>
        <w:adjustRightInd w:val="0"/>
        <w:jc w:val="both"/>
        <w:rPr>
          <w:rFonts w:eastAsia="Calibri"/>
          <w:color w:val="000000" w:themeColor="text1"/>
          <w:sz w:val="28"/>
          <w:szCs w:val="28"/>
          <w:lang w:eastAsia="en-US"/>
        </w:rPr>
      </w:pPr>
    </w:p>
    <w:p w14:paraId="0114BB9F" w14:textId="77777777" w:rsidR="009F4142" w:rsidRPr="00C01CE8" w:rsidRDefault="009F4142" w:rsidP="00C01CE8">
      <w:pPr>
        <w:tabs>
          <w:tab w:val="left" w:pos="0"/>
        </w:tabs>
        <w:autoSpaceDE w:val="0"/>
        <w:autoSpaceDN w:val="0"/>
        <w:adjustRightInd w:val="0"/>
        <w:jc w:val="both"/>
        <w:rPr>
          <w:rFonts w:eastAsia="Calibri"/>
          <w:color w:val="000000" w:themeColor="text1"/>
          <w:sz w:val="28"/>
          <w:szCs w:val="28"/>
          <w:lang w:eastAsia="en-US"/>
        </w:rPr>
      </w:pPr>
    </w:p>
    <w:p w14:paraId="39C634F4" w14:textId="77777777" w:rsidR="00B862BA" w:rsidRPr="00C01CE8" w:rsidRDefault="00B862BA" w:rsidP="00C01CE8">
      <w:pPr>
        <w:tabs>
          <w:tab w:val="left" w:pos="0"/>
        </w:tabs>
        <w:autoSpaceDE w:val="0"/>
        <w:autoSpaceDN w:val="0"/>
        <w:adjustRightInd w:val="0"/>
        <w:jc w:val="center"/>
        <w:rPr>
          <w:rFonts w:eastAsia="Calibri"/>
          <w:b/>
          <w:color w:val="000000" w:themeColor="text1"/>
          <w:sz w:val="28"/>
          <w:szCs w:val="28"/>
          <w:lang w:eastAsia="en-US"/>
        </w:rPr>
      </w:pPr>
    </w:p>
    <w:p w14:paraId="03EA4D82" w14:textId="77777777" w:rsidR="002A4F79" w:rsidRPr="00C01CE8" w:rsidRDefault="002A4F79" w:rsidP="00C01CE8">
      <w:pPr>
        <w:tabs>
          <w:tab w:val="left" w:pos="0"/>
        </w:tabs>
        <w:autoSpaceDE w:val="0"/>
        <w:autoSpaceDN w:val="0"/>
        <w:adjustRightInd w:val="0"/>
        <w:jc w:val="center"/>
        <w:rPr>
          <w:rFonts w:eastAsia="Calibri"/>
          <w:b/>
          <w:color w:val="000000" w:themeColor="text1"/>
          <w:sz w:val="28"/>
          <w:szCs w:val="28"/>
          <w:lang w:eastAsia="en-US"/>
        </w:rPr>
      </w:pPr>
    </w:p>
    <w:p w14:paraId="4EAC3809" w14:textId="77777777" w:rsidR="00574942" w:rsidRPr="002D2ED8" w:rsidRDefault="00FE57A7" w:rsidP="00C01CE8">
      <w:pPr>
        <w:tabs>
          <w:tab w:val="left" w:pos="0"/>
        </w:tabs>
        <w:autoSpaceDE w:val="0"/>
        <w:autoSpaceDN w:val="0"/>
        <w:adjustRightInd w:val="0"/>
        <w:jc w:val="center"/>
        <w:rPr>
          <w:rFonts w:eastAsia="Calibri"/>
          <w:b/>
          <w:color w:val="000000" w:themeColor="text1"/>
          <w:sz w:val="28"/>
          <w:szCs w:val="28"/>
          <w:lang w:eastAsia="en-US"/>
        </w:rPr>
      </w:pPr>
      <w:r w:rsidRPr="002D2ED8">
        <w:rPr>
          <w:rFonts w:eastAsia="Calibri"/>
          <w:b/>
          <w:color w:val="000000" w:themeColor="text1"/>
          <w:sz w:val="28"/>
          <w:szCs w:val="28"/>
          <w:lang w:eastAsia="en-US"/>
        </w:rPr>
        <w:t>А</w:t>
      </w:r>
      <w:r w:rsidR="0045529A" w:rsidRPr="002D2ED8">
        <w:rPr>
          <w:rFonts w:eastAsia="Calibri"/>
          <w:b/>
          <w:color w:val="000000" w:themeColor="text1"/>
          <w:sz w:val="28"/>
          <w:szCs w:val="28"/>
          <w:lang w:eastAsia="en-US"/>
        </w:rPr>
        <w:t>ГЕНТСТВО РЕСПУБЛИКИ КАЗАХСТАН ПО РЕГУЛИРОВАНИЮ И РАЗВИТИЮ ФИНАНСОВОГО РЫНКА</w:t>
      </w:r>
      <w:bookmarkEnd w:id="0"/>
    </w:p>
    <w:p w14:paraId="3FEE99DF" w14:textId="77777777" w:rsidR="00574942" w:rsidRPr="002D2ED8" w:rsidRDefault="00574942" w:rsidP="00C01CE8">
      <w:pPr>
        <w:tabs>
          <w:tab w:val="left" w:pos="0"/>
        </w:tabs>
        <w:autoSpaceDE w:val="0"/>
        <w:autoSpaceDN w:val="0"/>
        <w:adjustRightInd w:val="0"/>
        <w:jc w:val="center"/>
        <w:rPr>
          <w:rFonts w:eastAsia="Calibri"/>
          <w:b/>
          <w:color w:val="000000" w:themeColor="text1"/>
          <w:sz w:val="28"/>
          <w:szCs w:val="28"/>
          <w:lang w:eastAsia="en-US"/>
        </w:rPr>
      </w:pPr>
    </w:p>
    <w:p w14:paraId="3F91C95E" w14:textId="77777777" w:rsidR="0045529A" w:rsidRPr="002D2ED8" w:rsidRDefault="0045529A" w:rsidP="00C01CE8">
      <w:pPr>
        <w:tabs>
          <w:tab w:val="left" w:pos="0"/>
        </w:tabs>
        <w:autoSpaceDE w:val="0"/>
        <w:autoSpaceDN w:val="0"/>
        <w:adjustRightInd w:val="0"/>
        <w:jc w:val="center"/>
        <w:rPr>
          <w:rFonts w:eastAsia="Calibri"/>
          <w:b/>
          <w:color w:val="000000" w:themeColor="text1"/>
          <w:sz w:val="28"/>
          <w:szCs w:val="28"/>
          <w:lang w:eastAsia="en-US"/>
        </w:rPr>
      </w:pPr>
    </w:p>
    <w:p w14:paraId="56E6EE51" w14:textId="77777777" w:rsidR="0045529A" w:rsidRPr="002D2ED8" w:rsidRDefault="0045529A" w:rsidP="00C01CE8">
      <w:pPr>
        <w:tabs>
          <w:tab w:val="left" w:pos="0"/>
        </w:tabs>
        <w:autoSpaceDE w:val="0"/>
        <w:autoSpaceDN w:val="0"/>
        <w:adjustRightInd w:val="0"/>
        <w:jc w:val="center"/>
        <w:rPr>
          <w:rFonts w:eastAsia="Calibri"/>
          <w:b/>
          <w:color w:val="000000" w:themeColor="text1"/>
          <w:sz w:val="28"/>
          <w:szCs w:val="28"/>
          <w:lang w:eastAsia="en-US"/>
        </w:rPr>
      </w:pPr>
    </w:p>
    <w:p w14:paraId="74518B17" w14:textId="77777777" w:rsidR="00574942" w:rsidRPr="002D2ED8" w:rsidRDefault="00574942" w:rsidP="00C01CE8">
      <w:pPr>
        <w:tabs>
          <w:tab w:val="left" w:pos="0"/>
        </w:tabs>
        <w:autoSpaceDE w:val="0"/>
        <w:autoSpaceDN w:val="0"/>
        <w:adjustRightInd w:val="0"/>
        <w:jc w:val="center"/>
        <w:rPr>
          <w:rFonts w:eastAsia="Calibri"/>
          <w:b/>
          <w:color w:val="000000" w:themeColor="text1"/>
          <w:sz w:val="28"/>
          <w:szCs w:val="28"/>
          <w:lang w:eastAsia="en-US"/>
        </w:rPr>
      </w:pPr>
    </w:p>
    <w:p w14:paraId="7751E03F" w14:textId="77777777" w:rsidR="0045529A" w:rsidRPr="002D2ED8" w:rsidRDefault="00800E12" w:rsidP="00C01CE8">
      <w:pPr>
        <w:tabs>
          <w:tab w:val="left" w:pos="7655"/>
        </w:tabs>
        <w:jc w:val="center"/>
        <w:rPr>
          <w:color w:val="000000" w:themeColor="text1"/>
          <w:sz w:val="72"/>
          <w:szCs w:val="72"/>
        </w:rPr>
      </w:pPr>
      <w:r w:rsidRPr="002D2ED8">
        <w:rPr>
          <w:color w:val="000000" w:themeColor="text1"/>
          <w:sz w:val="72"/>
          <w:szCs w:val="72"/>
        </w:rPr>
        <w:t>О</w:t>
      </w:r>
      <w:r w:rsidR="00731A6A" w:rsidRPr="002D2ED8">
        <w:rPr>
          <w:color w:val="000000" w:themeColor="text1"/>
          <w:sz w:val="72"/>
          <w:szCs w:val="72"/>
        </w:rPr>
        <w:t xml:space="preserve">СНОВНЫЕ ПРИОРИТЕТЫ </w:t>
      </w:r>
    </w:p>
    <w:p w14:paraId="1B14CA7F" w14:textId="77777777" w:rsidR="0045529A" w:rsidRPr="002D2ED8" w:rsidRDefault="0045529A" w:rsidP="00C01CE8">
      <w:pPr>
        <w:tabs>
          <w:tab w:val="left" w:pos="7655"/>
        </w:tabs>
        <w:jc w:val="center"/>
        <w:rPr>
          <w:color w:val="000000" w:themeColor="text1"/>
          <w:sz w:val="40"/>
          <w:szCs w:val="40"/>
        </w:rPr>
      </w:pPr>
    </w:p>
    <w:p w14:paraId="07A93C7D" w14:textId="77777777" w:rsidR="00574942" w:rsidRPr="002D2ED8" w:rsidRDefault="00731A6A" w:rsidP="00C01CE8">
      <w:pPr>
        <w:tabs>
          <w:tab w:val="left" w:pos="7655"/>
        </w:tabs>
        <w:jc w:val="center"/>
        <w:rPr>
          <w:color w:val="000000" w:themeColor="text1"/>
          <w:sz w:val="48"/>
          <w:szCs w:val="48"/>
        </w:rPr>
      </w:pPr>
      <w:r w:rsidRPr="002D2ED8">
        <w:rPr>
          <w:color w:val="000000" w:themeColor="text1"/>
          <w:sz w:val="48"/>
          <w:szCs w:val="48"/>
        </w:rPr>
        <w:t>НАДЗОРНОЙ ПОЛИТИКИ</w:t>
      </w:r>
    </w:p>
    <w:p w14:paraId="02822C6E" w14:textId="7EC8414E" w:rsidR="00C552EC" w:rsidRPr="002D2ED8" w:rsidRDefault="00731A6A" w:rsidP="00C01CE8">
      <w:pPr>
        <w:tabs>
          <w:tab w:val="left" w:pos="7655"/>
        </w:tabs>
        <w:jc w:val="center"/>
        <w:rPr>
          <w:color w:val="000000" w:themeColor="text1"/>
          <w:sz w:val="48"/>
          <w:szCs w:val="48"/>
        </w:rPr>
      </w:pPr>
      <w:r w:rsidRPr="002D2ED8">
        <w:rPr>
          <w:color w:val="000000" w:themeColor="text1"/>
          <w:sz w:val="48"/>
          <w:szCs w:val="48"/>
        </w:rPr>
        <w:t>БАНКОВСКОГО СЕКТОРА</w:t>
      </w:r>
      <w:r w:rsidR="00177B2D" w:rsidRPr="002D2ED8">
        <w:rPr>
          <w:color w:val="000000" w:themeColor="text1"/>
          <w:sz w:val="48"/>
          <w:szCs w:val="48"/>
        </w:rPr>
        <w:t xml:space="preserve"> НА </w:t>
      </w:r>
      <w:r w:rsidR="00753CD4" w:rsidRPr="002D2ED8">
        <w:rPr>
          <w:color w:val="000000" w:themeColor="text1"/>
          <w:sz w:val="48"/>
          <w:szCs w:val="48"/>
        </w:rPr>
        <w:t>202</w:t>
      </w:r>
      <w:r w:rsidR="00BE5A08" w:rsidRPr="002D2ED8">
        <w:rPr>
          <w:color w:val="000000" w:themeColor="text1"/>
          <w:sz w:val="48"/>
          <w:szCs w:val="48"/>
        </w:rPr>
        <w:t>3</w:t>
      </w:r>
      <w:r w:rsidR="00753CD4" w:rsidRPr="002D2ED8">
        <w:rPr>
          <w:color w:val="000000" w:themeColor="text1"/>
          <w:sz w:val="48"/>
          <w:szCs w:val="48"/>
        </w:rPr>
        <w:t xml:space="preserve"> </w:t>
      </w:r>
      <w:r w:rsidR="00177B2D" w:rsidRPr="002D2ED8">
        <w:rPr>
          <w:color w:val="000000" w:themeColor="text1"/>
          <w:sz w:val="48"/>
          <w:szCs w:val="48"/>
        </w:rPr>
        <w:t>ГОД</w:t>
      </w:r>
      <w:r w:rsidR="00753CD4" w:rsidRPr="002D2ED8">
        <w:rPr>
          <w:color w:val="000000" w:themeColor="text1"/>
          <w:sz w:val="48"/>
          <w:szCs w:val="48"/>
        </w:rPr>
        <w:t xml:space="preserve"> </w:t>
      </w:r>
    </w:p>
    <w:p w14:paraId="56EF2118" w14:textId="77777777" w:rsidR="00574942" w:rsidRPr="002D2ED8" w:rsidRDefault="00574942" w:rsidP="00C01CE8">
      <w:pPr>
        <w:tabs>
          <w:tab w:val="left" w:pos="7655"/>
        </w:tabs>
        <w:jc w:val="center"/>
        <w:rPr>
          <w:color w:val="000000" w:themeColor="text1"/>
          <w:sz w:val="40"/>
          <w:szCs w:val="40"/>
        </w:rPr>
      </w:pPr>
    </w:p>
    <w:p w14:paraId="2ED58B36" w14:textId="77777777" w:rsidR="0045529A" w:rsidRPr="002D2ED8" w:rsidRDefault="0045529A" w:rsidP="00C01CE8">
      <w:pPr>
        <w:tabs>
          <w:tab w:val="left" w:pos="7655"/>
        </w:tabs>
        <w:jc w:val="center"/>
        <w:rPr>
          <w:color w:val="000000" w:themeColor="text1"/>
          <w:sz w:val="28"/>
          <w:szCs w:val="28"/>
        </w:rPr>
      </w:pPr>
    </w:p>
    <w:p w14:paraId="514A59E7" w14:textId="77777777" w:rsidR="0045529A" w:rsidRPr="002D2ED8" w:rsidRDefault="0045529A" w:rsidP="00C01CE8">
      <w:pPr>
        <w:tabs>
          <w:tab w:val="left" w:pos="7655"/>
        </w:tabs>
        <w:jc w:val="center"/>
        <w:rPr>
          <w:color w:val="000000" w:themeColor="text1"/>
          <w:sz w:val="28"/>
          <w:szCs w:val="28"/>
        </w:rPr>
      </w:pPr>
    </w:p>
    <w:p w14:paraId="2C67D11B" w14:textId="77777777" w:rsidR="0045529A" w:rsidRPr="002D2ED8" w:rsidRDefault="0045529A" w:rsidP="00C01CE8">
      <w:pPr>
        <w:tabs>
          <w:tab w:val="left" w:pos="7655"/>
        </w:tabs>
        <w:jc w:val="center"/>
        <w:rPr>
          <w:color w:val="000000" w:themeColor="text1"/>
          <w:sz w:val="28"/>
          <w:szCs w:val="28"/>
        </w:rPr>
      </w:pPr>
    </w:p>
    <w:p w14:paraId="25CDB8A6" w14:textId="77777777" w:rsidR="00B9636B" w:rsidRPr="002D2ED8" w:rsidRDefault="00B9636B" w:rsidP="00C01CE8">
      <w:pPr>
        <w:tabs>
          <w:tab w:val="left" w:pos="7655"/>
        </w:tabs>
        <w:jc w:val="center"/>
        <w:rPr>
          <w:color w:val="000000" w:themeColor="text1"/>
          <w:sz w:val="28"/>
          <w:szCs w:val="28"/>
        </w:rPr>
      </w:pPr>
    </w:p>
    <w:p w14:paraId="603188DA" w14:textId="62794EBC" w:rsidR="00B9636B" w:rsidRPr="002D2ED8" w:rsidRDefault="00B9636B" w:rsidP="00C01CE8">
      <w:pPr>
        <w:tabs>
          <w:tab w:val="left" w:pos="7655"/>
        </w:tabs>
        <w:jc w:val="center"/>
        <w:rPr>
          <w:color w:val="000000" w:themeColor="text1"/>
          <w:sz w:val="28"/>
          <w:szCs w:val="28"/>
        </w:rPr>
      </w:pPr>
    </w:p>
    <w:p w14:paraId="62CE7EFA" w14:textId="26EA2041" w:rsidR="009E3848" w:rsidRPr="002D2ED8" w:rsidRDefault="009E3848" w:rsidP="00C01CE8">
      <w:pPr>
        <w:tabs>
          <w:tab w:val="left" w:pos="7655"/>
        </w:tabs>
        <w:jc w:val="center"/>
        <w:rPr>
          <w:color w:val="000000" w:themeColor="text1"/>
          <w:sz w:val="28"/>
          <w:szCs w:val="28"/>
        </w:rPr>
      </w:pPr>
    </w:p>
    <w:p w14:paraId="7EE41282" w14:textId="0EA70E93" w:rsidR="009E3848" w:rsidRPr="002D2ED8" w:rsidRDefault="009E3848" w:rsidP="00C01CE8">
      <w:pPr>
        <w:tabs>
          <w:tab w:val="left" w:pos="7655"/>
        </w:tabs>
        <w:jc w:val="center"/>
        <w:rPr>
          <w:color w:val="000000" w:themeColor="text1"/>
          <w:sz w:val="28"/>
          <w:szCs w:val="28"/>
        </w:rPr>
      </w:pPr>
    </w:p>
    <w:p w14:paraId="39E6CEEE" w14:textId="669D5CC5" w:rsidR="009E3848" w:rsidRPr="002D2ED8" w:rsidRDefault="009E3848" w:rsidP="00C01CE8">
      <w:pPr>
        <w:tabs>
          <w:tab w:val="left" w:pos="7655"/>
        </w:tabs>
        <w:jc w:val="center"/>
        <w:rPr>
          <w:color w:val="000000" w:themeColor="text1"/>
          <w:sz w:val="28"/>
          <w:szCs w:val="28"/>
        </w:rPr>
      </w:pPr>
    </w:p>
    <w:p w14:paraId="3DFCE961" w14:textId="2A91F2B9" w:rsidR="009E3848" w:rsidRPr="002D2ED8" w:rsidRDefault="009E3848" w:rsidP="00C01CE8">
      <w:pPr>
        <w:tabs>
          <w:tab w:val="left" w:pos="7655"/>
        </w:tabs>
        <w:jc w:val="center"/>
        <w:rPr>
          <w:color w:val="000000" w:themeColor="text1"/>
          <w:sz w:val="28"/>
          <w:szCs w:val="28"/>
        </w:rPr>
      </w:pPr>
    </w:p>
    <w:p w14:paraId="3C197DCC" w14:textId="77777777" w:rsidR="009E3848" w:rsidRPr="002D2ED8" w:rsidRDefault="009E3848" w:rsidP="00C01CE8">
      <w:pPr>
        <w:tabs>
          <w:tab w:val="left" w:pos="7655"/>
        </w:tabs>
        <w:jc w:val="center"/>
        <w:rPr>
          <w:color w:val="000000" w:themeColor="text1"/>
          <w:sz w:val="28"/>
          <w:szCs w:val="28"/>
        </w:rPr>
      </w:pPr>
    </w:p>
    <w:p w14:paraId="675BF726" w14:textId="77777777" w:rsidR="00B9636B" w:rsidRPr="002D2ED8" w:rsidRDefault="00B9636B" w:rsidP="00C01CE8">
      <w:pPr>
        <w:tabs>
          <w:tab w:val="left" w:pos="7655"/>
        </w:tabs>
        <w:jc w:val="center"/>
        <w:rPr>
          <w:color w:val="000000" w:themeColor="text1"/>
          <w:sz w:val="28"/>
          <w:szCs w:val="28"/>
        </w:rPr>
      </w:pPr>
    </w:p>
    <w:p w14:paraId="4E25527B" w14:textId="77777777" w:rsidR="00B9636B" w:rsidRPr="002D2ED8" w:rsidRDefault="00B9636B" w:rsidP="00C01CE8">
      <w:pPr>
        <w:tabs>
          <w:tab w:val="left" w:pos="7655"/>
        </w:tabs>
        <w:jc w:val="center"/>
        <w:rPr>
          <w:color w:val="000000" w:themeColor="text1"/>
          <w:sz w:val="28"/>
          <w:szCs w:val="28"/>
        </w:rPr>
      </w:pPr>
    </w:p>
    <w:p w14:paraId="08DA252F" w14:textId="77777777" w:rsidR="00B9636B" w:rsidRPr="002D2ED8" w:rsidRDefault="00B9636B" w:rsidP="00C01CE8">
      <w:pPr>
        <w:tabs>
          <w:tab w:val="left" w:pos="7655"/>
        </w:tabs>
        <w:jc w:val="center"/>
        <w:rPr>
          <w:color w:val="000000" w:themeColor="text1"/>
          <w:sz w:val="28"/>
          <w:szCs w:val="28"/>
        </w:rPr>
      </w:pPr>
    </w:p>
    <w:p w14:paraId="33D13027" w14:textId="77777777" w:rsidR="00B9636B" w:rsidRPr="002D2ED8" w:rsidRDefault="00B9636B" w:rsidP="00C01CE8">
      <w:pPr>
        <w:tabs>
          <w:tab w:val="left" w:pos="7655"/>
        </w:tabs>
        <w:jc w:val="center"/>
        <w:rPr>
          <w:color w:val="000000" w:themeColor="text1"/>
          <w:sz w:val="28"/>
          <w:szCs w:val="28"/>
        </w:rPr>
      </w:pPr>
    </w:p>
    <w:p w14:paraId="7B3104DB" w14:textId="77777777" w:rsidR="002D0D37" w:rsidRPr="002D2ED8" w:rsidRDefault="002D0D37" w:rsidP="00C01CE8">
      <w:pPr>
        <w:tabs>
          <w:tab w:val="left" w:pos="7655"/>
        </w:tabs>
        <w:jc w:val="center"/>
        <w:rPr>
          <w:color w:val="000000" w:themeColor="text1"/>
          <w:sz w:val="28"/>
          <w:szCs w:val="28"/>
        </w:rPr>
      </w:pPr>
    </w:p>
    <w:p w14:paraId="22944AB5" w14:textId="77777777" w:rsidR="002D0D37" w:rsidRPr="002D2ED8" w:rsidRDefault="002D0D37" w:rsidP="00C01CE8">
      <w:pPr>
        <w:tabs>
          <w:tab w:val="left" w:pos="7655"/>
        </w:tabs>
        <w:jc w:val="center"/>
        <w:rPr>
          <w:color w:val="000000" w:themeColor="text1"/>
          <w:sz w:val="28"/>
          <w:szCs w:val="28"/>
        </w:rPr>
      </w:pPr>
    </w:p>
    <w:p w14:paraId="2E02D30D" w14:textId="77777777" w:rsidR="002D0D37" w:rsidRPr="002D2ED8" w:rsidRDefault="002D0D37" w:rsidP="00C01CE8">
      <w:pPr>
        <w:tabs>
          <w:tab w:val="left" w:pos="7655"/>
        </w:tabs>
        <w:jc w:val="center"/>
        <w:rPr>
          <w:color w:val="000000" w:themeColor="text1"/>
          <w:sz w:val="28"/>
          <w:szCs w:val="28"/>
        </w:rPr>
      </w:pPr>
    </w:p>
    <w:p w14:paraId="3D6776A2" w14:textId="77777777" w:rsidR="002D0D37" w:rsidRPr="002D2ED8" w:rsidRDefault="002D0D37" w:rsidP="00C01CE8">
      <w:pPr>
        <w:tabs>
          <w:tab w:val="left" w:pos="7655"/>
        </w:tabs>
        <w:jc w:val="center"/>
        <w:rPr>
          <w:color w:val="000000" w:themeColor="text1"/>
          <w:sz w:val="28"/>
          <w:szCs w:val="28"/>
        </w:rPr>
      </w:pPr>
    </w:p>
    <w:p w14:paraId="453F07AF" w14:textId="77777777" w:rsidR="002D0D37" w:rsidRPr="002D2ED8" w:rsidRDefault="002D0D37" w:rsidP="00C01CE8">
      <w:pPr>
        <w:tabs>
          <w:tab w:val="left" w:pos="7655"/>
        </w:tabs>
        <w:jc w:val="center"/>
        <w:rPr>
          <w:color w:val="000000" w:themeColor="text1"/>
          <w:sz w:val="28"/>
          <w:szCs w:val="28"/>
        </w:rPr>
      </w:pPr>
    </w:p>
    <w:p w14:paraId="1E168E75" w14:textId="77777777" w:rsidR="002D0D37" w:rsidRPr="002D2ED8" w:rsidRDefault="002D0D37" w:rsidP="00C01CE8">
      <w:pPr>
        <w:tabs>
          <w:tab w:val="left" w:pos="7655"/>
        </w:tabs>
        <w:jc w:val="center"/>
        <w:rPr>
          <w:color w:val="000000" w:themeColor="text1"/>
          <w:sz w:val="28"/>
          <w:szCs w:val="28"/>
        </w:rPr>
      </w:pPr>
    </w:p>
    <w:p w14:paraId="6263D5B9" w14:textId="1D1EBAC1" w:rsidR="00D301F1" w:rsidRPr="002D2ED8" w:rsidRDefault="00FE48C9" w:rsidP="00C01CE8">
      <w:pPr>
        <w:tabs>
          <w:tab w:val="left" w:pos="7655"/>
        </w:tabs>
        <w:jc w:val="center"/>
        <w:rPr>
          <w:color w:val="000000" w:themeColor="text1"/>
          <w:sz w:val="28"/>
          <w:szCs w:val="28"/>
        </w:rPr>
      </w:pPr>
      <w:r w:rsidRPr="002D2ED8">
        <w:rPr>
          <w:color w:val="000000" w:themeColor="text1"/>
          <w:sz w:val="28"/>
          <w:szCs w:val="28"/>
        </w:rPr>
        <w:t>Март</w:t>
      </w:r>
      <w:r w:rsidR="00B9636B" w:rsidRPr="002D2ED8">
        <w:rPr>
          <w:color w:val="000000" w:themeColor="text1"/>
          <w:sz w:val="28"/>
          <w:szCs w:val="28"/>
        </w:rPr>
        <w:t>,</w:t>
      </w:r>
      <w:r w:rsidR="00B862BA" w:rsidRPr="002D2ED8">
        <w:rPr>
          <w:color w:val="000000" w:themeColor="text1"/>
          <w:sz w:val="28"/>
          <w:szCs w:val="28"/>
        </w:rPr>
        <w:t xml:space="preserve"> 202</w:t>
      </w:r>
      <w:r w:rsidR="00BE5A08" w:rsidRPr="002D2ED8">
        <w:rPr>
          <w:color w:val="000000" w:themeColor="text1"/>
          <w:sz w:val="28"/>
          <w:szCs w:val="28"/>
        </w:rPr>
        <w:t>3</w:t>
      </w:r>
      <w:r w:rsidR="00B9636B" w:rsidRPr="002D2ED8">
        <w:rPr>
          <w:color w:val="000000" w:themeColor="text1"/>
          <w:sz w:val="28"/>
          <w:szCs w:val="28"/>
        </w:rPr>
        <w:t xml:space="preserve"> год</w:t>
      </w:r>
    </w:p>
    <w:p w14:paraId="2B0B1564" w14:textId="77777777" w:rsidR="00D301F1" w:rsidRPr="002D2ED8" w:rsidRDefault="00D301F1" w:rsidP="00C01CE8">
      <w:pPr>
        <w:rPr>
          <w:color w:val="000000" w:themeColor="text1"/>
          <w:sz w:val="28"/>
          <w:szCs w:val="28"/>
        </w:rPr>
      </w:pPr>
      <w:r w:rsidRPr="002D2ED8">
        <w:rPr>
          <w:color w:val="000000" w:themeColor="text1"/>
          <w:sz w:val="28"/>
          <w:szCs w:val="28"/>
        </w:rPr>
        <w:br w:type="page"/>
      </w:r>
    </w:p>
    <w:p w14:paraId="6340687B" w14:textId="5E2F1059" w:rsidR="00FB1B82" w:rsidRPr="002D2ED8" w:rsidRDefault="00FB1B82" w:rsidP="000C12A6">
      <w:pPr>
        <w:pStyle w:val="af6"/>
        <w:spacing w:before="0" w:line="240" w:lineRule="auto"/>
        <w:jc w:val="center"/>
        <w:rPr>
          <w:rFonts w:ascii="Times New Roman" w:hAnsi="Times New Roman"/>
          <w:color w:val="000000" w:themeColor="text1"/>
        </w:rPr>
      </w:pPr>
      <w:r w:rsidRPr="002D2ED8">
        <w:rPr>
          <w:rFonts w:ascii="Times New Roman" w:hAnsi="Times New Roman"/>
          <w:color w:val="000000" w:themeColor="text1"/>
        </w:rPr>
        <w:lastRenderedPageBreak/>
        <w:t>Содержание</w:t>
      </w:r>
    </w:p>
    <w:p w14:paraId="4E92FFCC" w14:textId="77E1D438" w:rsidR="00A728B2" w:rsidRPr="002D2ED8" w:rsidRDefault="00A728B2" w:rsidP="00A728B2"/>
    <w:p w14:paraId="2F92C4D6" w14:textId="77777777" w:rsidR="00421D50" w:rsidRPr="002D2ED8" w:rsidRDefault="00215259" w:rsidP="00550B58">
      <w:pPr>
        <w:pStyle w:val="11"/>
        <w:rPr>
          <w:lang w:val="kk-KZ"/>
        </w:rPr>
      </w:pPr>
      <w:r w:rsidRPr="002D2ED8">
        <w:t xml:space="preserve">   </w:t>
      </w:r>
    </w:p>
    <w:sdt>
      <w:sdtPr>
        <w:rPr>
          <w:rFonts w:ascii="Times New Roman" w:hAnsi="Times New Roman"/>
          <w:b w:val="0"/>
          <w:bCs w:val="0"/>
          <w:color w:val="auto"/>
          <w:sz w:val="27"/>
          <w:szCs w:val="27"/>
        </w:rPr>
        <w:id w:val="-260299834"/>
        <w:docPartObj>
          <w:docPartGallery w:val="Table of Contents"/>
          <w:docPartUnique/>
        </w:docPartObj>
      </w:sdtPr>
      <w:sdtEndPr>
        <w:rPr>
          <w:sz w:val="26"/>
          <w:szCs w:val="26"/>
        </w:rPr>
      </w:sdtEndPr>
      <w:sdtContent>
        <w:p w14:paraId="027731F4" w14:textId="478B0B2C" w:rsidR="00421D50" w:rsidRPr="002D2ED8" w:rsidRDefault="00421D50" w:rsidP="00835D03">
          <w:pPr>
            <w:pStyle w:val="af6"/>
            <w:tabs>
              <w:tab w:val="left" w:pos="709"/>
            </w:tabs>
            <w:spacing w:before="0" w:line="240" w:lineRule="auto"/>
            <w:rPr>
              <w:sz w:val="27"/>
              <w:szCs w:val="27"/>
            </w:rPr>
          </w:pPr>
        </w:p>
        <w:p w14:paraId="2D62B48C" w14:textId="56B76988" w:rsidR="00C55C31" w:rsidRPr="002D2ED8" w:rsidRDefault="00421D50">
          <w:pPr>
            <w:pStyle w:val="11"/>
            <w:rPr>
              <w:rFonts w:asciiTheme="minorHAnsi" w:eastAsiaTheme="minorEastAsia" w:hAnsiTheme="minorHAnsi" w:cstheme="minorBidi"/>
              <w:sz w:val="27"/>
              <w:szCs w:val="27"/>
            </w:rPr>
          </w:pPr>
          <w:r w:rsidRPr="002D2ED8">
            <w:rPr>
              <w:sz w:val="27"/>
              <w:szCs w:val="27"/>
            </w:rPr>
            <w:fldChar w:fldCharType="begin"/>
          </w:r>
          <w:r w:rsidRPr="002D2ED8">
            <w:rPr>
              <w:sz w:val="27"/>
              <w:szCs w:val="27"/>
            </w:rPr>
            <w:instrText xml:space="preserve"> TOC \o "1-3" \h \z \u </w:instrText>
          </w:r>
          <w:r w:rsidRPr="002D2ED8">
            <w:rPr>
              <w:sz w:val="27"/>
              <w:szCs w:val="27"/>
            </w:rPr>
            <w:fldChar w:fldCharType="separate"/>
          </w:r>
          <w:hyperlink w:anchor="_Toc127966701" w:history="1">
            <w:r w:rsidR="00C55C31" w:rsidRPr="002D2ED8">
              <w:rPr>
                <w:rStyle w:val="a9"/>
                <w:sz w:val="27"/>
                <w:szCs w:val="27"/>
              </w:rPr>
              <w:t>Введение</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_Toc127966701 \h </w:instrText>
            </w:r>
            <w:r w:rsidR="00C55C31" w:rsidRPr="002D2ED8">
              <w:rPr>
                <w:webHidden/>
                <w:sz w:val="27"/>
                <w:szCs w:val="27"/>
              </w:rPr>
            </w:r>
            <w:r w:rsidR="00C55C31" w:rsidRPr="002D2ED8">
              <w:rPr>
                <w:webHidden/>
                <w:sz w:val="27"/>
                <w:szCs w:val="27"/>
              </w:rPr>
              <w:fldChar w:fldCharType="separate"/>
            </w:r>
            <w:r w:rsidR="002713FB">
              <w:rPr>
                <w:webHidden/>
                <w:sz w:val="27"/>
                <w:szCs w:val="27"/>
              </w:rPr>
              <w:t>3</w:t>
            </w:r>
            <w:r w:rsidR="00C55C31" w:rsidRPr="002D2ED8">
              <w:rPr>
                <w:webHidden/>
                <w:sz w:val="27"/>
                <w:szCs w:val="27"/>
              </w:rPr>
              <w:fldChar w:fldCharType="end"/>
            </w:r>
          </w:hyperlink>
        </w:p>
        <w:p w14:paraId="3EB53C72" w14:textId="61748166" w:rsidR="00C55C31" w:rsidRPr="002D2ED8" w:rsidRDefault="00305121">
          <w:pPr>
            <w:pStyle w:val="21"/>
            <w:rPr>
              <w:rFonts w:asciiTheme="minorHAnsi" w:eastAsiaTheme="minorEastAsia" w:hAnsiTheme="minorHAnsi" w:cstheme="minorBidi"/>
              <w:sz w:val="27"/>
              <w:szCs w:val="27"/>
              <w:lang w:val="ru-RU"/>
            </w:rPr>
          </w:pPr>
          <w:hyperlink w:anchor="_Toc127966702" w:history="1">
            <w:r w:rsidR="00C55C31" w:rsidRPr="002D2ED8">
              <w:rPr>
                <w:rStyle w:val="a9"/>
                <w:rFonts w:eastAsia="Calibri"/>
                <w:sz w:val="27"/>
                <w:szCs w:val="27"/>
                <w:lang w:eastAsia="en-US"/>
              </w:rPr>
              <w:t>1.</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Итоги 2022 года для банковского сектора Казахстана</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_Toc127966702 \h </w:instrText>
            </w:r>
            <w:r w:rsidR="00C55C31" w:rsidRPr="002D2ED8">
              <w:rPr>
                <w:webHidden/>
                <w:sz w:val="27"/>
                <w:szCs w:val="27"/>
              </w:rPr>
            </w:r>
            <w:r w:rsidR="00C55C31" w:rsidRPr="002D2ED8">
              <w:rPr>
                <w:webHidden/>
                <w:sz w:val="27"/>
                <w:szCs w:val="27"/>
              </w:rPr>
              <w:fldChar w:fldCharType="separate"/>
            </w:r>
            <w:r w:rsidR="002713FB">
              <w:rPr>
                <w:webHidden/>
                <w:sz w:val="27"/>
                <w:szCs w:val="27"/>
              </w:rPr>
              <w:t>4</w:t>
            </w:r>
            <w:r w:rsidR="00C55C31" w:rsidRPr="002D2ED8">
              <w:rPr>
                <w:webHidden/>
                <w:sz w:val="27"/>
                <w:szCs w:val="27"/>
              </w:rPr>
              <w:fldChar w:fldCharType="end"/>
            </w:r>
          </w:hyperlink>
        </w:p>
        <w:p w14:paraId="49DCB63C" w14:textId="680187AC" w:rsidR="00C55C31" w:rsidRPr="002D2ED8" w:rsidRDefault="00305121">
          <w:pPr>
            <w:pStyle w:val="21"/>
            <w:rPr>
              <w:rFonts w:asciiTheme="minorHAnsi" w:eastAsiaTheme="minorEastAsia" w:hAnsiTheme="minorHAnsi" w:cstheme="minorBidi"/>
              <w:sz w:val="27"/>
              <w:szCs w:val="27"/>
              <w:lang w:val="ru-RU"/>
            </w:rPr>
          </w:pPr>
          <w:hyperlink w:anchor="_Toc127966703" w:history="1">
            <w:r w:rsidR="00C55C31" w:rsidRPr="002D2ED8">
              <w:rPr>
                <w:rStyle w:val="a9"/>
                <w:rFonts w:eastAsia="Calibri"/>
                <w:sz w:val="27"/>
                <w:szCs w:val="27"/>
                <w:lang w:eastAsia="en-US"/>
              </w:rPr>
              <w:t>1.1.</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Основные тенденции в экономике, влияющие на банковский сектор, текущее состояние банковского сектора</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_Toc127966703 \h </w:instrText>
            </w:r>
            <w:r w:rsidR="00C55C31" w:rsidRPr="002D2ED8">
              <w:rPr>
                <w:webHidden/>
                <w:sz w:val="27"/>
                <w:szCs w:val="27"/>
              </w:rPr>
            </w:r>
            <w:r w:rsidR="00C55C31" w:rsidRPr="002D2ED8">
              <w:rPr>
                <w:webHidden/>
                <w:sz w:val="27"/>
                <w:szCs w:val="27"/>
              </w:rPr>
              <w:fldChar w:fldCharType="separate"/>
            </w:r>
            <w:r w:rsidR="002713FB">
              <w:rPr>
                <w:webHidden/>
                <w:sz w:val="27"/>
                <w:szCs w:val="27"/>
              </w:rPr>
              <w:t>4</w:t>
            </w:r>
            <w:r w:rsidR="00C55C31" w:rsidRPr="002D2ED8">
              <w:rPr>
                <w:webHidden/>
                <w:sz w:val="27"/>
                <w:szCs w:val="27"/>
              </w:rPr>
              <w:fldChar w:fldCharType="end"/>
            </w:r>
          </w:hyperlink>
        </w:p>
        <w:p w14:paraId="3347E6F3" w14:textId="3993C03C" w:rsidR="00C55C31" w:rsidRPr="002D2ED8" w:rsidRDefault="00305121">
          <w:pPr>
            <w:pStyle w:val="21"/>
            <w:rPr>
              <w:rFonts w:asciiTheme="minorHAnsi" w:eastAsiaTheme="minorEastAsia" w:hAnsiTheme="minorHAnsi" w:cstheme="minorBidi"/>
              <w:sz w:val="27"/>
              <w:szCs w:val="27"/>
              <w:lang w:val="ru-RU"/>
            </w:rPr>
          </w:pPr>
          <w:hyperlink w:anchor="_Toc127966704" w:history="1">
            <w:r w:rsidR="00C55C31" w:rsidRPr="002D2ED8">
              <w:rPr>
                <w:rStyle w:val="a9"/>
                <w:rFonts w:eastAsia="Calibri"/>
                <w:sz w:val="27"/>
                <w:szCs w:val="27"/>
                <w:lang w:eastAsia="en-US"/>
              </w:rPr>
              <w:t>1.2.</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Регулирование в условиях санкционного режима</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_Toc127966704 \h </w:instrText>
            </w:r>
            <w:r w:rsidR="00C55C31" w:rsidRPr="002D2ED8">
              <w:rPr>
                <w:webHidden/>
                <w:sz w:val="27"/>
                <w:szCs w:val="27"/>
              </w:rPr>
            </w:r>
            <w:r w:rsidR="00C55C31" w:rsidRPr="002D2ED8">
              <w:rPr>
                <w:webHidden/>
                <w:sz w:val="27"/>
                <w:szCs w:val="27"/>
              </w:rPr>
              <w:fldChar w:fldCharType="separate"/>
            </w:r>
            <w:r w:rsidR="002713FB">
              <w:rPr>
                <w:webHidden/>
                <w:sz w:val="27"/>
                <w:szCs w:val="27"/>
              </w:rPr>
              <w:t>6</w:t>
            </w:r>
            <w:r w:rsidR="00C55C31" w:rsidRPr="002D2ED8">
              <w:rPr>
                <w:webHidden/>
                <w:sz w:val="27"/>
                <w:szCs w:val="27"/>
              </w:rPr>
              <w:fldChar w:fldCharType="end"/>
            </w:r>
          </w:hyperlink>
        </w:p>
        <w:p w14:paraId="6873D93B" w14:textId="39475F52" w:rsidR="00C55C31" w:rsidRPr="002D2ED8" w:rsidRDefault="00305121">
          <w:pPr>
            <w:pStyle w:val="21"/>
            <w:rPr>
              <w:rFonts w:asciiTheme="minorHAnsi" w:eastAsiaTheme="minorEastAsia" w:hAnsiTheme="minorHAnsi" w:cstheme="minorBidi"/>
              <w:sz w:val="27"/>
              <w:szCs w:val="27"/>
              <w:lang w:val="ru-RU"/>
            </w:rPr>
          </w:pPr>
          <w:hyperlink w:anchor="_Toc127966705" w:history="1">
            <w:r w:rsidR="00C55C31" w:rsidRPr="002D2ED8">
              <w:rPr>
                <w:rStyle w:val="a9"/>
                <w:rFonts w:eastAsia="Calibri"/>
                <w:sz w:val="27"/>
                <w:szCs w:val="27"/>
                <w:lang w:eastAsia="en-US"/>
              </w:rPr>
              <w:t>2.</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Надзорный процесс в 2022 году</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_Toc127966705 \h </w:instrText>
            </w:r>
            <w:r w:rsidR="00C55C31" w:rsidRPr="002D2ED8">
              <w:rPr>
                <w:webHidden/>
                <w:sz w:val="27"/>
                <w:szCs w:val="27"/>
              </w:rPr>
            </w:r>
            <w:r w:rsidR="00C55C31" w:rsidRPr="002D2ED8">
              <w:rPr>
                <w:webHidden/>
                <w:sz w:val="27"/>
                <w:szCs w:val="27"/>
              </w:rPr>
              <w:fldChar w:fldCharType="separate"/>
            </w:r>
            <w:r w:rsidR="002713FB">
              <w:rPr>
                <w:webHidden/>
                <w:sz w:val="27"/>
                <w:szCs w:val="27"/>
              </w:rPr>
              <w:t>8</w:t>
            </w:r>
            <w:r w:rsidR="00C55C31" w:rsidRPr="002D2ED8">
              <w:rPr>
                <w:webHidden/>
                <w:sz w:val="27"/>
                <w:szCs w:val="27"/>
              </w:rPr>
              <w:fldChar w:fldCharType="end"/>
            </w:r>
          </w:hyperlink>
        </w:p>
        <w:p w14:paraId="3F61AE49" w14:textId="36C56145" w:rsidR="00C55C31" w:rsidRPr="002D2ED8" w:rsidRDefault="00305121">
          <w:pPr>
            <w:pStyle w:val="21"/>
            <w:rPr>
              <w:rFonts w:asciiTheme="minorHAnsi" w:eastAsiaTheme="minorEastAsia" w:hAnsiTheme="minorHAnsi" w:cstheme="minorBidi"/>
              <w:sz w:val="27"/>
              <w:szCs w:val="27"/>
              <w:lang w:val="ru-RU"/>
            </w:rPr>
          </w:pPr>
          <w:hyperlink w:anchor="_Toc127966706" w:history="1">
            <w:r w:rsidR="00C55C31" w:rsidRPr="002D2ED8">
              <w:rPr>
                <w:rStyle w:val="a9"/>
                <w:rFonts w:eastAsia="Calibri"/>
                <w:sz w:val="27"/>
                <w:szCs w:val="27"/>
                <w:lang w:eastAsia="en-US"/>
              </w:rPr>
              <w:t>2.1.</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Ежегодная надзорная оценка банков в рамках надзорного процесса по методологии SREP</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_Toc127966706 \h </w:instrText>
            </w:r>
            <w:r w:rsidR="00C55C31" w:rsidRPr="002D2ED8">
              <w:rPr>
                <w:webHidden/>
                <w:sz w:val="27"/>
                <w:szCs w:val="27"/>
              </w:rPr>
            </w:r>
            <w:r w:rsidR="00C55C31" w:rsidRPr="002D2ED8">
              <w:rPr>
                <w:webHidden/>
                <w:sz w:val="27"/>
                <w:szCs w:val="27"/>
              </w:rPr>
              <w:fldChar w:fldCharType="separate"/>
            </w:r>
            <w:r w:rsidR="002713FB">
              <w:rPr>
                <w:webHidden/>
                <w:sz w:val="27"/>
                <w:szCs w:val="27"/>
              </w:rPr>
              <w:t>8</w:t>
            </w:r>
            <w:r w:rsidR="00C55C31" w:rsidRPr="002D2ED8">
              <w:rPr>
                <w:webHidden/>
                <w:sz w:val="27"/>
                <w:szCs w:val="27"/>
              </w:rPr>
              <w:fldChar w:fldCharType="end"/>
            </w:r>
          </w:hyperlink>
        </w:p>
        <w:p w14:paraId="2167F80B" w14:textId="796127D6" w:rsidR="00C55C31" w:rsidRPr="002D2ED8" w:rsidRDefault="00305121">
          <w:pPr>
            <w:pStyle w:val="21"/>
            <w:rPr>
              <w:rFonts w:asciiTheme="minorHAnsi" w:eastAsiaTheme="minorEastAsia" w:hAnsiTheme="minorHAnsi" w:cstheme="minorBidi"/>
              <w:sz w:val="27"/>
              <w:szCs w:val="27"/>
              <w:lang w:val="ru-RU"/>
            </w:rPr>
          </w:pPr>
          <w:hyperlink w:anchor="_Toc127966707" w:history="1">
            <w:r w:rsidR="00C55C31" w:rsidRPr="002D2ED8">
              <w:rPr>
                <w:rStyle w:val="a9"/>
                <w:rFonts w:eastAsia="Calibri"/>
                <w:sz w:val="27"/>
                <w:szCs w:val="27"/>
                <w:lang w:eastAsia="en-US"/>
              </w:rPr>
              <w:t>2.2.</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Регулярная оценка качества активов (AQR)</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_Toc127966707 \h </w:instrText>
            </w:r>
            <w:r w:rsidR="00C55C31" w:rsidRPr="002D2ED8">
              <w:rPr>
                <w:webHidden/>
                <w:sz w:val="27"/>
                <w:szCs w:val="27"/>
              </w:rPr>
            </w:r>
            <w:r w:rsidR="00C55C31" w:rsidRPr="002D2ED8">
              <w:rPr>
                <w:webHidden/>
                <w:sz w:val="27"/>
                <w:szCs w:val="27"/>
              </w:rPr>
              <w:fldChar w:fldCharType="separate"/>
            </w:r>
            <w:r w:rsidR="002713FB">
              <w:rPr>
                <w:webHidden/>
                <w:sz w:val="27"/>
                <w:szCs w:val="27"/>
              </w:rPr>
              <w:t>10</w:t>
            </w:r>
            <w:r w:rsidR="00C55C31" w:rsidRPr="002D2ED8">
              <w:rPr>
                <w:webHidden/>
                <w:sz w:val="27"/>
                <w:szCs w:val="27"/>
              </w:rPr>
              <w:fldChar w:fldCharType="end"/>
            </w:r>
          </w:hyperlink>
        </w:p>
        <w:p w14:paraId="2CA38973" w14:textId="4A908897" w:rsidR="00C55C31" w:rsidRPr="002D2ED8" w:rsidRDefault="00305121">
          <w:pPr>
            <w:pStyle w:val="21"/>
            <w:rPr>
              <w:rFonts w:asciiTheme="minorHAnsi" w:eastAsiaTheme="minorEastAsia" w:hAnsiTheme="minorHAnsi" w:cstheme="minorBidi"/>
              <w:sz w:val="27"/>
              <w:szCs w:val="27"/>
              <w:lang w:val="ru-RU"/>
            </w:rPr>
          </w:pPr>
          <w:hyperlink w:anchor="_Toc127966708" w:history="1">
            <w:r w:rsidR="00C55C31" w:rsidRPr="002D2ED8">
              <w:rPr>
                <w:rStyle w:val="a9"/>
                <w:rFonts w:eastAsia="Calibri"/>
                <w:sz w:val="27"/>
                <w:szCs w:val="27"/>
                <w:lang w:eastAsia="en-US"/>
              </w:rPr>
              <w:t>2.3.</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Надзорное стресс-тестирование</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_Toc127966708 \h </w:instrText>
            </w:r>
            <w:r w:rsidR="00C55C31" w:rsidRPr="002D2ED8">
              <w:rPr>
                <w:webHidden/>
                <w:sz w:val="27"/>
                <w:szCs w:val="27"/>
              </w:rPr>
            </w:r>
            <w:r w:rsidR="00C55C31" w:rsidRPr="002D2ED8">
              <w:rPr>
                <w:webHidden/>
                <w:sz w:val="27"/>
                <w:szCs w:val="27"/>
              </w:rPr>
              <w:fldChar w:fldCharType="separate"/>
            </w:r>
            <w:r w:rsidR="002713FB">
              <w:rPr>
                <w:webHidden/>
                <w:sz w:val="27"/>
                <w:szCs w:val="27"/>
              </w:rPr>
              <w:t>11</w:t>
            </w:r>
            <w:r w:rsidR="00C55C31" w:rsidRPr="002D2ED8">
              <w:rPr>
                <w:webHidden/>
                <w:sz w:val="27"/>
                <w:szCs w:val="27"/>
              </w:rPr>
              <w:fldChar w:fldCharType="end"/>
            </w:r>
          </w:hyperlink>
        </w:p>
        <w:p w14:paraId="18DCD73F" w14:textId="734BB55C" w:rsidR="00C55C31" w:rsidRPr="002D2ED8" w:rsidRDefault="00305121">
          <w:pPr>
            <w:pStyle w:val="21"/>
            <w:rPr>
              <w:rFonts w:asciiTheme="minorHAnsi" w:eastAsiaTheme="minorEastAsia" w:hAnsiTheme="minorHAnsi" w:cstheme="minorBidi"/>
              <w:sz w:val="27"/>
              <w:szCs w:val="27"/>
              <w:lang w:val="ru-RU"/>
            </w:rPr>
          </w:pPr>
          <w:hyperlink w:anchor="_Toc127966709" w:history="1">
            <w:r w:rsidR="00C55C31" w:rsidRPr="002D2ED8">
              <w:rPr>
                <w:rStyle w:val="a9"/>
                <w:rFonts w:eastAsia="Calibri"/>
                <w:sz w:val="27"/>
                <w:szCs w:val="27"/>
                <w:lang w:eastAsia="en-US"/>
              </w:rPr>
              <w:t>2.4.</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Мониторинг индивидуальных планов корректирующих мер по итогам AQR</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_Toc127966709 \h </w:instrText>
            </w:r>
            <w:r w:rsidR="00C55C31" w:rsidRPr="002D2ED8">
              <w:rPr>
                <w:webHidden/>
                <w:sz w:val="27"/>
                <w:szCs w:val="27"/>
              </w:rPr>
            </w:r>
            <w:r w:rsidR="00C55C31" w:rsidRPr="002D2ED8">
              <w:rPr>
                <w:webHidden/>
                <w:sz w:val="27"/>
                <w:szCs w:val="27"/>
              </w:rPr>
              <w:fldChar w:fldCharType="separate"/>
            </w:r>
            <w:r w:rsidR="002713FB">
              <w:rPr>
                <w:webHidden/>
                <w:sz w:val="27"/>
                <w:szCs w:val="27"/>
              </w:rPr>
              <w:t>12</w:t>
            </w:r>
            <w:r w:rsidR="00C55C31" w:rsidRPr="002D2ED8">
              <w:rPr>
                <w:webHidden/>
                <w:sz w:val="27"/>
                <w:szCs w:val="27"/>
              </w:rPr>
              <w:fldChar w:fldCharType="end"/>
            </w:r>
          </w:hyperlink>
        </w:p>
        <w:p w14:paraId="6B3A56E3" w14:textId="6101EDBD" w:rsidR="00C55C31" w:rsidRPr="002D2ED8" w:rsidRDefault="00305121">
          <w:pPr>
            <w:pStyle w:val="21"/>
            <w:rPr>
              <w:rFonts w:asciiTheme="minorHAnsi" w:eastAsiaTheme="minorEastAsia" w:hAnsiTheme="minorHAnsi" w:cstheme="minorBidi"/>
              <w:sz w:val="27"/>
              <w:szCs w:val="27"/>
              <w:lang w:val="ru-RU"/>
            </w:rPr>
          </w:pPr>
          <w:hyperlink w:anchor="_Toc127966710" w:history="1">
            <w:r w:rsidR="00C55C31" w:rsidRPr="002D2ED8">
              <w:rPr>
                <w:rStyle w:val="a9"/>
                <w:rFonts w:eastAsia="Calibri"/>
                <w:sz w:val="27"/>
                <w:szCs w:val="27"/>
                <w:lang w:eastAsia="en-US"/>
              </w:rPr>
              <w:t>2.5.</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Развитие рынка стрессовых активов и вовлечение их в экономический оборот</w:t>
            </w:r>
            <w:r w:rsidR="00FC72DE" w:rsidRPr="002D2ED8">
              <w:rPr>
                <w:rStyle w:val="a9"/>
                <w:rFonts w:eastAsia="Calibri"/>
                <w:sz w:val="27"/>
                <w:szCs w:val="27"/>
                <w:lang w:val="ru-RU" w:eastAsia="en-US"/>
              </w:rPr>
              <w:t>…..</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_Toc127966710 \h </w:instrText>
            </w:r>
            <w:r w:rsidR="00C55C31" w:rsidRPr="002D2ED8">
              <w:rPr>
                <w:webHidden/>
                <w:sz w:val="27"/>
                <w:szCs w:val="27"/>
              </w:rPr>
            </w:r>
            <w:r w:rsidR="00C55C31" w:rsidRPr="002D2ED8">
              <w:rPr>
                <w:webHidden/>
                <w:sz w:val="27"/>
                <w:szCs w:val="27"/>
              </w:rPr>
              <w:fldChar w:fldCharType="separate"/>
            </w:r>
            <w:r w:rsidR="002713FB">
              <w:rPr>
                <w:webHidden/>
                <w:sz w:val="27"/>
                <w:szCs w:val="27"/>
              </w:rPr>
              <w:t>14</w:t>
            </w:r>
            <w:r w:rsidR="00C55C31" w:rsidRPr="002D2ED8">
              <w:rPr>
                <w:webHidden/>
                <w:sz w:val="27"/>
                <w:szCs w:val="27"/>
              </w:rPr>
              <w:fldChar w:fldCharType="end"/>
            </w:r>
          </w:hyperlink>
        </w:p>
        <w:p w14:paraId="38243BD9" w14:textId="02188EA5" w:rsidR="00C55C31" w:rsidRPr="002D2ED8" w:rsidRDefault="00305121">
          <w:pPr>
            <w:pStyle w:val="21"/>
            <w:rPr>
              <w:rFonts w:asciiTheme="minorHAnsi" w:eastAsiaTheme="minorEastAsia" w:hAnsiTheme="minorHAnsi" w:cstheme="minorBidi"/>
              <w:sz w:val="27"/>
              <w:szCs w:val="27"/>
              <w:lang w:val="ru-RU"/>
            </w:rPr>
          </w:pPr>
          <w:hyperlink w:anchor="_Toc127966711" w:history="1">
            <w:r w:rsidR="00C55C31" w:rsidRPr="002D2ED8">
              <w:rPr>
                <w:rStyle w:val="a9"/>
                <w:rFonts w:eastAsia="Calibri"/>
                <w:sz w:val="27"/>
                <w:szCs w:val="27"/>
                <w:lang w:eastAsia="en-US"/>
              </w:rPr>
              <w:t>2.6.</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Расширение применения мотивированного надзорного суждения</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_Toc127966711 \h </w:instrText>
            </w:r>
            <w:r w:rsidR="00C55C31" w:rsidRPr="002D2ED8">
              <w:rPr>
                <w:webHidden/>
                <w:sz w:val="27"/>
                <w:szCs w:val="27"/>
              </w:rPr>
            </w:r>
            <w:r w:rsidR="00C55C31" w:rsidRPr="002D2ED8">
              <w:rPr>
                <w:webHidden/>
                <w:sz w:val="27"/>
                <w:szCs w:val="27"/>
              </w:rPr>
              <w:fldChar w:fldCharType="separate"/>
            </w:r>
            <w:r w:rsidR="002713FB">
              <w:rPr>
                <w:webHidden/>
                <w:sz w:val="27"/>
                <w:szCs w:val="27"/>
              </w:rPr>
              <w:t>15</w:t>
            </w:r>
            <w:r w:rsidR="00C55C31" w:rsidRPr="002D2ED8">
              <w:rPr>
                <w:webHidden/>
                <w:sz w:val="27"/>
                <w:szCs w:val="27"/>
              </w:rPr>
              <w:fldChar w:fldCharType="end"/>
            </w:r>
          </w:hyperlink>
        </w:p>
        <w:p w14:paraId="6118D78F" w14:textId="3FC43D3E" w:rsidR="00C55C31" w:rsidRPr="002D2ED8" w:rsidRDefault="00305121">
          <w:pPr>
            <w:pStyle w:val="21"/>
            <w:rPr>
              <w:rFonts w:asciiTheme="minorHAnsi" w:eastAsiaTheme="minorEastAsia" w:hAnsiTheme="minorHAnsi" w:cstheme="minorBidi"/>
              <w:sz w:val="27"/>
              <w:szCs w:val="27"/>
              <w:lang w:val="ru-RU"/>
            </w:rPr>
          </w:pPr>
          <w:hyperlink w:anchor="_Toc127966712" w:history="1">
            <w:r w:rsidR="00C55C31" w:rsidRPr="002D2ED8">
              <w:rPr>
                <w:rStyle w:val="a9"/>
                <w:rFonts w:eastAsia="Calibri"/>
                <w:sz w:val="27"/>
                <w:szCs w:val="27"/>
                <w:lang w:eastAsia="en-US"/>
              </w:rPr>
              <w:t>2.7.</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Проведение процессов добровольной реорганизации микрофинансовой организации в форме конвертации в банк и выстраивание надзорного процесса</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_Toc127966712 \h </w:instrText>
            </w:r>
            <w:r w:rsidR="00C55C31" w:rsidRPr="002D2ED8">
              <w:rPr>
                <w:webHidden/>
                <w:sz w:val="27"/>
                <w:szCs w:val="27"/>
              </w:rPr>
            </w:r>
            <w:r w:rsidR="00C55C31" w:rsidRPr="002D2ED8">
              <w:rPr>
                <w:webHidden/>
                <w:sz w:val="27"/>
                <w:szCs w:val="27"/>
              </w:rPr>
              <w:fldChar w:fldCharType="separate"/>
            </w:r>
            <w:r w:rsidR="002713FB">
              <w:rPr>
                <w:webHidden/>
                <w:sz w:val="27"/>
                <w:szCs w:val="27"/>
              </w:rPr>
              <w:t>16</w:t>
            </w:r>
            <w:r w:rsidR="00C55C31" w:rsidRPr="002D2ED8">
              <w:rPr>
                <w:webHidden/>
                <w:sz w:val="27"/>
                <w:szCs w:val="27"/>
              </w:rPr>
              <w:fldChar w:fldCharType="end"/>
            </w:r>
          </w:hyperlink>
        </w:p>
        <w:p w14:paraId="11128017" w14:textId="2F025ED1" w:rsidR="00C55C31" w:rsidRPr="002D2ED8" w:rsidRDefault="00305121">
          <w:pPr>
            <w:pStyle w:val="21"/>
            <w:rPr>
              <w:rFonts w:asciiTheme="minorHAnsi" w:eastAsiaTheme="minorEastAsia" w:hAnsiTheme="minorHAnsi" w:cstheme="minorBidi"/>
              <w:sz w:val="27"/>
              <w:szCs w:val="27"/>
              <w:lang w:val="ru-RU"/>
            </w:rPr>
          </w:pPr>
          <w:hyperlink w:anchor="_Toc127966713" w:history="1">
            <w:r w:rsidR="00C55C31" w:rsidRPr="002D2ED8">
              <w:rPr>
                <w:rStyle w:val="a9"/>
                <w:rFonts w:eastAsia="Calibri"/>
                <w:sz w:val="27"/>
                <w:szCs w:val="27"/>
                <w:lang w:eastAsia="en-US"/>
              </w:rPr>
              <w:t>3.</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Надзорный процесс и развитие приоритетных надзорных инструментов в 2023 году</w:t>
            </w:r>
            <w:r w:rsidR="00FC72DE" w:rsidRPr="002D2ED8">
              <w:rPr>
                <w:rStyle w:val="a9"/>
                <w:rFonts w:eastAsia="Calibri"/>
                <w:sz w:val="27"/>
                <w:szCs w:val="27"/>
                <w:lang w:val="ru-RU" w:eastAsia="en-US"/>
              </w:rPr>
              <w:t>…..</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_Toc127966713 \h </w:instrText>
            </w:r>
            <w:r w:rsidR="00C55C31" w:rsidRPr="002D2ED8">
              <w:rPr>
                <w:webHidden/>
                <w:sz w:val="27"/>
                <w:szCs w:val="27"/>
              </w:rPr>
            </w:r>
            <w:r w:rsidR="00C55C31" w:rsidRPr="002D2ED8">
              <w:rPr>
                <w:webHidden/>
                <w:sz w:val="27"/>
                <w:szCs w:val="27"/>
              </w:rPr>
              <w:fldChar w:fldCharType="separate"/>
            </w:r>
            <w:r w:rsidR="002713FB">
              <w:rPr>
                <w:webHidden/>
                <w:sz w:val="27"/>
                <w:szCs w:val="27"/>
              </w:rPr>
              <w:t>18</w:t>
            </w:r>
            <w:r w:rsidR="00C55C31" w:rsidRPr="002D2ED8">
              <w:rPr>
                <w:webHidden/>
                <w:sz w:val="27"/>
                <w:szCs w:val="27"/>
              </w:rPr>
              <w:fldChar w:fldCharType="end"/>
            </w:r>
          </w:hyperlink>
        </w:p>
        <w:p w14:paraId="0DC89E7E" w14:textId="5135F0C1" w:rsidR="00C55C31" w:rsidRPr="002D2ED8" w:rsidRDefault="00305121">
          <w:pPr>
            <w:pStyle w:val="21"/>
            <w:rPr>
              <w:rFonts w:asciiTheme="minorHAnsi" w:eastAsiaTheme="minorEastAsia" w:hAnsiTheme="minorHAnsi" w:cstheme="minorBidi"/>
              <w:sz w:val="27"/>
              <w:szCs w:val="27"/>
              <w:lang w:val="ru-RU"/>
            </w:rPr>
          </w:pPr>
          <w:hyperlink w:anchor="_Toc127966714" w:history="1">
            <w:r w:rsidR="00C55C31" w:rsidRPr="002D2ED8">
              <w:rPr>
                <w:rStyle w:val="a9"/>
                <w:rFonts w:eastAsia="Calibri"/>
                <w:sz w:val="27"/>
                <w:szCs w:val="27"/>
                <w:lang w:eastAsia="en-US"/>
              </w:rPr>
              <w:t>3.1.</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Ежегодная надзорная оценка банков в рамках надзорного процесса по методологии SREP</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_Toc127966714 \h </w:instrText>
            </w:r>
            <w:r w:rsidR="00C55C31" w:rsidRPr="002D2ED8">
              <w:rPr>
                <w:webHidden/>
                <w:sz w:val="27"/>
                <w:szCs w:val="27"/>
              </w:rPr>
            </w:r>
            <w:r w:rsidR="00C55C31" w:rsidRPr="002D2ED8">
              <w:rPr>
                <w:webHidden/>
                <w:sz w:val="27"/>
                <w:szCs w:val="27"/>
              </w:rPr>
              <w:fldChar w:fldCharType="separate"/>
            </w:r>
            <w:r w:rsidR="002713FB">
              <w:rPr>
                <w:webHidden/>
                <w:sz w:val="27"/>
                <w:szCs w:val="27"/>
              </w:rPr>
              <w:t>18</w:t>
            </w:r>
            <w:r w:rsidR="00C55C31" w:rsidRPr="002D2ED8">
              <w:rPr>
                <w:webHidden/>
                <w:sz w:val="27"/>
                <w:szCs w:val="27"/>
              </w:rPr>
              <w:fldChar w:fldCharType="end"/>
            </w:r>
          </w:hyperlink>
        </w:p>
        <w:p w14:paraId="6474FAB9" w14:textId="560236D3" w:rsidR="00C55C31" w:rsidRPr="002D2ED8" w:rsidRDefault="00305121">
          <w:pPr>
            <w:pStyle w:val="21"/>
            <w:rPr>
              <w:rFonts w:asciiTheme="minorHAnsi" w:eastAsiaTheme="minorEastAsia" w:hAnsiTheme="minorHAnsi" w:cstheme="minorBidi"/>
              <w:sz w:val="27"/>
              <w:szCs w:val="27"/>
              <w:lang w:val="ru-RU"/>
            </w:rPr>
          </w:pPr>
          <w:hyperlink w:anchor="_Toc127966715" w:history="1">
            <w:r w:rsidR="00C55C31" w:rsidRPr="002D2ED8">
              <w:rPr>
                <w:rStyle w:val="a9"/>
                <w:rFonts w:eastAsia="Calibri"/>
                <w:sz w:val="27"/>
                <w:szCs w:val="27"/>
                <w:lang w:eastAsia="en-US"/>
              </w:rPr>
              <w:t>3.2.</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Регулярная оценка качества активов (AQR)</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_Toc127966715 \h </w:instrText>
            </w:r>
            <w:r w:rsidR="00C55C31" w:rsidRPr="002D2ED8">
              <w:rPr>
                <w:webHidden/>
                <w:sz w:val="27"/>
                <w:szCs w:val="27"/>
              </w:rPr>
            </w:r>
            <w:r w:rsidR="00C55C31" w:rsidRPr="002D2ED8">
              <w:rPr>
                <w:webHidden/>
                <w:sz w:val="27"/>
                <w:szCs w:val="27"/>
              </w:rPr>
              <w:fldChar w:fldCharType="separate"/>
            </w:r>
            <w:r w:rsidR="002713FB">
              <w:rPr>
                <w:webHidden/>
                <w:sz w:val="27"/>
                <w:szCs w:val="27"/>
              </w:rPr>
              <w:t>19</w:t>
            </w:r>
            <w:r w:rsidR="00C55C31" w:rsidRPr="002D2ED8">
              <w:rPr>
                <w:webHidden/>
                <w:sz w:val="27"/>
                <w:szCs w:val="27"/>
              </w:rPr>
              <w:fldChar w:fldCharType="end"/>
            </w:r>
          </w:hyperlink>
        </w:p>
        <w:p w14:paraId="76C378D3" w14:textId="07E56F1F" w:rsidR="00C55C31" w:rsidRPr="002D2ED8" w:rsidRDefault="00305121">
          <w:pPr>
            <w:pStyle w:val="21"/>
            <w:rPr>
              <w:rFonts w:asciiTheme="minorHAnsi" w:eastAsiaTheme="minorEastAsia" w:hAnsiTheme="minorHAnsi" w:cstheme="minorBidi"/>
              <w:sz w:val="27"/>
              <w:szCs w:val="27"/>
              <w:lang w:val="ru-RU"/>
            </w:rPr>
          </w:pPr>
          <w:hyperlink w:anchor="_Toc127966716" w:history="1">
            <w:r w:rsidR="00C55C31" w:rsidRPr="002D2ED8">
              <w:rPr>
                <w:rStyle w:val="a9"/>
                <w:rFonts w:eastAsia="Calibri"/>
                <w:sz w:val="27"/>
                <w:szCs w:val="27"/>
                <w:lang w:eastAsia="en-US"/>
              </w:rPr>
              <w:t>3.3.</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Надзорное стресс-тестирование</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_Toc127966716 \h </w:instrText>
            </w:r>
            <w:r w:rsidR="00C55C31" w:rsidRPr="002D2ED8">
              <w:rPr>
                <w:webHidden/>
                <w:sz w:val="27"/>
                <w:szCs w:val="27"/>
              </w:rPr>
            </w:r>
            <w:r w:rsidR="00C55C31" w:rsidRPr="002D2ED8">
              <w:rPr>
                <w:webHidden/>
                <w:sz w:val="27"/>
                <w:szCs w:val="27"/>
              </w:rPr>
              <w:fldChar w:fldCharType="separate"/>
            </w:r>
            <w:r w:rsidR="002713FB">
              <w:rPr>
                <w:webHidden/>
                <w:sz w:val="27"/>
                <w:szCs w:val="27"/>
              </w:rPr>
              <w:t>19</w:t>
            </w:r>
            <w:r w:rsidR="00C55C31" w:rsidRPr="002D2ED8">
              <w:rPr>
                <w:webHidden/>
                <w:sz w:val="27"/>
                <w:szCs w:val="27"/>
              </w:rPr>
              <w:fldChar w:fldCharType="end"/>
            </w:r>
          </w:hyperlink>
        </w:p>
        <w:p w14:paraId="43FF2CE4" w14:textId="6AEDBFB5" w:rsidR="00C55C31" w:rsidRPr="002D2ED8" w:rsidRDefault="00305121">
          <w:pPr>
            <w:pStyle w:val="21"/>
            <w:rPr>
              <w:rFonts w:asciiTheme="minorHAnsi" w:eastAsiaTheme="minorEastAsia" w:hAnsiTheme="minorHAnsi" w:cstheme="minorBidi"/>
              <w:sz w:val="27"/>
              <w:szCs w:val="27"/>
              <w:lang w:val="ru-RU"/>
            </w:rPr>
          </w:pPr>
          <w:hyperlink w:anchor="_Toc127966717" w:history="1">
            <w:r w:rsidR="00C55C31" w:rsidRPr="002D2ED8">
              <w:rPr>
                <w:rStyle w:val="a9"/>
                <w:rFonts w:eastAsia="Calibri"/>
                <w:sz w:val="27"/>
                <w:szCs w:val="27"/>
                <w:lang w:eastAsia="en-US"/>
              </w:rPr>
              <w:t>3.4.</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Мониторинг индивидуальных планов корректирующих мер по итогам AQR</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_Toc127966717 \h </w:instrText>
            </w:r>
            <w:r w:rsidR="00C55C31" w:rsidRPr="002D2ED8">
              <w:rPr>
                <w:webHidden/>
                <w:sz w:val="27"/>
                <w:szCs w:val="27"/>
              </w:rPr>
            </w:r>
            <w:r w:rsidR="00C55C31" w:rsidRPr="002D2ED8">
              <w:rPr>
                <w:webHidden/>
                <w:sz w:val="27"/>
                <w:szCs w:val="27"/>
              </w:rPr>
              <w:fldChar w:fldCharType="separate"/>
            </w:r>
            <w:r w:rsidR="002713FB">
              <w:rPr>
                <w:webHidden/>
                <w:sz w:val="27"/>
                <w:szCs w:val="27"/>
              </w:rPr>
              <w:t>20</w:t>
            </w:r>
            <w:r w:rsidR="00C55C31" w:rsidRPr="002D2ED8">
              <w:rPr>
                <w:webHidden/>
                <w:sz w:val="27"/>
                <w:szCs w:val="27"/>
              </w:rPr>
              <w:fldChar w:fldCharType="end"/>
            </w:r>
          </w:hyperlink>
        </w:p>
        <w:p w14:paraId="2F69F295" w14:textId="68F0040B" w:rsidR="00C55C31" w:rsidRPr="002D2ED8" w:rsidRDefault="00305121">
          <w:pPr>
            <w:pStyle w:val="21"/>
            <w:rPr>
              <w:rFonts w:asciiTheme="minorHAnsi" w:eastAsiaTheme="minorEastAsia" w:hAnsiTheme="minorHAnsi" w:cstheme="minorBidi"/>
              <w:sz w:val="27"/>
              <w:szCs w:val="27"/>
              <w:lang w:val="ru-RU"/>
            </w:rPr>
          </w:pPr>
          <w:hyperlink w:anchor="_Toc127966718" w:history="1">
            <w:r w:rsidR="00C55C31" w:rsidRPr="002D2ED8">
              <w:rPr>
                <w:rStyle w:val="a9"/>
                <w:rFonts w:eastAsia="Calibri"/>
                <w:sz w:val="27"/>
                <w:szCs w:val="27"/>
                <w:lang w:eastAsia="en-US"/>
              </w:rPr>
              <w:t>3.5.</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Развитие надзора на консолидированной основе</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_Toc127966718 \h </w:instrText>
            </w:r>
            <w:r w:rsidR="00C55C31" w:rsidRPr="002D2ED8">
              <w:rPr>
                <w:webHidden/>
                <w:sz w:val="27"/>
                <w:szCs w:val="27"/>
              </w:rPr>
            </w:r>
            <w:r w:rsidR="00C55C31" w:rsidRPr="002D2ED8">
              <w:rPr>
                <w:webHidden/>
                <w:sz w:val="27"/>
                <w:szCs w:val="27"/>
              </w:rPr>
              <w:fldChar w:fldCharType="separate"/>
            </w:r>
            <w:r w:rsidR="002713FB">
              <w:rPr>
                <w:webHidden/>
                <w:sz w:val="27"/>
                <w:szCs w:val="27"/>
              </w:rPr>
              <w:t>21</w:t>
            </w:r>
            <w:r w:rsidR="00C55C31" w:rsidRPr="002D2ED8">
              <w:rPr>
                <w:webHidden/>
                <w:sz w:val="27"/>
                <w:szCs w:val="27"/>
              </w:rPr>
              <w:fldChar w:fldCharType="end"/>
            </w:r>
          </w:hyperlink>
        </w:p>
        <w:p w14:paraId="0E8C0A1C" w14:textId="2B197A40" w:rsidR="00C55C31" w:rsidRPr="002D2ED8" w:rsidRDefault="00305121">
          <w:pPr>
            <w:pStyle w:val="21"/>
            <w:rPr>
              <w:rFonts w:asciiTheme="minorHAnsi" w:eastAsiaTheme="minorEastAsia" w:hAnsiTheme="minorHAnsi" w:cstheme="minorBidi"/>
              <w:sz w:val="27"/>
              <w:szCs w:val="27"/>
              <w:lang w:val="ru-RU"/>
            </w:rPr>
          </w:pPr>
          <w:hyperlink w:anchor="_Toc127966719" w:history="1">
            <w:r w:rsidR="00C55C31" w:rsidRPr="002D2ED8">
              <w:rPr>
                <w:rStyle w:val="a9"/>
                <w:rFonts w:eastAsia="Calibri"/>
                <w:sz w:val="27"/>
                <w:szCs w:val="27"/>
                <w:lang w:eastAsia="en-US"/>
              </w:rPr>
              <w:t>3.6.</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Внедрение методологии оценки ICAAP/ILAAP</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_Toc127966719 \h </w:instrText>
            </w:r>
            <w:r w:rsidR="00C55C31" w:rsidRPr="002D2ED8">
              <w:rPr>
                <w:webHidden/>
                <w:sz w:val="27"/>
                <w:szCs w:val="27"/>
              </w:rPr>
            </w:r>
            <w:r w:rsidR="00C55C31" w:rsidRPr="002D2ED8">
              <w:rPr>
                <w:webHidden/>
                <w:sz w:val="27"/>
                <w:szCs w:val="27"/>
              </w:rPr>
              <w:fldChar w:fldCharType="separate"/>
            </w:r>
            <w:r w:rsidR="002713FB">
              <w:rPr>
                <w:webHidden/>
                <w:sz w:val="27"/>
                <w:szCs w:val="27"/>
              </w:rPr>
              <w:t>22</w:t>
            </w:r>
            <w:r w:rsidR="00C55C31" w:rsidRPr="002D2ED8">
              <w:rPr>
                <w:webHidden/>
                <w:sz w:val="27"/>
                <w:szCs w:val="27"/>
              </w:rPr>
              <w:fldChar w:fldCharType="end"/>
            </w:r>
          </w:hyperlink>
        </w:p>
        <w:p w14:paraId="2D6C8EB1" w14:textId="7089581F" w:rsidR="00C55C31" w:rsidRPr="002D2ED8" w:rsidRDefault="00305121">
          <w:pPr>
            <w:pStyle w:val="21"/>
            <w:rPr>
              <w:rFonts w:asciiTheme="minorHAnsi" w:eastAsiaTheme="minorEastAsia" w:hAnsiTheme="minorHAnsi" w:cstheme="minorBidi"/>
              <w:sz w:val="27"/>
              <w:szCs w:val="27"/>
              <w:lang w:val="ru-RU"/>
            </w:rPr>
          </w:pPr>
          <w:hyperlink w:anchor="_Toc127966720" w:history="1">
            <w:r w:rsidR="00C55C31" w:rsidRPr="002D2ED8">
              <w:rPr>
                <w:rStyle w:val="a9"/>
                <w:rFonts w:eastAsia="Calibri"/>
                <w:sz w:val="27"/>
                <w:szCs w:val="27"/>
                <w:lang w:eastAsia="en-US"/>
              </w:rPr>
              <w:t>3.7.</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Методология IRRBB</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_Toc127966720 \h </w:instrText>
            </w:r>
            <w:r w:rsidR="00C55C31" w:rsidRPr="002D2ED8">
              <w:rPr>
                <w:webHidden/>
                <w:sz w:val="27"/>
                <w:szCs w:val="27"/>
              </w:rPr>
            </w:r>
            <w:r w:rsidR="00C55C31" w:rsidRPr="002D2ED8">
              <w:rPr>
                <w:webHidden/>
                <w:sz w:val="27"/>
                <w:szCs w:val="27"/>
              </w:rPr>
              <w:fldChar w:fldCharType="separate"/>
            </w:r>
            <w:r w:rsidR="002713FB">
              <w:rPr>
                <w:webHidden/>
                <w:sz w:val="27"/>
                <w:szCs w:val="27"/>
              </w:rPr>
              <w:t>23</w:t>
            </w:r>
            <w:r w:rsidR="00C55C31" w:rsidRPr="002D2ED8">
              <w:rPr>
                <w:webHidden/>
                <w:sz w:val="27"/>
                <w:szCs w:val="27"/>
              </w:rPr>
              <w:fldChar w:fldCharType="end"/>
            </w:r>
          </w:hyperlink>
        </w:p>
        <w:p w14:paraId="38AAF0D2" w14:textId="79BC856C" w:rsidR="00C55C31" w:rsidRPr="002D2ED8" w:rsidRDefault="00305121">
          <w:pPr>
            <w:pStyle w:val="21"/>
            <w:rPr>
              <w:rFonts w:asciiTheme="minorHAnsi" w:eastAsiaTheme="minorEastAsia" w:hAnsiTheme="minorHAnsi" w:cstheme="minorBidi"/>
              <w:sz w:val="27"/>
              <w:szCs w:val="27"/>
              <w:lang w:val="ru-RU"/>
            </w:rPr>
          </w:pPr>
          <w:hyperlink w:anchor="_Toc127966721" w:history="1">
            <w:r w:rsidR="00C55C31" w:rsidRPr="002D2ED8">
              <w:rPr>
                <w:rStyle w:val="a9"/>
                <w:rFonts w:eastAsia="Calibri"/>
                <w:sz w:val="27"/>
                <w:szCs w:val="27"/>
                <w:lang w:eastAsia="en-US"/>
              </w:rPr>
              <w:t>3.8.</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Усиление требований к работе банков с залоговым обеспечением</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_Toc127966721 \h </w:instrText>
            </w:r>
            <w:r w:rsidR="00C55C31" w:rsidRPr="002D2ED8">
              <w:rPr>
                <w:webHidden/>
                <w:sz w:val="27"/>
                <w:szCs w:val="27"/>
              </w:rPr>
            </w:r>
            <w:r w:rsidR="00C55C31" w:rsidRPr="002D2ED8">
              <w:rPr>
                <w:webHidden/>
                <w:sz w:val="27"/>
                <w:szCs w:val="27"/>
              </w:rPr>
              <w:fldChar w:fldCharType="separate"/>
            </w:r>
            <w:r w:rsidR="002713FB">
              <w:rPr>
                <w:webHidden/>
                <w:sz w:val="27"/>
                <w:szCs w:val="27"/>
              </w:rPr>
              <w:t>24</w:t>
            </w:r>
            <w:r w:rsidR="00C55C31" w:rsidRPr="002D2ED8">
              <w:rPr>
                <w:webHidden/>
                <w:sz w:val="27"/>
                <w:szCs w:val="27"/>
              </w:rPr>
              <w:fldChar w:fldCharType="end"/>
            </w:r>
          </w:hyperlink>
        </w:p>
        <w:p w14:paraId="10E57DEF" w14:textId="498DA77F" w:rsidR="00C55C31" w:rsidRPr="002D2ED8" w:rsidRDefault="00305121">
          <w:pPr>
            <w:pStyle w:val="21"/>
            <w:rPr>
              <w:rFonts w:asciiTheme="minorHAnsi" w:eastAsiaTheme="minorEastAsia" w:hAnsiTheme="minorHAnsi" w:cstheme="minorBidi"/>
              <w:sz w:val="27"/>
              <w:szCs w:val="27"/>
              <w:lang w:val="ru-RU"/>
            </w:rPr>
          </w:pPr>
          <w:hyperlink w:anchor="_Toc127966722" w:history="1">
            <w:r w:rsidR="00C55C31" w:rsidRPr="002D2ED8">
              <w:rPr>
                <w:rStyle w:val="a9"/>
                <w:rFonts w:eastAsia="Calibri"/>
                <w:sz w:val="27"/>
                <w:szCs w:val="27"/>
                <w:lang w:eastAsia="en-US"/>
              </w:rPr>
              <w:t>3.9.</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Совершенствование надзорных процессов по итогам FSAP</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_Toc127966722 \h </w:instrText>
            </w:r>
            <w:r w:rsidR="00C55C31" w:rsidRPr="002D2ED8">
              <w:rPr>
                <w:webHidden/>
                <w:sz w:val="27"/>
                <w:szCs w:val="27"/>
              </w:rPr>
            </w:r>
            <w:r w:rsidR="00C55C31" w:rsidRPr="002D2ED8">
              <w:rPr>
                <w:webHidden/>
                <w:sz w:val="27"/>
                <w:szCs w:val="27"/>
              </w:rPr>
              <w:fldChar w:fldCharType="separate"/>
            </w:r>
            <w:r w:rsidR="002713FB">
              <w:rPr>
                <w:webHidden/>
                <w:sz w:val="27"/>
                <w:szCs w:val="27"/>
              </w:rPr>
              <w:t>25</w:t>
            </w:r>
            <w:r w:rsidR="00C55C31" w:rsidRPr="002D2ED8">
              <w:rPr>
                <w:webHidden/>
                <w:sz w:val="27"/>
                <w:szCs w:val="27"/>
              </w:rPr>
              <w:fldChar w:fldCharType="end"/>
            </w:r>
          </w:hyperlink>
        </w:p>
        <w:p w14:paraId="4F1D04E7" w14:textId="21E91F61" w:rsidR="00C55C31" w:rsidRPr="002D2ED8" w:rsidRDefault="00305121">
          <w:pPr>
            <w:pStyle w:val="21"/>
            <w:rPr>
              <w:rFonts w:asciiTheme="minorHAnsi" w:eastAsiaTheme="minorEastAsia" w:hAnsiTheme="minorHAnsi" w:cstheme="minorBidi"/>
              <w:sz w:val="27"/>
              <w:szCs w:val="27"/>
              <w:lang w:val="ru-RU"/>
            </w:rPr>
          </w:pPr>
          <w:hyperlink w:anchor="_Toc127966723" w:history="1">
            <w:r w:rsidR="00C55C31" w:rsidRPr="002D2ED8">
              <w:rPr>
                <w:rStyle w:val="a9"/>
                <w:rFonts w:eastAsia="Calibri"/>
                <w:sz w:val="27"/>
                <w:szCs w:val="27"/>
                <w:lang w:eastAsia="en-US"/>
              </w:rPr>
              <w:t>4.</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Совершенствование регуляторных требований</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_Toc127966723 \h </w:instrText>
            </w:r>
            <w:r w:rsidR="00C55C31" w:rsidRPr="002D2ED8">
              <w:rPr>
                <w:webHidden/>
                <w:sz w:val="27"/>
                <w:szCs w:val="27"/>
              </w:rPr>
            </w:r>
            <w:r w:rsidR="00C55C31" w:rsidRPr="002D2ED8">
              <w:rPr>
                <w:webHidden/>
                <w:sz w:val="27"/>
                <w:szCs w:val="27"/>
              </w:rPr>
              <w:fldChar w:fldCharType="separate"/>
            </w:r>
            <w:r w:rsidR="002713FB">
              <w:rPr>
                <w:webHidden/>
                <w:sz w:val="27"/>
                <w:szCs w:val="27"/>
              </w:rPr>
              <w:t>26</w:t>
            </w:r>
            <w:r w:rsidR="00C55C31" w:rsidRPr="002D2ED8">
              <w:rPr>
                <w:webHidden/>
                <w:sz w:val="27"/>
                <w:szCs w:val="27"/>
              </w:rPr>
              <w:fldChar w:fldCharType="end"/>
            </w:r>
          </w:hyperlink>
        </w:p>
        <w:p w14:paraId="2751EBE9" w14:textId="5CCA36AD" w:rsidR="00C55C31" w:rsidRPr="002D2ED8" w:rsidRDefault="00305121">
          <w:pPr>
            <w:pStyle w:val="21"/>
            <w:rPr>
              <w:rFonts w:asciiTheme="minorHAnsi" w:eastAsiaTheme="minorEastAsia" w:hAnsiTheme="minorHAnsi" w:cstheme="minorBidi"/>
              <w:sz w:val="27"/>
              <w:szCs w:val="27"/>
              <w:lang w:val="ru-RU"/>
            </w:rPr>
          </w:pPr>
          <w:hyperlink w:anchor="_Toc127966724" w:history="1">
            <w:r w:rsidR="00C55C31" w:rsidRPr="002D2ED8">
              <w:rPr>
                <w:rStyle w:val="a9"/>
                <w:rFonts w:eastAsia="Calibri"/>
                <w:sz w:val="27"/>
                <w:szCs w:val="27"/>
                <w:lang w:eastAsia="en-US"/>
              </w:rPr>
              <w:t>4.1.</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Методология надзорной надбавки</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_Toc127966724 \h </w:instrText>
            </w:r>
            <w:r w:rsidR="00C55C31" w:rsidRPr="002D2ED8">
              <w:rPr>
                <w:webHidden/>
                <w:sz w:val="27"/>
                <w:szCs w:val="27"/>
              </w:rPr>
            </w:r>
            <w:r w:rsidR="00C55C31" w:rsidRPr="002D2ED8">
              <w:rPr>
                <w:webHidden/>
                <w:sz w:val="27"/>
                <w:szCs w:val="27"/>
              </w:rPr>
              <w:fldChar w:fldCharType="separate"/>
            </w:r>
            <w:r w:rsidR="002713FB">
              <w:rPr>
                <w:webHidden/>
                <w:sz w:val="27"/>
                <w:szCs w:val="27"/>
              </w:rPr>
              <w:t>26</w:t>
            </w:r>
            <w:r w:rsidR="00C55C31" w:rsidRPr="002D2ED8">
              <w:rPr>
                <w:webHidden/>
                <w:sz w:val="27"/>
                <w:szCs w:val="27"/>
              </w:rPr>
              <w:fldChar w:fldCharType="end"/>
            </w:r>
          </w:hyperlink>
        </w:p>
        <w:p w14:paraId="0CD402E5" w14:textId="29EA129A" w:rsidR="00C55C31" w:rsidRPr="002D2ED8" w:rsidRDefault="00305121">
          <w:pPr>
            <w:pStyle w:val="21"/>
            <w:rPr>
              <w:rFonts w:asciiTheme="minorHAnsi" w:eastAsiaTheme="minorEastAsia" w:hAnsiTheme="minorHAnsi" w:cstheme="minorBidi"/>
              <w:sz w:val="27"/>
              <w:szCs w:val="27"/>
              <w:lang w:val="ru-RU"/>
            </w:rPr>
          </w:pPr>
          <w:hyperlink w:anchor="_Toc127966725" w:history="1">
            <w:r w:rsidR="00C55C31" w:rsidRPr="002D2ED8">
              <w:rPr>
                <w:rStyle w:val="a9"/>
                <w:rFonts w:eastAsia="Calibri"/>
                <w:sz w:val="27"/>
                <w:szCs w:val="27"/>
                <w:lang w:eastAsia="en-US"/>
              </w:rPr>
              <w:t>4.2.</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rPr>
              <w:t>Разработка</w:t>
            </w:r>
            <w:r w:rsidR="00C55C31" w:rsidRPr="002D2ED8">
              <w:rPr>
                <w:rStyle w:val="a9"/>
                <w:sz w:val="27"/>
                <w:szCs w:val="27"/>
              </w:rPr>
              <w:t xml:space="preserve"> ключевых требований к содержанию плана восстановления платежеспособности банка</w:t>
            </w:r>
            <w:r w:rsidR="00C55C31" w:rsidRPr="002D2ED8">
              <w:rPr>
                <w:rStyle w:val="a9"/>
                <w:rFonts w:eastAsia="Calibri"/>
                <w:sz w:val="27"/>
                <w:szCs w:val="27"/>
                <w:lang w:eastAsia="en-US"/>
              </w:rPr>
              <w:t xml:space="preserve"> (</w:t>
            </w:r>
            <w:r w:rsidR="00C55C31" w:rsidRPr="002D2ED8">
              <w:rPr>
                <w:rStyle w:val="a9"/>
                <w:rFonts w:eastAsia="Calibri"/>
                <w:sz w:val="27"/>
                <w:szCs w:val="27"/>
                <w:lang w:val="en-US" w:eastAsia="en-US"/>
              </w:rPr>
              <w:t>Recovery</w:t>
            </w:r>
            <w:r w:rsidR="00C55C31" w:rsidRPr="002D2ED8">
              <w:rPr>
                <w:rStyle w:val="a9"/>
                <w:rFonts w:eastAsia="Calibri"/>
                <w:sz w:val="27"/>
                <w:szCs w:val="27"/>
                <w:lang w:eastAsia="en-US"/>
              </w:rPr>
              <w:t xml:space="preserve"> </w:t>
            </w:r>
            <w:r w:rsidR="00C55C31" w:rsidRPr="002D2ED8">
              <w:rPr>
                <w:rStyle w:val="a9"/>
                <w:rFonts w:eastAsia="Calibri"/>
                <w:sz w:val="27"/>
                <w:szCs w:val="27"/>
                <w:lang w:val="en-US" w:eastAsia="en-US"/>
              </w:rPr>
              <w:t>Plans</w:t>
            </w:r>
            <w:r w:rsidR="00C55C31" w:rsidRPr="002D2ED8">
              <w:rPr>
                <w:rStyle w:val="a9"/>
                <w:rFonts w:eastAsia="Calibri"/>
                <w:sz w:val="27"/>
                <w:szCs w:val="27"/>
                <w:lang w:eastAsia="en-US"/>
              </w:rPr>
              <w:t>)</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_Toc127966725 \h </w:instrText>
            </w:r>
            <w:r w:rsidR="00C55C31" w:rsidRPr="002D2ED8">
              <w:rPr>
                <w:webHidden/>
                <w:sz w:val="27"/>
                <w:szCs w:val="27"/>
              </w:rPr>
            </w:r>
            <w:r w:rsidR="00C55C31" w:rsidRPr="002D2ED8">
              <w:rPr>
                <w:webHidden/>
                <w:sz w:val="27"/>
                <w:szCs w:val="27"/>
              </w:rPr>
              <w:fldChar w:fldCharType="separate"/>
            </w:r>
            <w:r w:rsidR="002713FB">
              <w:rPr>
                <w:webHidden/>
                <w:sz w:val="27"/>
                <w:szCs w:val="27"/>
              </w:rPr>
              <w:t>26</w:t>
            </w:r>
            <w:r w:rsidR="00C55C31" w:rsidRPr="002D2ED8">
              <w:rPr>
                <w:webHidden/>
                <w:sz w:val="27"/>
                <w:szCs w:val="27"/>
              </w:rPr>
              <w:fldChar w:fldCharType="end"/>
            </w:r>
          </w:hyperlink>
        </w:p>
        <w:p w14:paraId="3C7FB5FA" w14:textId="6DDAC0D8" w:rsidR="00C55C31" w:rsidRPr="002D2ED8" w:rsidRDefault="00305121">
          <w:pPr>
            <w:pStyle w:val="21"/>
            <w:rPr>
              <w:rFonts w:asciiTheme="minorHAnsi" w:eastAsiaTheme="minorEastAsia" w:hAnsiTheme="minorHAnsi" w:cstheme="minorBidi"/>
              <w:sz w:val="27"/>
              <w:szCs w:val="27"/>
              <w:lang w:val="ru-RU"/>
            </w:rPr>
          </w:pPr>
          <w:hyperlink w:anchor="_Toc127966726" w:history="1">
            <w:r w:rsidR="00C55C31" w:rsidRPr="002D2ED8">
              <w:rPr>
                <w:rStyle w:val="a9"/>
                <w:rFonts w:eastAsia="Calibri"/>
                <w:sz w:val="27"/>
                <w:szCs w:val="27"/>
                <w:lang w:eastAsia="en-US"/>
              </w:rPr>
              <w:t>4.3.</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Усовершенствование законодательства по вопросам повышения финансовой устойчивости банков, развития банковского сектора и расширения конкуренции</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_Toc127966726 \h </w:instrText>
            </w:r>
            <w:r w:rsidR="00C55C31" w:rsidRPr="002D2ED8">
              <w:rPr>
                <w:webHidden/>
                <w:sz w:val="27"/>
                <w:szCs w:val="27"/>
              </w:rPr>
            </w:r>
            <w:r w:rsidR="00C55C31" w:rsidRPr="002D2ED8">
              <w:rPr>
                <w:webHidden/>
                <w:sz w:val="27"/>
                <w:szCs w:val="27"/>
              </w:rPr>
              <w:fldChar w:fldCharType="separate"/>
            </w:r>
            <w:r w:rsidR="002713FB">
              <w:rPr>
                <w:webHidden/>
                <w:sz w:val="27"/>
                <w:szCs w:val="27"/>
              </w:rPr>
              <w:t>27</w:t>
            </w:r>
            <w:r w:rsidR="00C55C31" w:rsidRPr="002D2ED8">
              <w:rPr>
                <w:webHidden/>
                <w:sz w:val="27"/>
                <w:szCs w:val="27"/>
              </w:rPr>
              <w:fldChar w:fldCharType="end"/>
            </w:r>
          </w:hyperlink>
        </w:p>
        <w:p w14:paraId="0A7506CC" w14:textId="3222D757" w:rsidR="00C55C31" w:rsidRPr="002D2ED8" w:rsidRDefault="00305121">
          <w:pPr>
            <w:pStyle w:val="21"/>
            <w:rPr>
              <w:rFonts w:asciiTheme="minorHAnsi" w:eastAsiaTheme="minorEastAsia" w:hAnsiTheme="minorHAnsi" w:cstheme="minorBidi"/>
              <w:sz w:val="27"/>
              <w:szCs w:val="27"/>
              <w:lang w:val="ru-RU"/>
            </w:rPr>
          </w:pPr>
          <w:hyperlink w:anchor="_Toc127966727" w:history="1">
            <w:r w:rsidR="00C55C31" w:rsidRPr="002D2ED8">
              <w:rPr>
                <w:rStyle w:val="a9"/>
                <w:rFonts w:eastAsia="Calibri"/>
                <w:sz w:val="27"/>
                <w:szCs w:val="27"/>
                <w:lang w:eastAsia="en-US"/>
              </w:rPr>
              <w:t>4.4.</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Разработка единых требований к цифровым платформам для купли-продажи стрессовых активов</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_Toc127966727 \h </w:instrText>
            </w:r>
            <w:r w:rsidR="00C55C31" w:rsidRPr="002D2ED8">
              <w:rPr>
                <w:webHidden/>
                <w:sz w:val="27"/>
                <w:szCs w:val="27"/>
              </w:rPr>
            </w:r>
            <w:r w:rsidR="00C55C31" w:rsidRPr="002D2ED8">
              <w:rPr>
                <w:webHidden/>
                <w:sz w:val="27"/>
                <w:szCs w:val="27"/>
              </w:rPr>
              <w:fldChar w:fldCharType="separate"/>
            </w:r>
            <w:r w:rsidR="002713FB">
              <w:rPr>
                <w:webHidden/>
                <w:sz w:val="27"/>
                <w:szCs w:val="27"/>
              </w:rPr>
              <w:t>28</w:t>
            </w:r>
            <w:r w:rsidR="00C55C31" w:rsidRPr="002D2ED8">
              <w:rPr>
                <w:webHidden/>
                <w:sz w:val="27"/>
                <w:szCs w:val="27"/>
              </w:rPr>
              <w:fldChar w:fldCharType="end"/>
            </w:r>
          </w:hyperlink>
        </w:p>
        <w:p w14:paraId="469284D2" w14:textId="48BABF31" w:rsidR="00C55C31" w:rsidRPr="002D2ED8" w:rsidRDefault="00305121">
          <w:pPr>
            <w:pStyle w:val="21"/>
            <w:rPr>
              <w:rFonts w:asciiTheme="minorHAnsi" w:eastAsiaTheme="minorEastAsia" w:hAnsiTheme="minorHAnsi" w:cstheme="minorBidi"/>
              <w:sz w:val="27"/>
              <w:szCs w:val="27"/>
              <w:lang w:val="ru-RU"/>
            </w:rPr>
          </w:pPr>
          <w:hyperlink w:anchor="_Toc127966728" w:history="1">
            <w:r w:rsidR="00C55C31" w:rsidRPr="002D2ED8">
              <w:rPr>
                <w:rStyle w:val="a9"/>
                <w:rFonts w:eastAsia="Calibri"/>
                <w:sz w:val="27"/>
                <w:szCs w:val="27"/>
                <w:lang w:eastAsia="en-US"/>
              </w:rPr>
              <w:t>4.5.</w:t>
            </w:r>
            <w:r w:rsidR="00C55C31" w:rsidRPr="002D2ED8">
              <w:rPr>
                <w:rFonts w:asciiTheme="minorHAnsi" w:eastAsiaTheme="minorEastAsia" w:hAnsiTheme="minorHAnsi" w:cstheme="minorBidi"/>
                <w:sz w:val="27"/>
                <w:szCs w:val="27"/>
                <w:lang w:val="ru-RU"/>
              </w:rPr>
              <w:tab/>
            </w:r>
            <w:r w:rsidR="00C55C31" w:rsidRPr="002D2ED8">
              <w:rPr>
                <w:rStyle w:val="a9"/>
                <w:rFonts w:eastAsia="Calibri"/>
                <w:sz w:val="27"/>
                <w:szCs w:val="27"/>
                <w:lang w:eastAsia="en-US"/>
              </w:rPr>
              <w:t>Регуляторные инициативы по внедрению принципов ESG</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_Toc127966728 \h </w:instrText>
            </w:r>
            <w:r w:rsidR="00C55C31" w:rsidRPr="002D2ED8">
              <w:rPr>
                <w:webHidden/>
                <w:sz w:val="27"/>
                <w:szCs w:val="27"/>
              </w:rPr>
            </w:r>
            <w:r w:rsidR="00C55C31" w:rsidRPr="002D2ED8">
              <w:rPr>
                <w:webHidden/>
                <w:sz w:val="27"/>
                <w:szCs w:val="27"/>
              </w:rPr>
              <w:fldChar w:fldCharType="separate"/>
            </w:r>
            <w:r w:rsidR="002713FB">
              <w:rPr>
                <w:webHidden/>
                <w:sz w:val="27"/>
                <w:szCs w:val="27"/>
              </w:rPr>
              <w:t>29</w:t>
            </w:r>
            <w:r w:rsidR="00C55C31" w:rsidRPr="002D2ED8">
              <w:rPr>
                <w:webHidden/>
                <w:sz w:val="27"/>
                <w:szCs w:val="27"/>
              </w:rPr>
              <w:fldChar w:fldCharType="end"/>
            </w:r>
          </w:hyperlink>
        </w:p>
        <w:p w14:paraId="7DFE356A" w14:textId="6B92272E" w:rsidR="00C55C31" w:rsidRPr="002D2ED8" w:rsidRDefault="00305121">
          <w:pPr>
            <w:pStyle w:val="21"/>
            <w:rPr>
              <w:rFonts w:asciiTheme="minorHAnsi" w:eastAsiaTheme="minorEastAsia" w:hAnsiTheme="minorHAnsi" w:cstheme="minorBidi"/>
              <w:sz w:val="27"/>
              <w:szCs w:val="27"/>
              <w:lang w:val="ru-RU"/>
            </w:rPr>
          </w:pPr>
          <w:hyperlink w:anchor="_Toc127966729" w:history="1">
            <w:r w:rsidR="00C55C31" w:rsidRPr="002D2ED8">
              <w:rPr>
                <w:rStyle w:val="a9"/>
                <w:rFonts w:eastAsia="Calibri"/>
                <w:sz w:val="27"/>
                <w:szCs w:val="27"/>
                <w:lang w:eastAsia="en-US"/>
              </w:rPr>
              <w:t>Заключение</w:t>
            </w:r>
            <w:r w:rsidR="00C55C31" w:rsidRPr="002D2ED8">
              <w:rPr>
                <w:webHidden/>
                <w:sz w:val="27"/>
                <w:szCs w:val="27"/>
              </w:rPr>
              <w:tab/>
            </w:r>
            <w:r w:rsidR="00C55C31" w:rsidRPr="002D2ED8">
              <w:rPr>
                <w:webHidden/>
                <w:sz w:val="27"/>
                <w:szCs w:val="27"/>
              </w:rPr>
              <w:fldChar w:fldCharType="begin"/>
            </w:r>
            <w:r w:rsidR="00C55C31" w:rsidRPr="002D2ED8">
              <w:rPr>
                <w:webHidden/>
                <w:sz w:val="27"/>
                <w:szCs w:val="27"/>
              </w:rPr>
              <w:instrText xml:space="preserve"> PAGEREF _Toc127966729 \h </w:instrText>
            </w:r>
            <w:r w:rsidR="00C55C31" w:rsidRPr="002D2ED8">
              <w:rPr>
                <w:webHidden/>
                <w:sz w:val="27"/>
                <w:szCs w:val="27"/>
              </w:rPr>
            </w:r>
            <w:r w:rsidR="00C55C31" w:rsidRPr="002D2ED8">
              <w:rPr>
                <w:webHidden/>
                <w:sz w:val="27"/>
                <w:szCs w:val="27"/>
              </w:rPr>
              <w:fldChar w:fldCharType="separate"/>
            </w:r>
            <w:r w:rsidR="002713FB">
              <w:rPr>
                <w:webHidden/>
                <w:sz w:val="27"/>
                <w:szCs w:val="27"/>
              </w:rPr>
              <w:t>30</w:t>
            </w:r>
            <w:r w:rsidR="00C55C31" w:rsidRPr="002D2ED8">
              <w:rPr>
                <w:webHidden/>
                <w:sz w:val="27"/>
                <w:szCs w:val="27"/>
              </w:rPr>
              <w:fldChar w:fldCharType="end"/>
            </w:r>
          </w:hyperlink>
        </w:p>
        <w:p w14:paraId="31C401FB" w14:textId="691A34A6" w:rsidR="00421D50" w:rsidRPr="002D2ED8" w:rsidRDefault="00421D50" w:rsidP="00835D03">
          <w:pPr>
            <w:tabs>
              <w:tab w:val="left" w:pos="709"/>
            </w:tabs>
            <w:rPr>
              <w:sz w:val="28"/>
              <w:szCs w:val="28"/>
            </w:rPr>
          </w:pPr>
          <w:r w:rsidRPr="002D2ED8">
            <w:rPr>
              <w:b/>
              <w:bCs/>
              <w:sz w:val="27"/>
              <w:szCs w:val="27"/>
            </w:rPr>
            <w:fldChar w:fldCharType="end"/>
          </w:r>
        </w:p>
      </w:sdtContent>
    </w:sdt>
    <w:p w14:paraId="266B3700" w14:textId="77777777" w:rsidR="00C55C31" w:rsidRPr="002D2ED8" w:rsidRDefault="00C55C31" w:rsidP="00C01CE8">
      <w:pPr>
        <w:pStyle w:val="1"/>
        <w:spacing w:before="0" w:after="0"/>
        <w:ind w:firstLine="709"/>
        <w:rPr>
          <w:rFonts w:ascii="Times New Roman" w:hAnsi="Times New Roman"/>
          <w:color w:val="000000" w:themeColor="text1"/>
          <w:sz w:val="28"/>
          <w:szCs w:val="28"/>
        </w:rPr>
      </w:pPr>
      <w:bookmarkStart w:id="2" w:name="_Toc126511010"/>
      <w:bookmarkStart w:id="3" w:name="_Toc126511149"/>
      <w:bookmarkStart w:id="4" w:name="_Toc127966701"/>
    </w:p>
    <w:p w14:paraId="617B4390" w14:textId="691A0629" w:rsidR="002D0D37" w:rsidRPr="002D2ED8" w:rsidRDefault="002D0D37" w:rsidP="00C01CE8">
      <w:pPr>
        <w:pStyle w:val="1"/>
        <w:spacing w:before="0" w:after="0"/>
        <w:ind w:firstLine="709"/>
        <w:rPr>
          <w:rFonts w:ascii="Times New Roman" w:hAnsi="Times New Roman"/>
          <w:color w:val="000000" w:themeColor="text1"/>
          <w:sz w:val="28"/>
          <w:szCs w:val="28"/>
        </w:rPr>
      </w:pPr>
      <w:r w:rsidRPr="002D2ED8">
        <w:rPr>
          <w:rFonts w:ascii="Times New Roman" w:hAnsi="Times New Roman"/>
          <w:color w:val="000000" w:themeColor="text1"/>
          <w:sz w:val="28"/>
          <w:szCs w:val="28"/>
        </w:rPr>
        <w:t>Введение</w:t>
      </w:r>
      <w:bookmarkEnd w:id="2"/>
      <w:bookmarkEnd w:id="3"/>
      <w:bookmarkEnd w:id="4"/>
      <w:r w:rsidR="00EA3ECB" w:rsidRPr="002D2ED8">
        <w:rPr>
          <w:rFonts w:ascii="Times New Roman" w:hAnsi="Times New Roman"/>
          <w:color w:val="000000" w:themeColor="text1"/>
          <w:sz w:val="28"/>
          <w:szCs w:val="28"/>
        </w:rPr>
        <w:t xml:space="preserve"> </w:t>
      </w:r>
    </w:p>
    <w:p w14:paraId="2DC33690" w14:textId="77777777" w:rsidR="00763224" w:rsidRPr="002D2ED8" w:rsidRDefault="00763224" w:rsidP="003A72A4">
      <w:pPr>
        <w:ind w:firstLine="709"/>
        <w:jc w:val="both"/>
        <w:rPr>
          <w:rFonts w:eastAsia="Calibri"/>
          <w:color w:val="000000" w:themeColor="text1"/>
          <w:sz w:val="28"/>
          <w:szCs w:val="28"/>
          <w:lang w:eastAsia="en-US"/>
        </w:rPr>
      </w:pPr>
    </w:p>
    <w:p w14:paraId="1D6035BA" w14:textId="1CA3C72F" w:rsidR="003D5124" w:rsidRPr="002D2ED8" w:rsidRDefault="003D5124" w:rsidP="003A72A4">
      <w:pPr>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Определение основных приоритетов надзорной политики</w:t>
      </w:r>
      <w:r w:rsidR="00455629" w:rsidRPr="002D2ED8">
        <w:rPr>
          <w:rFonts w:eastAsia="Calibri"/>
          <w:color w:val="000000" w:themeColor="text1"/>
          <w:sz w:val="28"/>
          <w:szCs w:val="28"/>
          <w:lang w:eastAsia="en-US"/>
        </w:rPr>
        <w:t xml:space="preserve"> Агентства Республики Казахстан по регулированию и развитию финансового рынка (далее – Агентство) в отношении</w:t>
      </w:r>
      <w:r w:rsidRPr="002D2ED8">
        <w:rPr>
          <w:rFonts w:eastAsia="Calibri"/>
          <w:color w:val="000000" w:themeColor="text1"/>
          <w:sz w:val="28"/>
          <w:szCs w:val="28"/>
          <w:lang w:eastAsia="en-US"/>
        </w:rPr>
        <w:t xml:space="preserve"> банковского сектора призвано обеспечить эффективность надзорного процесса и повысить </w:t>
      </w:r>
      <w:r w:rsidR="002666CD" w:rsidRPr="002D2ED8">
        <w:rPr>
          <w:rFonts w:eastAsia="Calibri"/>
          <w:color w:val="000000" w:themeColor="text1"/>
          <w:sz w:val="28"/>
          <w:szCs w:val="28"/>
          <w:lang w:eastAsia="en-US"/>
        </w:rPr>
        <w:t>прозрачность и предсказуемость действий финансового регулятора</w:t>
      </w:r>
      <w:r w:rsidRPr="002D2ED8">
        <w:rPr>
          <w:rFonts w:eastAsia="Calibri"/>
          <w:color w:val="000000" w:themeColor="text1"/>
          <w:sz w:val="28"/>
          <w:szCs w:val="28"/>
          <w:lang w:eastAsia="en-US"/>
        </w:rPr>
        <w:t>.</w:t>
      </w:r>
    </w:p>
    <w:p w14:paraId="24FAFB95" w14:textId="67078E4B" w:rsidR="00AE39DD" w:rsidRPr="002D2ED8" w:rsidRDefault="002666CD" w:rsidP="003A72A4">
      <w:pPr>
        <w:ind w:firstLine="709"/>
        <w:jc w:val="both"/>
        <w:rPr>
          <w:rFonts w:eastAsia="Calibri"/>
          <w:sz w:val="28"/>
          <w:szCs w:val="28"/>
          <w:lang w:eastAsia="en-US"/>
        </w:rPr>
      </w:pPr>
      <w:r w:rsidRPr="002D2ED8">
        <w:rPr>
          <w:rFonts w:eastAsia="Calibri"/>
          <w:sz w:val="28"/>
          <w:szCs w:val="28"/>
          <w:lang w:eastAsia="en-US"/>
        </w:rPr>
        <w:t>В</w:t>
      </w:r>
      <w:r w:rsidR="00AE39DD" w:rsidRPr="002D2ED8">
        <w:rPr>
          <w:rFonts w:eastAsia="Calibri"/>
          <w:sz w:val="28"/>
          <w:szCs w:val="28"/>
          <w:lang w:eastAsia="en-US"/>
        </w:rPr>
        <w:t xml:space="preserve"> 2023 году</w:t>
      </w:r>
      <w:r w:rsidRPr="002D2ED8">
        <w:rPr>
          <w:rFonts w:eastAsia="Calibri"/>
          <w:sz w:val="28"/>
          <w:szCs w:val="28"/>
          <w:lang w:eastAsia="en-US"/>
        </w:rPr>
        <w:t xml:space="preserve"> Агентством продолжена практика публикации политики регулятора</w:t>
      </w:r>
      <w:r w:rsidR="00BE7303" w:rsidRPr="002D2ED8">
        <w:rPr>
          <w:rFonts w:eastAsia="Calibri"/>
          <w:sz w:val="28"/>
          <w:szCs w:val="28"/>
          <w:lang w:eastAsia="en-US"/>
        </w:rPr>
        <w:t xml:space="preserve"> в области банковского надзора.</w:t>
      </w:r>
      <w:r w:rsidRPr="002D2ED8">
        <w:rPr>
          <w:rFonts w:eastAsia="Calibri"/>
          <w:sz w:val="28"/>
          <w:szCs w:val="28"/>
          <w:lang w:eastAsia="en-US"/>
        </w:rPr>
        <w:t xml:space="preserve"> </w:t>
      </w:r>
    </w:p>
    <w:p w14:paraId="559C630C" w14:textId="5FA3F4D1" w:rsidR="009F5189" w:rsidRPr="002D2ED8" w:rsidRDefault="00AB273E" w:rsidP="003A72A4">
      <w:pPr>
        <w:ind w:firstLine="709"/>
        <w:jc w:val="both"/>
        <w:rPr>
          <w:rFonts w:eastAsia="Calibri"/>
          <w:color w:val="000000" w:themeColor="text1"/>
          <w:sz w:val="28"/>
          <w:szCs w:val="28"/>
          <w:lang w:eastAsia="en-US"/>
        </w:rPr>
      </w:pPr>
      <w:r w:rsidRPr="002D2ED8">
        <w:rPr>
          <w:rFonts w:eastAsia="Calibri"/>
          <w:sz w:val="28"/>
          <w:szCs w:val="28"/>
          <w:lang w:eastAsia="en-US"/>
        </w:rPr>
        <w:t xml:space="preserve">В текущем году надзорные ресурсы Агентства будут </w:t>
      </w:r>
      <w:r w:rsidRPr="002D2ED8">
        <w:rPr>
          <w:rFonts w:eastAsia="Calibri"/>
          <w:color w:val="000000" w:themeColor="text1"/>
          <w:sz w:val="28"/>
          <w:szCs w:val="28"/>
          <w:lang w:eastAsia="en-US"/>
        </w:rPr>
        <w:t>сосредоточены по следующим основным направлениям:</w:t>
      </w:r>
    </w:p>
    <w:p w14:paraId="000E0E5C" w14:textId="19BE1B8C" w:rsidR="00193381" w:rsidRPr="002D2ED8" w:rsidRDefault="00570055" w:rsidP="00193381">
      <w:pPr>
        <w:pStyle w:val="af"/>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 xml:space="preserve">- </w:t>
      </w:r>
      <w:r w:rsidR="00193381" w:rsidRPr="002D2ED8">
        <w:rPr>
          <w:rFonts w:eastAsia="Calibri"/>
          <w:color w:val="000000" w:themeColor="text1"/>
          <w:sz w:val="28"/>
          <w:szCs w:val="28"/>
          <w:lang w:eastAsia="en-US"/>
        </w:rPr>
        <w:t>п</w:t>
      </w:r>
      <w:r w:rsidR="009F5189" w:rsidRPr="002D2ED8">
        <w:rPr>
          <w:rFonts w:eastAsia="Calibri"/>
          <w:color w:val="000000" w:themeColor="text1"/>
          <w:sz w:val="28"/>
          <w:szCs w:val="28"/>
          <w:lang w:eastAsia="en-US"/>
        </w:rPr>
        <w:t>ро</w:t>
      </w:r>
      <w:r w:rsidR="00193381" w:rsidRPr="002D2ED8">
        <w:rPr>
          <w:rFonts w:eastAsia="Calibri"/>
          <w:color w:val="000000" w:themeColor="text1"/>
          <w:sz w:val="28"/>
          <w:szCs w:val="28"/>
          <w:lang w:eastAsia="en-US"/>
        </w:rPr>
        <w:t>ведение ежегодной</w:t>
      </w:r>
      <w:r w:rsidR="009F5189" w:rsidRPr="002D2ED8">
        <w:rPr>
          <w:rFonts w:eastAsia="Calibri"/>
          <w:color w:val="000000" w:themeColor="text1"/>
          <w:sz w:val="28"/>
          <w:szCs w:val="28"/>
          <w:lang w:eastAsia="en-US"/>
        </w:rPr>
        <w:t xml:space="preserve"> надзорной оценки банков в рамках методологии SREP</w:t>
      </w:r>
      <w:r w:rsidR="00193381" w:rsidRPr="002D2ED8">
        <w:rPr>
          <w:rFonts w:eastAsia="Calibri"/>
          <w:color w:val="000000" w:themeColor="text1"/>
          <w:sz w:val="28"/>
          <w:szCs w:val="28"/>
          <w:lang w:eastAsia="en-US"/>
        </w:rPr>
        <w:t>, в том числе анализ выполнения банками внесенных в 2022 году в законодательство требований по представлению отчета по соблюдению внутренних процессов ICAAP/ILAAP и разработке внутренней методологии и расчета внутреннего (экономического) капитала;</w:t>
      </w:r>
    </w:p>
    <w:p w14:paraId="34931C6F" w14:textId="2F27B234" w:rsidR="009F5189" w:rsidRPr="002D2ED8" w:rsidRDefault="00570055" w:rsidP="003A72A4">
      <w:pPr>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 xml:space="preserve">- </w:t>
      </w:r>
      <w:r w:rsidR="009F5189" w:rsidRPr="002D2ED8">
        <w:rPr>
          <w:rFonts w:eastAsia="Calibri"/>
          <w:color w:val="000000" w:themeColor="text1"/>
          <w:sz w:val="28"/>
          <w:szCs w:val="28"/>
          <w:lang w:eastAsia="en-US"/>
        </w:rPr>
        <w:t>проведение очередных процессов регулярного AQR и надзорного стресс-тестирования;</w:t>
      </w:r>
    </w:p>
    <w:p w14:paraId="0AB6B129" w14:textId="22BDC2D1" w:rsidR="009F5189" w:rsidRPr="002D2ED8" w:rsidRDefault="00570055" w:rsidP="003A72A4">
      <w:pPr>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 xml:space="preserve">- </w:t>
      </w:r>
      <w:r w:rsidR="009F5189" w:rsidRPr="002D2ED8">
        <w:rPr>
          <w:rFonts w:eastAsia="Calibri"/>
          <w:color w:val="000000" w:themeColor="text1"/>
          <w:sz w:val="28"/>
          <w:szCs w:val="28"/>
          <w:lang w:eastAsia="en-US"/>
        </w:rPr>
        <w:t>усиление регулирования на консолидированном уровне</w:t>
      </w:r>
      <w:r w:rsidR="00D30EA9" w:rsidRPr="002D2ED8">
        <w:rPr>
          <w:rFonts w:eastAsia="Calibri"/>
          <w:color w:val="000000" w:themeColor="text1"/>
          <w:sz w:val="28"/>
          <w:szCs w:val="28"/>
          <w:lang w:eastAsia="en-US"/>
        </w:rPr>
        <w:t>.</w:t>
      </w:r>
    </w:p>
    <w:p w14:paraId="66937B01" w14:textId="4612FEC4" w:rsidR="00F52015" w:rsidRPr="002D2ED8" w:rsidRDefault="003D5124" w:rsidP="00F52015">
      <w:pPr>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 xml:space="preserve">В рамках риск-ориентированного подхода в надзорном процессе одновременно будет продолжено использование мандата финансового регулятора по </w:t>
      </w:r>
      <w:r w:rsidR="00D84EE3" w:rsidRPr="002D2ED8">
        <w:rPr>
          <w:rFonts w:eastAsia="Calibri"/>
          <w:color w:val="000000" w:themeColor="text1"/>
          <w:sz w:val="28"/>
          <w:szCs w:val="28"/>
          <w:lang w:eastAsia="en-US"/>
        </w:rPr>
        <w:t>применению</w:t>
      </w:r>
      <w:r w:rsidRPr="002D2ED8">
        <w:rPr>
          <w:rFonts w:eastAsia="Calibri"/>
          <w:color w:val="000000" w:themeColor="text1"/>
          <w:sz w:val="28"/>
          <w:szCs w:val="28"/>
          <w:lang w:eastAsia="en-US"/>
        </w:rPr>
        <w:t xml:space="preserve"> мотивированного суждения в законодательно определенных областях</w:t>
      </w:r>
      <w:r w:rsidR="009F5189" w:rsidRPr="002D2ED8">
        <w:rPr>
          <w:rFonts w:eastAsia="Calibri"/>
          <w:color w:val="000000" w:themeColor="text1"/>
          <w:sz w:val="28"/>
          <w:szCs w:val="28"/>
          <w:lang w:eastAsia="en-US"/>
        </w:rPr>
        <w:t xml:space="preserve">, в том числе с учетом их расширения в 2022 году. </w:t>
      </w:r>
    </w:p>
    <w:p w14:paraId="44C8538C" w14:textId="49EECE64" w:rsidR="00F52015" w:rsidRPr="002D2ED8" w:rsidRDefault="00D30EA9" w:rsidP="00F52015">
      <w:pPr>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 xml:space="preserve">В качестве законодательных инициатив </w:t>
      </w:r>
      <w:r w:rsidR="00D422E6" w:rsidRPr="002D2ED8">
        <w:rPr>
          <w:rFonts w:eastAsia="Calibri"/>
          <w:color w:val="000000" w:themeColor="text1"/>
          <w:sz w:val="28"/>
          <w:szCs w:val="28"/>
          <w:lang w:eastAsia="en-US"/>
        </w:rPr>
        <w:t xml:space="preserve">в 2023 году </w:t>
      </w:r>
      <w:r w:rsidR="0075480C" w:rsidRPr="002D2ED8">
        <w:rPr>
          <w:rFonts w:eastAsia="Calibri"/>
          <w:color w:val="000000" w:themeColor="text1"/>
          <w:sz w:val="28"/>
          <w:szCs w:val="28"/>
          <w:lang w:eastAsia="en-US"/>
        </w:rPr>
        <w:t xml:space="preserve">Агентством </w:t>
      </w:r>
      <w:r w:rsidR="001526F8" w:rsidRPr="002D2ED8">
        <w:rPr>
          <w:rFonts w:eastAsia="Calibri"/>
          <w:color w:val="000000" w:themeColor="text1"/>
          <w:sz w:val="28"/>
          <w:szCs w:val="28"/>
          <w:lang w:eastAsia="en-US"/>
        </w:rPr>
        <w:t>планируется</w:t>
      </w:r>
      <w:r w:rsidR="0075480C" w:rsidRPr="002D2ED8">
        <w:rPr>
          <w:bCs/>
          <w:color w:val="000000" w:themeColor="text1"/>
          <w:sz w:val="28"/>
          <w:szCs w:val="28"/>
        </w:rPr>
        <w:t xml:space="preserve"> продолжен</w:t>
      </w:r>
      <w:r w:rsidR="001526F8" w:rsidRPr="002D2ED8">
        <w:rPr>
          <w:bCs/>
          <w:color w:val="000000" w:themeColor="text1"/>
          <w:sz w:val="28"/>
          <w:szCs w:val="28"/>
        </w:rPr>
        <w:t>ие</w:t>
      </w:r>
      <w:r w:rsidR="0075480C" w:rsidRPr="002D2ED8">
        <w:rPr>
          <w:bCs/>
          <w:color w:val="000000" w:themeColor="text1"/>
          <w:sz w:val="28"/>
          <w:szCs w:val="28"/>
        </w:rPr>
        <w:t xml:space="preserve"> работ</w:t>
      </w:r>
      <w:r w:rsidR="001526F8" w:rsidRPr="002D2ED8">
        <w:rPr>
          <w:bCs/>
          <w:color w:val="000000" w:themeColor="text1"/>
          <w:sz w:val="28"/>
          <w:szCs w:val="28"/>
        </w:rPr>
        <w:t>ы</w:t>
      </w:r>
      <w:r w:rsidR="0075480C" w:rsidRPr="002D2ED8">
        <w:rPr>
          <w:bCs/>
          <w:color w:val="000000" w:themeColor="text1"/>
          <w:sz w:val="28"/>
          <w:szCs w:val="28"/>
        </w:rPr>
        <w:t xml:space="preserve"> по разработке нормативной базы по внедрению индивидуальной надзорной надбавки на капитал банков с учетом оценки надзорного стресс-тестирования и результатов регулярного AQR, </w:t>
      </w:r>
      <w:r w:rsidR="0009676F" w:rsidRPr="002D2ED8">
        <w:rPr>
          <w:bCs/>
          <w:color w:val="000000" w:themeColor="text1"/>
          <w:sz w:val="28"/>
          <w:szCs w:val="28"/>
        </w:rPr>
        <w:t xml:space="preserve">также </w:t>
      </w:r>
      <w:r w:rsidR="0075480C" w:rsidRPr="002D2ED8">
        <w:rPr>
          <w:bCs/>
          <w:color w:val="000000" w:themeColor="text1"/>
          <w:sz w:val="28"/>
          <w:szCs w:val="28"/>
        </w:rPr>
        <w:t>буд</w:t>
      </w:r>
      <w:r w:rsidR="0093261C" w:rsidRPr="002D2ED8">
        <w:rPr>
          <w:bCs/>
          <w:color w:val="000000" w:themeColor="text1"/>
          <w:sz w:val="28"/>
          <w:szCs w:val="28"/>
        </w:rPr>
        <w:t>е</w:t>
      </w:r>
      <w:r w:rsidR="0075480C" w:rsidRPr="002D2ED8">
        <w:rPr>
          <w:bCs/>
          <w:color w:val="000000" w:themeColor="text1"/>
          <w:sz w:val="28"/>
          <w:szCs w:val="28"/>
        </w:rPr>
        <w:t xml:space="preserve">т </w:t>
      </w:r>
      <w:r w:rsidR="0075480C" w:rsidRPr="002D2ED8">
        <w:rPr>
          <w:rFonts w:eastAsia="Calibri"/>
          <w:color w:val="000000" w:themeColor="text1"/>
          <w:sz w:val="28"/>
          <w:szCs w:val="28"/>
          <w:lang w:eastAsia="en-US"/>
        </w:rPr>
        <w:t xml:space="preserve">предложен на рассмотрение </w:t>
      </w:r>
      <w:r w:rsidR="0093261C" w:rsidRPr="002D2ED8">
        <w:rPr>
          <w:rFonts w:eastAsia="Calibri"/>
          <w:color w:val="000000" w:themeColor="text1"/>
          <w:sz w:val="28"/>
          <w:szCs w:val="28"/>
          <w:lang w:eastAsia="en-US"/>
        </w:rPr>
        <w:t>банковского сообщества</w:t>
      </w:r>
      <w:r w:rsidR="0075480C" w:rsidRPr="002D2ED8">
        <w:rPr>
          <w:rFonts w:eastAsia="Calibri"/>
          <w:color w:val="000000" w:themeColor="text1"/>
          <w:sz w:val="28"/>
          <w:szCs w:val="28"/>
          <w:lang w:eastAsia="en-US"/>
        </w:rPr>
        <w:t xml:space="preserve"> </w:t>
      </w:r>
      <w:r w:rsidR="0093261C" w:rsidRPr="002D2ED8">
        <w:rPr>
          <w:rFonts w:eastAsia="Calibri"/>
          <w:color w:val="000000" w:themeColor="text1"/>
          <w:sz w:val="28"/>
          <w:szCs w:val="28"/>
          <w:lang w:eastAsia="en-US"/>
        </w:rPr>
        <w:t xml:space="preserve">проект </w:t>
      </w:r>
      <w:r w:rsidR="0075480C" w:rsidRPr="002D2ED8">
        <w:rPr>
          <w:rFonts w:eastAsia="Calibri"/>
          <w:color w:val="000000" w:themeColor="text1"/>
          <w:sz w:val="28"/>
          <w:szCs w:val="28"/>
          <w:lang w:eastAsia="en-US"/>
        </w:rPr>
        <w:t xml:space="preserve">ключевых требований к </w:t>
      </w:r>
      <w:r w:rsidR="0075480C" w:rsidRPr="002D2ED8">
        <w:rPr>
          <w:bCs/>
          <w:sz w:val="28"/>
        </w:rPr>
        <w:t>содержанию плана восстановления платежеспособности банка (</w:t>
      </w:r>
      <w:proofErr w:type="spellStart"/>
      <w:r w:rsidR="0075480C" w:rsidRPr="002D2ED8">
        <w:rPr>
          <w:bCs/>
          <w:sz w:val="28"/>
        </w:rPr>
        <w:t>Recovery</w:t>
      </w:r>
      <w:proofErr w:type="spellEnd"/>
      <w:r w:rsidR="0075480C" w:rsidRPr="002D2ED8">
        <w:rPr>
          <w:bCs/>
          <w:sz w:val="28"/>
        </w:rPr>
        <w:t xml:space="preserve"> </w:t>
      </w:r>
      <w:proofErr w:type="spellStart"/>
      <w:r w:rsidR="0075480C" w:rsidRPr="002D2ED8">
        <w:rPr>
          <w:bCs/>
          <w:sz w:val="28"/>
        </w:rPr>
        <w:t>Plans</w:t>
      </w:r>
      <w:proofErr w:type="spellEnd"/>
      <w:r w:rsidR="0075480C" w:rsidRPr="002D2ED8">
        <w:rPr>
          <w:bCs/>
          <w:sz w:val="28"/>
        </w:rPr>
        <w:t>). П</w:t>
      </w:r>
      <w:r w:rsidR="00102FDD" w:rsidRPr="002D2ED8">
        <w:rPr>
          <w:rFonts w:eastAsia="Calibri"/>
          <w:color w:val="000000" w:themeColor="text1"/>
          <w:sz w:val="28"/>
          <w:szCs w:val="28"/>
          <w:lang w:eastAsia="en-US"/>
        </w:rPr>
        <w:t xml:space="preserve">редполагается </w:t>
      </w:r>
      <w:r w:rsidR="0009676F" w:rsidRPr="002D2ED8">
        <w:rPr>
          <w:rFonts w:eastAsia="Calibri"/>
          <w:color w:val="000000" w:themeColor="text1"/>
          <w:sz w:val="28"/>
          <w:szCs w:val="28"/>
          <w:lang w:eastAsia="en-US"/>
        </w:rPr>
        <w:t>установление</w:t>
      </w:r>
      <w:r w:rsidR="00F52015" w:rsidRPr="002D2ED8">
        <w:rPr>
          <w:rFonts w:eastAsia="Calibri"/>
          <w:color w:val="000000" w:themeColor="text1"/>
          <w:sz w:val="28"/>
          <w:szCs w:val="28"/>
          <w:lang w:eastAsia="en-US"/>
        </w:rPr>
        <w:t xml:space="preserve"> единых требований к цифровым платформам для купли-продажи стрессовых активов</w:t>
      </w:r>
      <w:r w:rsidR="006D67FB" w:rsidRPr="002D2ED8">
        <w:rPr>
          <w:rFonts w:eastAsia="Calibri"/>
          <w:color w:val="000000" w:themeColor="text1"/>
          <w:sz w:val="28"/>
          <w:szCs w:val="28"/>
          <w:lang w:eastAsia="en-US"/>
        </w:rPr>
        <w:t xml:space="preserve"> </w:t>
      </w:r>
      <w:r w:rsidR="00D422E6" w:rsidRPr="002D2ED8">
        <w:rPr>
          <w:rFonts w:eastAsia="Calibri"/>
          <w:color w:val="000000" w:themeColor="text1"/>
          <w:sz w:val="28"/>
          <w:szCs w:val="28"/>
          <w:lang w:eastAsia="en-US"/>
        </w:rPr>
        <w:t>в</w:t>
      </w:r>
      <w:r w:rsidR="00102FDD" w:rsidRPr="002D2ED8">
        <w:rPr>
          <w:rFonts w:eastAsia="Calibri"/>
          <w:color w:val="000000" w:themeColor="text1"/>
          <w:sz w:val="28"/>
          <w:szCs w:val="28"/>
          <w:lang w:eastAsia="en-US"/>
        </w:rPr>
        <w:t xml:space="preserve"> цел</w:t>
      </w:r>
      <w:r w:rsidR="00D422E6" w:rsidRPr="002D2ED8">
        <w:rPr>
          <w:rFonts w:eastAsia="Calibri"/>
          <w:color w:val="000000" w:themeColor="text1"/>
          <w:sz w:val="28"/>
          <w:szCs w:val="28"/>
          <w:lang w:eastAsia="en-US"/>
        </w:rPr>
        <w:t>ях</w:t>
      </w:r>
      <w:r w:rsidR="00102FDD" w:rsidRPr="002D2ED8">
        <w:rPr>
          <w:rFonts w:eastAsia="Calibri"/>
          <w:color w:val="000000" w:themeColor="text1"/>
          <w:sz w:val="28"/>
          <w:szCs w:val="28"/>
          <w:lang w:eastAsia="en-US"/>
        </w:rPr>
        <w:t xml:space="preserve"> создания активного рынка стрессовых активов и их вовлечения в экономический оборот</w:t>
      </w:r>
      <w:r w:rsidR="00D422E6" w:rsidRPr="002D2ED8">
        <w:rPr>
          <w:bCs/>
          <w:sz w:val="28"/>
        </w:rPr>
        <w:t xml:space="preserve">, поэтапное внедрение </w:t>
      </w:r>
      <w:r w:rsidR="00D422E6" w:rsidRPr="002D2ED8">
        <w:rPr>
          <w:bCs/>
          <w:color w:val="000000" w:themeColor="text1"/>
          <w:sz w:val="28"/>
          <w:szCs w:val="28"/>
        </w:rPr>
        <w:t xml:space="preserve">принципов ESG в стратегии и бизнес-модели финансовых организаций, а также </w:t>
      </w:r>
      <w:r w:rsidR="00DD7789" w:rsidRPr="002D2ED8">
        <w:rPr>
          <w:rFonts w:eastAsia="Calibri"/>
          <w:color w:val="000000" w:themeColor="text1"/>
          <w:sz w:val="28"/>
          <w:szCs w:val="28"/>
          <w:lang w:eastAsia="en-US"/>
        </w:rPr>
        <w:t>оптимизация лицензионных требований для банков для расширения конкуренции на рынке банковских услуг.</w:t>
      </w:r>
    </w:p>
    <w:p w14:paraId="5ED3FD29" w14:textId="55394A84" w:rsidR="003D5124" w:rsidRPr="002D2ED8" w:rsidRDefault="003D5124" w:rsidP="003A72A4">
      <w:pPr>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Основные надзорные приоритеты, указанные в настоящем документе</w:t>
      </w:r>
      <w:r w:rsidR="00F53D09" w:rsidRPr="002D2ED8">
        <w:rPr>
          <w:rFonts w:eastAsia="Calibri"/>
          <w:color w:val="000000" w:themeColor="text1"/>
          <w:sz w:val="28"/>
          <w:szCs w:val="28"/>
          <w:lang w:eastAsia="en-US"/>
        </w:rPr>
        <w:t>,</w:t>
      </w:r>
      <w:r w:rsidRPr="002D2ED8">
        <w:rPr>
          <w:rFonts w:eastAsia="Calibri"/>
          <w:color w:val="000000" w:themeColor="text1"/>
          <w:sz w:val="28"/>
          <w:szCs w:val="28"/>
          <w:lang w:eastAsia="en-US"/>
        </w:rPr>
        <w:t xml:space="preserve"> позволя</w:t>
      </w:r>
      <w:r w:rsidR="008F7F4D" w:rsidRPr="002D2ED8">
        <w:rPr>
          <w:rFonts w:eastAsia="Calibri"/>
          <w:color w:val="000000" w:themeColor="text1"/>
          <w:sz w:val="28"/>
          <w:szCs w:val="28"/>
          <w:lang w:eastAsia="en-US"/>
        </w:rPr>
        <w:t>ю</w:t>
      </w:r>
      <w:r w:rsidRPr="002D2ED8">
        <w:rPr>
          <w:rFonts w:eastAsia="Calibri"/>
          <w:color w:val="000000" w:themeColor="text1"/>
          <w:sz w:val="28"/>
          <w:szCs w:val="28"/>
          <w:lang w:eastAsia="en-US"/>
        </w:rPr>
        <w:t>т систематизировать надзорный процесс и полноценно использовать риск-ориентирован</w:t>
      </w:r>
      <w:r w:rsidR="00481438" w:rsidRPr="002D2ED8">
        <w:rPr>
          <w:rFonts w:eastAsia="Calibri"/>
          <w:color w:val="000000" w:themeColor="text1"/>
          <w:sz w:val="28"/>
          <w:szCs w:val="28"/>
          <w:lang w:eastAsia="en-US"/>
        </w:rPr>
        <w:t>ный подход</w:t>
      </w:r>
      <w:r w:rsidRPr="002D2ED8">
        <w:rPr>
          <w:rFonts w:eastAsia="Calibri"/>
          <w:color w:val="000000" w:themeColor="text1"/>
          <w:sz w:val="28"/>
          <w:szCs w:val="28"/>
          <w:lang w:eastAsia="en-US"/>
        </w:rPr>
        <w:t xml:space="preserve"> в надзорной политике.</w:t>
      </w:r>
    </w:p>
    <w:p w14:paraId="05A3F599" w14:textId="77777777" w:rsidR="00615A78" w:rsidRPr="002D2ED8" w:rsidRDefault="00615A78" w:rsidP="003A72A4">
      <w:pPr>
        <w:ind w:firstLine="709"/>
        <w:jc w:val="both"/>
        <w:rPr>
          <w:rFonts w:eastAsia="Calibri"/>
          <w:color w:val="000000" w:themeColor="text1"/>
          <w:sz w:val="28"/>
          <w:szCs w:val="28"/>
          <w:lang w:eastAsia="en-US"/>
        </w:rPr>
      </w:pPr>
    </w:p>
    <w:p w14:paraId="7E11B10A" w14:textId="77777777" w:rsidR="001D5991" w:rsidRPr="002D2ED8" w:rsidRDefault="001D5991" w:rsidP="003A72A4">
      <w:pPr>
        <w:rPr>
          <w:b/>
          <w:bCs/>
          <w:color w:val="000000" w:themeColor="text1"/>
          <w:kern w:val="32"/>
          <w:sz w:val="28"/>
          <w:szCs w:val="28"/>
        </w:rPr>
      </w:pPr>
      <w:r w:rsidRPr="002D2ED8">
        <w:rPr>
          <w:color w:val="000000" w:themeColor="text1"/>
          <w:sz w:val="28"/>
          <w:szCs w:val="28"/>
        </w:rPr>
        <w:br w:type="page"/>
      </w:r>
    </w:p>
    <w:p w14:paraId="07C1D142" w14:textId="64B0EBD0" w:rsidR="00064CA2" w:rsidRPr="002D2ED8" w:rsidRDefault="00FB14C2" w:rsidP="00865525">
      <w:pPr>
        <w:pStyle w:val="2"/>
        <w:numPr>
          <w:ilvl w:val="0"/>
          <w:numId w:val="7"/>
        </w:numPr>
        <w:spacing w:before="0" w:after="0"/>
        <w:ind w:left="0" w:firstLine="709"/>
        <w:jc w:val="both"/>
        <w:rPr>
          <w:rFonts w:ascii="Times New Roman" w:eastAsia="Calibri" w:hAnsi="Times New Roman" w:cs="Times New Roman"/>
          <w:i w:val="0"/>
          <w:color w:val="000000" w:themeColor="text1"/>
          <w:lang w:eastAsia="en-US"/>
        </w:rPr>
      </w:pPr>
      <w:bookmarkStart w:id="5" w:name="_Toc126511011"/>
      <w:bookmarkStart w:id="6" w:name="_Toc126511150"/>
      <w:bookmarkStart w:id="7" w:name="_Toc127966702"/>
      <w:r w:rsidRPr="002D2ED8">
        <w:rPr>
          <w:rFonts w:ascii="Times New Roman" w:eastAsia="Calibri" w:hAnsi="Times New Roman" w:cs="Times New Roman"/>
          <w:i w:val="0"/>
          <w:color w:val="000000" w:themeColor="text1"/>
          <w:lang w:eastAsia="en-US"/>
        </w:rPr>
        <w:lastRenderedPageBreak/>
        <w:t>Итоги 202</w:t>
      </w:r>
      <w:r w:rsidR="00DF474F" w:rsidRPr="002D2ED8">
        <w:rPr>
          <w:rFonts w:ascii="Times New Roman" w:eastAsia="Calibri" w:hAnsi="Times New Roman" w:cs="Times New Roman"/>
          <w:i w:val="0"/>
          <w:color w:val="000000" w:themeColor="text1"/>
          <w:lang w:eastAsia="en-US"/>
        </w:rPr>
        <w:t>2</w:t>
      </w:r>
      <w:r w:rsidRPr="002D2ED8">
        <w:rPr>
          <w:rFonts w:ascii="Times New Roman" w:eastAsia="Calibri" w:hAnsi="Times New Roman" w:cs="Times New Roman"/>
          <w:i w:val="0"/>
          <w:color w:val="000000" w:themeColor="text1"/>
          <w:lang w:eastAsia="en-US"/>
        </w:rPr>
        <w:t xml:space="preserve"> года для банковского сектора Казахстана</w:t>
      </w:r>
      <w:bookmarkStart w:id="8" w:name="_Toc94801287"/>
      <w:bookmarkEnd w:id="5"/>
      <w:bookmarkEnd w:id="6"/>
      <w:bookmarkEnd w:id="7"/>
      <w:bookmarkEnd w:id="8"/>
    </w:p>
    <w:p w14:paraId="318597EF" w14:textId="77777777" w:rsidR="00815623" w:rsidRPr="002D2ED8" w:rsidRDefault="00815623" w:rsidP="00865525">
      <w:pPr>
        <w:rPr>
          <w:rFonts w:eastAsia="Calibri"/>
          <w:color w:val="000000" w:themeColor="text1"/>
          <w:sz w:val="28"/>
          <w:szCs w:val="28"/>
          <w:lang w:eastAsia="en-US"/>
        </w:rPr>
      </w:pPr>
    </w:p>
    <w:p w14:paraId="1524229F" w14:textId="29B0B664" w:rsidR="00311460" w:rsidRPr="002D2ED8" w:rsidRDefault="00311460" w:rsidP="00865525">
      <w:pPr>
        <w:pStyle w:val="2"/>
        <w:numPr>
          <w:ilvl w:val="1"/>
          <w:numId w:val="7"/>
        </w:numPr>
        <w:spacing w:before="0" w:after="0"/>
        <w:ind w:left="0" w:firstLine="709"/>
        <w:jc w:val="both"/>
        <w:rPr>
          <w:rFonts w:ascii="Times New Roman" w:eastAsia="Calibri" w:hAnsi="Times New Roman" w:cs="Times New Roman"/>
          <w:i w:val="0"/>
          <w:iCs w:val="0"/>
          <w:color w:val="000000" w:themeColor="text1"/>
          <w:lang w:eastAsia="en-US"/>
        </w:rPr>
      </w:pPr>
      <w:bookmarkStart w:id="9" w:name="_Toc127966703"/>
      <w:r w:rsidRPr="002D2ED8">
        <w:rPr>
          <w:rFonts w:ascii="Times New Roman" w:eastAsia="Calibri" w:hAnsi="Times New Roman" w:cs="Times New Roman"/>
          <w:i w:val="0"/>
          <w:iCs w:val="0"/>
          <w:color w:val="000000" w:themeColor="text1"/>
          <w:lang w:eastAsia="en-US"/>
        </w:rPr>
        <w:t>Основные тенденции в экономике, влияющие на банковский сектор, текущее состояние банковского сектора</w:t>
      </w:r>
      <w:bookmarkEnd w:id="9"/>
    </w:p>
    <w:p w14:paraId="41F59F3A" w14:textId="768C20C6" w:rsidR="00CC5720" w:rsidRPr="002D2ED8" w:rsidRDefault="00CC5720" w:rsidP="00865525">
      <w:pPr>
        <w:ind w:firstLine="709"/>
        <w:jc w:val="both"/>
        <w:rPr>
          <w:sz w:val="28"/>
          <w:szCs w:val="28"/>
        </w:rPr>
      </w:pPr>
      <w:r w:rsidRPr="002D2ED8">
        <w:rPr>
          <w:sz w:val="28"/>
          <w:szCs w:val="28"/>
        </w:rPr>
        <w:t>По состоянию на 1 января 2023 года в Республике Казахстан функционируют 2</w:t>
      </w:r>
      <w:r w:rsidR="004849A2" w:rsidRPr="002D2ED8">
        <w:rPr>
          <w:sz w:val="28"/>
          <w:szCs w:val="28"/>
        </w:rPr>
        <w:t>1</w:t>
      </w:r>
      <w:r w:rsidRPr="002D2ED8">
        <w:rPr>
          <w:sz w:val="28"/>
          <w:szCs w:val="28"/>
        </w:rPr>
        <w:t xml:space="preserve"> банк, из них 12 банков с иностранным участием, в том числе 8 дочерних банков второго уровня, 2 банка со 100%-</w:t>
      </w:r>
      <w:proofErr w:type="spellStart"/>
      <w:r w:rsidRPr="002D2ED8">
        <w:rPr>
          <w:sz w:val="28"/>
          <w:szCs w:val="28"/>
        </w:rPr>
        <w:t>ым</w:t>
      </w:r>
      <w:proofErr w:type="spellEnd"/>
      <w:r w:rsidRPr="002D2ED8">
        <w:rPr>
          <w:sz w:val="28"/>
          <w:szCs w:val="28"/>
        </w:rPr>
        <w:t xml:space="preserve"> государственным участием.</w:t>
      </w:r>
    </w:p>
    <w:p w14:paraId="2650F492" w14:textId="52559495" w:rsidR="00311460" w:rsidRPr="002D2ED8" w:rsidRDefault="00311460" w:rsidP="00865525">
      <w:pPr>
        <w:ind w:firstLine="709"/>
        <w:jc w:val="both"/>
        <w:rPr>
          <w:sz w:val="28"/>
          <w:szCs w:val="28"/>
        </w:rPr>
      </w:pPr>
      <w:r w:rsidRPr="002D2ED8">
        <w:rPr>
          <w:sz w:val="28"/>
          <w:szCs w:val="28"/>
        </w:rPr>
        <w:t xml:space="preserve">В течение 2022 года банковский сектор Республики Казахстан неоднократно подвергался внутренним и внешним шокам. На фоне геополитической нестабильности и макроэкономических изменений произошли структурные изменения, в том числе путем </w:t>
      </w:r>
      <w:r w:rsidR="00805D33" w:rsidRPr="002D2ED8">
        <w:rPr>
          <w:sz w:val="28"/>
          <w:szCs w:val="28"/>
        </w:rPr>
        <w:t>присоед</w:t>
      </w:r>
      <w:r w:rsidR="000604D8" w:rsidRPr="002D2ED8">
        <w:rPr>
          <w:sz w:val="28"/>
          <w:szCs w:val="28"/>
        </w:rPr>
        <w:t>и</w:t>
      </w:r>
      <w:r w:rsidR="00805D33" w:rsidRPr="002D2ED8">
        <w:rPr>
          <w:sz w:val="28"/>
          <w:szCs w:val="28"/>
        </w:rPr>
        <w:t>нения</w:t>
      </w:r>
      <w:r w:rsidRPr="002D2ED8">
        <w:rPr>
          <w:sz w:val="28"/>
          <w:szCs w:val="28"/>
        </w:rPr>
        <w:t>/продажи отдельных банков.</w:t>
      </w:r>
    </w:p>
    <w:p w14:paraId="02192690" w14:textId="77777777" w:rsidR="00311460" w:rsidRPr="002D2ED8" w:rsidRDefault="00311460" w:rsidP="00C01CE8">
      <w:pPr>
        <w:ind w:firstLine="709"/>
        <w:jc w:val="both"/>
        <w:rPr>
          <w:sz w:val="28"/>
          <w:szCs w:val="28"/>
        </w:rPr>
      </w:pPr>
      <w:r w:rsidRPr="002D2ED8">
        <w:rPr>
          <w:sz w:val="28"/>
          <w:szCs w:val="28"/>
        </w:rPr>
        <w:t>Под воздействием внешних шоков наблюдалось замедление экономического роста и значительное ускорение инфляции. Общемировые тенденции и нестабильность глобальной экономики также существенно преобразили финансовую среду.</w:t>
      </w:r>
    </w:p>
    <w:p w14:paraId="50C61C75" w14:textId="13B87AE6" w:rsidR="00DF474F" w:rsidRPr="002D2ED8" w:rsidRDefault="008B58A3" w:rsidP="00DF474F">
      <w:pPr>
        <w:ind w:firstLine="709"/>
        <w:jc w:val="both"/>
        <w:rPr>
          <w:sz w:val="28"/>
          <w:szCs w:val="28"/>
        </w:rPr>
      </w:pPr>
      <w:r w:rsidRPr="002D2ED8">
        <w:rPr>
          <w:sz w:val="28"/>
          <w:szCs w:val="28"/>
        </w:rPr>
        <w:t>В 2022 год</w:t>
      </w:r>
      <w:r w:rsidR="00FF20F0" w:rsidRPr="002D2ED8">
        <w:rPr>
          <w:sz w:val="28"/>
          <w:szCs w:val="28"/>
        </w:rPr>
        <w:t>у</w:t>
      </w:r>
      <w:r w:rsidRPr="002D2ED8">
        <w:rPr>
          <w:sz w:val="28"/>
          <w:szCs w:val="28"/>
        </w:rPr>
        <w:t xml:space="preserve"> глобальная экономика развивалась под давлением ухудшения геополитической ситуации, ускорения инфляции и продолжения ужесточени</w:t>
      </w:r>
      <w:r w:rsidR="00CC5720" w:rsidRPr="002D2ED8">
        <w:rPr>
          <w:sz w:val="28"/>
          <w:szCs w:val="28"/>
        </w:rPr>
        <w:t>я</w:t>
      </w:r>
      <w:r w:rsidRPr="002D2ED8">
        <w:rPr>
          <w:sz w:val="28"/>
          <w:szCs w:val="28"/>
        </w:rPr>
        <w:t xml:space="preserve"> монетарных условий в мире. Внешние и внутренние условия менялись под влиянием продолжающегося конфликта в Украине, карантинных ограничений в Китае, ускорения инфляции и ожиданий более быстрых темпов ужесточения денежно-кредитной политики в развитых странах. На фоне дисбаланса на мировом товарном рынке из-за санкционной войны и нарушения логистических и производственных цепочек поставок продолжал наблюдаться рост цен на энергоносители и продовольствие. Вместе с тем, высокие цены на сырьевые товары смягчили негативное воздействие текущей турбулентности и ужесточения финансовых условий на экономическую ситуацию в Казахстане.</w:t>
      </w:r>
    </w:p>
    <w:p w14:paraId="4BBC471D" w14:textId="4BB58477" w:rsidR="00D326D8" w:rsidRPr="002D2ED8" w:rsidRDefault="00D326D8" w:rsidP="00D326D8">
      <w:pPr>
        <w:ind w:firstLine="709"/>
        <w:jc w:val="both"/>
        <w:rPr>
          <w:sz w:val="28"/>
          <w:szCs w:val="28"/>
        </w:rPr>
      </w:pPr>
      <w:r w:rsidRPr="002D2ED8">
        <w:rPr>
          <w:sz w:val="28"/>
          <w:szCs w:val="28"/>
        </w:rPr>
        <w:t>Проведение жест</w:t>
      </w:r>
      <w:r w:rsidR="00D628F6" w:rsidRPr="002D2ED8">
        <w:rPr>
          <w:sz w:val="28"/>
          <w:szCs w:val="28"/>
        </w:rPr>
        <w:t>кой</w:t>
      </w:r>
      <w:r w:rsidRPr="002D2ED8">
        <w:rPr>
          <w:sz w:val="28"/>
          <w:szCs w:val="28"/>
        </w:rPr>
        <w:t xml:space="preserve"> денежно-кредитной политики в виде поэтапного повышения базовой ставки со стороны Национального Банка Республики Казахстан в качестве ответной меры на ускорение инфляции, отразилось на справедливой стоимости финансовых инструментов, рыночных ставках кредитования и фондирования.</w:t>
      </w:r>
    </w:p>
    <w:p w14:paraId="25C5B1EA" w14:textId="77777777" w:rsidR="0041765D" w:rsidRPr="002D2ED8" w:rsidRDefault="00D628F6" w:rsidP="0035470A">
      <w:pPr>
        <w:ind w:firstLine="708"/>
        <w:jc w:val="both"/>
        <w:rPr>
          <w:sz w:val="28"/>
          <w:szCs w:val="28"/>
        </w:rPr>
      </w:pPr>
      <w:r w:rsidRPr="002D2ED8">
        <w:rPr>
          <w:sz w:val="28"/>
          <w:szCs w:val="28"/>
        </w:rPr>
        <w:t xml:space="preserve">На ситуацию в </w:t>
      </w:r>
      <w:r w:rsidR="00A93C1D" w:rsidRPr="002D2ED8">
        <w:rPr>
          <w:sz w:val="28"/>
          <w:szCs w:val="28"/>
        </w:rPr>
        <w:t>финансово</w:t>
      </w:r>
      <w:r w:rsidRPr="002D2ED8">
        <w:rPr>
          <w:sz w:val="28"/>
          <w:szCs w:val="28"/>
        </w:rPr>
        <w:t>м</w:t>
      </w:r>
      <w:r w:rsidR="00A93C1D" w:rsidRPr="002D2ED8">
        <w:rPr>
          <w:sz w:val="28"/>
          <w:szCs w:val="28"/>
        </w:rPr>
        <w:t xml:space="preserve"> сектор</w:t>
      </w:r>
      <w:r w:rsidRPr="002D2ED8">
        <w:rPr>
          <w:sz w:val="28"/>
          <w:szCs w:val="28"/>
        </w:rPr>
        <w:t>е</w:t>
      </w:r>
      <w:r w:rsidR="00A93C1D" w:rsidRPr="002D2ED8">
        <w:rPr>
          <w:sz w:val="28"/>
          <w:szCs w:val="28"/>
        </w:rPr>
        <w:t xml:space="preserve"> Казахстана</w:t>
      </w:r>
      <w:r w:rsidRPr="002D2ED8">
        <w:rPr>
          <w:sz w:val="28"/>
          <w:szCs w:val="28"/>
        </w:rPr>
        <w:t xml:space="preserve"> в 2022 году </w:t>
      </w:r>
      <w:r w:rsidR="0041765D" w:rsidRPr="002D2ED8">
        <w:rPr>
          <w:sz w:val="28"/>
          <w:szCs w:val="28"/>
        </w:rPr>
        <w:t xml:space="preserve">существенное влияние </w:t>
      </w:r>
      <w:r w:rsidRPr="002D2ED8">
        <w:rPr>
          <w:sz w:val="28"/>
          <w:szCs w:val="28"/>
        </w:rPr>
        <w:t xml:space="preserve">оказало </w:t>
      </w:r>
      <w:r w:rsidR="00A93C1D" w:rsidRPr="002D2ED8">
        <w:rPr>
          <w:sz w:val="28"/>
          <w:szCs w:val="28"/>
        </w:rPr>
        <w:t>включение в санкционный список SDN</w:t>
      </w:r>
      <w:r w:rsidR="00A93C1D" w:rsidRPr="002D2ED8">
        <w:rPr>
          <w:rStyle w:val="af5"/>
          <w:sz w:val="28"/>
          <w:szCs w:val="28"/>
        </w:rPr>
        <w:footnoteReference w:id="1"/>
      </w:r>
      <w:r w:rsidR="00A93C1D" w:rsidRPr="002D2ED8">
        <w:rPr>
          <w:sz w:val="28"/>
          <w:szCs w:val="28"/>
        </w:rPr>
        <w:t xml:space="preserve"> решением </w:t>
      </w:r>
      <w:r w:rsidR="00D5392A" w:rsidRPr="002D2ED8">
        <w:rPr>
          <w:sz w:val="28"/>
          <w:szCs w:val="28"/>
        </w:rPr>
        <w:t>OFAC</w:t>
      </w:r>
      <w:r w:rsidR="00D5392A" w:rsidRPr="002D2ED8">
        <w:rPr>
          <w:rStyle w:val="af5"/>
          <w:sz w:val="28"/>
          <w:szCs w:val="28"/>
        </w:rPr>
        <w:footnoteReference w:id="2"/>
      </w:r>
      <w:r w:rsidR="00D5392A" w:rsidRPr="002D2ED8">
        <w:rPr>
          <w:sz w:val="28"/>
          <w:szCs w:val="28"/>
        </w:rPr>
        <w:t xml:space="preserve"> </w:t>
      </w:r>
      <w:r w:rsidR="00A93C1D" w:rsidRPr="002D2ED8">
        <w:rPr>
          <w:sz w:val="28"/>
          <w:szCs w:val="28"/>
        </w:rPr>
        <w:t>дочерних</w:t>
      </w:r>
      <w:r w:rsidRPr="002D2ED8">
        <w:rPr>
          <w:sz w:val="28"/>
          <w:szCs w:val="28"/>
        </w:rPr>
        <w:t xml:space="preserve"> российских</w:t>
      </w:r>
      <w:r w:rsidR="00A93C1D" w:rsidRPr="002D2ED8">
        <w:rPr>
          <w:sz w:val="28"/>
          <w:szCs w:val="28"/>
        </w:rPr>
        <w:t xml:space="preserve"> банков АО ДБ «Альфа</w:t>
      </w:r>
      <w:r w:rsidR="00853EB8" w:rsidRPr="002D2ED8">
        <w:rPr>
          <w:sz w:val="28"/>
          <w:szCs w:val="28"/>
        </w:rPr>
        <w:t>-</w:t>
      </w:r>
      <w:r w:rsidR="00A93C1D" w:rsidRPr="002D2ED8">
        <w:rPr>
          <w:sz w:val="28"/>
          <w:szCs w:val="28"/>
        </w:rPr>
        <w:t>Банк», ДБ АО «Сбербанк» и ДБ АО «Банк ВТБ (Казахстан)».</w:t>
      </w:r>
      <w:r w:rsidRPr="002D2ED8">
        <w:rPr>
          <w:sz w:val="28"/>
          <w:szCs w:val="28"/>
        </w:rPr>
        <w:t xml:space="preserve"> В период введения санкций по данным банкам наблюдались оттоки ликвидности в другие банки второго уровня.</w:t>
      </w:r>
      <w:r w:rsidR="00A93C1D" w:rsidRPr="002D2ED8">
        <w:rPr>
          <w:sz w:val="28"/>
          <w:szCs w:val="28"/>
        </w:rPr>
        <w:t xml:space="preserve"> </w:t>
      </w:r>
    </w:p>
    <w:p w14:paraId="3EA18645" w14:textId="77777777" w:rsidR="0041765D" w:rsidRPr="002D2ED8" w:rsidRDefault="00EB737E" w:rsidP="0035470A">
      <w:pPr>
        <w:ind w:firstLine="708"/>
        <w:jc w:val="both"/>
        <w:rPr>
          <w:sz w:val="28"/>
          <w:szCs w:val="28"/>
        </w:rPr>
      </w:pPr>
      <w:r w:rsidRPr="002D2ED8">
        <w:rPr>
          <w:sz w:val="28"/>
          <w:szCs w:val="28"/>
        </w:rPr>
        <w:t xml:space="preserve">По АО ДБ «Альфа-Банк» акционером </w:t>
      </w:r>
      <w:r w:rsidR="00700C36" w:rsidRPr="002D2ED8">
        <w:rPr>
          <w:sz w:val="28"/>
          <w:szCs w:val="28"/>
        </w:rPr>
        <w:t xml:space="preserve">было </w:t>
      </w:r>
      <w:r w:rsidRPr="002D2ED8">
        <w:rPr>
          <w:sz w:val="28"/>
          <w:szCs w:val="28"/>
        </w:rPr>
        <w:t xml:space="preserve">принято решение о продаже дочернего банка АО «Банк </w:t>
      </w:r>
      <w:proofErr w:type="spellStart"/>
      <w:r w:rsidRPr="002D2ED8">
        <w:rPr>
          <w:sz w:val="28"/>
          <w:szCs w:val="28"/>
        </w:rPr>
        <w:t>ЦентрКредит</w:t>
      </w:r>
      <w:proofErr w:type="spellEnd"/>
      <w:r w:rsidRPr="002D2ED8">
        <w:rPr>
          <w:sz w:val="28"/>
          <w:szCs w:val="28"/>
        </w:rPr>
        <w:t>»</w:t>
      </w:r>
      <w:r w:rsidR="0035470A" w:rsidRPr="002D2ED8">
        <w:rPr>
          <w:sz w:val="28"/>
          <w:szCs w:val="28"/>
        </w:rPr>
        <w:t>.</w:t>
      </w:r>
      <w:r w:rsidRPr="002D2ED8">
        <w:rPr>
          <w:sz w:val="28"/>
          <w:szCs w:val="28"/>
        </w:rPr>
        <w:t xml:space="preserve"> </w:t>
      </w:r>
      <w:r w:rsidR="0035470A" w:rsidRPr="002D2ED8">
        <w:rPr>
          <w:sz w:val="28"/>
          <w:szCs w:val="28"/>
        </w:rPr>
        <w:t xml:space="preserve">После реализации сделки АО ДБ «Альфа-Банк» </w:t>
      </w:r>
      <w:r w:rsidR="006C1200" w:rsidRPr="002D2ED8">
        <w:rPr>
          <w:sz w:val="28"/>
          <w:szCs w:val="28"/>
        </w:rPr>
        <w:t xml:space="preserve">был </w:t>
      </w:r>
      <w:r w:rsidR="0035470A" w:rsidRPr="002D2ED8">
        <w:rPr>
          <w:sz w:val="28"/>
          <w:szCs w:val="28"/>
        </w:rPr>
        <w:t>переименован в АО «</w:t>
      </w:r>
      <w:proofErr w:type="spellStart"/>
      <w:r w:rsidR="0035470A" w:rsidRPr="002D2ED8">
        <w:rPr>
          <w:sz w:val="28"/>
          <w:szCs w:val="28"/>
        </w:rPr>
        <w:t>Eco</w:t>
      </w:r>
      <w:proofErr w:type="spellEnd"/>
      <w:r w:rsidR="0035470A" w:rsidRPr="002D2ED8">
        <w:rPr>
          <w:sz w:val="28"/>
          <w:szCs w:val="28"/>
        </w:rPr>
        <w:t xml:space="preserve"> </w:t>
      </w:r>
      <w:proofErr w:type="spellStart"/>
      <w:r w:rsidR="0035470A" w:rsidRPr="002D2ED8">
        <w:rPr>
          <w:sz w:val="28"/>
          <w:szCs w:val="28"/>
        </w:rPr>
        <w:t>Center</w:t>
      </w:r>
      <w:proofErr w:type="spellEnd"/>
      <w:r w:rsidR="0035470A" w:rsidRPr="002D2ED8">
        <w:rPr>
          <w:sz w:val="28"/>
          <w:szCs w:val="28"/>
        </w:rPr>
        <w:t xml:space="preserve"> </w:t>
      </w:r>
      <w:proofErr w:type="spellStart"/>
      <w:r w:rsidR="0035470A" w:rsidRPr="002D2ED8">
        <w:rPr>
          <w:sz w:val="28"/>
          <w:szCs w:val="28"/>
        </w:rPr>
        <w:t>Bank</w:t>
      </w:r>
      <w:proofErr w:type="spellEnd"/>
      <w:r w:rsidR="0035470A" w:rsidRPr="002D2ED8">
        <w:rPr>
          <w:sz w:val="28"/>
          <w:szCs w:val="28"/>
        </w:rPr>
        <w:t>»</w:t>
      </w:r>
      <w:r w:rsidR="001A6427" w:rsidRPr="002D2ED8">
        <w:rPr>
          <w:sz w:val="28"/>
          <w:szCs w:val="28"/>
        </w:rPr>
        <w:t>,</w:t>
      </w:r>
      <w:r w:rsidR="0035470A" w:rsidRPr="002D2ED8">
        <w:rPr>
          <w:sz w:val="28"/>
          <w:szCs w:val="28"/>
        </w:rPr>
        <w:t xml:space="preserve"> выведен из </w:t>
      </w:r>
      <w:r w:rsidR="0035470A" w:rsidRPr="002D2ED8">
        <w:rPr>
          <w:sz w:val="28"/>
          <w:szCs w:val="28"/>
        </w:rPr>
        <w:lastRenderedPageBreak/>
        <w:t>санкционного списка SDN</w:t>
      </w:r>
      <w:r w:rsidR="001A6427" w:rsidRPr="002D2ED8">
        <w:rPr>
          <w:sz w:val="28"/>
          <w:szCs w:val="28"/>
        </w:rPr>
        <w:t xml:space="preserve"> и в </w:t>
      </w:r>
      <w:r w:rsidR="0035470A" w:rsidRPr="002D2ED8">
        <w:rPr>
          <w:sz w:val="28"/>
          <w:szCs w:val="28"/>
        </w:rPr>
        <w:t xml:space="preserve">сентябре 2022 года реорганизован путем присоединения к АО «Банк </w:t>
      </w:r>
      <w:proofErr w:type="spellStart"/>
      <w:r w:rsidR="0035470A" w:rsidRPr="002D2ED8">
        <w:rPr>
          <w:sz w:val="28"/>
          <w:szCs w:val="28"/>
        </w:rPr>
        <w:t>ЦентрКредит</w:t>
      </w:r>
      <w:proofErr w:type="spellEnd"/>
      <w:r w:rsidR="0035470A" w:rsidRPr="002D2ED8">
        <w:rPr>
          <w:sz w:val="28"/>
          <w:szCs w:val="28"/>
        </w:rPr>
        <w:t xml:space="preserve">». </w:t>
      </w:r>
    </w:p>
    <w:p w14:paraId="496E081C" w14:textId="69238778" w:rsidR="0041765D" w:rsidRPr="002D2ED8" w:rsidRDefault="008C4702" w:rsidP="0035470A">
      <w:pPr>
        <w:ind w:firstLine="708"/>
        <w:jc w:val="both"/>
        <w:rPr>
          <w:sz w:val="28"/>
          <w:szCs w:val="28"/>
        </w:rPr>
      </w:pPr>
      <w:r w:rsidRPr="002D2ED8">
        <w:rPr>
          <w:sz w:val="28"/>
          <w:szCs w:val="28"/>
        </w:rPr>
        <w:t xml:space="preserve">По </w:t>
      </w:r>
      <w:r w:rsidR="00A93C1D" w:rsidRPr="002D2ED8">
        <w:rPr>
          <w:sz w:val="28"/>
          <w:szCs w:val="28"/>
        </w:rPr>
        <w:t xml:space="preserve">ДБ АО «Сбербанк» </w:t>
      </w:r>
      <w:r w:rsidRPr="002D2ED8">
        <w:rPr>
          <w:sz w:val="28"/>
          <w:szCs w:val="28"/>
        </w:rPr>
        <w:t xml:space="preserve">акционером </w:t>
      </w:r>
      <w:r w:rsidR="00A93C1D" w:rsidRPr="002D2ED8">
        <w:rPr>
          <w:sz w:val="28"/>
          <w:szCs w:val="28"/>
        </w:rPr>
        <w:t>был</w:t>
      </w:r>
      <w:r w:rsidRPr="002D2ED8">
        <w:rPr>
          <w:sz w:val="28"/>
          <w:szCs w:val="28"/>
        </w:rPr>
        <w:t>о принято решение о</w:t>
      </w:r>
      <w:r w:rsidR="001A6427" w:rsidRPr="002D2ED8">
        <w:rPr>
          <w:sz w:val="28"/>
          <w:szCs w:val="28"/>
        </w:rPr>
        <w:t xml:space="preserve"> продаже дочернего банка</w:t>
      </w:r>
      <w:r w:rsidRPr="002D2ED8">
        <w:rPr>
          <w:sz w:val="28"/>
          <w:szCs w:val="28"/>
        </w:rPr>
        <w:t xml:space="preserve"> </w:t>
      </w:r>
      <w:r w:rsidR="00A93C1D" w:rsidRPr="002D2ED8">
        <w:rPr>
          <w:sz w:val="28"/>
          <w:szCs w:val="28"/>
        </w:rPr>
        <w:t>НУХ «Байтерек»</w:t>
      </w:r>
      <w:r w:rsidR="001A6427" w:rsidRPr="002D2ED8">
        <w:rPr>
          <w:sz w:val="28"/>
          <w:szCs w:val="28"/>
        </w:rPr>
        <w:t xml:space="preserve">. После вхождения нового акционера </w:t>
      </w:r>
      <w:r w:rsidR="00A93C1D" w:rsidRPr="002D2ED8">
        <w:rPr>
          <w:sz w:val="28"/>
          <w:szCs w:val="28"/>
        </w:rPr>
        <w:t xml:space="preserve">ДБ АО «Сбербанк» переименован </w:t>
      </w:r>
      <w:r w:rsidRPr="002D2ED8">
        <w:rPr>
          <w:sz w:val="28"/>
          <w:szCs w:val="28"/>
        </w:rPr>
        <w:t>в</w:t>
      </w:r>
      <w:r w:rsidR="00A93C1D" w:rsidRPr="002D2ED8">
        <w:rPr>
          <w:sz w:val="28"/>
          <w:szCs w:val="28"/>
        </w:rPr>
        <w:t xml:space="preserve"> АО «</w:t>
      </w:r>
      <w:proofErr w:type="spellStart"/>
      <w:r w:rsidR="00A93C1D" w:rsidRPr="002D2ED8">
        <w:rPr>
          <w:sz w:val="28"/>
          <w:szCs w:val="28"/>
        </w:rPr>
        <w:t>Bereke</w:t>
      </w:r>
      <w:proofErr w:type="spellEnd"/>
      <w:r w:rsidR="00A93C1D" w:rsidRPr="002D2ED8">
        <w:rPr>
          <w:sz w:val="28"/>
          <w:szCs w:val="28"/>
        </w:rPr>
        <w:t xml:space="preserve"> </w:t>
      </w:r>
      <w:proofErr w:type="spellStart"/>
      <w:r w:rsidR="00A93C1D" w:rsidRPr="002D2ED8">
        <w:rPr>
          <w:sz w:val="28"/>
          <w:szCs w:val="28"/>
        </w:rPr>
        <w:t>Bank</w:t>
      </w:r>
      <w:proofErr w:type="spellEnd"/>
      <w:r w:rsidR="00A93C1D" w:rsidRPr="002D2ED8">
        <w:rPr>
          <w:sz w:val="28"/>
          <w:szCs w:val="28"/>
        </w:rPr>
        <w:t>»</w:t>
      </w:r>
      <w:r w:rsidR="001A6427" w:rsidRPr="002D2ED8">
        <w:rPr>
          <w:sz w:val="28"/>
          <w:szCs w:val="28"/>
        </w:rPr>
        <w:t xml:space="preserve">, </w:t>
      </w:r>
      <w:r w:rsidR="00FD2459" w:rsidRPr="002D2ED8">
        <w:rPr>
          <w:sz w:val="28"/>
          <w:szCs w:val="28"/>
        </w:rPr>
        <w:t>направлены соответствующие заявления в OFAC о выводе банка из санкционного списка SDN</w:t>
      </w:r>
      <w:r w:rsidR="00A93C1D" w:rsidRPr="002D2ED8">
        <w:rPr>
          <w:sz w:val="28"/>
          <w:szCs w:val="28"/>
        </w:rPr>
        <w:t xml:space="preserve">. </w:t>
      </w:r>
      <w:r w:rsidR="00E70CC7" w:rsidRPr="002D2ED8">
        <w:rPr>
          <w:sz w:val="28"/>
          <w:szCs w:val="28"/>
        </w:rPr>
        <w:t>Министерство финансов США 8 марта 2023 года исключило из санкционного SDN-списка OFAC АО «</w:t>
      </w:r>
      <w:proofErr w:type="spellStart"/>
      <w:r w:rsidR="00E70CC7" w:rsidRPr="002D2ED8">
        <w:rPr>
          <w:sz w:val="28"/>
          <w:szCs w:val="28"/>
        </w:rPr>
        <w:t>Bereke</w:t>
      </w:r>
      <w:proofErr w:type="spellEnd"/>
      <w:r w:rsidR="00E70CC7" w:rsidRPr="002D2ED8">
        <w:rPr>
          <w:sz w:val="28"/>
          <w:szCs w:val="28"/>
        </w:rPr>
        <w:t xml:space="preserve"> </w:t>
      </w:r>
      <w:proofErr w:type="spellStart"/>
      <w:r w:rsidR="00E70CC7" w:rsidRPr="002D2ED8">
        <w:rPr>
          <w:sz w:val="28"/>
          <w:szCs w:val="28"/>
        </w:rPr>
        <w:t>Bank</w:t>
      </w:r>
      <w:proofErr w:type="spellEnd"/>
      <w:r w:rsidR="00E70CC7" w:rsidRPr="002D2ED8">
        <w:rPr>
          <w:sz w:val="28"/>
          <w:szCs w:val="28"/>
        </w:rPr>
        <w:t>».</w:t>
      </w:r>
    </w:p>
    <w:p w14:paraId="1C25DDC2" w14:textId="3B399C11" w:rsidR="00A93C1D" w:rsidRPr="002D2ED8" w:rsidRDefault="00A93C1D" w:rsidP="0035470A">
      <w:pPr>
        <w:ind w:firstLine="708"/>
        <w:jc w:val="both"/>
        <w:rPr>
          <w:sz w:val="28"/>
          <w:szCs w:val="28"/>
        </w:rPr>
      </w:pPr>
      <w:r w:rsidRPr="002D2ED8">
        <w:rPr>
          <w:sz w:val="28"/>
          <w:szCs w:val="28"/>
        </w:rPr>
        <w:t xml:space="preserve">ДБ АО «Банк ВТБ (Казахстан)» </w:t>
      </w:r>
      <w:r w:rsidR="0041765D" w:rsidRPr="002D2ED8">
        <w:rPr>
          <w:sz w:val="28"/>
          <w:szCs w:val="28"/>
        </w:rPr>
        <w:t xml:space="preserve">в </w:t>
      </w:r>
      <w:r w:rsidR="00CF0355" w:rsidRPr="002D2ED8">
        <w:rPr>
          <w:sz w:val="28"/>
          <w:szCs w:val="28"/>
        </w:rPr>
        <w:t xml:space="preserve">июне </w:t>
      </w:r>
      <w:r w:rsidR="0041765D" w:rsidRPr="002D2ED8">
        <w:rPr>
          <w:sz w:val="28"/>
          <w:szCs w:val="28"/>
        </w:rPr>
        <w:t xml:space="preserve">2022 года </w:t>
      </w:r>
      <w:r w:rsidRPr="002D2ED8">
        <w:rPr>
          <w:sz w:val="28"/>
          <w:szCs w:val="28"/>
        </w:rPr>
        <w:t xml:space="preserve">был </w:t>
      </w:r>
      <w:proofErr w:type="spellStart"/>
      <w:r w:rsidRPr="002D2ED8">
        <w:rPr>
          <w:sz w:val="28"/>
          <w:szCs w:val="28"/>
        </w:rPr>
        <w:t>докапитализирован</w:t>
      </w:r>
      <w:proofErr w:type="spellEnd"/>
      <w:r w:rsidRPr="002D2ED8">
        <w:rPr>
          <w:sz w:val="28"/>
          <w:szCs w:val="28"/>
        </w:rPr>
        <w:t xml:space="preserve"> материнским банком</w:t>
      </w:r>
      <w:r w:rsidR="0041765D" w:rsidRPr="002D2ED8">
        <w:rPr>
          <w:sz w:val="28"/>
          <w:szCs w:val="28"/>
        </w:rPr>
        <w:t xml:space="preserve"> на общую сумму 5 млрд. рублей (4</w:t>
      </w:r>
      <w:r w:rsidR="00CF0355" w:rsidRPr="002D2ED8">
        <w:rPr>
          <w:sz w:val="28"/>
          <w:szCs w:val="28"/>
        </w:rPr>
        <w:t>4</w:t>
      </w:r>
      <w:r w:rsidR="0041765D" w:rsidRPr="002D2ED8">
        <w:rPr>
          <w:sz w:val="28"/>
          <w:szCs w:val="28"/>
        </w:rPr>
        <w:t xml:space="preserve"> млрд. тенге в эквиваленте)</w:t>
      </w:r>
      <w:r w:rsidR="00853EB8" w:rsidRPr="002D2ED8">
        <w:rPr>
          <w:sz w:val="28"/>
          <w:szCs w:val="28"/>
        </w:rPr>
        <w:t xml:space="preserve">, что позволило обеспечить соблюдение </w:t>
      </w:r>
      <w:proofErr w:type="spellStart"/>
      <w:r w:rsidR="00853EB8" w:rsidRPr="002D2ED8">
        <w:rPr>
          <w:sz w:val="28"/>
          <w:szCs w:val="28"/>
        </w:rPr>
        <w:t>пруденциальных</w:t>
      </w:r>
      <w:proofErr w:type="spellEnd"/>
      <w:r w:rsidR="00853EB8" w:rsidRPr="002D2ED8">
        <w:rPr>
          <w:sz w:val="28"/>
          <w:szCs w:val="28"/>
        </w:rPr>
        <w:t xml:space="preserve"> нормативов, установленных регулятором, и стабилизировать ситуацию в банке.</w:t>
      </w:r>
    </w:p>
    <w:p w14:paraId="1F34C9B4" w14:textId="20458BEA" w:rsidR="00311460" w:rsidRPr="002D2ED8" w:rsidRDefault="00311460" w:rsidP="00C01CE8">
      <w:pPr>
        <w:ind w:firstLine="709"/>
        <w:jc w:val="both"/>
        <w:rPr>
          <w:sz w:val="28"/>
          <w:szCs w:val="28"/>
        </w:rPr>
      </w:pPr>
      <w:r w:rsidRPr="002D2ED8">
        <w:rPr>
          <w:sz w:val="28"/>
          <w:szCs w:val="28"/>
        </w:rPr>
        <w:t xml:space="preserve">Агентством совместно с иными государственными органами </w:t>
      </w:r>
      <w:r w:rsidR="001D6DD8" w:rsidRPr="002D2ED8">
        <w:rPr>
          <w:sz w:val="28"/>
          <w:szCs w:val="28"/>
        </w:rPr>
        <w:t xml:space="preserve">в течение 2022 года </w:t>
      </w:r>
      <w:r w:rsidRPr="002D2ED8">
        <w:rPr>
          <w:sz w:val="28"/>
          <w:szCs w:val="28"/>
        </w:rPr>
        <w:t xml:space="preserve">проводились мероприятия по нивелированию эффектов внутренних и внешних шоков, в том числе путем </w:t>
      </w:r>
      <w:r w:rsidR="00FE4E03" w:rsidRPr="002D2ED8">
        <w:rPr>
          <w:sz w:val="28"/>
          <w:szCs w:val="28"/>
        </w:rPr>
        <w:t xml:space="preserve">предоставления отсрочек </w:t>
      </w:r>
      <w:r w:rsidR="00AD4B02" w:rsidRPr="002D2ED8">
        <w:rPr>
          <w:sz w:val="28"/>
          <w:szCs w:val="28"/>
        </w:rPr>
        <w:t xml:space="preserve">платежей по займам физических и юридических лиц, пострадавших в результате введения чрезвычайного положения в январе 2022 года, </w:t>
      </w:r>
      <w:r w:rsidRPr="002D2ED8">
        <w:rPr>
          <w:sz w:val="28"/>
          <w:szCs w:val="28"/>
        </w:rPr>
        <w:t xml:space="preserve">применения мер </w:t>
      </w:r>
      <w:proofErr w:type="spellStart"/>
      <w:r w:rsidRPr="002D2ED8">
        <w:rPr>
          <w:sz w:val="28"/>
          <w:szCs w:val="28"/>
        </w:rPr>
        <w:t>пруденциального</w:t>
      </w:r>
      <w:proofErr w:type="spellEnd"/>
      <w:r w:rsidRPr="002D2ED8">
        <w:rPr>
          <w:sz w:val="28"/>
          <w:szCs w:val="28"/>
        </w:rPr>
        <w:t xml:space="preserve"> характера, </w:t>
      </w:r>
      <w:r w:rsidR="00A83EE3" w:rsidRPr="002D2ED8">
        <w:rPr>
          <w:sz w:val="28"/>
          <w:szCs w:val="28"/>
        </w:rPr>
        <w:t xml:space="preserve">активного взаимодействия </w:t>
      </w:r>
      <w:r w:rsidRPr="002D2ED8">
        <w:rPr>
          <w:sz w:val="28"/>
          <w:szCs w:val="28"/>
        </w:rPr>
        <w:t>с</w:t>
      </w:r>
      <w:r w:rsidR="00DF474F" w:rsidRPr="002D2ED8">
        <w:rPr>
          <w:sz w:val="28"/>
          <w:szCs w:val="28"/>
        </w:rPr>
        <w:t xml:space="preserve"> </w:t>
      </w:r>
      <w:r w:rsidR="00A93C1D" w:rsidRPr="002D2ED8">
        <w:rPr>
          <w:sz w:val="28"/>
          <w:szCs w:val="28"/>
        </w:rPr>
        <w:t xml:space="preserve">OFAC </w:t>
      </w:r>
      <w:r w:rsidRPr="002D2ED8">
        <w:rPr>
          <w:sz w:val="28"/>
          <w:szCs w:val="28"/>
        </w:rPr>
        <w:t xml:space="preserve">по </w:t>
      </w:r>
      <w:r w:rsidR="00A93C1D" w:rsidRPr="002D2ED8">
        <w:rPr>
          <w:sz w:val="28"/>
          <w:szCs w:val="28"/>
        </w:rPr>
        <w:t xml:space="preserve">вопросам </w:t>
      </w:r>
      <w:r w:rsidRPr="002D2ED8">
        <w:rPr>
          <w:sz w:val="28"/>
          <w:szCs w:val="28"/>
        </w:rPr>
        <w:t>получени</w:t>
      </w:r>
      <w:r w:rsidR="00A93C1D" w:rsidRPr="002D2ED8">
        <w:rPr>
          <w:sz w:val="28"/>
          <w:szCs w:val="28"/>
        </w:rPr>
        <w:t>я</w:t>
      </w:r>
      <w:r w:rsidRPr="002D2ED8">
        <w:rPr>
          <w:sz w:val="28"/>
          <w:szCs w:val="28"/>
        </w:rPr>
        <w:t xml:space="preserve"> лицензий по дочерним российски</w:t>
      </w:r>
      <w:r w:rsidR="001D6DD8" w:rsidRPr="002D2ED8">
        <w:rPr>
          <w:sz w:val="28"/>
          <w:szCs w:val="28"/>
        </w:rPr>
        <w:t>м</w:t>
      </w:r>
      <w:r w:rsidRPr="002D2ED8">
        <w:rPr>
          <w:sz w:val="28"/>
          <w:szCs w:val="28"/>
        </w:rPr>
        <w:t xml:space="preserve"> банк</w:t>
      </w:r>
      <w:r w:rsidR="001D6DD8" w:rsidRPr="002D2ED8">
        <w:rPr>
          <w:sz w:val="28"/>
          <w:szCs w:val="28"/>
        </w:rPr>
        <w:t>ам</w:t>
      </w:r>
      <w:r w:rsidR="00B74627" w:rsidRPr="002D2ED8">
        <w:rPr>
          <w:sz w:val="28"/>
          <w:szCs w:val="28"/>
        </w:rPr>
        <w:t xml:space="preserve"> для проведения банковских операций</w:t>
      </w:r>
      <w:r w:rsidRPr="002D2ED8">
        <w:rPr>
          <w:sz w:val="28"/>
          <w:szCs w:val="28"/>
        </w:rPr>
        <w:t>.</w:t>
      </w:r>
    </w:p>
    <w:p w14:paraId="472ACB58" w14:textId="0E3A4B55" w:rsidR="00311460" w:rsidRPr="002D2ED8" w:rsidRDefault="00311460" w:rsidP="00C01CE8">
      <w:pPr>
        <w:ind w:firstLine="709"/>
        <w:jc w:val="both"/>
        <w:rPr>
          <w:sz w:val="28"/>
          <w:szCs w:val="28"/>
        </w:rPr>
      </w:pPr>
      <w:r w:rsidRPr="002D2ED8">
        <w:rPr>
          <w:sz w:val="28"/>
          <w:szCs w:val="28"/>
        </w:rPr>
        <w:t xml:space="preserve">Своевременно принятые меры по сохранению финансовой стабильности позволили стабилизировать ситуацию в банковском секторе. </w:t>
      </w:r>
      <w:r w:rsidR="00E674D7" w:rsidRPr="002D2ED8">
        <w:rPr>
          <w:sz w:val="28"/>
          <w:szCs w:val="28"/>
        </w:rPr>
        <w:t>Несмотря на указанные вызовы банковский сектор успешно справился и адаптировался под новые реалии. </w:t>
      </w:r>
      <w:r w:rsidRPr="002D2ED8">
        <w:rPr>
          <w:sz w:val="28"/>
          <w:szCs w:val="28"/>
        </w:rPr>
        <w:t>По итогам 2022 года банковский сектор Республики Казахстан показ</w:t>
      </w:r>
      <w:r w:rsidR="00B74627" w:rsidRPr="002D2ED8">
        <w:rPr>
          <w:sz w:val="28"/>
          <w:szCs w:val="28"/>
        </w:rPr>
        <w:t>ыва</w:t>
      </w:r>
      <w:r w:rsidR="00853EB8" w:rsidRPr="002D2ED8">
        <w:rPr>
          <w:sz w:val="28"/>
          <w:szCs w:val="28"/>
        </w:rPr>
        <w:t>е</w:t>
      </w:r>
      <w:r w:rsidR="00B74627" w:rsidRPr="002D2ED8">
        <w:rPr>
          <w:sz w:val="28"/>
          <w:szCs w:val="28"/>
        </w:rPr>
        <w:t>т</w:t>
      </w:r>
      <w:r w:rsidRPr="002D2ED8">
        <w:rPr>
          <w:sz w:val="28"/>
          <w:szCs w:val="28"/>
        </w:rPr>
        <w:t xml:space="preserve"> большой запас прочности, как по показателям капитализации, так и по показателям ликвидности.</w:t>
      </w:r>
    </w:p>
    <w:p w14:paraId="4FC7B759" w14:textId="517D09E8" w:rsidR="00311460" w:rsidRPr="002D2ED8" w:rsidRDefault="00DF59D7" w:rsidP="00C01CE8">
      <w:pPr>
        <w:ind w:firstLine="709"/>
        <w:jc w:val="both"/>
        <w:rPr>
          <w:sz w:val="28"/>
          <w:szCs w:val="28"/>
        </w:rPr>
      </w:pPr>
      <w:r w:rsidRPr="002D2ED8">
        <w:rPr>
          <w:sz w:val="28"/>
          <w:szCs w:val="28"/>
        </w:rPr>
        <w:t>Рост а</w:t>
      </w:r>
      <w:r w:rsidR="00311460" w:rsidRPr="002D2ED8">
        <w:rPr>
          <w:sz w:val="28"/>
          <w:szCs w:val="28"/>
        </w:rPr>
        <w:t>ктив</w:t>
      </w:r>
      <w:r w:rsidRPr="002D2ED8">
        <w:rPr>
          <w:sz w:val="28"/>
          <w:szCs w:val="28"/>
        </w:rPr>
        <w:t>ов</w:t>
      </w:r>
      <w:r w:rsidR="00311460" w:rsidRPr="002D2ED8">
        <w:rPr>
          <w:sz w:val="28"/>
          <w:szCs w:val="28"/>
        </w:rPr>
        <w:t xml:space="preserve"> банков в 2022 году </w:t>
      </w:r>
      <w:r w:rsidRPr="002D2ED8">
        <w:rPr>
          <w:sz w:val="28"/>
          <w:szCs w:val="28"/>
        </w:rPr>
        <w:t xml:space="preserve">составил </w:t>
      </w:r>
      <w:r w:rsidR="00311460" w:rsidRPr="002D2ED8">
        <w:rPr>
          <w:b/>
          <w:sz w:val="28"/>
          <w:szCs w:val="28"/>
        </w:rPr>
        <w:t>18,4%</w:t>
      </w:r>
      <w:r w:rsidR="00311460" w:rsidRPr="002D2ED8">
        <w:rPr>
          <w:sz w:val="28"/>
          <w:szCs w:val="28"/>
        </w:rPr>
        <w:t xml:space="preserve"> (</w:t>
      </w:r>
      <w:r w:rsidR="00311460" w:rsidRPr="002D2ED8">
        <w:rPr>
          <w:b/>
          <w:sz w:val="28"/>
          <w:szCs w:val="28"/>
        </w:rPr>
        <w:t>6,9 трлн.</w:t>
      </w:r>
      <w:r w:rsidR="00311460" w:rsidRPr="002D2ED8">
        <w:rPr>
          <w:sz w:val="28"/>
          <w:szCs w:val="28"/>
        </w:rPr>
        <w:t xml:space="preserve"> тенге)</w:t>
      </w:r>
      <w:r w:rsidRPr="002D2ED8">
        <w:rPr>
          <w:sz w:val="28"/>
          <w:szCs w:val="28"/>
        </w:rPr>
        <w:t xml:space="preserve"> и достиг</w:t>
      </w:r>
      <w:r w:rsidR="00311460" w:rsidRPr="002D2ED8">
        <w:rPr>
          <w:sz w:val="28"/>
          <w:szCs w:val="28"/>
        </w:rPr>
        <w:t xml:space="preserve"> </w:t>
      </w:r>
      <w:r w:rsidR="00311460" w:rsidRPr="002D2ED8">
        <w:rPr>
          <w:b/>
          <w:sz w:val="28"/>
          <w:szCs w:val="28"/>
        </w:rPr>
        <w:t>44,6 трлн.</w:t>
      </w:r>
      <w:r w:rsidR="00311460" w:rsidRPr="002D2ED8">
        <w:rPr>
          <w:sz w:val="28"/>
          <w:szCs w:val="28"/>
        </w:rPr>
        <w:t xml:space="preserve"> тенге за счет наращивания банками ссудного портфеля и портфеля государственных ценных бумаг.</w:t>
      </w:r>
    </w:p>
    <w:p w14:paraId="3BD1BD01" w14:textId="0A96BE7F" w:rsidR="00311460" w:rsidRPr="002D2ED8" w:rsidRDefault="00311460" w:rsidP="00C01CE8">
      <w:pPr>
        <w:ind w:firstLine="709"/>
        <w:jc w:val="both"/>
        <w:rPr>
          <w:sz w:val="28"/>
          <w:szCs w:val="28"/>
        </w:rPr>
      </w:pPr>
      <w:r w:rsidRPr="002D2ED8">
        <w:rPr>
          <w:sz w:val="28"/>
          <w:szCs w:val="28"/>
        </w:rPr>
        <w:t xml:space="preserve">Обязательства банков увеличились на </w:t>
      </w:r>
      <w:r w:rsidRPr="002D2ED8">
        <w:rPr>
          <w:b/>
          <w:sz w:val="28"/>
          <w:szCs w:val="28"/>
        </w:rPr>
        <w:t>18,9%</w:t>
      </w:r>
      <w:r w:rsidRPr="002D2ED8">
        <w:rPr>
          <w:sz w:val="28"/>
          <w:szCs w:val="28"/>
        </w:rPr>
        <w:t xml:space="preserve"> (</w:t>
      </w:r>
      <w:r w:rsidRPr="002D2ED8">
        <w:rPr>
          <w:b/>
          <w:sz w:val="28"/>
          <w:szCs w:val="28"/>
        </w:rPr>
        <w:t>6,2 трлн.</w:t>
      </w:r>
      <w:r w:rsidRPr="002D2ED8">
        <w:rPr>
          <w:sz w:val="28"/>
          <w:szCs w:val="28"/>
        </w:rPr>
        <w:t xml:space="preserve"> тенге) до </w:t>
      </w:r>
      <w:r w:rsidRPr="002D2ED8">
        <w:rPr>
          <w:b/>
          <w:sz w:val="28"/>
          <w:szCs w:val="28"/>
        </w:rPr>
        <w:t>39,3 трлн.</w:t>
      </w:r>
      <w:r w:rsidRPr="002D2ED8">
        <w:rPr>
          <w:sz w:val="28"/>
          <w:szCs w:val="28"/>
        </w:rPr>
        <w:t xml:space="preserve"> тенге. Основным источником фондирования являются вклады клиентов, которые составляют </w:t>
      </w:r>
      <w:r w:rsidRPr="002D2ED8">
        <w:rPr>
          <w:b/>
          <w:sz w:val="28"/>
          <w:szCs w:val="28"/>
        </w:rPr>
        <w:t>31,6 трлн.</w:t>
      </w:r>
      <w:r w:rsidRPr="002D2ED8">
        <w:rPr>
          <w:sz w:val="28"/>
          <w:szCs w:val="28"/>
        </w:rPr>
        <w:t xml:space="preserve"> тенге или </w:t>
      </w:r>
      <w:r w:rsidRPr="002D2ED8">
        <w:rPr>
          <w:b/>
          <w:sz w:val="28"/>
          <w:szCs w:val="28"/>
        </w:rPr>
        <w:t>80,3%</w:t>
      </w:r>
      <w:r w:rsidRPr="002D2ED8">
        <w:rPr>
          <w:sz w:val="28"/>
          <w:szCs w:val="28"/>
        </w:rPr>
        <w:t xml:space="preserve"> от совокупных </w:t>
      </w:r>
      <w:r w:rsidR="00853F8A" w:rsidRPr="002D2ED8">
        <w:rPr>
          <w:sz w:val="28"/>
          <w:szCs w:val="28"/>
        </w:rPr>
        <w:t>обязательств</w:t>
      </w:r>
      <w:r w:rsidRPr="002D2ED8">
        <w:rPr>
          <w:sz w:val="28"/>
          <w:szCs w:val="28"/>
        </w:rPr>
        <w:t xml:space="preserve">, увеличившись за год на </w:t>
      </w:r>
      <w:r w:rsidRPr="002D2ED8">
        <w:rPr>
          <w:b/>
          <w:sz w:val="28"/>
          <w:szCs w:val="28"/>
        </w:rPr>
        <w:t>21,5%</w:t>
      </w:r>
      <w:r w:rsidRPr="002D2ED8">
        <w:rPr>
          <w:sz w:val="28"/>
          <w:szCs w:val="28"/>
        </w:rPr>
        <w:t xml:space="preserve"> (</w:t>
      </w:r>
      <w:r w:rsidRPr="002D2ED8">
        <w:rPr>
          <w:b/>
          <w:sz w:val="28"/>
          <w:szCs w:val="28"/>
        </w:rPr>
        <w:t>5,6 трлн.</w:t>
      </w:r>
      <w:r w:rsidRPr="002D2ED8">
        <w:rPr>
          <w:sz w:val="28"/>
          <w:szCs w:val="28"/>
        </w:rPr>
        <w:t xml:space="preserve"> тенге)</w:t>
      </w:r>
      <w:r w:rsidR="00AF0CCF" w:rsidRPr="002D2ED8">
        <w:rPr>
          <w:sz w:val="28"/>
          <w:szCs w:val="28"/>
        </w:rPr>
        <w:t>,</w:t>
      </w:r>
      <w:r w:rsidRPr="002D2ED8">
        <w:rPr>
          <w:sz w:val="28"/>
          <w:szCs w:val="28"/>
        </w:rPr>
        <w:t xml:space="preserve"> </w:t>
      </w:r>
      <w:r w:rsidR="00AF0CCF" w:rsidRPr="002D2ED8">
        <w:rPr>
          <w:sz w:val="28"/>
          <w:szCs w:val="28"/>
        </w:rPr>
        <w:t xml:space="preserve">в основном, </w:t>
      </w:r>
      <w:r w:rsidRPr="002D2ED8">
        <w:rPr>
          <w:sz w:val="28"/>
          <w:szCs w:val="28"/>
        </w:rPr>
        <w:t>за счет вкладов физических лиц.</w:t>
      </w:r>
    </w:p>
    <w:p w14:paraId="784CA9E0" w14:textId="06F5F32E" w:rsidR="00311460" w:rsidRPr="002D2ED8" w:rsidRDefault="00311460" w:rsidP="00C01CE8">
      <w:pPr>
        <w:ind w:firstLine="709"/>
        <w:jc w:val="both"/>
        <w:rPr>
          <w:sz w:val="28"/>
          <w:szCs w:val="28"/>
        </w:rPr>
      </w:pPr>
      <w:r w:rsidRPr="002D2ED8">
        <w:rPr>
          <w:sz w:val="28"/>
          <w:szCs w:val="28"/>
        </w:rPr>
        <w:t>Так, вклады физических лиц (</w:t>
      </w:r>
      <w:r w:rsidRPr="002D2ED8">
        <w:rPr>
          <w:b/>
          <w:sz w:val="28"/>
          <w:szCs w:val="28"/>
        </w:rPr>
        <w:t>53,6%</w:t>
      </w:r>
      <w:r w:rsidRPr="002D2ED8">
        <w:rPr>
          <w:sz w:val="28"/>
          <w:szCs w:val="28"/>
        </w:rPr>
        <w:t xml:space="preserve"> от совокупных вкладов) за год выросли на </w:t>
      </w:r>
      <w:r w:rsidRPr="002D2ED8">
        <w:rPr>
          <w:b/>
          <w:sz w:val="28"/>
          <w:szCs w:val="28"/>
        </w:rPr>
        <w:t>3,5 трлн.</w:t>
      </w:r>
      <w:r w:rsidRPr="002D2ED8">
        <w:rPr>
          <w:sz w:val="28"/>
          <w:szCs w:val="28"/>
        </w:rPr>
        <w:t xml:space="preserve"> тенге или </w:t>
      </w:r>
      <w:r w:rsidRPr="002D2ED8">
        <w:rPr>
          <w:b/>
          <w:sz w:val="28"/>
          <w:szCs w:val="28"/>
        </w:rPr>
        <w:t>26,0%</w:t>
      </w:r>
      <w:r w:rsidRPr="002D2ED8">
        <w:rPr>
          <w:sz w:val="28"/>
          <w:szCs w:val="28"/>
        </w:rPr>
        <w:t>, вклады юридических лиц (</w:t>
      </w:r>
      <w:r w:rsidRPr="002D2ED8">
        <w:rPr>
          <w:b/>
          <w:sz w:val="28"/>
          <w:szCs w:val="28"/>
        </w:rPr>
        <w:t>46,4%</w:t>
      </w:r>
      <w:r w:rsidRPr="002D2ED8">
        <w:rPr>
          <w:sz w:val="28"/>
          <w:szCs w:val="28"/>
        </w:rPr>
        <w:t xml:space="preserve"> от</w:t>
      </w:r>
      <w:r w:rsidR="00AF0CCF" w:rsidRPr="002D2ED8">
        <w:rPr>
          <w:sz w:val="28"/>
          <w:szCs w:val="28"/>
        </w:rPr>
        <w:t xml:space="preserve"> совокупных</w:t>
      </w:r>
      <w:r w:rsidRPr="002D2ED8">
        <w:rPr>
          <w:sz w:val="28"/>
          <w:szCs w:val="28"/>
        </w:rPr>
        <w:t xml:space="preserve"> вкладов) – на </w:t>
      </w:r>
      <w:r w:rsidRPr="002D2ED8">
        <w:rPr>
          <w:b/>
          <w:sz w:val="28"/>
          <w:szCs w:val="28"/>
        </w:rPr>
        <w:t>2,1 трлн.</w:t>
      </w:r>
      <w:r w:rsidRPr="002D2ED8">
        <w:rPr>
          <w:sz w:val="28"/>
          <w:szCs w:val="28"/>
        </w:rPr>
        <w:t xml:space="preserve"> тенге или </w:t>
      </w:r>
      <w:r w:rsidRPr="002D2ED8">
        <w:rPr>
          <w:b/>
          <w:sz w:val="28"/>
          <w:szCs w:val="28"/>
        </w:rPr>
        <w:t>16,6%.</w:t>
      </w:r>
    </w:p>
    <w:p w14:paraId="301DE066" w14:textId="77777777" w:rsidR="00311460" w:rsidRPr="002D2ED8" w:rsidRDefault="00311460" w:rsidP="00C01CE8">
      <w:pPr>
        <w:ind w:firstLine="709"/>
        <w:jc w:val="both"/>
        <w:rPr>
          <w:sz w:val="28"/>
          <w:szCs w:val="28"/>
        </w:rPr>
      </w:pPr>
      <w:r w:rsidRPr="002D2ED8">
        <w:rPr>
          <w:sz w:val="28"/>
          <w:szCs w:val="28"/>
        </w:rPr>
        <w:t xml:space="preserve">Регуляторный собственный капитал банков увеличился на </w:t>
      </w:r>
      <w:r w:rsidRPr="002D2ED8">
        <w:rPr>
          <w:b/>
          <w:sz w:val="28"/>
          <w:szCs w:val="28"/>
        </w:rPr>
        <w:t>11,8%</w:t>
      </w:r>
      <w:r w:rsidRPr="002D2ED8">
        <w:rPr>
          <w:sz w:val="28"/>
          <w:szCs w:val="28"/>
        </w:rPr>
        <w:t xml:space="preserve"> до </w:t>
      </w:r>
      <w:r w:rsidRPr="002D2ED8">
        <w:rPr>
          <w:b/>
          <w:sz w:val="28"/>
          <w:szCs w:val="28"/>
        </w:rPr>
        <w:t>5,9 трлн.</w:t>
      </w:r>
      <w:r w:rsidRPr="002D2ED8">
        <w:rPr>
          <w:sz w:val="28"/>
          <w:szCs w:val="28"/>
        </w:rPr>
        <w:t xml:space="preserve"> тенге за счет роста нераспределенной чистой прибыли на </w:t>
      </w:r>
      <w:r w:rsidRPr="002D2ED8">
        <w:rPr>
          <w:b/>
          <w:sz w:val="28"/>
          <w:szCs w:val="28"/>
        </w:rPr>
        <w:t>177 млрд.</w:t>
      </w:r>
      <w:r w:rsidRPr="002D2ED8">
        <w:rPr>
          <w:sz w:val="28"/>
          <w:szCs w:val="28"/>
        </w:rPr>
        <w:t xml:space="preserve"> тенге. Достаточность собственного капитала (k2) банков составляет </w:t>
      </w:r>
      <w:r w:rsidRPr="002D2ED8">
        <w:rPr>
          <w:b/>
          <w:sz w:val="28"/>
          <w:szCs w:val="28"/>
        </w:rPr>
        <w:t>21,7%</w:t>
      </w:r>
      <w:r w:rsidRPr="002D2ED8">
        <w:rPr>
          <w:sz w:val="28"/>
          <w:szCs w:val="28"/>
        </w:rPr>
        <w:t xml:space="preserve">, достаточность основного капитала (к1) – </w:t>
      </w:r>
      <w:r w:rsidRPr="002D2ED8">
        <w:rPr>
          <w:b/>
          <w:sz w:val="28"/>
          <w:szCs w:val="28"/>
        </w:rPr>
        <w:t>18,5%,</w:t>
      </w:r>
      <w:r w:rsidRPr="002D2ED8">
        <w:rPr>
          <w:sz w:val="28"/>
          <w:szCs w:val="28"/>
        </w:rPr>
        <w:t xml:space="preserve"> при этом излишек капитала с учетом буферов в абсолютном значении равен </w:t>
      </w:r>
      <w:r w:rsidRPr="002D2ED8">
        <w:rPr>
          <w:b/>
          <w:sz w:val="28"/>
          <w:szCs w:val="28"/>
        </w:rPr>
        <w:t>2,5 трлн.</w:t>
      </w:r>
      <w:r w:rsidRPr="002D2ED8">
        <w:rPr>
          <w:sz w:val="28"/>
          <w:szCs w:val="28"/>
        </w:rPr>
        <w:t xml:space="preserve"> тенге, что свидетельствует о запасе прочности банков к текущим рискам.</w:t>
      </w:r>
    </w:p>
    <w:p w14:paraId="053683CC" w14:textId="0D1001F6" w:rsidR="00311460" w:rsidRPr="002D2ED8" w:rsidRDefault="00311460" w:rsidP="00C01CE8">
      <w:pPr>
        <w:ind w:firstLine="709"/>
        <w:jc w:val="both"/>
        <w:rPr>
          <w:sz w:val="28"/>
          <w:szCs w:val="28"/>
        </w:rPr>
      </w:pPr>
      <w:r w:rsidRPr="002D2ED8">
        <w:rPr>
          <w:sz w:val="28"/>
          <w:szCs w:val="28"/>
        </w:rPr>
        <w:t xml:space="preserve">Коэффициент покрытия ликвидности (LCR) составляет </w:t>
      </w:r>
      <w:r w:rsidRPr="002D2ED8">
        <w:rPr>
          <w:b/>
          <w:sz w:val="28"/>
          <w:szCs w:val="28"/>
        </w:rPr>
        <w:t>202%</w:t>
      </w:r>
      <w:r w:rsidRPr="002D2ED8">
        <w:rPr>
          <w:sz w:val="28"/>
          <w:szCs w:val="28"/>
        </w:rPr>
        <w:t xml:space="preserve"> </w:t>
      </w:r>
      <w:r w:rsidRPr="002D2ED8">
        <w:rPr>
          <w:sz w:val="28"/>
          <w:szCs w:val="28"/>
        </w:rPr>
        <w:br/>
        <w:t xml:space="preserve">и отражает достаточный запас ликвидности для покрытия оттоков. Коэффициент </w:t>
      </w:r>
      <w:r w:rsidRPr="002D2ED8">
        <w:rPr>
          <w:sz w:val="28"/>
          <w:szCs w:val="28"/>
        </w:rPr>
        <w:lastRenderedPageBreak/>
        <w:t xml:space="preserve">нетто стабильного фондирования (NSFR) составляет </w:t>
      </w:r>
      <w:r w:rsidRPr="002D2ED8">
        <w:rPr>
          <w:b/>
          <w:sz w:val="28"/>
          <w:szCs w:val="28"/>
        </w:rPr>
        <w:t>145%</w:t>
      </w:r>
      <w:r w:rsidRPr="002D2ED8">
        <w:rPr>
          <w:sz w:val="28"/>
          <w:szCs w:val="28"/>
        </w:rPr>
        <w:t xml:space="preserve"> и отражает достаточный уровень активов для покрытия обязательств.</w:t>
      </w:r>
    </w:p>
    <w:p w14:paraId="77204D34" w14:textId="402F67A9" w:rsidR="008E27FF" w:rsidRPr="002D2ED8" w:rsidRDefault="008A0518" w:rsidP="008E27FF">
      <w:pPr>
        <w:autoSpaceDE w:val="0"/>
        <w:autoSpaceDN w:val="0"/>
        <w:adjustRightInd w:val="0"/>
        <w:ind w:firstLine="709"/>
        <w:jc w:val="both"/>
        <w:rPr>
          <w:i/>
          <w:iCs/>
          <w:strike/>
          <w:color w:val="000000"/>
          <w:sz w:val="28"/>
          <w:szCs w:val="28"/>
        </w:rPr>
      </w:pPr>
      <w:r w:rsidRPr="002D2ED8">
        <w:rPr>
          <w:sz w:val="28"/>
          <w:szCs w:val="28"/>
        </w:rPr>
        <w:t>К</w:t>
      </w:r>
      <w:r w:rsidR="008E27FF" w:rsidRPr="002D2ED8">
        <w:rPr>
          <w:sz w:val="28"/>
          <w:szCs w:val="28"/>
        </w:rPr>
        <w:t xml:space="preserve">редитный портфель банков составил </w:t>
      </w:r>
      <w:r w:rsidR="008E27FF" w:rsidRPr="002D2ED8">
        <w:rPr>
          <w:b/>
          <w:bCs/>
          <w:sz w:val="28"/>
          <w:szCs w:val="28"/>
        </w:rPr>
        <w:t>24,3 трлн.</w:t>
      </w:r>
      <w:r w:rsidR="008E27FF" w:rsidRPr="002D2ED8">
        <w:rPr>
          <w:sz w:val="28"/>
          <w:szCs w:val="28"/>
        </w:rPr>
        <w:t xml:space="preserve"> тенге или </w:t>
      </w:r>
      <w:r w:rsidR="008E27FF" w:rsidRPr="002D2ED8">
        <w:rPr>
          <w:b/>
          <w:bCs/>
          <w:sz w:val="28"/>
          <w:szCs w:val="28"/>
        </w:rPr>
        <w:t>54,4%</w:t>
      </w:r>
      <w:r w:rsidR="008E27FF" w:rsidRPr="002D2ED8">
        <w:rPr>
          <w:sz w:val="28"/>
          <w:szCs w:val="28"/>
        </w:rPr>
        <w:t xml:space="preserve"> от совокупных активов, увеличившись за год на </w:t>
      </w:r>
      <w:r w:rsidR="008E27FF" w:rsidRPr="002D2ED8">
        <w:rPr>
          <w:b/>
          <w:bCs/>
          <w:sz w:val="28"/>
          <w:szCs w:val="28"/>
        </w:rPr>
        <w:t>4,1 трлн.</w:t>
      </w:r>
      <w:r w:rsidR="008E27FF" w:rsidRPr="002D2ED8">
        <w:rPr>
          <w:sz w:val="28"/>
          <w:szCs w:val="28"/>
        </w:rPr>
        <w:t xml:space="preserve"> тенге или </w:t>
      </w:r>
      <w:r w:rsidR="008E27FF" w:rsidRPr="002D2ED8">
        <w:rPr>
          <w:b/>
          <w:bCs/>
          <w:sz w:val="28"/>
          <w:szCs w:val="28"/>
        </w:rPr>
        <w:t>20,1%</w:t>
      </w:r>
      <w:r w:rsidR="008E27FF" w:rsidRPr="002D2ED8">
        <w:rPr>
          <w:sz w:val="28"/>
          <w:szCs w:val="28"/>
        </w:rPr>
        <w:t xml:space="preserve">.  </w:t>
      </w:r>
    </w:p>
    <w:p w14:paraId="2D3EB170" w14:textId="77777777" w:rsidR="008E27FF" w:rsidRPr="002D2ED8" w:rsidRDefault="008E27FF" w:rsidP="008E27FF">
      <w:pPr>
        <w:autoSpaceDE w:val="0"/>
        <w:autoSpaceDN w:val="0"/>
        <w:adjustRightInd w:val="0"/>
        <w:ind w:firstLine="709"/>
        <w:jc w:val="both"/>
        <w:rPr>
          <w:color w:val="000000"/>
          <w:sz w:val="28"/>
          <w:szCs w:val="28"/>
        </w:rPr>
      </w:pPr>
      <w:r w:rsidRPr="002D2ED8">
        <w:rPr>
          <w:sz w:val="28"/>
          <w:szCs w:val="28"/>
        </w:rPr>
        <w:t xml:space="preserve">Займы юридических лиц увеличились на </w:t>
      </w:r>
      <w:r w:rsidRPr="002D2ED8">
        <w:rPr>
          <w:b/>
          <w:bCs/>
          <w:sz w:val="28"/>
          <w:szCs w:val="28"/>
        </w:rPr>
        <w:t>0,9 трлн.</w:t>
      </w:r>
      <w:r w:rsidRPr="002D2ED8">
        <w:rPr>
          <w:sz w:val="28"/>
          <w:szCs w:val="28"/>
        </w:rPr>
        <w:t xml:space="preserve"> тенге или </w:t>
      </w:r>
      <w:r w:rsidRPr="002D2ED8">
        <w:rPr>
          <w:b/>
          <w:bCs/>
          <w:sz w:val="28"/>
          <w:szCs w:val="28"/>
        </w:rPr>
        <w:t>11,5%</w:t>
      </w:r>
      <w:r w:rsidRPr="002D2ED8">
        <w:rPr>
          <w:sz w:val="28"/>
          <w:szCs w:val="28"/>
        </w:rPr>
        <w:t>,</w:t>
      </w:r>
      <w:r w:rsidRPr="002D2ED8">
        <w:rPr>
          <w:color w:val="FF0000"/>
          <w:sz w:val="28"/>
          <w:szCs w:val="28"/>
        </w:rPr>
        <w:t xml:space="preserve"> </w:t>
      </w:r>
      <w:r w:rsidRPr="002D2ED8">
        <w:rPr>
          <w:color w:val="000000"/>
          <w:sz w:val="28"/>
          <w:szCs w:val="28"/>
        </w:rPr>
        <w:t xml:space="preserve">займы физических лиц выросли на </w:t>
      </w:r>
      <w:r w:rsidRPr="002D2ED8">
        <w:rPr>
          <w:b/>
          <w:bCs/>
          <w:color w:val="000000"/>
          <w:sz w:val="28"/>
          <w:szCs w:val="28"/>
        </w:rPr>
        <w:t>3,4 трлн.</w:t>
      </w:r>
      <w:r w:rsidRPr="002D2ED8">
        <w:rPr>
          <w:color w:val="000000"/>
          <w:sz w:val="28"/>
          <w:szCs w:val="28"/>
        </w:rPr>
        <w:t xml:space="preserve"> тенге или </w:t>
      </w:r>
      <w:r w:rsidRPr="002D2ED8">
        <w:rPr>
          <w:b/>
          <w:bCs/>
          <w:color w:val="000000"/>
          <w:sz w:val="28"/>
          <w:szCs w:val="28"/>
        </w:rPr>
        <w:t>31,8%</w:t>
      </w:r>
      <w:r w:rsidRPr="002D2ED8">
        <w:rPr>
          <w:color w:val="000000"/>
          <w:sz w:val="28"/>
          <w:szCs w:val="28"/>
        </w:rPr>
        <w:t xml:space="preserve">, в том числе за счет потребительского кредитования населения на </w:t>
      </w:r>
      <w:r w:rsidRPr="002D2ED8">
        <w:rPr>
          <w:b/>
          <w:bCs/>
          <w:color w:val="000000"/>
          <w:sz w:val="28"/>
          <w:szCs w:val="28"/>
        </w:rPr>
        <w:t>1,6 трлн</w:t>
      </w:r>
      <w:r w:rsidRPr="002D2ED8">
        <w:rPr>
          <w:color w:val="000000"/>
          <w:sz w:val="28"/>
          <w:szCs w:val="28"/>
        </w:rPr>
        <w:t xml:space="preserve">. тенге и ипотечных займов на </w:t>
      </w:r>
      <w:r w:rsidRPr="002D2ED8">
        <w:rPr>
          <w:b/>
          <w:bCs/>
          <w:color w:val="000000"/>
          <w:sz w:val="28"/>
          <w:szCs w:val="28"/>
        </w:rPr>
        <w:t>1,4 трлн.</w:t>
      </w:r>
      <w:r w:rsidRPr="002D2ED8">
        <w:rPr>
          <w:color w:val="000000"/>
          <w:sz w:val="28"/>
          <w:szCs w:val="28"/>
        </w:rPr>
        <w:t xml:space="preserve"> тенге.</w:t>
      </w:r>
    </w:p>
    <w:p w14:paraId="67296715" w14:textId="74CCCEE3" w:rsidR="00311460" w:rsidRPr="002D2ED8" w:rsidRDefault="00311460" w:rsidP="00C01CE8">
      <w:pPr>
        <w:ind w:firstLine="709"/>
        <w:jc w:val="both"/>
        <w:rPr>
          <w:sz w:val="28"/>
          <w:szCs w:val="28"/>
        </w:rPr>
      </w:pPr>
      <w:r w:rsidRPr="002D2ED8">
        <w:rPr>
          <w:sz w:val="28"/>
          <w:szCs w:val="28"/>
        </w:rPr>
        <w:t xml:space="preserve">Доля </w:t>
      </w:r>
      <w:r w:rsidR="00AF0CCF" w:rsidRPr="002D2ED8">
        <w:rPr>
          <w:sz w:val="28"/>
          <w:szCs w:val="28"/>
        </w:rPr>
        <w:t>неработающих</w:t>
      </w:r>
      <w:r w:rsidRPr="002D2ED8">
        <w:rPr>
          <w:sz w:val="28"/>
          <w:szCs w:val="28"/>
        </w:rPr>
        <w:t xml:space="preserve"> займов NPL в ссудном портфеле выросла несущественно с </w:t>
      </w:r>
      <w:r w:rsidRPr="002D2ED8">
        <w:rPr>
          <w:b/>
          <w:sz w:val="28"/>
          <w:szCs w:val="28"/>
        </w:rPr>
        <w:t>3,3%</w:t>
      </w:r>
      <w:r w:rsidRPr="002D2ED8">
        <w:rPr>
          <w:sz w:val="28"/>
          <w:szCs w:val="28"/>
        </w:rPr>
        <w:t xml:space="preserve"> до </w:t>
      </w:r>
      <w:r w:rsidRPr="002D2ED8">
        <w:rPr>
          <w:b/>
          <w:sz w:val="28"/>
          <w:szCs w:val="28"/>
        </w:rPr>
        <w:t>3,4%</w:t>
      </w:r>
      <w:r w:rsidRPr="002D2ED8">
        <w:rPr>
          <w:sz w:val="28"/>
          <w:szCs w:val="28"/>
        </w:rPr>
        <w:t xml:space="preserve"> за счет увеличения неработающих займов физических лиц.</w:t>
      </w:r>
    </w:p>
    <w:p w14:paraId="3A6471E3" w14:textId="30745958" w:rsidR="00311460" w:rsidRPr="002D2ED8" w:rsidRDefault="00311460" w:rsidP="00C01CE8">
      <w:pPr>
        <w:ind w:firstLine="709"/>
        <w:jc w:val="both"/>
        <w:rPr>
          <w:b/>
          <w:sz w:val="28"/>
          <w:szCs w:val="28"/>
        </w:rPr>
      </w:pPr>
      <w:r w:rsidRPr="002D2ED8">
        <w:rPr>
          <w:sz w:val="28"/>
          <w:szCs w:val="28"/>
        </w:rPr>
        <w:t xml:space="preserve">Провизии, сформированные по займам NPL, составили </w:t>
      </w:r>
      <w:r w:rsidRPr="002D2ED8">
        <w:rPr>
          <w:b/>
          <w:sz w:val="28"/>
          <w:szCs w:val="28"/>
        </w:rPr>
        <w:t>626 млрд.</w:t>
      </w:r>
      <w:r w:rsidRPr="002D2ED8">
        <w:rPr>
          <w:sz w:val="28"/>
          <w:szCs w:val="28"/>
        </w:rPr>
        <w:t xml:space="preserve"> тенге и покрывают займы NPL на </w:t>
      </w:r>
      <w:r w:rsidRPr="002D2ED8">
        <w:rPr>
          <w:b/>
          <w:sz w:val="28"/>
          <w:szCs w:val="28"/>
        </w:rPr>
        <w:t>76,9%.</w:t>
      </w:r>
      <w:r w:rsidRPr="002D2ED8">
        <w:rPr>
          <w:sz w:val="28"/>
          <w:szCs w:val="28"/>
        </w:rPr>
        <w:t xml:space="preserve"> В течение года коэффициент покрытия провизиями увеличился на </w:t>
      </w:r>
      <w:r w:rsidRPr="002D2ED8">
        <w:rPr>
          <w:b/>
          <w:sz w:val="28"/>
          <w:szCs w:val="28"/>
        </w:rPr>
        <w:t xml:space="preserve">3,0 </w:t>
      </w:r>
      <w:proofErr w:type="spellStart"/>
      <w:r w:rsidRPr="002D2ED8">
        <w:rPr>
          <w:b/>
          <w:sz w:val="28"/>
          <w:szCs w:val="28"/>
        </w:rPr>
        <w:t>п.п</w:t>
      </w:r>
      <w:proofErr w:type="spellEnd"/>
      <w:r w:rsidRPr="002D2ED8">
        <w:rPr>
          <w:b/>
          <w:sz w:val="28"/>
          <w:szCs w:val="28"/>
        </w:rPr>
        <w:t>.</w:t>
      </w:r>
    </w:p>
    <w:p w14:paraId="2895E1EB" w14:textId="3752E102" w:rsidR="00DC7D1C" w:rsidRPr="002D2ED8" w:rsidRDefault="00DC7D1C" w:rsidP="00DC7D1C">
      <w:pPr>
        <w:ind w:firstLine="709"/>
        <w:jc w:val="both"/>
        <w:rPr>
          <w:color w:val="000000"/>
          <w:sz w:val="28"/>
          <w:szCs w:val="28"/>
          <w:shd w:val="clear" w:color="auto" w:fill="FFFFFF"/>
        </w:rPr>
      </w:pPr>
      <w:r w:rsidRPr="002D2ED8">
        <w:rPr>
          <w:color w:val="000000"/>
          <w:sz w:val="28"/>
          <w:szCs w:val="28"/>
          <w:shd w:val="clear" w:color="auto" w:fill="FFFFFF"/>
        </w:rPr>
        <w:t xml:space="preserve">В целях стимулирования кредитования </w:t>
      </w:r>
      <w:r w:rsidR="00004C6B" w:rsidRPr="002D2ED8">
        <w:rPr>
          <w:color w:val="000000"/>
          <w:sz w:val="28"/>
          <w:szCs w:val="28"/>
          <w:shd w:val="clear" w:color="auto" w:fill="FFFFFF"/>
        </w:rPr>
        <w:t xml:space="preserve">Правлением </w:t>
      </w:r>
      <w:r w:rsidRPr="002D2ED8">
        <w:rPr>
          <w:color w:val="000000"/>
          <w:sz w:val="28"/>
          <w:szCs w:val="28"/>
          <w:shd w:val="clear" w:color="auto" w:fill="FFFFFF"/>
        </w:rPr>
        <w:t>Агентств</w:t>
      </w:r>
      <w:r w:rsidR="00004C6B" w:rsidRPr="002D2ED8">
        <w:rPr>
          <w:color w:val="000000"/>
          <w:sz w:val="28"/>
          <w:szCs w:val="28"/>
          <w:shd w:val="clear" w:color="auto" w:fill="FFFFFF"/>
        </w:rPr>
        <w:t>а</w:t>
      </w:r>
      <w:r w:rsidRPr="002D2ED8">
        <w:rPr>
          <w:color w:val="000000"/>
          <w:sz w:val="28"/>
          <w:szCs w:val="28"/>
          <w:shd w:val="clear" w:color="auto" w:fill="FFFFFF"/>
        </w:rPr>
        <w:t xml:space="preserve"> в 2022 году было </w:t>
      </w:r>
      <w:r w:rsidR="00004C6B" w:rsidRPr="002D2ED8">
        <w:rPr>
          <w:color w:val="000000"/>
          <w:sz w:val="28"/>
          <w:szCs w:val="28"/>
          <w:shd w:val="clear" w:color="auto" w:fill="FFFFFF"/>
        </w:rPr>
        <w:t>одобрено</w:t>
      </w:r>
      <w:r w:rsidRPr="002D2ED8">
        <w:rPr>
          <w:color w:val="000000"/>
          <w:sz w:val="28"/>
          <w:szCs w:val="28"/>
          <w:shd w:val="clear" w:color="auto" w:fill="FFFFFF"/>
        </w:rPr>
        <w:t>:</w:t>
      </w:r>
    </w:p>
    <w:p w14:paraId="7D24759A" w14:textId="77777777" w:rsidR="00DC7D1C" w:rsidRPr="002D2ED8" w:rsidRDefault="00DC7D1C" w:rsidP="00DC7D1C">
      <w:pPr>
        <w:ind w:firstLine="709"/>
        <w:jc w:val="both"/>
        <w:rPr>
          <w:sz w:val="28"/>
          <w:szCs w:val="28"/>
        </w:rPr>
      </w:pPr>
      <w:r w:rsidRPr="002D2ED8">
        <w:rPr>
          <w:sz w:val="28"/>
          <w:szCs w:val="28"/>
        </w:rPr>
        <w:t xml:space="preserve">- сохранение до </w:t>
      </w:r>
      <w:bookmarkStart w:id="10" w:name="_Hlk103975862"/>
      <w:r w:rsidRPr="002D2ED8">
        <w:rPr>
          <w:color w:val="000000"/>
          <w:sz w:val="28"/>
          <w:szCs w:val="28"/>
        </w:rPr>
        <w:t xml:space="preserve">1 января 2024 </w:t>
      </w:r>
      <w:proofErr w:type="gramStart"/>
      <w:r w:rsidRPr="002D2ED8">
        <w:rPr>
          <w:color w:val="000000"/>
          <w:sz w:val="28"/>
          <w:szCs w:val="28"/>
        </w:rPr>
        <w:t>года</w:t>
      </w:r>
      <w:proofErr w:type="gramEnd"/>
      <w:r w:rsidRPr="002D2ED8">
        <w:rPr>
          <w:sz w:val="28"/>
          <w:szCs w:val="28"/>
        </w:rPr>
        <w:t xml:space="preserve"> пониженного риск-взвешивания по займам МСБ</w:t>
      </w:r>
      <w:bookmarkEnd w:id="10"/>
      <w:r w:rsidRPr="002D2ED8">
        <w:rPr>
          <w:sz w:val="28"/>
          <w:szCs w:val="28"/>
        </w:rPr>
        <w:t>;</w:t>
      </w:r>
    </w:p>
    <w:p w14:paraId="7AC09931" w14:textId="70153357" w:rsidR="00DC7D1C" w:rsidRPr="002D2ED8" w:rsidRDefault="00DC7D1C" w:rsidP="00DC7D1C">
      <w:pPr>
        <w:tabs>
          <w:tab w:val="left" w:pos="6521"/>
        </w:tabs>
        <w:autoSpaceDE w:val="0"/>
        <w:autoSpaceDN w:val="0"/>
        <w:adjustRightInd w:val="0"/>
        <w:ind w:firstLine="709"/>
        <w:jc w:val="both"/>
        <w:rPr>
          <w:color w:val="000000"/>
          <w:sz w:val="28"/>
          <w:szCs w:val="28"/>
        </w:rPr>
      </w:pPr>
      <w:r w:rsidRPr="002D2ED8">
        <w:rPr>
          <w:color w:val="000000"/>
          <w:sz w:val="28"/>
          <w:szCs w:val="28"/>
        </w:rPr>
        <w:t xml:space="preserve">- снижение </w:t>
      </w:r>
      <w:r w:rsidRPr="002D2ED8">
        <w:rPr>
          <w:sz w:val="28"/>
          <w:szCs w:val="28"/>
        </w:rPr>
        <w:t xml:space="preserve">до </w:t>
      </w:r>
      <w:r w:rsidRPr="002D2ED8">
        <w:rPr>
          <w:color w:val="000000"/>
          <w:sz w:val="28"/>
          <w:szCs w:val="28"/>
        </w:rPr>
        <w:t xml:space="preserve">1 января 2024 года </w:t>
      </w:r>
      <w:r w:rsidRPr="002D2ED8">
        <w:rPr>
          <w:sz w:val="28"/>
          <w:szCs w:val="28"/>
        </w:rPr>
        <w:t xml:space="preserve">риск-взвешивания по </w:t>
      </w:r>
      <w:r w:rsidRPr="002D2ED8">
        <w:rPr>
          <w:color w:val="000000"/>
          <w:sz w:val="28"/>
          <w:szCs w:val="28"/>
        </w:rPr>
        <w:t>синдицированным займам</w:t>
      </w:r>
      <w:r w:rsidR="00AF77C7" w:rsidRPr="002D2ED8">
        <w:rPr>
          <w:color w:val="000000"/>
          <w:sz w:val="28"/>
          <w:szCs w:val="28"/>
        </w:rPr>
        <w:t>;</w:t>
      </w:r>
    </w:p>
    <w:p w14:paraId="4F7649DB" w14:textId="77777777" w:rsidR="00AF77C7" w:rsidRPr="002D2ED8" w:rsidRDefault="00AF77C7" w:rsidP="00AF77C7">
      <w:pPr>
        <w:tabs>
          <w:tab w:val="left" w:pos="6521"/>
        </w:tabs>
        <w:autoSpaceDE w:val="0"/>
        <w:autoSpaceDN w:val="0"/>
        <w:adjustRightInd w:val="0"/>
        <w:ind w:firstLine="709"/>
        <w:jc w:val="both"/>
        <w:rPr>
          <w:color w:val="000000"/>
          <w:sz w:val="28"/>
          <w:szCs w:val="28"/>
        </w:rPr>
      </w:pPr>
      <w:r w:rsidRPr="002D2ED8">
        <w:rPr>
          <w:color w:val="000000"/>
          <w:sz w:val="28"/>
          <w:szCs w:val="28"/>
        </w:rPr>
        <w:t>- повышение порога размера риска банка на одного заемщика при объединении заемщиков в одну группу связанных заемщиков для расчета максимального размера риска на одного заемщика (</w:t>
      </w:r>
      <w:r w:rsidRPr="002D2ED8">
        <w:rPr>
          <w:color w:val="000000"/>
          <w:sz w:val="28"/>
          <w:szCs w:val="28"/>
          <w:lang w:val="en-US"/>
        </w:rPr>
        <w:t>k</w:t>
      </w:r>
      <w:r w:rsidRPr="002D2ED8">
        <w:rPr>
          <w:color w:val="000000"/>
          <w:sz w:val="28"/>
          <w:szCs w:val="28"/>
        </w:rPr>
        <w:t>3) при наличии признаков связанности;</w:t>
      </w:r>
    </w:p>
    <w:p w14:paraId="07FC4096" w14:textId="042973A0" w:rsidR="00AF77C7" w:rsidRPr="002D2ED8" w:rsidRDefault="00AF77C7" w:rsidP="00AF77C7">
      <w:pPr>
        <w:tabs>
          <w:tab w:val="left" w:pos="6521"/>
        </w:tabs>
        <w:autoSpaceDE w:val="0"/>
        <w:autoSpaceDN w:val="0"/>
        <w:adjustRightInd w:val="0"/>
        <w:ind w:firstLine="709"/>
        <w:jc w:val="both"/>
        <w:rPr>
          <w:color w:val="000000"/>
          <w:sz w:val="28"/>
          <w:szCs w:val="28"/>
        </w:rPr>
      </w:pPr>
      <w:r w:rsidRPr="002D2ED8">
        <w:rPr>
          <w:color w:val="000000"/>
          <w:sz w:val="28"/>
          <w:szCs w:val="28"/>
        </w:rPr>
        <w:t xml:space="preserve">- неприменение критерия о договоре совместной деятельности в отношении членов консорциума для объединения заемщиков в группу связанных заемщиков для целей расчета </w:t>
      </w:r>
      <w:r w:rsidRPr="002D2ED8">
        <w:rPr>
          <w:color w:val="000000"/>
          <w:sz w:val="28"/>
          <w:szCs w:val="28"/>
          <w:lang w:val="en-US"/>
        </w:rPr>
        <w:t>k</w:t>
      </w:r>
      <w:r w:rsidRPr="002D2ED8">
        <w:rPr>
          <w:color w:val="000000"/>
          <w:sz w:val="28"/>
          <w:szCs w:val="28"/>
        </w:rPr>
        <w:t>3.</w:t>
      </w:r>
    </w:p>
    <w:p w14:paraId="4B01B521" w14:textId="1B8E9E5D" w:rsidR="00641700" w:rsidRPr="002D2ED8" w:rsidRDefault="00641700" w:rsidP="00C01CE8">
      <w:pPr>
        <w:autoSpaceDE w:val="0"/>
        <w:autoSpaceDN w:val="0"/>
        <w:adjustRightInd w:val="0"/>
        <w:ind w:firstLine="709"/>
        <w:jc w:val="both"/>
        <w:rPr>
          <w:color w:val="000000" w:themeColor="text1"/>
          <w:sz w:val="28"/>
          <w:szCs w:val="28"/>
        </w:rPr>
      </w:pPr>
    </w:p>
    <w:p w14:paraId="50042F64" w14:textId="4CFE9CC1" w:rsidR="00EA3ECB" w:rsidRPr="002D2ED8" w:rsidRDefault="00EA3ECB" w:rsidP="00421D50">
      <w:pPr>
        <w:pStyle w:val="2"/>
        <w:numPr>
          <w:ilvl w:val="1"/>
          <w:numId w:val="7"/>
        </w:numPr>
        <w:spacing w:before="0" w:after="0"/>
        <w:ind w:left="0" w:firstLine="709"/>
        <w:jc w:val="both"/>
        <w:rPr>
          <w:rFonts w:ascii="Times New Roman" w:eastAsia="Calibri" w:hAnsi="Times New Roman" w:cs="Times New Roman"/>
          <w:i w:val="0"/>
          <w:color w:val="000000" w:themeColor="text1"/>
          <w:lang w:eastAsia="en-US"/>
        </w:rPr>
      </w:pPr>
      <w:bookmarkStart w:id="11" w:name="_Toc126511012"/>
      <w:bookmarkStart w:id="12" w:name="_Toc126511151"/>
      <w:bookmarkStart w:id="13" w:name="_Toc127966704"/>
      <w:r w:rsidRPr="002D2ED8">
        <w:rPr>
          <w:rFonts w:ascii="Times New Roman" w:eastAsia="Calibri" w:hAnsi="Times New Roman" w:cs="Times New Roman"/>
          <w:i w:val="0"/>
          <w:color w:val="000000" w:themeColor="text1"/>
          <w:lang w:eastAsia="en-US"/>
        </w:rPr>
        <w:t>Регулирование в условиях санкционного режима</w:t>
      </w:r>
      <w:bookmarkEnd w:id="11"/>
      <w:bookmarkEnd w:id="12"/>
      <w:bookmarkEnd w:id="13"/>
    </w:p>
    <w:p w14:paraId="6EAC48D3" w14:textId="2148DF88" w:rsidR="001B1BA5" w:rsidRPr="002D2ED8" w:rsidRDefault="001B1BA5" w:rsidP="00910F6A">
      <w:pPr>
        <w:ind w:firstLine="708"/>
        <w:jc w:val="both"/>
        <w:rPr>
          <w:sz w:val="28"/>
          <w:szCs w:val="28"/>
        </w:rPr>
      </w:pPr>
      <w:r w:rsidRPr="002D2ED8">
        <w:rPr>
          <w:sz w:val="28"/>
          <w:szCs w:val="28"/>
        </w:rPr>
        <w:t xml:space="preserve">В условиях </w:t>
      </w:r>
      <w:r w:rsidR="00E25526" w:rsidRPr="002D2ED8">
        <w:rPr>
          <w:sz w:val="28"/>
          <w:szCs w:val="28"/>
        </w:rPr>
        <w:t xml:space="preserve">введения </w:t>
      </w:r>
      <w:r w:rsidRPr="002D2ED8">
        <w:rPr>
          <w:sz w:val="28"/>
          <w:szCs w:val="28"/>
        </w:rPr>
        <w:t>санкци</w:t>
      </w:r>
      <w:r w:rsidR="00E25526" w:rsidRPr="002D2ED8">
        <w:rPr>
          <w:sz w:val="28"/>
          <w:szCs w:val="28"/>
        </w:rPr>
        <w:t>й в отношении российских финансовых организаций и обострения геополитической ситуации в мире</w:t>
      </w:r>
      <w:r w:rsidRPr="002D2ED8">
        <w:rPr>
          <w:sz w:val="28"/>
          <w:szCs w:val="28"/>
        </w:rPr>
        <w:t>, основной задачей Агентства было</w:t>
      </w:r>
      <w:r w:rsidR="00E25526" w:rsidRPr="002D2ED8">
        <w:rPr>
          <w:sz w:val="28"/>
          <w:szCs w:val="28"/>
        </w:rPr>
        <w:t xml:space="preserve"> сохранение стабильности в банковском секторе Казахстана </w:t>
      </w:r>
      <w:r w:rsidRPr="002D2ED8">
        <w:rPr>
          <w:sz w:val="28"/>
          <w:szCs w:val="28"/>
        </w:rPr>
        <w:t xml:space="preserve">в целях защиты </w:t>
      </w:r>
      <w:r w:rsidR="00862282" w:rsidRPr="002D2ED8">
        <w:rPr>
          <w:sz w:val="28"/>
          <w:szCs w:val="28"/>
        </w:rPr>
        <w:t>интересов депозиторов и кредиторов</w:t>
      </w:r>
      <w:r w:rsidR="00E678EC" w:rsidRPr="002D2ED8">
        <w:rPr>
          <w:sz w:val="28"/>
          <w:szCs w:val="28"/>
        </w:rPr>
        <w:t xml:space="preserve"> банков</w:t>
      </w:r>
      <w:r w:rsidR="00E91807" w:rsidRPr="002D2ED8">
        <w:rPr>
          <w:sz w:val="28"/>
          <w:szCs w:val="28"/>
        </w:rPr>
        <w:t>,</w:t>
      </w:r>
      <w:r w:rsidR="00E25526" w:rsidRPr="002D2ED8">
        <w:rPr>
          <w:sz w:val="28"/>
          <w:szCs w:val="28"/>
        </w:rPr>
        <w:t xml:space="preserve"> обеспечения бесперебойности </w:t>
      </w:r>
      <w:r w:rsidR="00E678EC" w:rsidRPr="002D2ED8">
        <w:rPr>
          <w:sz w:val="28"/>
          <w:szCs w:val="28"/>
        </w:rPr>
        <w:t>взаиморасчетов</w:t>
      </w:r>
      <w:r w:rsidR="004A1B9F" w:rsidRPr="002D2ED8">
        <w:rPr>
          <w:sz w:val="28"/>
          <w:szCs w:val="28"/>
        </w:rPr>
        <w:t xml:space="preserve"> между участниками</w:t>
      </w:r>
      <w:r w:rsidRPr="002D2ED8">
        <w:rPr>
          <w:sz w:val="28"/>
          <w:szCs w:val="28"/>
        </w:rPr>
        <w:t xml:space="preserve"> торговых отношений Казахстана и Росси</w:t>
      </w:r>
      <w:r w:rsidR="00DD7B72" w:rsidRPr="002D2ED8">
        <w:rPr>
          <w:sz w:val="28"/>
          <w:szCs w:val="28"/>
        </w:rPr>
        <w:t>йской Федерации</w:t>
      </w:r>
      <w:r w:rsidR="006B5033" w:rsidRPr="002D2ED8">
        <w:rPr>
          <w:sz w:val="28"/>
          <w:szCs w:val="28"/>
        </w:rPr>
        <w:t xml:space="preserve"> </w:t>
      </w:r>
      <w:r w:rsidR="00EA4C2C" w:rsidRPr="002D2ED8">
        <w:rPr>
          <w:sz w:val="28"/>
          <w:szCs w:val="28"/>
        </w:rPr>
        <w:t xml:space="preserve">и </w:t>
      </w:r>
      <w:r w:rsidR="001C3373" w:rsidRPr="002D2ED8">
        <w:rPr>
          <w:sz w:val="28"/>
          <w:szCs w:val="28"/>
        </w:rPr>
        <w:t>минимизаци</w:t>
      </w:r>
      <w:r w:rsidR="00EA4C2C" w:rsidRPr="002D2ED8">
        <w:rPr>
          <w:sz w:val="28"/>
          <w:szCs w:val="28"/>
        </w:rPr>
        <w:t>я</w:t>
      </w:r>
      <w:r w:rsidR="001C3373" w:rsidRPr="002D2ED8">
        <w:rPr>
          <w:sz w:val="28"/>
          <w:szCs w:val="28"/>
        </w:rPr>
        <w:t xml:space="preserve"> рисков наложения вторичных санкций на казахстанские банки.</w:t>
      </w:r>
    </w:p>
    <w:p w14:paraId="6F65F8FC" w14:textId="3615629B" w:rsidR="00B60B2C" w:rsidRPr="002D2ED8" w:rsidRDefault="00B60B2C" w:rsidP="00B60B2C">
      <w:pPr>
        <w:ind w:firstLine="709"/>
        <w:jc w:val="both"/>
        <w:rPr>
          <w:color w:val="000000"/>
          <w:sz w:val="28"/>
          <w:szCs w:val="28"/>
          <w:shd w:val="clear" w:color="auto" w:fill="FFFFFF"/>
        </w:rPr>
      </w:pPr>
      <w:r w:rsidRPr="002D2ED8">
        <w:rPr>
          <w:color w:val="000000"/>
          <w:sz w:val="28"/>
          <w:szCs w:val="28"/>
          <w:shd w:val="clear" w:color="auto" w:fill="FFFFFF"/>
        </w:rPr>
        <w:t xml:space="preserve">В целях выполнения банками </w:t>
      </w:r>
      <w:proofErr w:type="spellStart"/>
      <w:r w:rsidRPr="002D2ED8">
        <w:rPr>
          <w:color w:val="000000"/>
          <w:sz w:val="28"/>
          <w:szCs w:val="28"/>
          <w:shd w:val="clear" w:color="auto" w:fill="FFFFFF"/>
        </w:rPr>
        <w:t>пруденциальных</w:t>
      </w:r>
      <w:proofErr w:type="spellEnd"/>
      <w:r w:rsidRPr="002D2ED8">
        <w:rPr>
          <w:color w:val="000000"/>
          <w:sz w:val="28"/>
          <w:szCs w:val="28"/>
          <w:shd w:val="clear" w:color="auto" w:fill="FFFFFF"/>
        </w:rPr>
        <w:t xml:space="preserve"> нормативов Правлением Агентства </w:t>
      </w:r>
      <w:r w:rsidR="006672A9" w:rsidRPr="002D2ED8">
        <w:rPr>
          <w:color w:val="000000"/>
          <w:sz w:val="28"/>
          <w:szCs w:val="28"/>
          <w:shd w:val="clear" w:color="auto" w:fill="FFFFFF"/>
        </w:rPr>
        <w:t xml:space="preserve">в течение 2022 года </w:t>
      </w:r>
      <w:r w:rsidRPr="002D2ED8">
        <w:rPr>
          <w:color w:val="000000"/>
          <w:sz w:val="28"/>
          <w:szCs w:val="28"/>
          <w:shd w:val="clear" w:color="auto" w:fill="FFFFFF"/>
        </w:rPr>
        <w:t xml:space="preserve">были одобрены временные </w:t>
      </w:r>
      <w:proofErr w:type="spellStart"/>
      <w:r w:rsidRPr="002D2ED8">
        <w:rPr>
          <w:color w:val="000000"/>
          <w:sz w:val="28"/>
          <w:szCs w:val="28"/>
          <w:shd w:val="clear" w:color="auto" w:fill="FFFFFF"/>
        </w:rPr>
        <w:t>пруденциальные</w:t>
      </w:r>
      <w:proofErr w:type="spellEnd"/>
      <w:r w:rsidRPr="002D2ED8">
        <w:rPr>
          <w:color w:val="000000"/>
          <w:sz w:val="28"/>
          <w:szCs w:val="28"/>
          <w:shd w:val="clear" w:color="auto" w:fill="FFFFFF"/>
        </w:rPr>
        <w:t xml:space="preserve"> послабления:</w:t>
      </w:r>
    </w:p>
    <w:p w14:paraId="6297E4BE" w14:textId="08429E43" w:rsidR="00DC7D94" w:rsidRPr="002D2ED8" w:rsidRDefault="00B60B2C" w:rsidP="00DC7D94">
      <w:pPr>
        <w:tabs>
          <w:tab w:val="left" w:pos="6521"/>
        </w:tabs>
        <w:autoSpaceDE w:val="0"/>
        <w:autoSpaceDN w:val="0"/>
        <w:adjustRightInd w:val="0"/>
        <w:ind w:firstLine="709"/>
        <w:jc w:val="both"/>
        <w:rPr>
          <w:color w:val="000000"/>
          <w:sz w:val="28"/>
          <w:szCs w:val="28"/>
        </w:rPr>
      </w:pPr>
      <w:r w:rsidRPr="002D2ED8">
        <w:rPr>
          <w:color w:val="000000"/>
          <w:sz w:val="28"/>
          <w:szCs w:val="28"/>
        </w:rPr>
        <w:t xml:space="preserve">- </w:t>
      </w:r>
      <w:r w:rsidR="00DC7D94" w:rsidRPr="002D2ED8">
        <w:rPr>
          <w:color w:val="000000"/>
          <w:sz w:val="28"/>
          <w:szCs w:val="28"/>
        </w:rPr>
        <w:t>введение особого порядка соблюдения банками требований к нормативам ликвидности, размещени</w:t>
      </w:r>
      <w:r w:rsidR="00862282" w:rsidRPr="002D2ED8">
        <w:rPr>
          <w:color w:val="000000"/>
          <w:sz w:val="28"/>
          <w:szCs w:val="28"/>
        </w:rPr>
        <w:t>я</w:t>
      </w:r>
      <w:r w:rsidR="00DC7D94" w:rsidRPr="002D2ED8">
        <w:rPr>
          <w:color w:val="000000"/>
          <w:sz w:val="28"/>
          <w:szCs w:val="28"/>
        </w:rPr>
        <w:t xml:space="preserve"> средств во внутренние активы и максимально</w:t>
      </w:r>
      <w:r w:rsidR="00862282" w:rsidRPr="002D2ED8">
        <w:rPr>
          <w:color w:val="000000"/>
          <w:sz w:val="28"/>
          <w:szCs w:val="28"/>
        </w:rPr>
        <w:t>го</w:t>
      </w:r>
      <w:r w:rsidR="00DC7D94" w:rsidRPr="002D2ED8">
        <w:rPr>
          <w:color w:val="000000"/>
          <w:sz w:val="28"/>
          <w:szCs w:val="28"/>
        </w:rPr>
        <w:t xml:space="preserve"> размер</w:t>
      </w:r>
      <w:r w:rsidR="00862282" w:rsidRPr="002D2ED8">
        <w:rPr>
          <w:color w:val="000000"/>
          <w:sz w:val="28"/>
          <w:szCs w:val="28"/>
        </w:rPr>
        <w:t>а</w:t>
      </w:r>
      <w:r w:rsidR="00DC7D94" w:rsidRPr="002D2ED8">
        <w:rPr>
          <w:color w:val="000000"/>
          <w:sz w:val="28"/>
          <w:szCs w:val="28"/>
        </w:rPr>
        <w:t xml:space="preserve"> риска на одного заемщика до 1 января 2023 года и особого порядка соблюдения </w:t>
      </w:r>
      <w:r w:rsidR="00052FB5" w:rsidRPr="002D2ED8">
        <w:rPr>
          <w:color w:val="000000"/>
          <w:sz w:val="28"/>
          <w:szCs w:val="28"/>
        </w:rPr>
        <w:t xml:space="preserve">открытой </w:t>
      </w:r>
      <w:r w:rsidR="00DC7D94" w:rsidRPr="002D2ED8">
        <w:rPr>
          <w:color w:val="000000"/>
          <w:sz w:val="28"/>
          <w:szCs w:val="28"/>
        </w:rPr>
        <w:t>валютной позиции до 1 марта 2023 года;</w:t>
      </w:r>
    </w:p>
    <w:p w14:paraId="0CCFA3E0" w14:textId="13A2A224" w:rsidR="00B60B2C" w:rsidRPr="002D2ED8" w:rsidRDefault="00B60B2C" w:rsidP="00B60B2C">
      <w:pPr>
        <w:tabs>
          <w:tab w:val="left" w:pos="6521"/>
        </w:tabs>
        <w:autoSpaceDE w:val="0"/>
        <w:autoSpaceDN w:val="0"/>
        <w:adjustRightInd w:val="0"/>
        <w:ind w:firstLine="709"/>
        <w:jc w:val="both"/>
        <w:rPr>
          <w:color w:val="000000"/>
          <w:sz w:val="28"/>
          <w:szCs w:val="28"/>
        </w:rPr>
      </w:pPr>
      <w:r w:rsidRPr="002D2ED8">
        <w:rPr>
          <w:color w:val="000000"/>
          <w:sz w:val="28"/>
          <w:szCs w:val="28"/>
        </w:rPr>
        <w:lastRenderedPageBreak/>
        <w:t>- исключение до 1 февраля 2023 года из расчета обязательств, учитываемых при выполнении норматива капитализации банка к обязательствам перед нерезидентами страны, обязательств перед родительским банком-нерезидентом Республики Казахстан в виде депозитов и кредитов, а также остатков на корреспондентских счетах;</w:t>
      </w:r>
    </w:p>
    <w:p w14:paraId="14CE751C" w14:textId="77777777" w:rsidR="00B60B2C" w:rsidRPr="002D2ED8" w:rsidRDefault="00B60B2C" w:rsidP="00B60B2C">
      <w:pPr>
        <w:tabs>
          <w:tab w:val="left" w:pos="6521"/>
        </w:tabs>
        <w:autoSpaceDE w:val="0"/>
        <w:autoSpaceDN w:val="0"/>
        <w:adjustRightInd w:val="0"/>
        <w:ind w:firstLine="709"/>
        <w:jc w:val="both"/>
        <w:rPr>
          <w:color w:val="000000"/>
          <w:sz w:val="28"/>
          <w:szCs w:val="28"/>
        </w:rPr>
      </w:pPr>
      <w:r w:rsidRPr="002D2ED8">
        <w:rPr>
          <w:color w:val="000000"/>
          <w:sz w:val="28"/>
          <w:szCs w:val="28"/>
        </w:rPr>
        <w:t xml:space="preserve">- </w:t>
      </w:r>
      <w:bookmarkStart w:id="14" w:name="_Hlk103977093"/>
      <w:r w:rsidRPr="002D2ED8">
        <w:rPr>
          <w:color w:val="000000"/>
          <w:sz w:val="28"/>
          <w:szCs w:val="28"/>
        </w:rPr>
        <w:t>поэтапное повышение в течение 6 месяцев (в период с 21 февраля по 1 октября 2022 года) равномерными долями степени кредитного риска по депозитам, корреспондентским счетам, межбанковским займам и ценным бумагам иностранных организаций и эмитентов при снижении их рейтинговых оценок на фоне санкционных ограничений со стороны иностранных государств</w:t>
      </w:r>
      <w:bookmarkEnd w:id="14"/>
      <w:r w:rsidRPr="002D2ED8">
        <w:rPr>
          <w:color w:val="000000"/>
          <w:sz w:val="28"/>
          <w:szCs w:val="28"/>
        </w:rPr>
        <w:t>;</w:t>
      </w:r>
    </w:p>
    <w:p w14:paraId="4F6F7782" w14:textId="77777777" w:rsidR="00B60B2C" w:rsidRPr="002D2ED8" w:rsidRDefault="00B60B2C" w:rsidP="00B60B2C">
      <w:pPr>
        <w:tabs>
          <w:tab w:val="left" w:pos="6521"/>
        </w:tabs>
        <w:autoSpaceDE w:val="0"/>
        <w:autoSpaceDN w:val="0"/>
        <w:adjustRightInd w:val="0"/>
        <w:ind w:firstLine="709"/>
        <w:jc w:val="both"/>
        <w:rPr>
          <w:color w:val="000000"/>
          <w:sz w:val="28"/>
          <w:szCs w:val="28"/>
        </w:rPr>
      </w:pPr>
      <w:r w:rsidRPr="002D2ED8">
        <w:rPr>
          <w:color w:val="000000"/>
          <w:sz w:val="28"/>
          <w:szCs w:val="28"/>
        </w:rPr>
        <w:t>- поэтапное признание убытков от переоценки государственных ценных бумаг и ценных бумаг эмитентов Российской Федерации, которые подлежат учету в составе собственного капитала;</w:t>
      </w:r>
    </w:p>
    <w:p w14:paraId="024882E2" w14:textId="77777777" w:rsidR="00B60B2C" w:rsidRPr="002D2ED8" w:rsidRDefault="00B60B2C" w:rsidP="00B60B2C">
      <w:pPr>
        <w:tabs>
          <w:tab w:val="left" w:pos="6521"/>
        </w:tabs>
        <w:autoSpaceDE w:val="0"/>
        <w:autoSpaceDN w:val="0"/>
        <w:adjustRightInd w:val="0"/>
        <w:ind w:firstLine="709"/>
        <w:jc w:val="both"/>
        <w:rPr>
          <w:color w:val="000000"/>
          <w:sz w:val="28"/>
          <w:szCs w:val="28"/>
        </w:rPr>
      </w:pPr>
      <w:r w:rsidRPr="002D2ED8">
        <w:rPr>
          <w:color w:val="000000"/>
          <w:sz w:val="28"/>
          <w:szCs w:val="28"/>
        </w:rPr>
        <w:t>- снижение до 1 января 2024 года минимального значения LCR до 0,8 (с 1 января 2024 года – 0,9; с 1 июля 2024 года – 1</w:t>
      </w:r>
      <w:bookmarkStart w:id="15" w:name="_Hlk103976541"/>
      <w:r w:rsidRPr="002D2ED8">
        <w:rPr>
          <w:color w:val="000000"/>
          <w:sz w:val="28"/>
          <w:szCs w:val="28"/>
        </w:rPr>
        <w:t xml:space="preserve">) и снижение c </w:t>
      </w:r>
      <w:r w:rsidRPr="002D2ED8">
        <w:rPr>
          <w:color w:val="000000"/>
          <w:sz w:val="28"/>
          <w:szCs w:val="28"/>
        </w:rPr>
        <w:br/>
        <w:t>1 мая 2022 года по 1 января 2023 года риск-взвешивания оттока по депозитам нефинансовых организаций, государственного сектора, иностранных центральных банков и правительств с 40% до 20%</w:t>
      </w:r>
      <w:bookmarkEnd w:id="15"/>
      <w:r w:rsidRPr="002D2ED8">
        <w:rPr>
          <w:color w:val="000000"/>
          <w:sz w:val="28"/>
          <w:szCs w:val="28"/>
        </w:rPr>
        <w:t>;</w:t>
      </w:r>
    </w:p>
    <w:p w14:paraId="32D1C49C" w14:textId="77777777" w:rsidR="00B60B2C" w:rsidRPr="002D2ED8" w:rsidRDefault="00B60B2C" w:rsidP="00B60B2C">
      <w:pPr>
        <w:tabs>
          <w:tab w:val="left" w:pos="6521"/>
        </w:tabs>
        <w:autoSpaceDE w:val="0"/>
        <w:autoSpaceDN w:val="0"/>
        <w:adjustRightInd w:val="0"/>
        <w:ind w:firstLine="709"/>
        <w:jc w:val="both"/>
        <w:rPr>
          <w:color w:val="000000"/>
          <w:sz w:val="28"/>
          <w:szCs w:val="28"/>
        </w:rPr>
      </w:pPr>
      <w:r w:rsidRPr="002D2ED8">
        <w:rPr>
          <w:color w:val="000000"/>
          <w:sz w:val="28"/>
          <w:szCs w:val="28"/>
        </w:rPr>
        <w:t>- снижение до 1 января 2024 года минимального значения NSFR до 0,8 (с 1 января 2024 года – 0,9; с 1 июля 2024 года – 1) и перенос срока включения депозитов юридических лиц с возможностью досрочного изъятия в расчет коэффициента NSFR до 1 января 2024 года;</w:t>
      </w:r>
    </w:p>
    <w:p w14:paraId="47072AEE" w14:textId="77777777" w:rsidR="00B60B2C" w:rsidRPr="002D2ED8" w:rsidRDefault="00B60B2C" w:rsidP="00B60B2C">
      <w:pPr>
        <w:tabs>
          <w:tab w:val="left" w:pos="6521"/>
        </w:tabs>
        <w:autoSpaceDE w:val="0"/>
        <w:autoSpaceDN w:val="0"/>
        <w:adjustRightInd w:val="0"/>
        <w:ind w:firstLine="709"/>
        <w:jc w:val="both"/>
        <w:rPr>
          <w:color w:val="000000"/>
          <w:sz w:val="28"/>
          <w:szCs w:val="28"/>
        </w:rPr>
      </w:pPr>
      <w:r w:rsidRPr="002D2ED8">
        <w:rPr>
          <w:color w:val="000000"/>
          <w:sz w:val="28"/>
          <w:szCs w:val="28"/>
        </w:rPr>
        <w:t>- предоставление возможности банкам использовать минимальный долгосрочный кредитный рейтинг банковских холдингов-нерезидентов Республики Казахстан, присвоенный до отзыва рейтинговым агентством их кредитного рейтинга, в целях соблюдения требований банковского законодательства.</w:t>
      </w:r>
    </w:p>
    <w:p w14:paraId="5A047B6A" w14:textId="52CF507A" w:rsidR="003D5346" w:rsidRPr="002D2ED8" w:rsidRDefault="003D5346" w:rsidP="00971197">
      <w:pPr>
        <w:ind w:firstLine="709"/>
        <w:jc w:val="both"/>
        <w:rPr>
          <w:sz w:val="28"/>
          <w:szCs w:val="28"/>
        </w:rPr>
      </w:pPr>
      <w:r w:rsidRPr="002D2ED8">
        <w:rPr>
          <w:sz w:val="28"/>
          <w:szCs w:val="28"/>
        </w:rPr>
        <w:t>В</w:t>
      </w:r>
      <w:r w:rsidR="00A8175B" w:rsidRPr="002D2ED8">
        <w:rPr>
          <w:sz w:val="28"/>
          <w:szCs w:val="28"/>
        </w:rPr>
        <w:t xml:space="preserve"> условиях в</w:t>
      </w:r>
      <w:r w:rsidRPr="002D2ED8">
        <w:rPr>
          <w:sz w:val="28"/>
          <w:szCs w:val="28"/>
        </w:rPr>
        <w:t>веден</w:t>
      </w:r>
      <w:r w:rsidR="00A8175B" w:rsidRPr="002D2ED8">
        <w:rPr>
          <w:sz w:val="28"/>
          <w:szCs w:val="28"/>
        </w:rPr>
        <w:t>ия</w:t>
      </w:r>
      <w:r w:rsidRPr="002D2ED8">
        <w:rPr>
          <w:sz w:val="28"/>
          <w:szCs w:val="28"/>
        </w:rPr>
        <w:t xml:space="preserve"> санкци</w:t>
      </w:r>
      <w:r w:rsidR="00A8175B" w:rsidRPr="002D2ED8">
        <w:rPr>
          <w:sz w:val="28"/>
          <w:szCs w:val="28"/>
        </w:rPr>
        <w:t>й</w:t>
      </w:r>
      <w:r w:rsidRPr="002D2ED8">
        <w:rPr>
          <w:sz w:val="28"/>
          <w:szCs w:val="28"/>
        </w:rPr>
        <w:t xml:space="preserve"> </w:t>
      </w:r>
      <w:r w:rsidR="00090EA4" w:rsidRPr="002D2ED8">
        <w:rPr>
          <w:sz w:val="28"/>
          <w:szCs w:val="28"/>
        </w:rPr>
        <w:t xml:space="preserve">наблюдалось </w:t>
      </w:r>
      <w:r w:rsidRPr="002D2ED8">
        <w:rPr>
          <w:sz w:val="28"/>
          <w:szCs w:val="28"/>
        </w:rPr>
        <w:t xml:space="preserve">давление на показатели ликвидности и капитала </w:t>
      </w:r>
      <w:r w:rsidR="00AF0CCF" w:rsidRPr="002D2ED8">
        <w:rPr>
          <w:sz w:val="28"/>
          <w:szCs w:val="28"/>
        </w:rPr>
        <w:t xml:space="preserve">дочерних </w:t>
      </w:r>
      <w:r w:rsidR="00A41F37" w:rsidRPr="002D2ED8">
        <w:rPr>
          <w:sz w:val="28"/>
          <w:szCs w:val="28"/>
        </w:rPr>
        <w:t>российских банков, осуществлявших деятельност</w:t>
      </w:r>
      <w:r w:rsidR="00AF0CCF" w:rsidRPr="002D2ED8">
        <w:rPr>
          <w:sz w:val="28"/>
          <w:szCs w:val="28"/>
        </w:rPr>
        <w:t>ь</w:t>
      </w:r>
      <w:r w:rsidR="00A41F37" w:rsidRPr="002D2ED8">
        <w:rPr>
          <w:sz w:val="28"/>
          <w:szCs w:val="28"/>
        </w:rPr>
        <w:t xml:space="preserve"> на казахстанском рынке (</w:t>
      </w:r>
      <w:r w:rsidR="009312FA" w:rsidRPr="002D2ED8">
        <w:rPr>
          <w:sz w:val="28"/>
          <w:szCs w:val="28"/>
        </w:rPr>
        <w:t>АО ДБ «Альфа</w:t>
      </w:r>
      <w:r w:rsidR="00AD7B28" w:rsidRPr="002D2ED8">
        <w:rPr>
          <w:sz w:val="28"/>
          <w:szCs w:val="28"/>
        </w:rPr>
        <w:t>-</w:t>
      </w:r>
      <w:r w:rsidR="009312FA" w:rsidRPr="002D2ED8">
        <w:rPr>
          <w:sz w:val="28"/>
          <w:szCs w:val="28"/>
        </w:rPr>
        <w:t>Банк», ДБ АО «Сбербанк» и ДБ АО «Банк ВТБ (Казахстан)»</w:t>
      </w:r>
      <w:r w:rsidR="00A41F37" w:rsidRPr="002D2ED8">
        <w:rPr>
          <w:sz w:val="28"/>
          <w:szCs w:val="28"/>
        </w:rPr>
        <w:t>)</w:t>
      </w:r>
      <w:r w:rsidRPr="002D2ED8">
        <w:rPr>
          <w:sz w:val="28"/>
          <w:szCs w:val="28"/>
        </w:rPr>
        <w:t xml:space="preserve">. В результате, за период с февраля по май 2022 года активы трех российских дочерних банков уменьшились на 56%, вклады – на 87%, а доля этих банков снизилась с 15% до </w:t>
      </w:r>
      <w:r w:rsidR="00F57648" w:rsidRPr="002D2ED8">
        <w:rPr>
          <w:sz w:val="28"/>
          <w:szCs w:val="28"/>
          <w:lang w:val="kk-KZ"/>
        </w:rPr>
        <w:t>4</w:t>
      </w:r>
      <w:r w:rsidRPr="002D2ED8">
        <w:rPr>
          <w:sz w:val="28"/>
          <w:szCs w:val="28"/>
        </w:rPr>
        <w:t>% от активов банковского сектора</w:t>
      </w:r>
      <w:r w:rsidR="00A41F37" w:rsidRPr="002D2ED8">
        <w:rPr>
          <w:sz w:val="28"/>
          <w:szCs w:val="28"/>
        </w:rPr>
        <w:t xml:space="preserve"> Казахстана</w:t>
      </w:r>
      <w:r w:rsidRPr="002D2ED8">
        <w:rPr>
          <w:sz w:val="28"/>
          <w:szCs w:val="28"/>
        </w:rPr>
        <w:t>.</w:t>
      </w:r>
    </w:p>
    <w:p w14:paraId="007D87CD" w14:textId="7838D522" w:rsidR="00CB54E0" w:rsidRPr="002D2ED8" w:rsidRDefault="00090EA4" w:rsidP="00971197">
      <w:pPr>
        <w:ind w:firstLine="709"/>
        <w:jc w:val="both"/>
        <w:rPr>
          <w:sz w:val="28"/>
          <w:szCs w:val="28"/>
        </w:rPr>
      </w:pPr>
      <w:r w:rsidRPr="002D2ED8">
        <w:rPr>
          <w:sz w:val="28"/>
          <w:szCs w:val="28"/>
        </w:rPr>
        <w:t xml:space="preserve">Со стороны </w:t>
      </w:r>
      <w:r w:rsidR="00CB54E0" w:rsidRPr="002D2ED8">
        <w:rPr>
          <w:sz w:val="28"/>
          <w:szCs w:val="28"/>
        </w:rPr>
        <w:t>Агентств</w:t>
      </w:r>
      <w:r w:rsidRPr="002D2ED8">
        <w:rPr>
          <w:sz w:val="28"/>
          <w:szCs w:val="28"/>
        </w:rPr>
        <w:t xml:space="preserve">а были приняты </w:t>
      </w:r>
      <w:r w:rsidR="00CB54E0" w:rsidRPr="002D2ED8">
        <w:rPr>
          <w:sz w:val="28"/>
          <w:szCs w:val="28"/>
        </w:rPr>
        <w:t xml:space="preserve">временные </w:t>
      </w:r>
      <w:proofErr w:type="spellStart"/>
      <w:r w:rsidR="00CB54E0" w:rsidRPr="002D2ED8">
        <w:rPr>
          <w:sz w:val="28"/>
          <w:szCs w:val="28"/>
        </w:rPr>
        <w:t>пруденциальные</w:t>
      </w:r>
      <w:proofErr w:type="spellEnd"/>
      <w:r w:rsidR="00CB54E0" w:rsidRPr="002D2ED8">
        <w:rPr>
          <w:sz w:val="28"/>
          <w:szCs w:val="28"/>
        </w:rPr>
        <w:t xml:space="preserve"> послабления</w:t>
      </w:r>
      <w:r w:rsidRPr="002D2ED8">
        <w:rPr>
          <w:sz w:val="28"/>
          <w:szCs w:val="28"/>
        </w:rPr>
        <w:t>, которые позволили стабилизировать ситуацию с ликвидностью в банковском секторе</w:t>
      </w:r>
      <w:r w:rsidR="00095274" w:rsidRPr="002D2ED8">
        <w:rPr>
          <w:sz w:val="28"/>
          <w:szCs w:val="28"/>
        </w:rPr>
        <w:t xml:space="preserve"> и обеспечить его устойчивость</w:t>
      </w:r>
      <w:r w:rsidR="00CB54E0" w:rsidRPr="002D2ED8">
        <w:rPr>
          <w:sz w:val="28"/>
          <w:szCs w:val="28"/>
        </w:rPr>
        <w:t>.</w:t>
      </w:r>
    </w:p>
    <w:p w14:paraId="4F1A6978" w14:textId="1FC1A9BD" w:rsidR="00754EDF" w:rsidRPr="002D2ED8" w:rsidRDefault="00CB54E0" w:rsidP="00295CD9">
      <w:pPr>
        <w:ind w:firstLine="708"/>
        <w:jc w:val="both"/>
        <w:rPr>
          <w:sz w:val="28"/>
          <w:szCs w:val="28"/>
        </w:rPr>
      </w:pPr>
      <w:r w:rsidRPr="002D2ED8">
        <w:rPr>
          <w:sz w:val="28"/>
          <w:szCs w:val="28"/>
        </w:rPr>
        <w:t>Одновременно</w:t>
      </w:r>
      <w:r w:rsidR="003B0C0C" w:rsidRPr="002D2ED8">
        <w:rPr>
          <w:sz w:val="28"/>
          <w:szCs w:val="28"/>
        </w:rPr>
        <w:t xml:space="preserve"> Агентством пров</w:t>
      </w:r>
      <w:r w:rsidRPr="002D2ED8">
        <w:rPr>
          <w:sz w:val="28"/>
          <w:szCs w:val="28"/>
        </w:rPr>
        <w:t>одилась</w:t>
      </w:r>
      <w:r w:rsidR="003B0C0C" w:rsidRPr="002D2ED8">
        <w:rPr>
          <w:sz w:val="28"/>
          <w:szCs w:val="28"/>
        </w:rPr>
        <w:t xml:space="preserve"> </w:t>
      </w:r>
      <w:r w:rsidR="000138C3" w:rsidRPr="002D2ED8">
        <w:rPr>
          <w:sz w:val="28"/>
          <w:szCs w:val="28"/>
        </w:rPr>
        <w:t>усиленная</w:t>
      </w:r>
      <w:r w:rsidR="003B0C0C" w:rsidRPr="002D2ED8">
        <w:rPr>
          <w:sz w:val="28"/>
          <w:szCs w:val="28"/>
        </w:rPr>
        <w:t xml:space="preserve"> работа</w:t>
      </w:r>
      <w:r w:rsidR="00E05412" w:rsidRPr="002D2ED8">
        <w:rPr>
          <w:sz w:val="28"/>
          <w:szCs w:val="28"/>
        </w:rPr>
        <w:t xml:space="preserve"> непосредственно</w:t>
      </w:r>
      <w:r w:rsidR="003B0C0C" w:rsidRPr="002D2ED8">
        <w:rPr>
          <w:sz w:val="28"/>
          <w:szCs w:val="28"/>
        </w:rPr>
        <w:t xml:space="preserve"> с</w:t>
      </w:r>
      <w:r w:rsidRPr="002D2ED8">
        <w:rPr>
          <w:sz w:val="28"/>
          <w:szCs w:val="28"/>
        </w:rPr>
        <w:t xml:space="preserve"> </w:t>
      </w:r>
      <w:r w:rsidR="005D6E05" w:rsidRPr="002D2ED8">
        <w:rPr>
          <w:sz w:val="28"/>
          <w:szCs w:val="28"/>
        </w:rPr>
        <w:t>руководством</w:t>
      </w:r>
      <w:r w:rsidR="003B0C0C" w:rsidRPr="002D2ED8">
        <w:rPr>
          <w:sz w:val="28"/>
          <w:szCs w:val="28"/>
        </w:rPr>
        <w:t xml:space="preserve"> OFAC, получены официальные разъяснения по вопросам обеспечения соблюдения санкций и соответствующие лицензии OFAC </w:t>
      </w:r>
      <w:r w:rsidR="00DA26A0" w:rsidRPr="002D2ED8">
        <w:rPr>
          <w:sz w:val="28"/>
          <w:szCs w:val="28"/>
        </w:rPr>
        <w:t xml:space="preserve">для проведения банковских операций </w:t>
      </w:r>
      <w:r w:rsidR="00853EB8" w:rsidRPr="002D2ED8">
        <w:rPr>
          <w:sz w:val="28"/>
          <w:szCs w:val="28"/>
        </w:rPr>
        <w:t xml:space="preserve">и завершения сделок по продаже </w:t>
      </w:r>
      <w:r w:rsidR="00D516C3" w:rsidRPr="002D2ED8">
        <w:rPr>
          <w:sz w:val="28"/>
          <w:szCs w:val="28"/>
        </w:rPr>
        <w:t xml:space="preserve">дочерних российских </w:t>
      </w:r>
      <w:r w:rsidR="00853EB8" w:rsidRPr="002D2ED8">
        <w:rPr>
          <w:sz w:val="28"/>
          <w:szCs w:val="28"/>
        </w:rPr>
        <w:t>банков новым инвесторам</w:t>
      </w:r>
      <w:r w:rsidR="003B0C0C" w:rsidRPr="002D2ED8">
        <w:rPr>
          <w:sz w:val="28"/>
          <w:szCs w:val="28"/>
        </w:rPr>
        <w:t xml:space="preserve"> (</w:t>
      </w:r>
      <w:r w:rsidR="00CA402C" w:rsidRPr="002D2ED8">
        <w:rPr>
          <w:sz w:val="28"/>
          <w:szCs w:val="28"/>
        </w:rPr>
        <w:t>АО ДБ «Альфа</w:t>
      </w:r>
      <w:r w:rsidR="00AD7B28" w:rsidRPr="002D2ED8">
        <w:rPr>
          <w:sz w:val="28"/>
          <w:szCs w:val="28"/>
        </w:rPr>
        <w:t>-</w:t>
      </w:r>
      <w:r w:rsidR="00CA402C" w:rsidRPr="002D2ED8">
        <w:rPr>
          <w:sz w:val="28"/>
          <w:szCs w:val="28"/>
        </w:rPr>
        <w:t>Банк», ДБ АО «Сбербанк»</w:t>
      </w:r>
      <w:r w:rsidR="003B0C0C" w:rsidRPr="002D2ED8">
        <w:rPr>
          <w:sz w:val="28"/>
          <w:szCs w:val="28"/>
        </w:rPr>
        <w:t>).</w:t>
      </w:r>
      <w:r w:rsidR="00295CD9" w:rsidRPr="002D2ED8">
        <w:rPr>
          <w:sz w:val="28"/>
          <w:szCs w:val="28"/>
        </w:rPr>
        <w:t xml:space="preserve"> </w:t>
      </w:r>
    </w:p>
    <w:p w14:paraId="79645AAF" w14:textId="19F7F286" w:rsidR="00754EDF" w:rsidRPr="002D2ED8" w:rsidRDefault="00754EDF" w:rsidP="008B58A3">
      <w:pPr>
        <w:ind w:firstLine="708"/>
        <w:jc w:val="both"/>
        <w:rPr>
          <w:sz w:val="28"/>
          <w:szCs w:val="28"/>
        </w:rPr>
      </w:pPr>
    </w:p>
    <w:p w14:paraId="2B39DE25" w14:textId="16550A67" w:rsidR="00E7399E" w:rsidRPr="002D2ED8" w:rsidRDefault="00E7399E" w:rsidP="00E7399E">
      <w:pPr>
        <w:pStyle w:val="2"/>
        <w:numPr>
          <w:ilvl w:val="0"/>
          <w:numId w:val="7"/>
        </w:numPr>
        <w:spacing w:before="0" w:after="0"/>
        <w:ind w:left="0" w:firstLine="709"/>
        <w:jc w:val="both"/>
        <w:rPr>
          <w:rFonts w:ascii="Times New Roman" w:eastAsia="Calibri" w:hAnsi="Times New Roman" w:cs="Times New Roman"/>
          <w:i w:val="0"/>
          <w:color w:val="000000" w:themeColor="text1"/>
          <w:lang w:eastAsia="en-US"/>
        </w:rPr>
      </w:pPr>
      <w:bookmarkStart w:id="16" w:name="_Toc127966705"/>
      <w:r w:rsidRPr="002D2ED8">
        <w:rPr>
          <w:rFonts w:ascii="Times New Roman" w:eastAsia="Calibri" w:hAnsi="Times New Roman" w:cs="Times New Roman"/>
          <w:i w:val="0"/>
          <w:color w:val="000000" w:themeColor="text1"/>
          <w:lang w:eastAsia="en-US"/>
        </w:rPr>
        <w:lastRenderedPageBreak/>
        <w:t>Надзорный процесс в 2022 году</w:t>
      </w:r>
      <w:bookmarkEnd w:id="16"/>
    </w:p>
    <w:p w14:paraId="6C1CCD03" w14:textId="77777777" w:rsidR="00E7399E" w:rsidRPr="002D2ED8" w:rsidRDefault="00E7399E" w:rsidP="00E7399E">
      <w:pPr>
        <w:tabs>
          <w:tab w:val="left" w:pos="7655"/>
        </w:tabs>
        <w:ind w:firstLine="709"/>
        <w:jc w:val="both"/>
        <w:rPr>
          <w:color w:val="000000" w:themeColor="text1"/>
          <w:sz w:val="28"/>
          <w:szCs w:val="28"/>
        </w:rPr>
      </w:pPr>
    </w:p>
    <w:p w14:paraId="27F1E15B" w14:textId="51BD25D3" w:rsidR="00E7399E" w:rsidRPr="002D2ED8" w:rsidRDefault="00E7399E" w:rsidP="00E7399E">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17" w:name="_Toc127966706"/>
      <w:r w:rsidRPr="002D2ED8">
        <w:rPr>
          <w:rFonts w:ascii="Times New Roman" w:eastAsia="Calibri" w:hAnsi="Times New Roman" w:cs="Times New Roman"/>
          <w:i w:val="0"/>
          <w:color w:val="000000" w:themeColor="text1"/>
          <w:lang w:eastAsia="en-US"/>
        </w:rPr>
        <w:t>Ежегодная надзорная оценка банков в рамках надзорного процесса по методологии SREP</w:t>
      </w:r>
      <w:bookmarkEnd w:id="17"/>
      <w:r w:rsidRPr="002D2ED8">
        <w:rPr>
          <w:rFonts w:ascii="Times New Roman" w:eastAsia="Calibri" w:hAnsi="Times New Roman" w:cs="Times New Roman"/>
          <w:i w:val="0"/>
          <w:color w:val="000000" w:themeColor="text1"/>
          <w:lang w:eastAsia="en-US"/>
        </w:rPr>
        <w:t xml:space="preserve"> </w:t>
      </w:r>
    </w:p>
    <w:p w14:paraId="055F1DE1" w14:textId="77777777" w:rsidR="00E7399E" w:rsidRPr="002D2ED8" w:rsidRDefault="00E7399E" w:rsidP="00E7399E">
      <w:pPr>
        <w:ind w:firstLine="709"/>
        <w:jc w:val="both"/>
        <w:rPr>
          <w:bCs/>
          <w:color w:val="000000" w:themeColor="text1"/>
          <w:sz w:val="28"/>
          <w:szCs w:val="28"/>
        </w:rPr>
      </w:pPr>
      <w:r w:rsidRPr="002D2ED8">
        <w:rPr>
          <w:bCs/>
          <w:color w:val="000000" w:themeColor="text1"/>
          <w:sz w:val="28"/>
          <w:szCs w:val="28"/>
        </w:rPr>
        <w:t xml:space="preserve">В соответствии со статьей 15-8 Закона Республики Казахстан </w:t>
      </w:r>
      <w:r w:rsidRPr="002D2ED8">
        <w:rPr>
          <w:bCs/>
          <w:color w:val="000000" w:themeColor="text1"/>
          <w:sz w:val="28"/>
          <w:szCs w:val="28"/>
        </w:rPr>
        <w:br/>
        <w:t xml:space="preserve">«О государственном регулировании, контроле и надзоре финансового рынка и финансовых организаций» Агентство применяет риск-ориентированный подход </w:t>
      </w:r>
      <w:r w:rsidRPr="002D2ED8">
        <w:rPr>
          <w:bCs/>
          <w:color w:val="000000" w:themeColor="text1"/>
          <w:sz w:val="28"/>
          <w:szCs w:val="28"/>
        </w:rPr>
        <w:br/>
        <w:t>в рамках контроля и надзора за деятельностью банков.</w:t>
      </w:r>
    </w:p>
    <w:p w14:paraId="2D09EE99" w14:textId="77777777" w:rsidR="00E7399E" w:rsidRPr="002D2ED8" w:rsidRDefault="00E7399E" w:rsidP="00E7399E">
      <w:pPr>
        <w:ind w:firstLine="709"/>
        <w:jc w:val="both"/>
        <w:rPr>
          <w:bCs/>
          <w:color w:val="000000" w:themeColor="text1"/>
          <w:sz w:val="28"/>
          <w:szCs w:val="28"/>
        </w:rPr>
      </w:pPr>
      <w:r w:rsidRPr="002D2ED8">
        <w:rPr>
          <w:bCs/>
          <w:color w:val="000000" w:themeColor="text1"/>
          <w:sz w:val="28"/>
          <w:szCs w:val="28"/>
        </w:rPr>
        <w:t>Основными задачами риск-ориентированного подхода являются выявление и предотвращение рисков и недостатков в деятельности банков в целях раннего вмешательства и принятия своевременных надзорных действий для обеспечения финансовой устойчивости банков и недопущения увеличения рисков.</w:t>
      </w:r>
    </w:p>
    <w:p w14:paraId="71131D59" w14:textId="77777777" w:rsidR="00E7399E" w:rsidRPr="002D2ED8" w:rsidRDefault="00E7399E" w:rsidP="00E7399E">
      <w:pPr>
        <w:ind w:firstLine="709"/>
        <w:jc w:val="both"/>
        <w:rPr>
          <w:bCs/>
          <w:color w:val="000000" w:themeColor="text1"/>
          <w:sz w:val="28"/>
          <w:szCs w:val="28"/>
        </w:rPr>
      </w:pPr>
      <w:r w:rsidRPr="002D2ED8">
        <w:rPr>
          <w:bCs/>
          <w:color w:val="000000" w:themeColor="text1"/>
          <w:sz w:val="28"/>
          <w:szCs w:val="28"/>
        </w:rPr>
        <w:t xml:space="preserve">В рамках риск-ориентированного подхода осуществляется ежегодный  надзорный процесс по методологии SREP, в ходе которого надзорная оценка рисков банков осуществляется путем количественного и качественного анализа информации по четырем основным направлениям системы оценки рисков (СОР): 1) оценка бизнес модели; 2) риски капитала; 3) риск ликвидности; 4) система корпоративного управления, с присвоением финального рейтинга банку </w:t>
      </w:r>
      <w:r w:rsidRPr="002D2ED8">
        <w:rPr>
          <w:bCs/>
          <w:color w:val="000000" w:themeColor="text1"/>
          <w:sz w:val="28"/>
          <w:szCs w:val="28"/>
        </w:rPr>
        <w:br/>
        <w:t>от «1» (низкий риск) до «4» (высокий риск).</w:t>
      </w:r>
    </w:p>
    <w:p w14:paraId="0559E143" w14:textId="77777777" w:rsidR="00E7399E" w:rsidRPr="002D2ED8" w:rsidRDefault="00E7399E" w:rsidP="00E7399E">
      <w:pPr>
        <w:ind w:firstLine="709"/>
        <w:jc w:val="both"/>
        <w:rPr>
          <w:bCs/>
          <w:color w:val="000000" w:themeColor="text1"/>
          <w:sz w:val="28"/>
          <w:szCs w:val="28"/>
        </w:rPr>
      </w:pPr>
      <w:r w:rsidRPr="002D2ED8">
        <w:rPr>
          <w:bCs/>
          <w:color w:val="000000" w:themeColor="text1"/>
          <w:sz w:val="28"/>
          <w:szCs w:val="28"/>
        </w:rPr>
        <w:t xml:space="preserve">Количественный анализ оценивает факторы риска с точки зрения уровня риска и представляет собой оценку изменений относительных и абсолютных финансовых показателей банка согласно представляемой финансовой и регуляторной отчетности и иным количественным параметрам. Качественный анализ является дополнением количественного анализа, при его проведении оценивается уровень контроля риска и используется более перспективный подход к оценке внутренних и внешних факторов, которые могут влиять на бизнес профиль банка, с учетом законодательно регламентированных требований </w:t>
      </w:r>
      <w:r w:rsidRPr="002D2ED8">
        <w:rPr>
          <w:bCs/>
          <w:color w:val="000000" w:themeColor="text1"/>
          <w:sz w:val="28"/>
          <w:szCs w:val="28"/>
        </w:rPr>
        <w:br/>
        <w:t>к системе управления рисками и внутреннего контроля.</w:t>
      </w:r>
    </w:p>
    <w:p w14:paraId="6423799D" w14:textId="77777777" w:rsidR="00E7399E" w:rsidRPr="002D2ED8" w:rsidRDefault="00E7399E" w:rsidP="00E7399E">
      <w:pPr>
        <w:widowControl w:val="0"/>
        <w:spacing w:line="239" w:lineRule="auto"/>
        <w:ind w:right="-15" w:firstLine="708"/>
        <w:jc w:val="both"/>
        <w:rPr>
          <w:bCs/>
          <w:color w:val="000000" w:themeColor="text1"/>
          <w:sz w:val="28"/>
          <w:szCs w:val="28"/>
        </w:rPr>
      </w:pPr>
      <w:r w:rsidRPr="002D2ED8">
        <w:rPr>
          <w:bCs/>
          <w:color w:val="000000" w:themeColor="text1"/>
          <w:sz w:val="28"/>
          <w:szCs w:val="28"/>
        </w:rPr>
        <w:t>По результатам проведенной Агентством в 2022 году полномасштабной надзорной оценки по методологии SREP банковский сектор показал устойчивость к внешним факторам, в том числе в условиях геополитической турбулентности. Банки обладают достаточным запасом капитала и ликвидности, который позволяет им абсорбировать текущие внешнеэкономические шоки.</w:t>
      </w:r>
    </w:p>
    <w:p w14:paraId="3FFD77AB" w14:textId="77777777" w:rsidR="00E7399E" w:rsidRPr="002D2ED8" w:rsidRDefault="00E7399E" w:rsidP="00E7399E">
      <w:pPr>
        <w:widowControl w:val="0"/>
        <w:spacing w:line="239" w:lineRule="auto"/>
        <w:ind w:right="-19" w:firstLine="708"/>
        <w:jc w:val="both"/>
        <w:rPr>
          <w:bCs/>
          <w:color w:val="000000" w:themeColor="text1"/>
          <w:sz w:val="28"/>
          <w:szCs w:val="28"/>
        </w:rPr>
      </w:pPr>
      <w:r w:rsidRPr="002D2ED8">
        <w:rPr>
          <w:bCs/>
          <w:color w:val="000000" w:themeColor="text1"/>
          <w:sz w:val="28"/>
          <w:szCs w:val="28"/>
        </w:rPr>
        <w:t>Вместе с тем, есть несколько основных областей деятельности большинства банков, требующих улучшения и совершенствования в рамках системы управления рисками и внутреннего контроля, на которые регулятор обратил внимание:</w:t>
      </w:r>
    </w:p>
    <w:p w14:paraId="79E4A9B8" w14:textId="24602612" w:rsidR="00E7399E" w:rsidRPr="002D2ED8" w:rsidRDefault="00E7399E" w:rsidP="00E7399E">
      <w:pPr>
        <w:widowControl w:val="0"/>
        <w:tabs>
          <w:tab w:val="left" w:pos="1416"/>
          <w:tab w:val="left" w:pos="2229"/>
          <w:tab w:val="left" w:pos="3577"/>
          <w:tab w:val="left" w:pos="4107"/>
          <w:tab w:val="left" w:pos="5880"/>
          <w:tab w:val="left" w:pos="6943"/>
          <w:tab w:val="left" w:pos="7466"/>
          <w:tab w:val="left" w:pos="8798"/>
          <w:tab w:val="left" w:pos="9299"/>
        </w:tabs>
        <w:spacing w:before="1" w:line="239" w:lineRule="auto"/>
        <w:ind w:right="-17" w:firstLine="708"/>
        <w:jc w:val="both"/>
        <w:rPr>
          <w:bCs/>
          <w:color w:val="000000" w:themeColor="text1"/>
          <w:sz w:val="28"/>
          <w:szCs w:val="28"/>
        </w:rPr>
      </w:pPr>
      <w:r w:rsidRPr="002D2ED8">
        <w:rPr>
          <w:bCs/>
          <w:color w:val="000000" w:themeColor="text1"/>
          <w:sz w:val="28"/>
          <w:szCs w:val="28"/>
        </w:rPr>
        <w:t xml:space="preserve">- дальнейшее улучшение методологии расчета необходимого уровня капитала, достаточного для покрытия всех видов рисков, присущих деятельности банка. </w:t>
      </w:r>
      <w:r w:rsidR="00A207D3" w:rsidRPr="002D2ED8">
        <w:rPr>
          <w:bCs/>
          <w:color w:val="000000" w:themeColor="text1"/>
          <w:sz w:val="28"/>
          <w:szCs w:val="28"/>
        </w:rPr>
        <w:t xml:space="preserve">Так, </w:t>
      </w:r>
      <w:r w:rsidRPr="002D2ED8">
        <w:rPr>
          <w:rFonts w:eastAsia="Calibri"/>
          <w:sz w:val="28"/>
          <w:szCs w:val="28"/>
        </w:rPr>
        <w:t xml:space="preserve">Правилами формирования системы управления рисками и внутреннего контроля для банков второго уровня, утвержденными постановлением Правления Национального Банка Республики Казахстан №188 от 12 ноября 2019 года (далее – Правила №188) </w:t>
      </w:r>
      <w:r w:rsidR="00E757E8" w:rsidRPr="002D2ED8">
        <w:rPr>
          <w:bCs/>
          <w:color w:val="000000" w:themeColor="text1"/>
          <w:sz w:val="28"/>
          <w:szCs w:val="28"/>
        </w:rPr>
        <w:t>установлено</w:t>
      </w:r>
      <w:r w:rsidRPr="002D2ED8">
        <w:rPr>
          <w:bCs/>
          <w:color w:val="000000" w:themeColor="text1"/>
          <w:sz w:val="28"/>
          <w:szCs w:val="28"/>
        </w:rPr>
        <w:t xml:space="preserve">, что внутренний процесс определения достаточности капитала необходим для эффективного управления капиталом     </w:t>
      </w:r>
      <w:r w:rsidRPr="002D2ED8">
        <w:rPr>
          <w:bCs/>
          <w:color w:val="000000" w:themeColor="text1"/>
          <w:sz w:val="28"/>
          <w:szCs w:val="28"/>
        </w:rPr>
        <w:lastRenderedPageBreak/>
        <w:t>путем выявления, оценки, агрегирования и контроля существенных видов риска, присущих деятельности банка и определения необходимого уровня капитала, достаточного для их покрытия, а также планирования капитала, исходя из стратегии банка, результатов всесторонней оценки существенных рисков, стресс-тестирования финансовой устойчивости банка по отношению к внутренним и внешним факторам риска.</w:t>
      </w:r>
    </w:p>
    <w:p w14:paraId="544FE670" w14:textId="77777777" w:rsidR="00E7399E" w:rsidRPr="002D2ED8" w:rsidRDefault="00E7399E" w:rsidP="00E7399E">
      <w:pPr>
        <w:widowControl w:val="0"/>
        <w:spacing w:before="3" w:line="239" w:lineRule="auto"/>
        <w:ind w:right="-13" w:firstLine="708"/>
        <w:jc w:val="both"/>
        <w:rPr>
          <w:bCs/>
          <w:color w:val="000000" w:themeColor="text1"/>
          <w:sz w:val="28"/>
          <w:szCs w:val="28"/>
        </w:rPr>
      </w:pPr>
      <w:r w:rsidRPr="002D2ED8">
        <w:rPr>
          <w:bCs/>
          <w:color w:val="000000" w:themeColor="text1"/>
          <w:sz w:val="28"/>
          <w:szCs w:val="28"/>
        </w:rPr>
        <w:t>Одновременно, Агентством отмечена необходимость улучшения планов по обеспечению достаточности капитала в случае непредвиденных обстоятельств.</w:t>
      </w:r>
    </w:p>
    <w:p w14:paraId="1848346D" w14:textId="77777777" w:rsidR="00E7399E" w:rsidRPr="002D2ED8" w:rsidRDefault="00E7399E" w:rsidP="00E7399E">
      <w:pPr>
        <w:widowControl w:val="0"/>
        <w:spacing w:line="239" w:lineRule="auto"/>
        <w:ind w:right="-17" w:firstLine="708"/>
        <w:jc w:val="both"/>
        <w:rPr>
          <w:bCs/>
          <w:color w:val="000000" w:themeColor="text1"/>
          <w:sz w:val="28"/>
          <w:szCs w:val="28"/>
        </w:rPr>
      </w:pPr>
      <w:r w:rsidRPr="002D2ED8">
        <w:rPr>
          <w:bCs/>
          <w:color w:val="000000" w:themeColor="text1"/>
          <w:sz w:val="28"/>
          <w:szCs w:val="28"/>
        </w:rPr>
        <w:t>Указанные недостатки выражаются в повышенных значениях количественных показателей банков, таких как риски капитала по требованиям к связанным лицам банков, риски концентрации займов и в переоцененных общих показателях способности банков генерировать капитал.</w:t>
      </w:r>
    </w:p>
    <w:p w14:paraId="250FF5FE" w14:textId="77777777" w:rsidR="00E7399E" w:rsidRPr="002D2ED8" w:rsidRDefault="00E7399E" w:rsidP="00E7399E">
      <w:pPr>
        <w:widowControl w:val="0"/>
        <w:tabs>
          <w:tab w:val="left" w:pos="1276"/>
          <w:tab w:val="left" w:pos="2601"/>
          <w:tab w:val="left" w:pos="3253"/>
          <w:tab w:val="left" w:pos="5338"/>
          <w:tab w:val="left" w:pos="6199"/>
          <w:tab w:val="left" w:pos="7464"/>
          <w:tab w:val="left" w:pos="8210"/>
          <w:tab w:val="left" w:pos="9475"/>
        </w:tabs>
        <w:spacing w:line="239" w:lineRule="auto"/>
        <w:ind w:right="-18" w:firstLine="708"/>
        <w:jc w:val="both"/>
        <w:rPr>
          <w:bCs/>
          <w:color w:val="000000" w:themeColor="text1"/>
          <w:sz w:val="28"/>
          <w:szCs w:val="28"/>
        </w:rPr>
      </w:pPr>
      <w:r w:rsidRPr="002D2ED8">
        <w:rPr>
          <w:bCs/>
          <w:color w:val="000000" w:themeColor="text1"/>
          <w:sz w:val="28"/>
          <w:szCs w:val="28"/>
        </w:rPr>
        <w:t>- сохранение недостатков при управлении кредитным риском, ранее выявленных в ходе оценки качества активов (AQR), в связи с незавершением мероприятий согласно индивидуальным планам корректирующих мер. Основные мероприятия направлены на усовершенствование процессов по снижению кредитных рисков, а именно, на установление критериев по реструктуризации займов, определение справедливой стоимости залогового обеспечения и иных активов банков, а также доработку внутренних политик, процессов и практик банков, направленных на снижение кредитного риска банков.</w:t>
      </w:r>
    </w:p>
    <w:p w14:paraId="705CD42F" w14:textId="04C0BF18" w:rsidR="00E7399E" w:rsidRPr="002D2ED8" w:rsidRDefault="00E7399E" w:rsidP="00E7399E">
      <w:pPr>
        <w:widowControl w:val="0"/>
        <w:tabs>
          <w:tab w:val="left" w:pos="1792"/>
          <w:tab w:val="left" w:pos="3486"/>
          <w:tab w:val="left" w:pos="4683"/>
          <w:tab w:val="left" w:pos="5977"/>
          <w:tab w:val="left" w:pos="8726"/>
        </w:tabs>
        <w:spacing w:line="239" w:lineRule="auto"/>
        <w:ind w:right="-16" w:firstLine="708"/>
        <w:jc w:val="both"/>
        <w:rPr>
          <w:bCs/>
          <w:color w:val="000000" w:themeColor="text1"/>
          <w:sz w:val="28"/>
          <w:szCs w:val="28"/>
        </w:rPr>
      </w:pPr>
      <w:r w:rsidRPr="002D2ED8">
        <w:rPr>
          <w:bCs/>
          <w:color w:val="000000" w:themeColor="text1"/>
          <w:sz w:val="28"/>
          <w:szCs w:val="28"/>
        </w:rPr>
        <w:t>На сегодняшний день банки осуществляют работу по устранению недостатков, выявленных по результатам AQR, однако данная работа еще в полной мере ими не завершена, в связи с чем количественные показатели кредитных рисков банков, демонстрирующих уровень неработающих активов (NPA), не достаточно низкие</w:t>
      </w:r>
      <w:r w:rsidR="00D27B68" w:rsidRPr="002D2ED8">
        <w:rPr>
          <w:bCs/>
          <w:color w:val="000000" w:themeColor="text1"/>
          <w:sz w:val="28"/>
          <w:szCs w:val="28"/>
        </w:rPr>
        <w:t>.</w:t>
      </w:r>
    </w:p>
    <w:p w14:paraId="3444F0C8" w14:textId="77777777" w:rsidR="00E7399E" w:rsidRPr="002D2ED8" w:rsidRDefault="00E7399E" w:rsidP="00E7399E">
      <w:pPr>
        <w:widowControl w:val="0"/>
        <w:tabs>
          <w:tab w:val="left" w:pos="1792"/>
          <w:tab w:val="left" w:pos="3486"/>
          <w:tab w:val="left" w:pos="4683"/>
          <w:tab w:val="left" w:pos="5977"/>
          <w:tab w:val="left" w:pos="8726"/>
        </w:tabs>
        <w:spacing w:line="239" w:lineRule="auto"/>
        <w:ind w:right="-16" w:firstLine="708"/>
        <w:jc w:val="both"/>
        <w:rPr>
          <w:bCs/>
          <w:color w:val="000000" w:themeColor="text1"/>
          <w:sz w:val="28"/>
          <w:szCs w:val="28"/>
        </w:rPr>
      </w:pPr>
      <w:r w:rsidRPr="002D2ED8">
        <w:rPr>
          <w:bCs/>
          <w:color w:val="000000" w:themeColor="text1"/>
          <w:sz w:val="28"/>
          <w:szCs w:val="28"/>
        </w:rPr>
        <w:t>- недостатки в процессах стратегического и бюджетного планирования в части анализа ключевых источников доходности, целевых рынков, в которых банк осуществляет свою деятельность, оценки конкурентной среды, достаточности ресурсов и способности генерировать краткосрочную и долгосрочную доходность, проведения адекватной процедуры SWOT-анализа (сильных и слабых сторон бизнес модели банка). Правилами №188 предусмотрено, что система управления рисками обеспечивает оптимальное соотношение между доходностью основных направлений деятельности банка и уровнем принимаемых рисков, основанное на выборе жизнеспособной и устойчивой бизнес модели, эффективном процессе планирования стратегии и бюджета с учетом стратегии риск-аппетита. Таким образом, недостатки в планировании и анализе источников доходности выразились в суммах недополученных процентных доходов (разница между начисленными и полученными процентами).</w:t>
      </w:r>
    </w:p>
    <w:p w14:paraId="53D5FD19" w14:textId="77777777" w:rsidR="00E7399E" w:rsidRPr="002D2ED8" w:rsidRDefault="00E7399E" w:rsidP="00E7399E">
      <w:pPr>
        <w:widowControl w:val="0"/>
        <w:tabs>
          <w:tab w:val="left" w:pos="1276"/>
          <w:tab w:val="left" w:pos="2854"/>
          <w:tab w:val="left" w:pos="3290"/>
          <w:tab w:val="left" w:pos="5176"/>
          <w:tab w:val="left" w:pos="6399"/>
          <w:tab w:val="left" w:pos="7376"/>
          <w:tab w:val="left" w:pos="9483"/>
        </w:tabs>
        <w:ind w:right="-19" w:firstLine="708"/>
        <w:jc w:val="both"/>
        <w:rPr>
          <w:bCs/>
          <w:color w:val="000000" w:themeColor="text1"/>
          <w:sz w:val="28"/>
          <w:szCs w:val="28"/>
        </w:rPr>
      </w:pPr>
      <w:r w:rsidRPr="002D2ED8">
        <w:rPr>
          <w:bCs/>
          <w:color w:val="000000" w:themeColor="text1"/>
          <w:sz w:val="28"/>
          <w:szCs w:val="28"/>
        </w:rPr>
        <w:t xml:space="preserve">- несовершенство методик определения риск-аппетита и (или) соответствующих показателей, определяющих риск – аппетит банков, неиспользование результатов стресс-тестирования при определении показателей риск-аппетита. Недостатки в определении показателей риск-аппетита банков приводят к недооценке банками существенных рисков, присущих деятельности банков. Согласно Правилам №188 стратегия риск-аппетита определяет четкие </w:t>
      </w:r>
      <w:r w:rsidRPr="002D2ED8">
        <w:rPr>
          <w:bCs/>
          <w:color w:val="000000" w:themeColor="text1"/>
          <w:sz w:val="28"/>
          <w:szCs w:val="28"/>
        </w:rPr>
        <w:lastRenderedPageBreak/>
        <w:t>границы объема принимаемых рисков, в которых осуществляется деятельность банка в рамках реализации общей стратегии банка, а также определяет риск-профиль деятельности банка с целью недопущения</w:t>
      </w:r>
      <w:r w:rsidRPr="002D2ED8">
        <w:rPr>
          <w:bCs/>
          <w:color w:val="000000" w:themeColor="text1"/>
          <w:sz w:val="28"/>
          <w:szCs w:val="28"/>
        </w:rPr>
        <w:tab/>
        <w:t>реализации рисков либо минимизации их отрицательного влияния на финансовое положение банка. Данный наблюдаемый недостаток отразился на показателях ликвидности банков, обусловленных повышенным соотношением займов к депозитам, а также характеризующих недостаточно эффективную диверсификацию источников фондирования.</w:t>
      </w:r>
    </w:p>
    <w:p w14:paraId="535B9D1F" w14:textId="77777777" w:rsidR="00E7399E" w:rsidRPr="002D2ED8" w:rsidRDefault="00E7399E" w:rsidP="00E7399E">
      <w:pPr>
        <w:tabs>
          <w:tab w:val="left" w:pos="7655"/>
        </w:tabs>
        <w:ind w:firstLine="709"/>
        <w:jc w:val="both"/>
        <w:rPr>
          <w:bCs/>
          <w:color w:val="000000" w:themeColor="text1"/>
          <w:sz w:val="28"/>
          <w:szCs w:val="28"/>
        </w:rPr>
      </w:pPr>
      <w:r w:rsidRPr="002D2ED8">
        <w:rPr>
          <w:bCs/>
          <w:color w:val="000000" w:themeColor="text1"/>
          <w:sz w:val="28"/>
          <w:szCs w:val="28"/>
        </w:rPr>
        <w:t>- иные недостатки во внутренних процессах оценки достаточности капитала и ликвидности, которые отразились на количественных показателях банков, рассчитанных в рамках SREP, и повлиявших на итоговую оценку банков.</w:t>
      </w:r>
    </w:p>
    <w:p w14:paraId="7CA77D75" w14:textId="77777777" w:rsidR="00E7399E" w:rsidRPr="002D2ED8" w:rsidRDefault="00E7399E" w:rsidP="00E7399E">
      <w:pPr>
        <w:pStyle w:val="ac"/>
        <w:tabs>
          <w:tab w:val="left" w:pos="993"/>
          <w:tab w:val="left" w:pos="7655"/>
        </w:tabs>
        <w:ind w:left="0" w:firstLine="709"/>
        <w:jc w:val="both"/>
        <w:rPr>
          <w:bCs/>
          <w:sz w:val="28"/>
          <w:szCs w:val="28"/>
        </w:rPr>
      </w:pPr>
      <w:r w:rsidRPr="002D2ED8">
        <w:rPr>
          <w:bCs/>
          <w:sz w:val="28"/>
          <w:szCs w:val="28"/>
        </w:rPr>
        <w:t xml:space="preserve">По итогам надзорной оценки </w:t>
      </w:r>
      <w:r w:rsidRPr="002D2ED8">
        <w:rPr>
          <w:bCs/>
          <w:sz w:val="28"/>
          <w:szCs w:val="28"/>
          <w:lang w:val="en-US"/>
        </w:rPr>
        <w:t>SREP</w:t>
      </w:r>
      <w:r w:rsidRPr="002D2ED8">
        <w:rPr>
          <w:bCs/>
          <w:sz w:val="28"/>
          <w:szCs w:val="28"/>
        </w:rPr>
        <w:t xml:space="preserve"> 2022 года </w:t>
      </w:r>
      <w:r w:rsidRPr="002D2ED8">
        <w:rPr>
          <w:b/>
          <w:bCs/>
          <w:sz w:val="28"/>
          <w:szCs w:val="28"/>
        </w:rPr>
        <w:t>7</w:t>
      </w:r>
      <w:r w:rsidRPr="002D2ED8">
        <w:rPr>
          <w:bCs/>
          <w:sz w:val="28"/>
          <w:szCs w:val="28"/>
        </w:rPr>
        <w:t xml:space="preserve"> банков были отнесены в категорию с «низкими рисками», </w:t>
      </w:r>
      <w:r w:rsidRPr="002D2ED8">
        <w:rPr>
          <w:b/>
          <w:bCs/>
          <w:sz w:val="28"/>
          <w:szCs w:val="28"/>
        </w:rPr>
        <w:t>8</w:t>
      </w:r>
      <w:r w:rsidRPr="002D2ED8">
        <w:rPr>
          <w:bCs/>
          <w:sz w:val="28"/>
          <w:szCs w:val="28"/>
        </w:rPr>
        <w:t xml:space="preserve"> банков с «умеренно низкими рисками», </w:t>
      </w:r>
      <w:r w:rsidRPr="002D2ED8">
        <w:rPr>
          <w:b/>
          <w:bCs/>
          <w:sz w:val="28"/>
          <w:szCs w:val="28"/>
        </w:rPr>
        <w:t>5</w:t>
      </w:r>
      <w:r w:rsidRPr="002D2ED8">
        <w:rPr>
          <w:bCs/>
          <w:sz w:val="28"/>
          <w:szCs w:val="28"/>
        </w:rPr>
        <w:t xml:space="preserve"> банков с «умеренно высокими рисками» и </w:t>
      </w:r>
      <w:r w:rsidRPr="002D2ED8">
        <w:rPr>
          <w:b/>
          <w:bCs/>
          <w:sz w:val="28"/>
          <w:szCs w:val="28"/>
        </w:rPr>
        <w:t>1</w:t>
      </w:r>
      <w:r w:rsidRPr="002D2ED8">
        <w:rPr>
          <w:bCs/>
          <w:sz w:val="28"/>
          <w:szCs w:val="28"/>
        </w:rPr>
        <w:t xml:space="preserve"> банк был отнесен в категорию с «высокими рисками». По сравнению с 2021 годом наблюдаются позитивные изменения в части увеличения банков в категории с «низкими рисками» на </w:t>
      </w:r>
      <w:r w:rsidRPr="002D2ED8">
        <w:rPr>
          <w:b/>
          <w:bCs/>
          <w:sz w:val="28"/>
          <w:szCs w:val="28"/>
        </w:rPr>
        <w:t>1</w:t>
      </w:r>
      <w:r w:rsidRPr="002D2ED8">
        <w:rPr>
          <w:bCs/>
          <w:sz w:val="28"/>
          <w:szCs w:val="28"/>
        </w:rPr>
        <w:t xml:space="preserve"> банк. При этом наблюдается снижение количества банков в категории с умеренно низкими рисками с </w:t>
      </w:r>
      <w:r w:rsidRPr="002D2ED8">
        <w:rPr>
          <w:b/>
          <w:bCs/>
          <w:sz w:val="28"/>
          <w:szCs w:val="28"/>
        </w:rPr>
        <w:t>11-и</w:t>
      </w:r>
      <w:r w:rsidRPr="002D2ED8">
        <w:rPr>
          <w:bCs/>
          <w:sz w:val="28"/>
          <w:szCs w:val="28"/>
        </w:rPr>
        <w:t xml:space="preserve"> до </w:t>
      </w:r>
      <w:r w:rsidRPr="002D2ED8">
        <w:rPr>
          <w:b/>
          <w:bCs/>
          <w:sz w:val="28"/>
          <w:szCs w:val="28"/>
        </w:rPr>
        <w:t>8-и</w:t>
      </w:r>
      <w:r w:rsidRPr="002D2ED8">
        <w:rPr>
          <w:bCs/>
          <w:sz w:val="28"/>
          <w:szCs w:val="28"/>
        </w:rPr>
        <w:t xml:space="preserve">, и одновременное увеличение количества банков в категории умеренно высокого риска на </w:t>
      </w:r>
      <w:r w:rsidRPr="002D2ED8">
        <w:rPr>
          <w:b/>
          <w:bCs/>
          <w:sz w:val="28"/>
          <w:szCs w:val="28"/>
        </w:rPr>
        <w:t>1</w:t>
      </w:r>
      <w:r w:rsidRPr="002D2ED8">
        <w:rPr>
          <w:bCs/>
          <w:sz w:val="28"/>
          <w:szCs w:val="28"/>
        </w:rPr>
        <w:t xml:space="preserve"> банк.</w:t>
      </w:r>
    </w:p>
    <w:p w14:paraId="4084F17B" w14:textId="5B795F4A" w:rsidR="00E7399E" w:rsidRPr="002D2ED8" w:rsidRDefault="00E7399E" w:rsidP="00E7399E">
      <w:pPr>
        <w:pStyle w:val="ac"/>
        <w:tabs>
          <w:tab w:val="left" w:pos="993"/>
          <w:tab w:val="left" w:pos="7655"/>
        </w:tabs>
        <w:ind w:left="0" w:firstLine="709"/>
        <w:jc w:val="both"/>
        <w:rPr>
          <w:bCs/>
          <w:color w:val="000000" w:themeColor="text1"/>
          <w:sz w:val="28"/>
          <w:szCs w:val="28"/>
        </w:rPr>
      </w:pPr>
      <w:r w:rsidRPr="002D2ED8">
        <w:rPr>
          <w:bCs/>
          <w:color w:val="000000" w:themeColor="text1"/>
          <w:sz w:val="28"/>
          <w:szCs w:val="28"/>
        </w:rPr>
        <w:t>По результатам проведенной Агентством ежегодной надзорной оценки в рамках методологии SREP в отношении отдельных банков в зависимости от присвоенных уровней риска были применены меры надзорного реагирования с затребованием планов корректирующих мер, направленных на устранение выявленных рисков и недостатков. Также продолжен мониторинг исполнения банками ранее согласованных надзорных планов мероприятий.</w:t>
      </w:r>
    </w:p>
    <w:p w14:paraId="64FAABA6" w14:textId="77777777" w:rsidR="00995789" w:rsidRPr="002D2ED8" w:rsidRDefault="00995789" w:rsidP="00995789">
      <w:pPr>
        <w:tabs>
          <w:tab w:val="left" w:pos="1134"/>
        </w:tabs>
        <w:ind w:firstLine="709"/>
        <w:jc w:val="both"/>
        <w:rPr>
          <w:bCs/>
          <w:color w:val="000000" w:themeColor="text1"/>
          <w:sz w:val="28"/>
          <w:szCs w:val="28"/>
        </w:rPr>
      </w:pPr>
    </w:p>
    <w:p w14:paraId="3F81076C" w14:textId="77777777" w:rsidR="006B019C" w:rsidRPr="002D2ED8" w:rsidRDefault="006B019C" w:rsidP="006B019C">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18" w:name="_Toc127966707"/>
      <w:r w:rsidRPr="002D2ED8">
        <w:rPr>
          <w:rFonts w:ascii="Times New Roman" w:eastAsia="Calibri" w:hAnsi="Times New Roman" w:cs="Times New Roman"/>
          <w:i w:val="0"/>
          <w:color w:val="000000" w:themeColor="text1"/>
          <w:lang w:eastAsia="en-US"/>
        </w:rPr>
        <w:t>Регулярная оценка качества активов (AQR)</w:t>
      </w:r>
      <w:bookmarkEnd w:id="18"/>
    </w:p>
    <w:p w14:paraId="0032C974" w14:textId="3F90C160" w:rsidR="00995789" w:rsidRPr="002D2ED8" w:rsidRDefault="00995789" w:rsidP="00995789">
      <w:pPr>
        <w:ind w:firstLine="708"/>
        <w:jc w:val="both"/>
        <w:rPr>
          <w:sz w:val="28"/>
          <w:szCs w:val="28"/>
        </w:rPr>
      </w:pPr>
      <w:r w:rsidRPr="002D2ED8">
        <w:rPr>
          <w:sz w:val="28"/>
          <w:szCs w:val="28"/>
        </w:rPr>
        <w:t xml:space="preserve">Агентство, используя опыт проведения </w:t>
      </w:r>
      <w:r w:rsidR="00D27792" w:rsidRPr="002D2ED8">
        <w:rPr>
          <w:sz w:val="28"/>
          <w:szCs w:val="28"/>
        </w:rPr>
        <w:t xml:space="preserve">независимой </w:t>
      </w:r>
      <w:r w:rsidRPr="002D2ED8">
        <w:rPr>
          <w:sz w:val="28"/>
          <w:szCs w:val="28"/>
        </w:rPr>
        <w:t>оценки</w:t>
      </w:r>
      <w:r w:rsidR="00D27792" w:rsidRPr="002D2ED8">
        <w:rPr>
          <w:sz w:val="28"/>
          <w:szCs w:val="28"/>
        </w:rPr>
        <w:t xml:space="preserve"> качества активов (AQR) в 2019 году</w:t>
      </w:r>
      <w:r w:rsidR="00E777B9" w:rsidRPr="002D2ED8">
        <w:rPr>
          <w:sz w:val="28"/>
          <w:szCs w:val="28"/>
        </w:rPr>
        <w:t>,</w:t>
      </w:r>
      <w:r w:rsidRPr="002D2ED8">
        <w:rPr>
          <w:sz w:val="28"/>
          <w:szCs w:val="28"/>
        </w:rPr>
        <w:t xml:space="preserve"> внедрило инструментарий AQR в свою постоянную надзорную практику. С 2022 года Агентство проводит регулярный AQR по банковской системе.</w:t>
      </w:r>
    </w:p>
    <w:p w14:paraId="376712AD" w14:textId="77777777" w:rsidR="00995789" w:rsidRPr="002D2ED8" w:rsidRDefault="00995789" w:rsidP="00995789">
      <w:pPr>
        <w:ind w:firstLine="708"/>
        <w:jc w:val="both"/>
        <w:rPr>
          <w:sz w:val="28"/>
          <w:szCs w:val="28"/>
        </w:rPr>
      </w:pPr>
      <w:r w:rsidRPr="002D2ED8">
        <w:rPr>
          <w:sz w:val="28"/>
          <w:szCs w:val="28"/>
        </w:rPr>
        <w:t>Регулярный AQR предполагает ежегодную риск-ориентированную проверку активов банковской системы, которая отличается от полномасштабного AQR отсутствием проверки внутренних бизнес-процессов банков (оцениваются в рамках SREP) и концентрируется на количественной оценке ключевых показателей кредитного риска. Регулярный AQR проводится Агентством в дистанционном формате без привлечения аудиторов, независимых оценщиков и консультантов.</w:t>
      </w:r>
    </w:p>
    <w:p w14:paraId="08443EC9" w14:textId="77777777" w:rsidR="00995789" w:rsidRPr="002D2ED8" w:rsidRDefault="00995789" w:rsidP="00995789">
      <w:pPr>
        <w:ind w:firstLine="708"/>
        <w:jc w:val="both"/>
        <w:rPr>
          <w:sz w:val="28"/>
          <w:szCs w:val="28"/>
        </w:rPr>
      </w:pPr>
      <w:r w:rsidRPr="002D2ED8">
        <w:rPr>
          <w:sz w:val="28"/>
          <w:szCs w:val="28"/>
        </w:rPr>
        <w:t xml:space="preserve">В связи с возникшими структурными изменениями банковского сектора в первой половине 2022 года, начало активной фазы регулярного AQR было перенесено на июнь 2022 года. Таким образом, результаты </w:t>
      </w:r>
      <w:r w:rsidRPr="002D2ED8">
        <w:rPr>
          <w:sz w:val="28"/>
          <w:szCs w:val="28"/>
          <w:lang w:val="en-US"/>
        </w:rPr>
        <w:t>AQR</w:t>
      </w:r>
      <w:r w:rsidRPr="002D2ED8">
        <w:rPr>
          <w:sz w:val="28"/>
          <w:szCs w:val="28"/>
        </w:rPr>
        <w:t xml:space="preserve"> были финализированы к концу октября, а отчет о результатах регулярного </w:t>
      </w:r>
      <w:r w:rsidRPr="002D2ED8">
        <w:rPr>
          <w:sz w:val="28"/>
          <w:szCs w:val="28"/>
          <w:lang w:val="en-US"/>
        </w:rPr>
        <w:t>AQR</w:t>
      </w:r>
      <w:r w:rsidRPr="002D2ED8">
        <w:rPr>
          <w:sz w:val="28"/>
          <w:szCs w:val="28"/>
        </w:rPr>
        <w:t xml:space="preserve"> был завершен в январе 2023 года.</w:t>
      </w:r>
    </w:p>
    <w:p w14:paraId="3D294EE8" w14:textId="77777777" w:rsidR="00995789" w:rsidRPr="002D2ED8" w:rsidRDefault="00995789" w:rsidP="00995789">
      <w:pPr>
        <w:ind w:firstLine="708"/>
        <w:jc w:val="both"/>
        <w:rPr>
          <w:sz w:val="28"/>
          <w:szCs w:val="28"/>
        </w:rPr>
      </w:pPr>
      <w:r w:rsidRPr="002D2ED8">
        <w:rPr>
          <w:sz w:val="28"/>
          <w:szCs w:val="28"/>
        </w:rPr>
        <w:lastRenderedPageBreak/>
        <w:t xml:space="preserve">В рамках регулярного AQR в 2022 году была произведена доработка методологии, моделей, инструментов с учетом пилотного проекта 2021 года. Проведение регулярного AQR в полностью дистанционном формате взаимодействия с банками в процессе оценки стало возможным благодаря автоматизации Агентством процессов обработки данных, а также разработке собственных моделей оценки финансового состояния корпоративных заемщиков – </w:t>
      </w:r>
      <w:proofErr w:type="spellStart"/>
      <w:r w:rsidRPr="002D2ED8">
        <w:rPr>
          <w:sz w:val="28"/>
          <w:szCs w:val="28"/>
        </w:rPr>
        <w:t>Скоринговой</w:t>
      </w:r>
      <w:proofErr w:type="spellEnd"/>
      <w:r w:rsidRPr="002D2ED8">
        <w:rPr>
          <w:sz w:val="28"/>
          <w:szCs w:val="28"/>
        </w:rPr>
        <w:t xml:space="preserve"> модели и модели ARES.</w:t>
      </w:r>
    </w:p>
    <w:p w14:paraId="74C4E25C" w14:textId="67BE5DDF" w:rsidR="00995789" w:rsidRPr="002D2ED8" w:rsidRDefault="00995789" w:rsidP="00995789">
      <w:pPr>
        <w:ind w:firstLine="708"/>
        <w:jc w:val="both"/>
        <w:rPr>
          <w:sz w:val="28"/>
          <w:szCs w:val="28"/>
        </w:rPr>
      </w:pPr>
      <w:r w:rsidRPr="002D2ED8">
        <w:rPr>
          <w:sz w:val="28"/>
          <w:szCs w:val="28"/>
        </w:rPr>
        <w:t>В периметр AQR и</w:t>
      </w:r>
      <w:r w:rsidR="00E777B9" w:rsidRPr="002D2ED8">
        <w:rPr>
          <w:sz w:val="28"/>
          <w:szCs w:val="28"/>
        </w:rPr>
        <w:t xml:space="preserve"> надзорного стресс-тестирования</w:t>
      </w:r>
      <w:r w:rsidRPr="002D2ED8">
        <w:rPr>
          <w:sz w:val="28"/>
          <w:szCs w:val="28"/>
        </w:rPr>
        <w:t xml:space="preserve"> 2022 года вошли 10 банков, которые составили 71% активов и 72% ссудного портфеля всей банковской системы. По результатам AQR 2022 года уровень достаточности капитала по системе превышает установленный норматив. </w:t>
      </w:r>
    </w:p>
    <w:p w14:paraId="402CD996" w14:textId="77777777" w:rsidR="00995789" w:rsidRPr="002D2ED8" w:rsidRDefault="00995789" w:rsidP="00995789">
      <w:pPr>
        <w:ind w:firstLine="708"/>
        <w:jc w:val="both"/>
        <w:rPr>
          <w:sz w:val="28"/>
          <w:szCs w:val="28"/>
        </w:rPr>
      </w:pPr>
      <w:r w:rsidRPr="002D2ED8">
        <w:rPr>
          <w:sz w:val="28"/>
          <w:szCs w:val="28"/>
        </w:rPr>
        <w:t xml:space="preserve">Пересмотр подхода и методологии положительно отразился на двусторонней работе Агентства и банков, минимизировал экспертное суждение, максимизировал модельные оценки и снизил нагрузку на банки в период </w:t>
      </w:r>
      <w:r w:rsidRPr="002D2ED8">
        <w:rPr>
          <w:sz w:val="28"/>
          <w:szCs w:val="28"/>
          <w:lang w:val="en-US"/>
        </w:rPr>
        <w:t>AQR</w:t>
      </w:r>
      <w:r w:rsidRPr="002D2ED8">
        <w:rPr>
          <w:sz w:val="28"/>
          <w:szCs w:val="28"/>
        </w:rPr>
        <w:t xml:space="preserve">. </w:t>
      </w:r>
    </w:p>
    <w:p w14:paraId="13A41434" w14:textId="052FA104" w:rsidR="00995789" w:rsidRPr="002D2ED8" w:rsidRDefault="00995789" w:rsidP="00995789">
      <w:pPr>
        <w:ind w:firstLine="708"/>
        <w:jc w:val="both"/>
        <w:rPr>
          <w:sz w:val="28"/>
          <w:szCs w:val="28"/>
        </w:rPr>
      </w:pPr>
      <w:r w:rsidRPr="002D2ED8">
        <w:rPr>
          <w:sz w:val="28"/>
          <w:szCs w:val="28"/>
        </w:rPr>
        <w:t>Регулярный AQR не только способствует повышению точности оценки качества кредитных портфелей банков, но и способствует повышению компетенций банковского сектора в области оценки кредитных рисков. В рамках постоянного процесса взаимодействия с банковским сектором Агентство планирует в дальнейшем предоставление банкам методологической и технической поддержки по проблемным вопросам, которые были выявлены в ходе AQR 2022 года.</w:t>
      </w:r>
    </w:p>
    <w:p w14:paraId="65F7163B" w14:textId="77777777" w:rsidR="00C26611" w:rsidRPr="002D2ED8" w:rsidRDefault="00C26611" w:rsidP="00C26611">
      <w:pPr>
        <w:ind w:firstLine="709"/>
        <w:jc w:val="both"/>
        <w:rPr>
          <w:sz w:val="28"/>
          <w:szCs w:val="28"/>
        </w:rPr>
      </w:pPr>
      <w:r w:rsidRPr="002D2ED8">
        <w:rPr>
          <w:color w:val="000000" w:themeColor="text1"/>
          <w:sz w:val="28"/>
          <w:szCs w:val="28"/>
        </w:rPr>
        <w:t xml:space="preserve">В феврале 2023 года Агентство впервые опубликовало Отчет регулярного </w:t>
      </w:r>
      <w:r w:rsidRPr="002D2ED8">
        <w:rPr>
          <w:color w:val="000000" w:themeColor="text1"/>
          <w:sz w:val="28"/>
          <w:szCs w:val="28"/>
          <w:lang w:val="en-US"/>
        </w:rPr>
        <w:t>AQR</w:t>
      </w:r>
      <w:r w:rsidRPr="002D2ED8">
        <w:rPr>
          <w:color w:val="000000" w:themeColor="text1"/>
          <w:sz w:val="28"/>
          <w:szCs w:val="28"/>
        </w:rPr>
        <w:t xml:space="preserve"> 2022 года, в котором представлены </w:t>
      </w:r>
      <w:r w:rsidRPr="002D2ED8">
        <w:rPr>
          <w:sz w:val="28"/>
          <w:szCs w:val="28"/>
        </w:rPr>
        <w:t xml:space="preserve">результаты регулярного </w:t>
      </w:r>
      <w:r w:rsidRPr="002D2ED8">
        <w:rPr>
          <w:sz w:val="28"/>
          <w:szCs w:val="28"/>
          <w:lang w:val="en-US"/>
        </w:rPr>
        <w:t>AQR</w:t>
      </w:r>
      <w:r w:rsidRPr="002D2ED8">
        <w:rPr>
          <w:sz w:val="28"/>
          <w:szCs w:val="28"/>
        </w:rPr>
        <w:t xml:space="preserve"> по 10-ти крупным банкам по состоянию на 01.01.2022г. Расхождения в фактическом и оценочном уровне покрытия провизиями по результатам AQR составили 2,1 </w:t>
      </w:r>
      <w:proofErr w:type="spellStart"/>
      <w:r w:rsidRPr="002D2ED8">
        <w:rPr>
          <w:sz w:val="28"/>
          <w:szCs w:val="28"/>
        </w:rPr>
        <w:t>п.п</w:t>
      </w:r>
      <w:proofErr w:type="spellEnd"/>
      <w:r w:rsidRPr="002D2ED8">
        <w:rPr>
          <w:sz w:val="28"/>
          <w:szCs w:val="28"/>
        </w:rPr>
        <w:t xml:space="preserve">. В результате, общий уровень достаточности капитала по 10 банкам был снижен на 1,7 </w:t>
      </w:r>
      <w:proofErr w:type="spellStart"/>
      <w:r w:rsidRPr="002D2ED8">
        <w:rPr>
          <w:sz w:val="28"/>
          <w:szCs w:val="28"/>
        </w:rPr>
        <w:t>п.п</w:t>
      </w:r>
      <w:proofErr w:type="spellEnd"/>
      <w:r w:rsidRPr="002D2ED8">
        <w:rPr>
          <w:sz w:val="28"/>
          <w:szCs w:val="28"/>
        </w:rPr>
        <w:t>. с 17,6% до 15,9%, что существенно выше нормативно установленного минимального уровня 7,5%.</w:t>
      </w:r>
    </w:p>
    <w:p w14:paraId="531CB6C4" w14:textId="77777777" w:rsidR="00C26611" w:rsidRPr="002D2ED8" w:rsidRDefault="00C26611" w:rsidP="00C26611">
      <w:pPr>
        <w:ind w:firstLine="709"/>
        <w:jc w:val="both"/>
        <w:rPr>
          <w:sz w:val="28"/>
          <w:szCs w:val="28"/>
        </w:rPr>
      </w:pPr>
      <w:r w:rsidRPr="002D2ED8">
        <w:rPr>
          <w:sz w:val="28"/>
          <w:szCs w:val="28"/>
        </w:rPr>
        <w:t xml:space="preserve"> Отчет содержит подробный анализ уровня кредитного риска в банковском секторе по всем активам и в разбивке по отдельным частям кредитного портфеля. Отчет будет полезен в аналитических целях как для банков второго уровня, так и для международных организаций, рейтинговых агентств, аудиторов и экспертов.</w:t>
      </w:r>
    </w:p>
    <w:p w14:paraId="18A7D806" w14:textId="77777777" w:rsidR="00995789" w:rsidRPr="002D2ED8" w:rsidRDefault="00995789" w:rsidP="00995789">
      <w:pPr>
        <w:ind w:firstLine="709"/>
        <w:jc w:val="both"/>
        <w:rPr>
          <w:b/>
          <w:sz w:val="28"/>
          <w:szCs w:val="28"/>
        </w:rPr>
      </w:pPr>
    </w:p>
    <w:p w14:paraId="7A171C71" w14:textId="77777777" w:rsidR="00995789" w:rsidRPr="002D2ED8" w:rsidRDefault="00995789" w:rsidP="00995789">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19" w:name="_Toc126511016"/>
      <w:bookmarkStart w:id="20" w:name="_Toc126511155"/>
      <w:bookmarkStart w:id="21" w:name="_Toc127966708"/>
      <w:r w:rsidRPr="002D2ED8">
        <w:rPr>
          <w:rFonts w:ascii="Times New Roman" w:eastAsia="Calibri" w:hAnsi="Times New Roman" w:cs="Times New Roman"/>
          <w:i w:val="0"/>
          <w:color w:val="000000" w:themeColor="text1"/>
          <w:lang w:eastAsia="en-US"/>
        </w:rPr>
        <w:t>Надзорное стресс-тестирование</w:t>
      </w:r>
      <w:bookmarkEnd w:id="19"/>
      <w:bookmarkEnd w:id="20"/>
      <w:bookmarkEnd w:id="21"/>
    </w:p>
    <w:p w14:paraId="63AB1914" w14:textId="5D1EF5F1" w:rsidR="00995789" w:rsidRPr="002D2ED8" w:rsidRDefault="00995789" w:rsidP="00995789">
      <w:pPr>
        <w:autoSpaceDE w:val="0"/>
        <w:autoSpaceDN w:val="0"/>
        <w:adjustRightInd w:val="0"/>
        <w:ind w:firstLine="708"/>
        <w:jc w:val="both"/>
        <w:rPr>
          <w:sz w:val="28"/>
          <w:szCs w:val="28"/>
        </w:rPr>
      </w:pPr>
      <w:r w:rsidRPr="002D2ED8">
        <w:rPr>
          <w:sz w:val="28"/>
          <w:szCs w:val="28"/>
        </w:rPr>
        <w:t>Надзорное стресс-тестирование</w:t>
      </w:r>
      <w:r w:rsidR="00E777B9" w:rsidRPr="002D2ED8">
        <w:rPr>
          <w:sz w:val="28"/>
          <w:szCs w:val="28"/>
        </w:rPr>
        <w:t xml:space="preserve"> (НСТ)</w:t>
      </w:r>
      <w:r w:rsidRPr="002D2ED8">
        <w:rPr>
          <w:sz w:val="28"/>
          <w:szCs w:val="28"/>
        </w:rPr>
        <w:t xml:space="preserve"> представляет собой инструмент риск-ориентированного надзора, позволяющий оценивать устойчивость банков при наступлении негативных сценариев развития экономики. </w:t>
      </w:r>
    </w:p>
    <w:p w14:paraId="35EE0230" w14:textId="77777777" w:rsidR="00995789" w:rsidRPr="002D2ED8" w:rsidRDefault="00995789" w:rsidP="00995789">
      <w:pPr>
        <w:ind w:firstLine="709"/>
        <w:jc w:val="both"/>
        <w:rPr>
          <w:sz w:val="28"/>
          <w:szCs w:val="28"/>
        </w:rPr>
      </w:pPr>
      <w:r w:rsidRPr="002D2ED8">
        <w:rPr>
          <w:sz w:val="28"/>
          <w:szCs w:val="28"/>
        </w:rPr>
        <w:t>Применение данного инструмента на регулярной основе позволит не только оценивать достаточность капитала банков с учетом стрессовых сценариев, но и в целом улучшить практики риск-менеджмента.</w:t>
      </w:r>
    </w:p>
    <w:p w14:paraId="06D6B0D3" w14:textId="77777777" w:rsidR="00995789" w:rsidRPr="002D2ED8" w:rsidRDefault="00995789" w:rsidP="00995789">
      <w:pPr>
        <w:ind w:firstLine="709"/>
        <w:jc w:val="both"/>
        <w:rPr>
          <w:color w:val="000000" w:themeColor="text1"/>
          <w:sz w:val="28"/>
          <w:szCs w:val="28"/>
        </w:rPr>
      </w:pPr>
      <w:r w:rsidRPr="002D2ED8">
        <w:rPr>
          <w:rFonts w:eastAsia="Calibri"/>
          <w:bCs/>
          <w:sz w:val="28"/>
          <w:szCs w:val="28"/>
        </w:rPr>
        <w:t>В период с октября 2021 года по март 2022 года Агентством успешно проведено надзорное стресс-тестирование в пилотном режиме с участием 4 крупных банков</w:t>
      </w:r>
      <w:r w:rsidRPr="002D2ED8">
        <w:rPr>
          <w:sz w:val="28"/>
          <w:szCs w:val="28"/>
        </w:rPr>
        <w:t xml:space="preserve">. Разработанные и протестированные модели в рамках пилотного </w:t>
      </w:r>
      <w:r w:rsidRPr="002D2ED8">
        <w:rPr>
          <w:sz w:val="28"/>
          <w:szCs w:val="28"/>
        </w:rPr>
        <w:lastRenderedPageBreak/>
        <w:t>проекта позволили Агентству в 2022 году отслеживать и прогнозировать финансовое состояние банков в различных сценариях.</w:t>
      </w:r>
    </w:p>
    <w:p w14:paraId="754A49C5" w14:textId="77777777" w:rsidR="00995789" w:rsidRPr="002D2ED8" w:rsidRDefault="00995789" w:rsidP="00995789">
      <w:pPr>
        <w:ind w:firstLine="709"/>
        <w:jc w:val="both"/>
        <w:rPr>
          <w:color w:val="000000" w:themeColor="text1"/>
          <w:sz w:val="28"/>
          <w:szCs w:val="28"/>
        </w:rPr>
      </w:pPr>
      <w:r w:rsidRPr="002D2ED8">
        <w:rPr>
          <w:color w:val="000000" w:themeColor="text1"/>
          <w:sz w:val="28"/>
          <w:szCs w:val="28"/>
        </w:rPr>
        <w:t xml:space="preserve">В период </w:t>
      </w:r>
      <w:r w:rsidRPr="002D2ED8">
        <w:rPr>
          <w:i/>
          <w:color w:val="000000" w:themeColor="text1"/>
          <w:sz w:val="28"/>
          <w:szCs w:val="28"/>
        </w:rPr>
        <w:t>с июля по сентябрь 2022 года</w:t>
      </w:r>
      <w:r w:rsidRPr="002D2ED8">
        <w:rPr>
          <w:color w:val="000000" w:themeColor="text1"/>
          <w:sz w:val="28"/>
          <w:szCs w:val="28"/>
        </w:rPr>
        <w:t xml:space="preserve"> Агентством были проведены подготовительные мероприятия к ежегодному надзорному стресс-тестированию по расширенному списку банков, в том числе:</w:t>
      </w:r>
    </w:p>
    <w:p w14:paraId="3DFCF078" w14:textId="77777777" w:rsidR="00995789" w:rsidRPr="002D2ED8" w:rsidRDefault="00995789" w:rsidP="00995789">
      <w:pPr>
        <w:pStyle w:val="ac"/>
        <w:numPr>
          <w:ilvl w:val="0"/>
          <w:numId w:val="9"/>
        </w:numPr>
        <w:tabs>
          <w:tab w:val="left" w:pos="993"/>
        </w:tabs>
        <w:ind w:left="0" w:firstLine="709"/>
        <w:contextualSpacing w:val="0"/>
        <w:jc w:val="both"/>
        <w:rPr>
          <w:color w:val="000000" w:themeColor="text1"/>
          <w:sz w:val="28"/>
          <w:szCs w:val="28"/>
        </w:rPr>
      </w:pPr>
      <w:r w:rsidRPr="002D2ED8">
        <w:rPr>
          <w:color w:val="000000" w:themeColor="text1"/>
          <w:sz w:val="28"/>
          <w:szCs w:val="28"/>
        </w:rPr>
        <w:t>подготовка сценариев НСТ;</w:t>
      </w:r>
    </w:p>
    <w:p w14:paraId="2BA206A2" w14:textId="77777777" w:rsidR="00995789" w:rsidRPr="002D2ED8" w:rsidRDefault="00995789" w:rsidP="00995789">
      <w:pPr>
        <w:pStyle w:val="ac"/>
        <w:numPr>
          <w:ilvl w:val="0"/>
          <w:numId w:val="9"/>
        </w:numPr>
        <w:tabs>
          <w:tab w:val="left" w:pos="993"/>
        </w:tabs>
        <w:ind w:left="0" w:firstLine="709"/>
        <w:contextualSpacing w:val="0"/>
        <w:jc w:val="both"/>
        <w:rPr>
          <w:color w:val="000000" w:themeColor="text1"/>
          <w:sz w:val="28"/>
          <w:szCs w:val="28"/>
        </w:rPr>
      </w:pPr>
      <w:r w:rsidRPr="002D2ED8">
        <w:rPr>
          <w:color w:val="000000" w:themeColor="text1"/>
          <w:sz w:val="28"/>
          <w:szCs w:val="28"/>
        </w:rPr>
        <w:t>обновление методологического руководства, шаблона и инструкции по его заполнению для проведения НСТ;</w:t>
      </w:r>
    </w:p>
    <w:p w14:paraId="01E542EE" w14:textId="77777777" w:rsidR="00995789" w:rsidRPr="002D2ED8" w:rsidRDefault="00995789" w:rsidP="00995789">
      <w:pPr>
        <w:pStyle w:val="ac"/>
        <w:numPr>
          <w:ilvl w:val="0"/>
          <w:numId w:val="9"/>
        </w:numPr>
        <w:tabs>
          <w:tab w:val="left" w:pos="993"/>
        </w:tabs>
        <w:ind w:left="0" w:firstLine="709"/>
        <w:contextualSpacing w:val="0"/>
        <w:jc w:val="both"/>
        <w:rPr>
          <w:color w:val="000000" w:themeColor="text1"/>
          <w:sz w:val="28"/>
          <w:szCs w:val="28"/>
        </w:rPr>
      </w:pPr>
      <w:r w:rsidRPr="002D2ED8">
        <w:rPr>
          <w:color w:val="000000" w:themeColor="text1"/>
          <w:sz w:val="28"/>
          <w:szCs w:val="28"/>
        </w:rPr>
        <w:t>калибровка разработанных моделей Агентства по итогам пилотного проекта;</w:t>
      </w:r>
    </w:p>
    <w:p w14:paraId="53456247" w14:textId="77777777" w:rsidR="00995789" w:rsidRPr="002D2ED8" w:rsidRDefault="00995789" w:rsidP="00995789">
      <w:pPr>
        <w:pStyle w:val="ac"/>
        <w:numPr>
          <w:ilvl w:val="0"/>
          <w:numId w:val="9"/>
        </w:numPr>
        <w:tabs>
          <w:tab w:val="left" w:pos="993"/>
        </w:tabs>
        <w:ind w:left="0" w:firstLine="709"/>
        <w:contextualSpacing w:val="0"/>
        <w:jc w:val="both"/>
        <w:rPr>
          <w:color w:val="000000" w:themeColor="text1"/>
          <w:sz w:val="28"/>
          <w:szCs w:val="28"/>
        </w:rPr>
      </w:pPr>
      <w:r w:rsidRPr="002D2ED8">
        <w:rPr>
          <w:color w:val="000000" w:themeColor="text1"/>
          <w:sz w:val="28"/>
          <w:szCs w:val="28"/>
        </w:rPr>
        <w:t>проведение обучающих сессий и конференции для банков с раскрытием порядка и процедур, а также подходов проведения надзорного стресс-тестирования.</w:t>
      </w:r>
    </w:p>
    <w:p w14:paraId="27D81204" w14:textId="77777777" w:rsidR="00995789" w:rsidRPr="002D2ED8" w:rsidRDefault="00995789" w:rsidP="00995789">
      <w:pPr>
        <w:jc w:val="both"/>
        <w:rPr>
          <w:rFonts w:eastAsia="Calibri"/>
          <w:color w:val="000000" w:themeColor="text1"/>
          <w:sz w:val="28"/>
          <w:szCs w:val="28"/>
        </w:rPr>
      </w:pPr>
      <w:r w:rsidRPr="002D2ED8">
        <w:rPr>
          <w:rFonts w:eastAsia="Calibri"/>
          <w:bCs/>
          <w:sz w:val="28"/>
          <w:szCs w:val="28"/>
        </w:rPr>
        <w:t xml:space="preserve">          В сентябре 2022 года банкам-участникам были предоставлены все необходимые материалы</w:t>
      </w:r>
      <w:r w:rsidRPr="002D2ED8">
        <w:rPr>
          <w:bCs/>
          <w:i/>
          <w:color w:val="000000" w:themeColor="text1"/>
          <w:sz w:val="28"/>
          <w:szCs w:val="28"/>
        </w:rPr>
        <w:t xml:space="preserve">, </w:t>
      </w:r>
      <w:r w:rsidRPr="002D2ED8">
        <w:rPr>
          <w:bCs/>
          <w:color w:val="000000" w:themeColor="text1"/>
          <w:sz w:val="28"/>
          <w:szCs w:val="28"/>
        </w:rPr>
        <w:t>и с</w:t>
      </w:r>
      <w:r w:rsidRPr="002D2ED8">
        <w:rPr>
          <w:color w:val="000000" w:themeColor="text1"/>
          <w:sz w:val="28"/>
          <w:szCs w:val="28"/>
        </w:rPr>
        <w:t xml:space="preserve"> 17 октября 2022 года Агентство приступило к ежегодному надзорному стресс-тестированию по банкам в соответствии с периметром AQR.</w:t>
      </w:r>
    </w:p>
    <w:p w14:paraId="2737F43A" w14:textId="77777777" w:rsidR="00995789" w:rsidRPr="002D2ED8" w:rsidRDefault="00995789" w:rsidP="00995789">
      <w:pPr>
        <w:ind w:firstLine="709"/>
        <w:jc w:val="both"/>
        <w:rPr>
          <w:rFonts w:eastAsia="Calibri"/>
          <w:color w:val="000000" w:themeColor="text1"/>
          <w:sz w:val="28"/>
          <w:szCs w:val="28"/>
        </w:rPr>
      </w:pPr>
      <w:r w:rsidRPr="002D2ED8">
        <w:rPr>
          <w:rFonts w:eastAsia="Calibri"/>
          <w:color w:val="000000" w:themeColor="text1"/>
          <w:sz w:val="28"/>
          <w:szCs w:val="28"/>
        </w:rPr>
        <w:t xml:space="preserve">Для </w:t>
      </w:r>
      <w:r w:rsidRPr="002D2ED8">
        <w:rPr>
          <w:color w:val="000000" w:themeColor="text1"/>
          <w:sz w:val="28"/>
          <w:szCs w:val="28"/>
        </w:rPr>
        <w:t xml:space="preserve">надзорного стресс-тестирования </w:t>
      </w:r>
      <w:r w:rsidRPr="002D2ED8">
        <w:rPr>
          <w:rFonts w:eastAsia="Calibri"/>
          <w:color w:val="000000" w:themeColor="text1"/>
          <w:sz w:val="28"/>
          <w:szCs w:val="28"/>
        </w:rPr>
        <w:t>Агентством совместно с Национальным Банком разработаны и утверждены базовый и стрессовый сценарии НСТ, содержащие необходимый перечень макропараметров и их квартальное изменение на 3-х летнем горизонте стресс-тестирования. Базовый сценарий представляет собой консенсус-прогноз, использующий в качестве вводных данных несколько базовых сценариев, составленных различными экспертами и учреждениями. Стрессовый сценарий описывает гипотетический кризис с указанием использованных при его разработке шоков и предпосылок.</w:t>
      </w:r>
    </w:p>
    <w:p w14:paraId="28A12791" w14:textId="77777777" w:rsidR="00995789" w:rsidRPr="002D2ED8" w:rsidRDefault="00995789" w:rsidP="00995789">
      <w:pPr>
        <w:ind w:firstLine="709"/>
        <w:jc w:val="both"/>
        <w:rPr>
          <w:rFonts w:eastAsia="Calibri"/>
          <w:color w:val="000000" w:themeColor="text1"/>
          <w:sz w:val="28"/>
          <w:szCs w:val="28"/>
        </w:rPr>
      </w:pPr>
      <w:r w:rsidRPr="002D2ED8">
        <w:rPr>
          <w:rFonts w:eastAsia="Calibri"/>
          <w:color w:val="000000" w:themeColor="text1"/>
          <w:sz w:val="28"/>
          <w:szCs w:val="28"/>
        </w:rPr>
        <w:t>В качестве стартовой точки для проведения надзорного стресс-тестирования были использованы результаты регулярного AQR. В конце 2022 года Агентством получены первые заполненные шаблоны с расчетами банков. Используя свои проверочные модели, Агентство провело оценку результатов расчетов банков и предоставило обратную связь по доработке банками своих внутренних моделей стресс-тестирования. Итоговые результаты НСТ будут получены в марте 2023 года.</w:t>
      </w:r>
    </w:p>
    <w:p w14:paraId="20D26B7B" w14:textId="43720162" w:rsidR="00074AF2" w:rsidRPr="002D2ED8" w:rsidRDefault="00074AF2" w:rsidP="00E7399E">
      <w:pPr>
        <w:pStyle w:val="ac"/>
        <w:tabs>
          <w:tab w:val="left" w:pos="993"/>
          <w:tab w:val="left" w:pos="7655"/>
        </w:tabs>
        <w:ind w:left="0" w:firstLine="709"/>
        <w:jc w:val="both"/>
        <w:rPr>
          <w:bCs/>
          <w:color w:val="000000" w:themeColor="text1"/>
          <w:sz w:val="28"/>
          <w:szCs w:val="28"/>
        </w:rPr>
      </w:pPr>
    </w:p>
    <w:p w14:paraId="4A46AD17" w14:textId="431AB3D7" w:rsidR="00641700" w:rsidRPr="002D2ED8" w:rsidRDefault="00C03E22" w:rsidP="00995789">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22" w:name="_Toc126511013"/>
      <w:bookmarkStart w:id="23" w:name="_Toc126511152"/>
      <w:bookmarkStart w:id="24" w:name="_Toc127966709"/>
      <w:r w:rsidRPr="002D2ED8">
        <w:rPr>
          <w:rFonts w:ascii="Times New Roman" w:eastAsia="Calibri" w:hAnsi="Times New Roman" w:cs="Times New Roman"/>
          <w:i w:val="0"/>
          <w:color w:val="000000" w:themeColor="text1"/>
          <w:lang w:eastAsia="en-US"/>
        </w:rPr>
        <w:t>Мониторинг индивидуальных</w:t>
      </w:r>
      <w:r w:rsidR="00641700" w:rsidRPr="002D2ED8">
        <w:rPr>
          <w:rFonts w:ascii="Times New Roman" w:eastAsia="Calibri" w:hAnsi="Times New Roman" w:cs="Times New Roman"/>
          <w:i w:val="0"/>
          <w:color w:val="000000" w:themeColor="text1"/>
          <w:lang w:eastAsia="en-US"/>
        </w:rPr>
        <w:t xml:space="preserve"> план</w:t>
      </w:r>
      <w:r w:rsidRPr="002D2ED8">
        <w:rPr>
          <w:rFonts w:ascii="Times New Roman" w:eastAsia="Calibri" w:hAnsi="Times New Roman" w:cs="Times New Roman"/>
          <w:i w:val="0"/>
          <w:color w:val="000000" w:themeColor="text1"/>
          <w:lang w:eastAsia="en-US"/>
        </w:rPr>
        <w:t>ов</w:t>
      </w:r>
      <w:r w:rsidR="00641700" w:rsidRPr="002D2ED8">
        <w:rPr>
          <w:rFonts w:ascii="Times New Roman" w:eastAsia="Calibri" w:hAnsi="Times New Roman" w:cs="Times New Roman"/>
          <w:i w:val="0"/>
          <w:color w:val="000000" w:themeColor="text1"/>
          <w:lang w:eastAsia="en-US"/>
        </w:rPr>
        <w:t xml:space="preserve"> корректирующих мер</w:t>
      </w:r>
      <w:bookmarkEnd w:id="22"/>
      <w:bookmarkEnd w:id="23"/>
      <w:r w:rsidR="009C4845" w:rsidRPr="002D2ED8">
        <w:rPr>
          <w:rFonts w:ascii="Times New Roman" w:eastAsia="Calibri" w:hAnsi="Times New Roman" w:cs="Times New Roman"/>
          <w:i w:val="0"/>
          <w:color w:val="000000" w:themeColor="text1"/>
          <w:lang w:eastAsia="en-US"/>
        </w:rPr>
        <w:t xml:space="preserve"> </w:t>
      </w:r>
      <w:r w:rsidRPr="002D2ED8">
        <w:rPr>
          <w:rFonts w:ascii="Times New Roman" w:eastAsia="Calibri" w:hAnsi="Times New Roman" w:cs="Times New Roman"/>
          <w:i w:val="0"/>
          <w:color w:val="000000" w:themeColor="text1"/>
          <w:lang w:eastAsia="en-US"/>
        </w:rPr>
        <w:t xml:space="preserve">по итогам </w:t>
      </w:r>
      <w:r w:rsidRPr="002D2ED8">
        <w:rPr>
          <w:rFonts w:ascii="Times New Roman" w:eastAsia="Calibri" w:hAnsi="Times New Roman" w:cs="Times New Roman"/>
          <w:i w:val="0"/>
          <w:lang w:eastAsia="en-US"/>
        </w:rPr>
        <w:t>AQR</w:t>
      </w:r>
      <w:bookmarkEnd w:id="24"/>
      <w:r w:rsidRPr="002D2ED8">
        <w:rPr>
          <w:rFonts w:ascii="Times New Roman" w:eastAsia="Calibri" w:hAnsi="Times New Roman" w:cs="Times New Roman"/>
          <w:i w:val="0"/>
          <w:lang w:eastAsia="en-US"/>
        </w:rPr>
        <w:t xml:space="preserve"> </w:t>
      </w:r>
    </w:p>
    <w:p w14:paraId="146B36CE" w14:textId="3B94E5A3" w:rsidR="00641700" w:rsidRPr="002D2ED8" w:rsidRDefault="00641700" w:rsidP="00C01CE8">
      <w:pPr>
        <w:ind w:firstLine="708"/>
        <w:jc w:val="both"/>
        <w:rPr>
          <w:sz w:val="28"/>
          <w:szCs w:val="28"/>
        </w:rPr>
      </w:pPr>
      <w:r w:rsidRPr="002D2ED8">
        <w:rPr>
          <w:sz w:val="28"/>
          <w:szCs w:val="28"/>
        </w:rPr>
        <w:t xml:space="preserve">В 2020 году Национальный Банк завершил оценку качества активов </w:t>
      </w:r>
      <w:r w:rsidRPr="002D2ED8">
        <w:rPr>
          <w:rFonts w:eastAsia="Calibri"/>
          <w:sz w:val="28"/>
          <w:szCs w:val="28"/>
          <w:lang w:eastAsia="en-US"/>
        </w:rPr>
        <w:t>(AQR)</w:t>
      </w:r>
      <w:r w:rsidRPr="002D2ED8">
        <w:rPr>
          <w:sz w:val="28"/>
          <w:szCs w:val="28"/>
        </w:rPr>
        <w:t xml:space="preserve"> 14-ти крупнейших банков,</w:t>
      </w:r>
      <w:r w:rsidR="007B1721" w:rsidRPr="002D2ED8">
        <w:rPr>
          <w:sz w:val="28"/>
          <w:szCs w:val="28"/>
        </w:rPr>
        <w:t xml:space="preserve"> </w:t>
      </w:r>
      <w:r w:rsidRPr="002D2ED8">
        <w:rPr>
          <w:sz w:val="28"/>
          <w:szCs w:val="28"/>
        </w:rPr>
        <w:t xml:space="preserve">на долю </w:t>
      </w:r>
      <w:r w:rsidR="007B1721" w:rsidRPr="002D2ED8">
        <w:rPr>
          <w:sz w:val="28"/>
          <w:szCs w:val="28"/>
        </w:rPr>
        <w:t>которых</w:t>
      </w:r>
      <w:r w:rsidRPr="002D2ED8">
        <w:rPr>
          <w:sz w:val="28"/>
          <w:szCs w:val="28"/>
        </w:rPr>
        <w:t xml:space="preserve"> приходилось 87% от общего объёма банковских активов страны и 90% от общего ссудного портфеля банков.</w:t>
      </w:r>
    </w:p>
    <w:p w14:paraId="70224271" w14:textId="6E2E85B3" w:rsidR="00641700" w:rsidRPr="002D2ED8" w:rsidRDefault="00E777B9" w:rsidP="00C01CE8">
      <w:pPr>
        <w:ind w:firstLine="708"/>
        <w:jc w:val="both"/>
        <w:rPr>
          <w:sz w:val="28"/>
          <w:szCs w:val="28"/>
        </w:rPr>
      </w:pPr>
      <w:r w:rsidRPr="002D2ED8">
        <w:rPr>
          <w:sz w:val="28"/>
          <w:szCs w:val="28"/>
        </w:rPr>
        <w:t>Проведенная о</w:t>
      </w:r>
      <w:r w:rsidR="00641700" w:rsidRPr="002D2ED8">
        <w:rPr>
          <w:sz w:val="28"/>
          <w:szCs w:val="28"/>
        </w:rPr>
        <w:t xml:space="preserve">ценка качества активов </w:t>
      </w:r>
      <w:r w:rsidR="00641700" w:rsidRPr="002D2ED8">
        <w:rPr>
          <w:rFonts w:eastAsia="Calibri"/>
          <w:sz w:val="28"/>
          <w:szCs w:val="28"/>
          <w:lang w:eastAsia="en-US"/>
        </w:rPr>
        <w:t>(AQR)</w:t>
      </w:r>
      <w:r w:rsidR="00641700" w:rsidRPr="002D2ED8">
        <w:rPr>
          <w:sz w:val="28"/>
          <w:szCs w:val="28"/>
        </w:rPr>
        <w:t xml:space="preserve"> </w:t>
      </w:r>
      <w:r w:rsidRPr="002D2ED8">
        <w:rPr>
          <w:sz w:val="28"/>
          <w:szCs w:val="28"/>
        </w:rPr>
        <w:t xml:space="preserve">представляла </w:t>
      </w:r>
      <w:proofErr w:type="gramStart"/>
      <w:r w:rsidRPr="002D2ED8">
        <w:rPr>
          <w:sz w:val="28"/>
          <w:szCs w:val="28"/>
        </w:rPr>
        <w:t xml:space="preserve">собой </w:t>
      </w:r>
      <w:r w:rsidR="00641700" w:rsidRPr="002D2ED8">
        <w:rPr>
          <w:sz w:val="28"/>
          <w:szCs w:val="28"/>
        </w:rPr>
        <w:t xml:space="preserve"> </w:t>
      </w:r>
      <w:proofErr w:type="spellStart"/>
      <w:r w:rsidR="00641700" w:rsidRPr="002D2ED8">
        <w:rPr>
          <w:sz w:val="28"/>
          <w:szCs w:val="28"/>
        </w:rPr>
        <w:t>пруденциальный</w:t>
      </w:r>
      <w:proofErr w:type="spellEnd"/>
      <w:proofErr w:type="gramEnd"/>
      <w:r w:rsidR="00641700" w:rsidRPr="002D2ED8">
        <w:rPr>
          <w:sz w:val="28"/>
          <w:szCs w:val="28"/>
        </w:rPr>
        <w:t xml:space="preserve"> взгляд финансового регулятора на действующую практику финансового учёта и оценки рисков</w:t>
      </w:r>
      <w:r w:rsidR="00E6101E" w:rsidRPr="002D2ED8">
        <w:rPr>
          <w:sz w:val="28"/>
          <w:szCs w:val="28"/>
        </w:rPr>
        <w:t xml:space="preserve"> в банке</w:t>
      </w:r>
      <w:r w:rsidR="00641700" w:rsidRPr="002D2ED8">
        <w:rPr>
          <w:sz w:val="28"/>
          <w:szCs w:val="28"/>
        </w:rPr>
        <w:t>. Целью проверки, которую удалось достичь, было обеспечение объективно</w:t>
      </w:r>
      <w:r w:rsidR="007B1721" w:rsidRPr="002D2ED8">
        <w:rPr>
          <w:sz w:val="28"/>
          <w:szCs w:val="28"/>
        </w:rPr>
        <w:t>й,</w:t>
      </w:r>
      <w:r w:rsidR="00641700" w:rsidRPr="002D2ED8">
        <w:rPr>
          <w:sz w:val="28"/>
          <w:szCs w:val="28"/>
        </w:rPr>
        <w:t xml:space="preserve"> справедливо</w:t>
      </w:r>
      <w:r w:rsidR="007B1721" w:rsidRPr="002D2ED8">
        <w:rPr>
          <w:sz w:val="28"/>
          <w:szCs w:val="28"/>
        </w:rPr>
        <w:t>й и достоверной оценки</w:t>
      </w:r>
      <w:r w:rsidR="00641700" w:rsidRPr="002D2ED8">
        <w:rPr>
          <w:sz w:val="28"/>
          <w:szCs w:val="28"/>
        </w:rPr>
        <w:t xml:space="preserve"> банковски</w:t>
      </w:r>
      <w:r w:rsidR="007B1721" w:rsidRPr="002D2ED8">
        <w:rPr>
          <w:sz w:val="28"/>
          <w:szCs w:val="28"/>
        </w:rPr>
        <w:t>х</w:t>
      </w:r>
      <w:r w:rsidR="00641700" w:rsidRPr="002D2ED8">
        <w:rPr>
          <w:sz w:val="28"/>
          <w:szCs w:val="28"/>
        </w:rPr>
        <w:t xml:space="preserve"> актив</w:t>
      </w:r>
      <w:r w:rsidR="007B1721" w:rsidRPr="002D2ED8">
        <w:rPr>
          <w:sz w:val="28"/>
          <w:szCs w:val="28"/>
        </w:rPr>
        <w:t>ов и уровня</w:t>
      </w:r>
      <w:r w:rsidR="00641700" w:rsidRPr="002D2ED8">
        <w:rPr>
          <w:sz w:val="28"/>
          <w:szCs w:val="28"/>
        </w:rPr>
        <w:t xml:space="preserve"> достаточности капитала </w:t>
      </w:r>
      <w:r w:rsidR="007B1721" w:rsidRPr="002D2ED8">
        <w:rPr>
          <w:sz w:val="28"/>
          <w:szCs w:val="28"/>
        </w:rPr>
        <w:t>банков</w:t>
      </w:r>
      <w:r w:rsidR="00641700" w:rsidRPr="002D2ED8">
        <w:rPr>
          <w:sz w:val="28"/>
          <w:szCs w:val="28"/>
        </w:rPr>
        <w:t>.</w:t>
      </w:r>
    </w:p>
    <w:p w14:paraId="78984F60" w14:textId="1FA16EA5" w:rsidR="00641700" w:rsidRPr="002D2ED8" w:rsidRDefault="00641700" w:rsidP="00C01CE8">
      <w:pPr>
        <w:tabs>
          <w:tab w:val="left" w:pos="1134"/>
        </w:tabs>
        <w:ind w:firstLine="709"/>
        <w:jc w:val="both"/>
        <w:rPr>
          <w:sz w:val="28"/>
          <w:szCs w:val="28"/>
        </w:rPr>
      </w:pPr>
      <w:r w:rsidRPr="002D2ED8">
        <w:rPr>
          <w:sz w:val="28"/>
          <w:szCs w:val="28"/>
        </w:rPr>
        <w:lastRenderedPageBreak/>
        <w:t xml:space="preserve">Результаты </w:t>
      </w:r>
      <w:r w:rsidRPr="002D2ED8">
        <w:rPr>
          <w:rFonts w:eastAsia="Calibri"/>
          <w:sz w:val="28"/>
          <w:szCs w:val="28"/>
          <w:lang w:eastAsia="en-US"/>
        </w:rPr>
        <w:t>AQR</w:t>
      </w:r>
      <w:r w:rsidRPr="002D2ED8">
        <w:rPr>
          <w:sz w:val="28"/>
          <w:szCs w:val="28"/>
        </w:rPr>
        <w:t xml:space="preserve"> по состоянию на 1 апреля 2019 года подтвердили, что как на системном уровне, так и на уровне отдельных банков, участвовавших в </w:t>
      </w:r>
      <w:r w:rsidRPr="002D2ED8">
        <w:rPr>
          <w:rFonts w:eastAsia="Calibri"/>
          <w:sz w:val="28"/>
          <w:szCs w:val="28"/>
          <w:lang w:eastAsia="en-US"/>
        </w:rPr>
        <w:t>AQR</w:t>
      </w:r>
      <w:r w:rsidRPr="002D2ED8">
        <w:rPr>
          <w:sz w:val="28"/>
          <w:szCs w:val="28"/>
        </w:rPr>
        <w:t>, дефицит капитала отсутствует</w:t>
      </w:r>
      <w:r w:rsidR="00514076" w:rsidRPr="002D2ED8">
        <w:rPr>
          <w:sz w:val="28"/>
          <w:szCs w:val="28"/>
        </w:rPr>
        <w:t xml:space="preserve"> (</w:t>
      </w:r>
      <w:r w:rsidR="00FE72D8" w:rsidRPr="002D2ED8">
        <w:rPr>
          <w:sz w:val="28"/>
          <w:szCs w:val="28"/>
        </w:rPr>
        <w:t xml:space="preserve">запас капитала на системном уровне составил порядка 800 млрд. тенге, </w:t>
      </w:r>
      <w:r w:rsidR="002E49E8" w:rsidRPr="002D2ED8">
        <w:rPr>
          <w:sz w:val="28"/>
          <w:szCs w:val="28"/>
        </w:rPr>
        <w:t>в среднем, по банкам коэффициент достаточности капитала составил 13% от суммы активов, взвешенных по риску, при нормативе 7,5%).</w:t>
      </w:r>
    </w:p>
    <w:p w14:paraId="6F9488D8" w14:textId="71B6C96F" w:rsidR="00641700" w:rsidRPr="002D2ED8" w:rsidRDefault="00641700" w:rsidP="009903D0">
      <w:pPr>
        <w:tabs>
          <w:tab w:val="left" w:pos="1608"/>
        </w:tabs>
        <w:ind w:firstLine="709"/>
        <w:jc w:val="both"/>
        <w:rPr>
          <w:sz w:val="28"/>
          <w:szCs w:val="28"/>
        </w:rPr>
      </w:pPr>
      <w:r w:rsidRPr="002D2ED8">
        <w:rPr>
          <w:sz w:val="28"/>
          <w:szCs w:val="28"/>
        </w:rPr>
        <w:t xml:space="preserve">По итогам проведенного AQR </w:t>
      </w:r>
      <w:r w:rsidR="00C43E46" w:rsidRPr="002D2ED8">
        <w:rPr>
          <w:sz w:val="28"/>
          <w:szCs w:val="28"/>
        </w:rPr>
        <w:t xml:space="preserve">в апреле 2020 года Агентством были согласованы </w:t>
      </w:r>
      <w:r w:rsidR="00C43E46" w:rsidRPr="002D2ED8">
        <w:rPr>
          <w:rFonts w:eastAsia="Calibri"/>
          <w:sz w:val="28"/>
          <w:szCs w:val="28"/>
          <w:lang w:eastAsia="en-US"/>
        </w:rPr>
        <w:t>индивидуальные планы корректирующих мер</w:t>
      </w:r>
      <w:r w:rsidR="00C43E46" w:rsidRPr="002D2ED8">
        <w:rPr>
          <w:rFonts w:eastAsia="Calibri"/>
          <w:b/>
          <w:sz w:val="28"/>
          <w:szCs w:val="28"/>
          <w:lang w:eastAsia="en-US"/>
        </w:rPr>
        <w:t xml:space="preserve"> </w:t>
      </w:r>
      <w:r w:rsidR="00C43E46" w:rsidRPr="002D2ED8">
        <w:rPr>
          <w:sz w:val="28"/>
          <w:szCs w:val="28"/>
        </w:rPr>
        <w:t>по 14-ти банкам-участникам AQR, направленные на устранение выявленных недостатков для</w:t>
      </w:r>
      <w:r w:rsidRPr="002D2ED8">
        <w:rPr>
          <w:sz w:val="28"/>
          <w:szCs w:val="28"/>
        </w:rPr>
        <w:t xml:space="preserve"> повышения качества процессов, данных, политик и процедур </w:t>
      </w:r>
      <w:r w:rsidR="00C43E46" w:rsidRPr="002D2ED8">
        <w:rPr>
          <w:sz w:val="28"/>
          <w:szCs w:val="28"/>
        </w:rPr>
        <w:t xml:space="preserve">по </w:t>
      </w:r>
      <w:r w:rsidRPr="002D2ED8">
        <w:rPr>
          <w:sz w:val="28"/>
          <w:szCs w:val="28"/>
        </w:rPr>
        <w:t>управлени</w:t>
      </w:r>
      <w:r w:rsidR="00C43E46" w:rsidRPr="002D2ED8">
        <w:rPr>
          <w:sz w:val="28"/>
          <w:szCs w:val="28"/>
        </w:rPr>
        <w:t>ю</w:t>
      </w:r>
      <w:r w:rsidRPr="002D2ED8">
        <w:rPr>
          <w:sz w:val="28"/>
          <w:szCs w:val="28"/>
        </w:rPr>
        <w:t xml:space="preserve"> кредитным риском</w:t>
      </w:r>
      <w:r w:rsidR="00E36B08" w:rsidRPr="002D2ED8">
        <w:rPr>
          <w:sz w:val="28"/>
          <w:szCs w:val="28"/>
        </w:rPr>
        <w:t xml:space="preserve">, </w:t>
      </w:r>
      <w:r w:rsidRPr="002D2ED8">
        <w:rPr>
          <w:sz w:val="28"/>
          <w:szCs w:val="28"/>
        </w:rPr>
        <w:t>развити</w:t>
      </w:r>
      <w:r w:rsidR="00C43E46" w:rsidRPr="002D2ED8">
        <w:rPr>
          <w:sz w:val="28"/>
          <w:szCs w:val="28"/>
        </w:rPr>
        <w:t>е</w:t>
      </w:r>
      <w:r w:rsidRPr="002D2ED8">
        <w:rPr>
          <w:sz w:val="28"/>
          <w:szCs w:val="28"/>
        </w:rPr>
        <w:t xml:space="preserve"> процессов контроля качества оценок залогового имущества и </w:t>
      </w:r>
      <w:r w:rsidR="009903D0" w:rsidRPr="002D2ED8">
        <w:rPr>
          <w:sz w:val="28"/>
          <w:szCs w:val="28"/>
        </w:rPr>
        <w:t>имущества</w:t>
      </w:r>
      <w:r w:rsidRPr="002D2ED8">
        <w:rPr>
          <w:sz w:val="28"/>
          <w:szCs w:val="28"/>
        </w:rPr>
        <w:t xml:space="preserve"> на балансе банков</w:t>
      </w:r>
      <w:r w:rsidR="009903D0" w:rsidRPr="002D2ED8">
        <w:rPr>
          <w:sz w:val="28"/>
          <w:szCs w:val="28"/>
        </w:rPr>
        <w:t xml:space="preserve">, </w:t>
      </w:r>
      <w:r w:rsidRPr="002D2ED8">
        <w:rPr>
          <w:sz w:val="28"/>
          <w:szCs w:val="28"/>
        </w:rPr>
        <w:t>бизнес-планировани</w:t>
      </w:r>
      <w:r w:rsidR="009903D0" w:rsidRPr="002D2ED8">
        <w:rPr>
          <w:sz w:val="28"/>
          <w:szCs w:val="28"/>
        </w:rPr>
        <w:t>я</w:t>
      </w:r>
      <w:r w:rsidRPr="002D2ED8">
        <w:rPr>
          <w:sz w:val="28"/>
          <w:szCs w:val="28"/>
        </w:rPr>
        <w:t>, бюджетировани</w:t>
      </w:r>
      <w:r w:rsidR="009903D0" w:rsidRPr="002D2ED8">
        <w:rPr>
          <w:sz w:val="28"/>
          <w:szCs w:val="28"/>
        </w:rPr>
        <w:t>я</w:t>
      </w:r>
      <w:r w:rsidRPr="002D2ED8">
        <w:rPr>
          <w:sz w:val="28"/>
          <w:szCs w:val="28"/>
        </w:rPr>
        <w:t xml:space="preserve"> и разработк</w:t>
      </w:r>
      <w:r w:rsidR="009903D0" w:rsidRPr="002D2ED8">
        <w:rPr>
          <w:sz w:val="28"/>
          <w:szCs w:val="28"/>
        </w:rPr>
        <w:t>и</w:t>
      </w:r>
      <w:r w:rsidRPr="002D2ED8">
        <w:rPr>
          <w:sz w:val="28"/>
          <w:szCs w:val="28"/>
        </w:rPr>
        <w:t xml:space="preserve"> стратегии, калибровк</w:t>
      </w:r>
      <w:r w:rsidR="009903D0" w:rsidRPr="002D2ED8">
        <w:rPr>
          <w:sz w:val="28"/>
          <w:szCs w:val="28"/>
        </w:rPr>
        <w:t>и</w:t>
      </w:r>
      <w:r w:rsidRPr="002D2ED8">
        <w:rPr>
          <w:sz w:val="28"/>
          <w:szCs w:val="28"/>
        </w:rPr>
        <w:t xml:space="preserve"> лимитов аппетита к риску</w:t>
      </w:r>
      <w:r w:rsidR="009903D0" w:rsidRPr="002D2ED8">
        <w:rPr>
          <w:sz w:val="28"/>
          <w:szCs w:val="28"/>
        </w:rPr>
        <w:t xml:space="preserve">, </w:t>
      </w:r>
      <w:r w:rsidRPr="002D2ED8">
        <w:rPr>
          <w:sz w:val="28"/>
          <w:szCs w:val="28"/>
        </w:rPr>
        <w:t>совершенствовани</w:t>
      </w:r>
      <w:r w:rsidR="009903D0" w:rsidRPr="002D2ED8">
        <w:rPr>
          <w:sz w:val="28"/>
          <w:szCs w:val="28"/>
        </w:rPr>
        <w:t>я</w:t>
      </w:r>
      <w:r w:rsidRPr="002D2ED8">
        <w:rPr>
          <w:sz w:val="28"/>
          <w:szCs w:val="28"/>
        </w:rPr>
        <w:t xml:space="preserve"> политик и правил учёта инструментов хеджирования</w:t>
      </w:r>
      <w:r w:rsidR="009903D0" w:rsidRPr="002D2ED8">
        <w:rPr>
          <w:sz w:val="28"/>
          <w:szCs w:val="28"/>
        </w:rPr>
        <w:t xml:space="preserve"> и т.д.</w:t>
      </w:r>
      <w:r w:rsidR="009E7414" w:rsidRPr="002D2ED8">
        <w:rPr>
          <w:sz w:val="28"/>
          <w:szCs w:val="28"/>
        </w:rPr>
        <w:t xml:space="preserve"> (итого 23 449 мероприятий).</w:t>
      </w:r>
    </w:p>
    <w:p w14:paraId="6DD9BD10" w14:textId="77777777" w:rsidR="00641700" w:rsidRPr="002D2ED8" w:rsidRDefault="00641700" w:rsidP="00C01CE8">
      <w:pPr>
        <w:ind w:firstLine="708"/>
        <w:jc w:val="both"/>
        <w:rPr>
          <w:sz w:val="28"/>
          <w:szCs w:val="28"/>
        </w:rPr>
      </w:pPr>
      <w:r w:rsidRPr="002D2ED8">
        <w:rPr>
          <w:sz w:val="28"/>
          <w:szCs w:val="28"/>
        </w:rPr>
        <w:t>Планы мероприятий предусматривают индивидуальные меры (мероприятия, направленные на устранение конкретных нарушений/недостатков в каждом банке) и общие корректирующие меры (обновление верхнеуровневых бизнес-процессов, таких как бизнес-планирование, бюджетирование, риск-аппетит и т.п.).</w:t>
      </w:r>
    </w:p>
    <w:p w14:paraId="7419CEC2" w14:textId="77777777" w:rsidR="00641700" w:rsidRPr="002D2ED8" w:rsidRDefault="00641700" w:rsidP="00C01CE8">
      <w:pPr>
        <w:ind w:firstLine="708"/>
        <w:jc w:val="both"/>
        <w:rPr>
          <w:sz w:val="28"/>
          <w:szCs w:val="28"/>
        </w:rPr>
      </w:pPr>
      <w:r w:rsidRPr="002D2ED8">
        <w:rPr>
          <w:sz w:val="28"/>
          <w:szCs w:val="28"/>
        </w:rPr>
        <w:t>Хронология Планов мероприятий предусмотрена следующим образом:</w:t>
      </w:r>
    </w:p>
    <w:p w14:paraId="1D1DD054" w14:textId="77777777" w:rsidR="00641700" w:rsidRPr="002D2ED8" w:rsidRDefault="00641700" w:rsidP="00C01CE8">
      <w:pPr>
        <w:ind w:firstLine="708"/>
        <w:jc w:val="both"/>
        <w:rPr>
          <w:sz w:val="28"/>
          <w:szCs w:val="28"/>
        </w:rPr>
      </w:pPr>
      <w:r w:rsidRPr="002D2ED8">
        <w:rPr>
          <w:sz w:val="28"/>
          <w:szCs w:val="28"/>
        </w:rPr>
        <w:t>2020 год – разработка проектов методологий с учетом обновленных подходов (банками разработаны методологии по изменению процедур кредитования, полноты кредитной документации);</w:t>
      </w:r>
    </w:p>
    <w:p w14:paraId="1BCDF711" w14:textId="77777777" w:rsidR="00641700" w:rsidRPr="002D2ED8" w:rsidRDefault="00641700" w:rsidP="00C01CE8">
      <w:pPr>
        <w:ind w:firstLine="708"/>
        <w:jc w:val="both"/>
        <w:rPr>
          <w:sz w:val="28"/>
          <w:szCs w:val="28"/>
        </w:rPr>
      </w:pPr>
      <w:r w:rsidRPr="002D2ED8">
        <w:rPr>
          <w:sz w:val="28"/>
          <w:szCs w:val="28"/>
        </w:rPr>
        <w:t>2021 год – согласование проектов с Агентством, утверждение обновленных внутренних нормативных документов, пилотирование и подготовка технических заданий для последующей автоматизации;</w:t>
      </w:r>
    </w:p>
    <w:p w14:paraId="478C04C4" w14:textId="1A8328E9" w:rsidR="00641700" w:rsidRPr="002D2ED8" w:rsidRDefault="00641700" w:rsidP="00C01CE8">
      <w:pPr>
        <w:ind w:firstLine="708"/>
        <w:jc w:val="both"/>
        <w:rPr>
          <w:sz w:val="28"/>
          <w:szCs w:val="28"/>
        </w:rPr>
      </w:pPr>
      <w:r w:rsidRPr="002D2ED8">
        <w:rPr>
          <w:sz w:val="28"/>
          <w:szCs w:val="28"/>
        </w:rPr>
        <w:t>2022 год – завершение пилотировани</w:t>
      </w:r>
      <w:r w:rsidR="001A5BD8" w:rsidRPr="002D2ED8">
        <w:rPr>
          <w:sz w:val="28"/>
          <w:szCs w:val="28"/>
        </w:rPr>
        <w:t>я</w:t>
      </w:r>
      <w:r w:rsidRPr="002D2ED8">
        <w:rPr>
          <w:sz w:val="28"/>
          <w:szCs w:val="28"/>
        </w:rPr>
        <w:t xml:space="preserve"> и внедрение в бизнес-процессы, начало автоматизации;</w:t>
      </w:r>
    </w:p>
    <w:p w14:paraId="619FB8E1" w14:textId="2A239005" w:rsidR="00641700" w:rsidRPr="002D2ED8" w:rsidRDefault="00641700" w:rsidP="00C01CE8">
      <w:pPr>
        <w:ind w:firstLine="708"/>
        <w:jc w:val="both"/>
        <w:rPr>
          <w:sz w:val="28"/>
          <w:szCs w:val="28"/>
        </w:rPr>
      </w:pPr>
      <w:r w:rsidRPr="002D2ED8">
        <w:rPr>
          <w:sz w:val="28"/>
          <w:szCs w:val="28"/>
        </w:rPr>
        <w:t>2023 год – завершение автоматизации и полное исполнение Планов мероприятий.</w:t>
      </w:r>
    </w:p>
    <w:p w14:paraId="3158D247" w14:textId="77777777" w:rsidR="00F5072E" w:rsidRPr="002D2ED8" w:rsidRDefault="00F5072E" w:rsidP="00C01CE8">
      <w:pPr>
        <w:ind w:firstLine="708"/>
        <w:jc w:val="both"/>
        <w:rPr>
          <w:color w:val="000000" w:themeColor="text1"/>
          <w:sz w:val="28"/>
          <w:szCs w:val="28"/>
        </w:rPr>
      </w:pPr>
    </w:p>
    <w:p w14:paraId="409EE43C" w14:textId="1AEB3C79" w:rsidR="00641700" w:rsidRPr="002D2ED8" w:rsidRDefault="00641700" w:rsidP="00C01CE8">
      <w:pPr>
        <w:ind w:firstLine="708"/>
        <w:jc w:val="both"/>
        <w:rPr>
          <w:rFonts w:eastAsia="Calibri"/>
          <w:color w:val="000000" w:themeColor="text1"/>
          <w:sz w:val="28"/>
          <w:szCs w:val="28"/>
        </w:rPr>
      </w:pPr>
      <w:r w:rsidRPr="002D2ED8">
        <w:rPr>
          <w:rFonts w:eastAsia="Calibri"/>
          <w:color w:val="000000" w:themeColor="text1"/>
          <w:sz w:val="28"/>
          <w:szCs w:val="28"/>
        </w:rPr>
        <w:t>В 202</w:t>
      </w:r>
      <w:r w:rsidR="00C01CE8" w:rsidRPr="002D2ED8">
        <w:rPr>
          <w:rFonts w:eastAsia="Calibri"/>
          <w:color w:val="000000" w:themeColor="text1"/>
          <w:sz w:val="28"/>
          <w:szCs w:val="28"/>
        </w:rPr>
        <w:t>2</w:t>
      </w:r>
      <w:r w:rsidRPr="002D2ED8">
        <w:rPr>
          <w:rFonts w:eastAsia="Calibri"/>
          <w:color w:val="000000" w:themeColor="text1"/>
          <w:sz w:val="28"/>
          <w:szCs w:val="28"/>
        </w:rPr>
        <w:t xml:space="preserve"> году банки-участники AQR продолжили работу по практическому внедрению обновленных </w:t>
      </w:r>
      <w:r w:rsidR="00F5072E" w:rsidRPr="002D2ED8">
        <w:rPr>
          <w:rFonts w:eastAsia="Calibri"/>
          <w:color w:val="000000" w:themeColor="text1"/>
          <w:sz w:val="28"/>
          <w:szCs w:val="28"/>
        </w:rPr>
        <w:t xml:space="preserve">в 2020-2021 годах </w:t>
      </w:r>
      <w:r w:rsidRPr="002D2ED8">
        <w:rPr>
          <w:rFonts w:eastAsia="Calibri"/>
          <w:color w:val="000000" w:themeColor="text1"/>
          <w:sz w:val="28"/>
          <w:szCs w:val="28"/>
        </w:rPr>
        <w:t xml:space="preserve">процессов в свои бизнес-процессы. Обновлены процессы выдачи кредитов, анализа платежеспособности заемщиков и оценки залогов, доработаны внутренние модели оценки рисков.  </w:t>
      </w:r>
    </w:p>
    <w:p w14:paraId="6E77492D" w14:textId="79F4A54C" w:rsidR="00641700" w:rsidRPr="002D2ED8" w:rsidRDefault="00641700" w:rsidP="00C01CE8">
      <w:pPr>
        <w:ind w:firstLine="709"/>
        <w:jc w:val="both"/>
        <w:rPr>
          <w:bCs/>
          <w:color w:val="000000" w:themeColor="text1"/>
          <w:sz w:val="28"/>
          <w:szCs w:val="28"/>
        </w:rPr>
      </w:pPr>
      <w:r w:rsidRPr="002D2ED8">
        <w:rPr>
          <w:bCs/>
          <w:color w:val="000000" w:themeColor="text1"/>
          <w:sz w:val="28"/>
          <w:szCs w:val="28"/>
        </w:rPr>
        <w:t xml:space="preserve">В процессе исполнения банками Планов мероприятий были учтены </w:t>
      </w:r>
      <w:r w:rsidR="00597541" w:rsidRPr="002D2ED8">
        <w:rPr>
          <w:bCs/>
          <w:color w:val="000000" w:themeColor="text1"/>
          <w:sz w:val="28"/>
          <w:szCs w:val="28"/>
        </w:rPr>
        <w:t xml:space="preserve">внесенные в 2021 году </w:t>
      </w:r>
      <w:r w:rsidRPr="002D2ED8">
        <w:rPr>
          <w:bCs/>
          <w:color w:val="000000" w:themeColor="text1"/>
          <w:sz w:val="28"/>
          <w:szCs w:val="28"/>
        </w:rPr>
        <w:t>изменения в банковское законодательство Республики Казахстан в части</w:t>
      </w:r>
      <w:r w:rsidR="0055726C" w:rsidRPr="002D2ED8">
        <w:rPr>
          <w:bCs/>
          <w:color w:val="000000" w:themeColor="text1"/>
          <w:sz w:val="28"/>
          <w:szCs w:val="28"/>
        </w:rPr>
        <w:t xml:space="preserve"> усиления</w:t>
      </w:r>
      <w:r w:rsidRPr="002D2ED8">
        <w:rPr>
          <w:bCs/>
          <w:color w:val="000000" w:themeColor="text1"/>
          <w:sz w:val="28"/>
          <w:szCs w:val="28"/>
        </w:rPr>
        <w:t xml:space="preserve"> требований к созданию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rsidR="0055726C" w:rsidRPr="002D2ED8">
        <w:rPr>
          <w:bCs/>
          <w:color w:val="000000" w:themeColor="text1"/>
          <w:sz w:val="28"/>
          <w:szCs w:val="28"/>
        </w:rPr>
        <w:t xml:space="preserve">по </w:t>
      </w:r>
      <w:r w:rsidRPr="002D2ED8">
        <w:rPr>
          <w:bCs/>
          <w:color w:val="000000" w:themeColor="text1"/>
          <w:sz w:val="28"/>
          <w:szCs w:val="28"/>
        </w:rPr>
        <w:t>критери</w:t>
      </w:r>
      <w:r w:rsidR="0055726C" w:rsidRPr="002D2ED8">
        <w:rPr>
          <w:bCs/>
          <w:color w:val="000000" w:themeColor="text1"/>
          <w:sz w:val="28"/>
          <w:szCs w:val="28"/>
        </w:rPr>
        <w:t>ям</w:t>
      </w:r>
      <w:r w:rsidRPr="002D2ED8">
        <w:rPr>
          <w:bCs/>
          <w:color w:val="000000" w:themeColor="text1"/>
          <w:sz w:val="28"/>
          <w:szCs w:val="28"/>
        </w:rPr>
        <w:t xml:space="preserve"> дефолта (PD), </w:t>
      </w:r>
      <w:r w:rsidR="0055726C" w:rsidRPr="002D2ED8">
        <w:rPr>
          <w:bCs/>
          <w:color w:val="000000" w:themeColor="text1"/>
          <w:sz w:val="28"/>
          <w:szCs w:val="28"/>
        </w:rPr>
        <w:t xml:space="preserve">определениям вида </w:t>
      </w:r>
      <w:r w:rsidRPr="002D2ED8">
        <w:rPr>
          <w:bCs/>
          <w:color w:val="000000" w:themeColor="text1"/>
          <w:sz w:val="28"/>
          <w:szCs w:val="28"/>
        </w:rPr>
        <w:t>реструктуризации</w:t>
      </w:r>
      <w:r w:rsidR="0055726C" w:rsidRPr="002D2ED8">
        <w:rPr>
          <w:bCs/>
          <w:color w:val="000000" w:themeColor="text1"/>
          <w:sz w:val="28"/>
          <w:szCs w:val="28"/>
        </w:rPr>
        <w:t xml:space="preserve"> займов</w:t>
      </w:r>
      <w:r w:rsidRPr="002D2ED8">
        <w:rPr>
          <w:bCs/>
          <w:color w:val="000000" w:themeColor="text1"/>
          <w:sz w:val="28"/>
          <w:szCs w:val="28"/>
        </w:rPr>
        <w:t>, расчет</w:t>
      </w:r>
      <w:r w:rsidR="0055726C" w:rsidRPr="002D2ED8">
        <w:rPr>
          <w:bCs/>
          <w:color w:val="000000" w:themeColor="text1"/>
          <w:sz w:val="28"/>
          <w:szCs w:val="28"/>
        </w:rPr>
        <w:t>у</w:t>
      </w:r>
      <w:r w:rsidRPr="002D2ED8">
        <w:rPr>
          <w:bCs/>
          <w:color w:val="000000" w:themeColor="text1"/>
          <w:sz w:val="28"/>
          <w:szCs w:val="28"/>
        </w:rPr>
        <w:t xml:space="preserve"> ожидаемых кредитных убытков (</w:t>
      </w:r>
      <w:r w:rsidR="00EF50BC" w:rsidRPr="002D2ED8">
        <w:rPr>
          <w:bCs/>
          <w:color w:val="000000" w:themeColor="text1"/>
          <w:sz w:val="28"/>
          <w:szCs w:val="28"/>
          <w:lang w:val="en-US"/>
        </w:rPr>
        <w:t>ECL</w:t>
      </w:r>
      <w:r w:rsidRPr="002D2ED8">
        <w:rPr>
          <w:bCs/>
          <w:color w:val="000000" w:themeColor="text1"/>
          <w:sz w:val="28"/>
          <w:szCs w:val="28"/>
        </w:rPr>
        <w:t xml:space="preserve">) и т.п.), исключение требований по формированию провизий (резервов) под обесценение </w:t>
      </w:r>
      <w:r w:rsidRPr="002D2ED8">
        <w:rPr>
          <w:bCs/>
          <w:color w:val="000000" w:themeColor="text1"/>
          <w:sz w:val="28"/>
          <w:szCs w:val="28"/>
        </w:rPr>
        <w:lastRenderedPageBreak/>
        <w:t xml:space="preserve">активов банка в виде займов и дебиторской задолженности (регуляторные провизии). </w:t>
      </w:r>
    </w:p>
    <w:p w14:paraId="713F3636" w14:textId="504943A0" w:rsidR="00641700" w:rsidRPr="002D2ED8" w:rsidRDefault="00641700" w:rsidP="00C01CE8">
      <w:pPr>
        <w:ind w:firstLine="709"/>
        <w:jc w:val="both"/>
        <w:rPr>
          <w:bCs/>
          <w:color w:val="000000" w:themeColor="text1"/>
          <w:sz w:val="28"/>
          <w:szCs w:val="28"/>
        </w:rPr>
      </w:pPr>
      <w:r w:rsidRPr="002D2ED8">
        <w:rPr>
          <w:bCs/>
          <w:color w:val="000000" w:themeColor="text1"/>
          <w:sz w:val="28"/>
          <w:szCs w:val="28"/>
        </w:rPr>
        <w:t>В частности, банками скорректированы триггеры обесценения займов, критерии реструктуризации, внесены корректировки в методики формирования провизий, обновлены процессы анализа платежеспособности заемщиков, составления финансовой и регуляторной отчётности, построения моделей оценки розничных займов, пересмотрены процессы бизнес-планирования, бюджетирования, стратегий развития и ценообразования.</w:t>
      </w:r>
    </w:p>
    <w:p w14:paraId="1A9C6C30" w14:textId="755F9819" w:rsidR="009A7172" w:rsidRPr="002D2ED8" w:rsidRDefault="009A7172" w:rsidP="00C01CE8">
      <w:pPr>
        <w:ind w:firstLine="709"/>
        <w:jc w:val="both"/>
        <w:rPr>
          <w:bCs/>
          <w:color w:val="000000" w:themeColor="text1"/>
          <w:sz w:val="28"/>
          <w:szCs w:val="28"/>
        </w:rPr>
      </w:pPr>
      <w:r w:rsidRPr="002D2ED8">
        <w:rPr>
          <w:sz w:val="28"/>
          <w:szCs w:val="28"/>
        </w:rPr>
        <w:t>Итого в 2022 году банками выполнено 8 613 корректирующих мероприятий, а с апреля 2020 года банками реализовано 95,7% или 22 439 корректирующих мероприятий от общего количества мероприятий (23 449).</w:t>
      </w:r>
      <w:r w:rsidR="003F27FB" w:rsidRPr="002D2ED8">
        <w:rPr>
          <w:sz w:val="28"/>
          <w:szCs w:val="28"/>
        </w:rPr>
        <w:t xml:space="preserve"> </w:t>
      </w:r>
    </w:p>
    <w:p w14:paraId="210FA0FE" w14:textId="7C64613A" w:rsidR="00641700" w:rsidRPr="002D2ED8" w:rsidRDefault="00641700" w:rsidP="00C01CE8">
      <w:pPr>
        <w:ind w:firstLine="709"/>
        <w:jc w:val="both"/>
        <w:rPr>
          <w:bCs/>
          <w:color w:val="000000" w:themeColor="text1"/>
          <w:sz w:val="28"/>
          <w:szCs w:val="28"/>
        </w:rPr>
      </w:pPr>
      <w:r w:rsidRPr="002D2ED8">
        <w:rPr>
          <w:bCs/>
          <w:color w:val="000000" w:themeColor="text1"/>
          <w:sz w:val="28"/>
          <w:szCs w:val="28"/>
        </w:rPr>
        <w:t xml:space="preserve">Контроль исполнения </w:t>
      </w:r>
      <w:r w:rsidR="003F27FB" w:rsidRPr="002D2ED8">
        <w:rPr>
          <w:bCs/>
          <w:color w:val="000000" w:themeColor="text1"/>
          <w:sz w:val="28"/>
          <w:szCs w:val="28"/>
        </w:rPr>
        <w:t>банками</w:t>
      </w:r>
      <w:r w:rsidR="00980488" w:rsidRPr="002D2ED8">
        <w:rPr>
          <w:bCs/>
          <w:color w:val="000000" w:themeColor="text1"/>
          <w:sz w:val="28"/>
          <w:szCs w:val="28"/>
        </w:rPr>
        <w:t xml:space="preserve"> </w:t>
      </w:r>
      <w:r w:rsidRPr="002D2ED8">
        <w:rPr>
          <w:bCs/>
          <w:color w:val="000000" w:themeColor="text1"/>
          <w:sz w:val="28"/>
          <w:szCs w:val="28"/>
        </w:rPr>
        <w:t>запланированных мероприятий осуществля</w:t>
      </w:r>
      <w:r w:rsidR="003F27FB" w:rsidRPr="002D2ED8">
        <w:rPr>
          <w:bCs/>
          <w:color w:val="000000" w:themeColor="text1"/>
          <w:sz w:val="28"/>
          <w:szCs w:val="28"/>
        </w:rPr>
        <w:t>етс</w:t>
      </w:r>
      <w:r w:rsidRPr="002D2ED8">
        <w:rPr>
          <w:bCs/>
          <w:color w:val="000000" w:themeColor="text1"/>
          <w:sz w:val="28"/>
          <w:szCs w:val="28"/>
        </w:rPr>
        <w:t xml:space="preserve">я Агентством посредством дистанционного надзора и проведения инспекторских проверок. В целом, за период с 2021-2022гг. проведены инспекторские проверки </w:t>
      </w:r>
      <w:r w:rsidR="005B0935" w:rsidRPr="002D2ED8">
        <w:rPr>
          <w:bCs/>
          <w:sz w:val="28"/>
          <w:szCs w:val="28"/>
        </w:rPr>
        <w:t>7</w:t>
      </w:r>
      <w:r w:rsidRPr="002D2ED8">
        <w:rPr>
          <w:bCs/>
          <w:sz w:val="28"/>
          <w:szCs w:val="28"/>
        </w:rPr>
        <w:t>-</w:t>
      </w:r>
      <w:r w:rsidR="005B0935" w:rsidRPr="002D2ED8">
        <w:rPr>
          <w:bCs/>
          <w:sz w:val="28"/>
          <w:szCs w:val="28"/>
        </w:rPr>
        <w:t>м</w:t>
      </w:r>
      <w:r w:rsidRPr="002D2ED8">
        <w:rPr>
          <w:bCs/>
          <w:sz w:val="28"/>
          <w:szCs w:val="28"/>
        </w:rPr>
        <w:t>и банков</w:t>
      </w:r>
      <w:r w:rsidRPr="002D2ED8">
        <w:rPr>
          <w:bCs/>
          <w:color w:val="000000" w:themeColor="text1"/>
          <w:sz w:val="28"/>
          <w:szCs w:val="28"/>
        </w:rPr>
        <w:t>-участников AQR</w:t>
      </w:r>
      <w:r w:rsidR="00597541" w:rsidRPr="002D2ED8">
        <w:rPr>
          <w:bCs/>
          <w:color w:val="000000" w:themeColor="text1"/>
          <w:sz w:val="28"/>
          <w:szCs w:val="28"/>
        </w:rPr>
        <w:t xml:space="preserve"> по вопросу исполнения индивидуальных планов</w:t>
      </w:r>
      <w:r w:rsidRPr="002D2ED8">
        <w:rPr>
          <w:bCs/>
          <w:color w:val="000000" w:themeColor="text1"/>
          <w:sz w:val="28"/>
          <w:szCs w:val="28"/>
        </w:rPr>
        <w:t xml:space="preserve">.  </w:t>
      </w:r>
    </w:p>
    <w:p w14:paraId="6F9FEEFC" w14:textId="090E3565" w:rsidR="00641700" w:rsidRPr="002D2ED8" w:rsidRDefault="00356811" w:rsidP="00C01CE8">
      <w:pPr>
        <w:ind w:firstLine="709"/>
        <w:jc w:val="both"/>
        <w:rPr>
          <w:rFonts w:eastAsia="Calibri"/>
          <w:color w:val="000000" w:themeColor="text1"/>
          <w:sz w:val="28"/>
          <w:szCs w:val="28"/>
        </w:rPr>
      </w:pPr>
      <w:proofErr w:type="gramStart"/>
      <w:r w:rsidRPr="002D2ED8">
        <w:rPr>
          <w:rFonts w:eastAsia="Calibri"/>
          <w:color w:val="000000" w:themeColor="text1"/>
          <w:sz w:val="28"/>
          <w:szCs w:val="28"/>
        </w:rPr>
        <w:t>Кроме этого</w:t>
      </w:r>
      <w:proofErr w:type="gramEnd"/>
      <w:r w:rsidRPr="002D2ED8">
        <w:rPr>
          <w:rFonts w:eastAsia="Calibri"/>
          <w:color w:val="000000" w:themeColor="text1"/>
          <w:sz w:val="28"/>
          <w:szCs w:val="28"/>
        </w:rPr>
        <w:t xml:space="preserve"> в</w:t>
      </w:r>
      <w:r w:rsidR="00641700" w:rsidRPr="002D2ED8">
        <w:rPr>
          <w:rFonts w:eastAsia="Calibri"/>
          <w:color w:val="000000" w:themeColor="text1"/>
          <w:sz w:val="28"/>
          <w:szCs w:val="28"/>
        </w:rPr>
        <w:t xml:space="preserve"> целях усиления контроля за выполнением банками-участниками AQR Планов мероприятий, а также определения эффекта на бизнес-процессы банков исполненных мероприятий и выявления недостатков при выполнении Планов мероприятий, Агентством в 2022 году были заслушаны (рассмотрены) отчеты </w:t>
      </w:r>
      <w:r w:rsidRPr="002D2ED8">
        <w:rPr>
          <w:rFonts w:eastAsia="Calibri"/>
          <w:color w:val="000000" w:themeColor="text1"/>
          <w:sz w:val="28"/>
          <w:szCs w:val="28"/>
        </w:rPr>
        <w:t>руководства</w:t>
      </w:r>
      <w:r w:rsidR="00641700" w:rsidRPr="002D2ED8">
        <w:rPr>
          <w:rFonts w:eastAsia="Calibri"/>
          <w:color w:val="000000" w:themeColor="text1"/>
          <w:sz w:val="28"/>
          <w:szCs w:val="28"/>
        </w:rPr>
        <w:t xml:space="preserve"> 11-ти банков-участников AQR.</w:t>
      </w:r>
      <w:r w:rsidR="00641700" w:rsidRPr="002D2ED8">
        <w:rPr>
          <w:rFonts w:eastAsia="Calibri"/>
          <w:color w:val="000000" w:themeColor="text1"/>
          <w:sz w:val="28"/>
          <w:szCs w:val="28"/>
        </w:rPr>
        <w:tab/>
      </w:r>
    </w:p>
    <w:p w14:paraId="65A03B05" w14:textId="77777777" w:rsidR="00641700" w:rsidRPr="002D2ED8" w:rsidRDefault="00641700" w:rsidP="00C01CE8">
      <w:pPr>
        <w:ind w:firstLine="709"/>
        <w:jc w:val="both"/>
        <w:rPr>
          <w:rFonts w:eastAsia="Calibri"/>
          <w:color w:val="000000" w:themeColor="text1"/>
          <w:sz w:val="28"/>
          <w:szCs w:val="28"/>
        </w:rPr>
      </w:pPr>
      <w:r w:rsidRPr="002D2ED8">
        <w:rPr>
          <w:rFonts w:eastAsia="Calibri"/>
          <w:color w:val="000000" w:themeColor="text1"/>
          <w:sz w:val="28"/>
          <w:szCs w:val="28"/>
        </w:rPr>
        <w:t>По результатам заслушивания отчетов банкам были даны поручения о необходимости качественного и своевременного исполнения Планов мероприятий, а также уделить особое внимание на качество совершенствования бизнес-процессов.</w:t>
      </w:r>
    </w:p>
    <w:p w14:paraId="4F052A39" w14:textId="516D4D77" w:rsidR="00641700" w:rsidRPr="002D2ED8" w:rsidRDefault="00641700" w:rsidP="00C01CE8">
      <w:pPr>
        <w:ind w:firstLine="709"/>
        <w:jc w:val="both"/>
        <w:rPr>
          <w:rFonts w:eastAsia="Calibri"/>
          <w:color w:val="000000" w:themeColor="text1"/>
          <w:sz w:val="28"/>
          <w:szCs w:val="28"/>
        </w:rPr>
      </w:pPr>
      <w:r w:rsidRPr="002D2ED8">
        <w:rPr>
          <w:rFonts w:eastAsia="Calibri"/>
          <w:color w:val="000000" w:themeColor="text1"/>
          <w:sz w:val="28"/>
          <w:szCs w:val="28"/>
        </w:rPr>
        <w:t>Дополнительно, 19 июля и 22 декабря 2022 года Агентством проведены встречи с банками второго уровня по вопросам исполнения ключевых задач в рамках основных приоритетов надзорной политики банковского сектора на 2022 год, в т.ч. исполнения банками Планов мероприятий по результатам AQR.</w:t>
      </w:r>
    </w:p>
    <w:p w14:paraId="3C1B748B" w14:textId="67C4E3AD" w:rsidR="00311460" w:rsidRPr="002D2ED8" w:rsidRDefault="00311460" w:rsidP="00C01CE8">
      <w:pPr>
        <w:ind w:firstLine="709"/>
        <w:jc w:val="both"/>
        <w:rPr>
          <w:b/>
          <w:sz w:val="28"/>
          <w:szCs w:val="28"/>
        </w:rPr>
      </w:pPr>
    </w:p>
    <w:p w14:paraId="6C07D805" w14:textId="153696B8" w:rsidR="00311460" w:rsidRPr="002D2ED8" w:rsidRDefault="00311460" w:rsidP="00995789">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25" w:name="_Toc126511017"/>
      <w:bookmarkStart w:id="26" w:name="_Toc126511156"/>
      <w:bookmarkStart w:id="27" w:name="_Toc127966710"/>
      <w:r w:rsidRPr="002D2ED8">
        <w:rPr>
          <w:rFonts w:ascii="Times New Roman" w:eastAsia="Calibri" w:hAnsi="Times New Roman" w:cs="Times New Roman"/>
          <w:i w:val="0"/>
          <w:color w:val="000000" w:themeColor="text1"/>
          <w:lang w:eastAsia="en-US"/>
        </w:rPr>
        <w:t>Развитие рынка стрессовых активов и вовлечение их в экономический оборот</w:t>
      </w:r>
      <w:bookmarkEnd w:id="25"/>
      <w:bookmarkEnd w:id="26"/>
      <w:bookmarkEnd w:id="27"/>
      <w:r w:rsidRPr="002D2ED8">
        <w:rPr>
          <w:rFonts w:ascii="Times New Roman" w:eastAsia="Calibri" w:hAnsi="Times New Roman" w:cs="Times New Roman"/>
          <w:i w:val="0"/>
          <w:color w:val="000000" w:themeColor="text1"/>
          <w:lang w:eastAsia="en-US"/>
        </w:rPr>
        <w:t xml:space="preserve"> </w:t>
      </w:r>
    </w:p>
    <w:p w14:paraId="03F731E1" w14:textId="7FA5A24E" w:rsidR="00311460" w:rsidRPr="002D2ED8" w:rsidRDefault="007A3400" w:rsidP="00C01CE8">
      <w:pPr>
        <w:ind w:firstLine="708"/>
        <w:jc w:val="both"/>
        <w:rPr>
          <w:rFonts w:eastAsia="Calibri"/>
          <w:sz w:val="28"/>
          <w:szCs w:val="28"/>
        </w:rPr>
      </w:pPr>
      <w:r w:rsidRPr="002D2ED8">
        <w:rPr>
          <w:rFonts w:eastAsia="Calibri"/>
          <w:sz w:val="28"/>
          <w:szCs w:val="28"/>
        </w:rPr>
        <w:t xml:space="preserve">В </w:t>
      </w:r>
      <w:r w:rsidR="00F64BB1" w:rsidRPr="002D2ED8">
        <w:rPr>
          <w:rFonts w:eastAsia="Calibri"/>
          <w:sz w:val="28"/>
          <w:szCs w:val="28"/>
        </w:rPr>
        <w:t xml:space="preserve">Основных приоритетах </w:t>
      </w:r>
      <w:r w:rsidRPr="002D2ED8">
        <w:rPr>
          <w:rFonts w:eastAsia="Calibri"/>
          <w:sz w:val="28"/>
          <w:szCs w:val="28"/>
        </w:rPr>
        <w:t>надзорн</w:t>
      </w:r>
      <w:r w:rsidR="00F64BB1" w:rsidRPr="002D2ED8">
        <w:rPr>
          <w:rFonts w:eastAsia="Calibri"/>
          <w:sz w:val="28"/>
          <w:szCs w:val="28"/>
        </w:rPr>
        <w:t>ой политики банковского сектора на</w:t>
      </w:r>
      <w:r w:rsidRPr="002D2ED8">
        <w:rPr>
          <w:rFonts w:eastAsia="Calibri"/>
          <w:sz w:val="28"/>
          <w:szCs w:val="28"/>
        </w:rPr>
        <w:t xml:space="preserve"> 2022 год были </w:t>
      </w:r>
      <w:r w:rsidR="00251F04" w:rsidRPr="002D2ED8">
        <w:rPr>
          <w:rFonts w:eastAsia="Calibri"/>
          <w:sz w:val="28"/>
          <w:szCs w:val="28"/>
        </w:rPr>
        <w:t>о</w:t>
      </w:r>
      <w:r w:rsidR="00A001B5" w:rsidRPr="002D2ED8">
        <w:rPr>
          <w:rFonts w:eastAsia="Calibri"/>
          <w:sz w:val="28"/>
          <w:szCs w:val="28"/>
        </w:rPr>
        <w:t>тражены</w:t>
      </w:r>
      <w:r w:rsidRPr="002D2ED8">
        <w:rPr>
          <w:rFonts w:eastAsia="Calibri"/>
          <w:sz w:val="28"/>
          <w:szCs w:val="28"/>
        </w:rPr>
        <w:t xml:space="preserve"> и</w:t>
      </w:r>
      <w:r w:rsidR="0066251D" w:rsidRPr="002D2ED8">
        <w:rPr>
          <w:rFonts w:eastAsia="Calibri"/>
          <w:sz w:val="28"/>
          <w:szCs w:val="28"/>
        </w:rPr>
        <w:t xml:space="preserve">нициативы Агентства, </w:t>
      </w:r>
      <w:r w:rsidRPr="002D2ED8">
        <w:rPr>
          <w:rFonts w:eastAsia="Calibri"/>
          <w:sz w:val="28"/>
          <w:szCs w:val="28"/>
        </w:rPr>
        <w:t>направленные на</w:t>
      </w:r>
      <w:r w:rsidR="00311460" w:rsidRPr="002D2ED8">
        <w:rPr>
          <w:rFonts w:eastAsia="Calibri"/>
          <w:sz w:val="28"/>
          <w:szCs w:val="28"/>
        </w:rPr>
        <w:t xml:space="preserve"> создани</w:t>
      </w:r>
      <w:r w:rsidRPr="002D2ED8">
        <w:rPr>
          <w:rFonts w:eastAsia="Calibri"/>
          <w:sz w:val="28"/>
          <w:szCs w:val="28"/>
        </w:rPr>
        <w:t>е</w:t>
      </w:r>
      <w:r w:rsidR="00311460" w:rsidRPr="002D2ED8">
        <w:rPr>
          <w:rFonts w:eastAsia="Calibri"/>
          <w:sz w:val="28"/>
          <w:szCs w:val="28"/>
        </w:rPr>
        <w:t xml:space="preserve"> ликвидного рынка стрессовых активов</w:t>
      </w:r>
      <w:r w:rsidRPr="002D2ED8">
        <w:rPr>
          <w:rFonts w:eastAsia="Calibri"/>
          <w:sz w:val="28"/>
          <w:szCs w:val="28"/>
        </w:rPr>
        <w:t>,</w:t>
      </w:r>
      <w:r w:rsidR="00311460" w:rsidRPr="002D2ED8">
        <w:rPr>
          <w:rFonts w:eastAsia="Calibri"/>
          <w:sz w:val="28"/>
          <w:szCs w:val="28"/>
        </w:rPr>
        <w:t xml:space="preserve"> </w:t>
      </w:r>
      <w:r w:rsidRPr="002D2ED8">
        <w:rPr>
          <w:rFonts w:eastAsia="Calibri"/>
          <w:sz w:val="28"/>
          <w:szCs w:val="28"/>
        </w:rPr>
        <w:t>установление</w:t>
      </w:r>
      <w:r w:rsidR="00311460" w:rsidRPr="002D2ED8">
        <w:rPr>
          <w:rFonts w:eastAsia="Calibri"/>
          <w:sz w:val="28"/>
          <w:szCs w:val="28"/>
        </w:rPr>
        <w:t xml:space="preserve"> законодательных условий для покупателей (частных инвесторов) стрессовых активов, включая налоговые стимулы, а также совершенствование инфраструктуры для развития вторичного рынка покупки и продажи стрессовых активов.</w:t>
      </w:r>
    </w:p>
    <w:p w14:paraId="4F29F0B9" w14:textId="30AD81BE" w:rsidR="00013D0E" w:rsidRPr="002D2ED8" w:rsidRDefault="00A16D16" w:rsidP="00C01CE8">
      <w:pPr>
        <w:ind w:firstLine="708"/>
        <w:jc w:val="both"/>
        <w:rPr>
          <w:rFonts w:eastAsia="Calibri"/>
          <w:color w:val="000000" w:themeColor="text1"/>
          <w:sz w:val="28"/>
          <w:szCs w:val="28"/>
        </w:rPr>
      </w:pPr>
      <w:r w:rsidRPr="002D2ED8">
        <w:rPr>
          <w:rFonts w:eastAsia="Calibri"/>
          <w:sz w:val="28"/>
          <w:szCs w:val="28"/>
        </w:rPr>
        <w:t xml:space="preserve">В целях </w:t>
      </w:r>
      <w:r w:rsidR="00311460" w:rsidRPr="002D2ED8">
        <w:rPr>
          <w:rFonts w:eastAsia="Calibri"/>
          <w:sz w:val="28"/>
          <w:szCs w:val="28"/>
        </w:rPr>
        <w:t>создания необходимой правовой основы для эффективного вовлечения стрессовых активов в экономический оборот на рыночных</w:t>
      </w:r>
      <w:r w:rsidR="00806603" w:rsidRPr="002D2ED8">
        <w:rPr>
          <w:rFonts w:eastAsia="Calibri"/>
          <w:sz w:val="28"/>
          <w:szCs w:val="28"/>
        </w:rPr>
        <w:t xml:space="preserve"> механизмах</w:t>
      </w:r>
      <w:r w:rsidR="00311460" w:rsidRPr="002D2ED8">
        <w:rPr>
          <w:rFonts w:eastAsia="Calibri"/>
          <w:sz w:val="28"/>
          <w:szCs w:val="28"/>
        </w:rPr>
        <w:t xml:space="preserve"> </w:t>
      </w:r>
      <w:r w:rsidR="00E26129" w:rsidRPr="002D2ED8">
        <w:rPr>
          <w:rFonts w:eastAsia="Calibri"/>
          <w:color w:val="000000" w:themeColor="text1"/>
          <w:sz w:val="28"/>
          <w:szCs w:val="28"/>
        </w:rPr>
        <w:t>4</w:t>
      </w:r>
      <w:r w:rsidR="006C0211" w:rsidRPr="002D2ED8">
        <w:rPr>
          <w:rFonts w:eastAsia="Calibri"/>
          <w:color w:val="000000" w:themeColor="text1"/>
          <w:sz w:val="28"/>
          <w:szCs w:val="28"/>
        </w:rPr>
        <w:t xml:space="preserve"> июля </w:t>
      </w:r>
      <w:r w:rsidR="00E26129" w:rsidRPr="002D2ED8">
        <w:rPr>
          <w:rFonts w:eastAsia="Calibri"/>
          <w:color w:val="000000" w:themeColor="text1"/>
          <w:sz w:val="28"/>
          <w:szCs w:val="28"/>
        </w:rPr>
        <w:t>2022</w:t>
      </w:r>
      <w:r w:rsidR="006C0211" w:rsidRPr="002D2ED8">
        <w:rPr>
          <w:rFonts w:eastAsia="Calibri"/>
          <w:color w:val="000000" w:themeColor="text1"/>
          <w:sz w:val="28"/>
          <w:szCs w:val="28"/>
        </w:rPr>
        <w:t xml:space="preserve"> </w:t>
      </w:r>
      <w:r w:rsidR="00E26129" w:rsidRPr="002D2ED8">
        <w:rPr>
          <w:rFonts w:eastAsia="Calibri"/>
          <w:color w:val="000000" w:themeColor="text1"/>
          <w:sz w:val="28"/>
          <w:szCs w:val="28"/>
        </w:rPr>
        <w:t>г</w:t>
      </w:r>
      <w:r w:rsidR="006C0211" w:rsidRPr="002D2ED8">
        <w:rPr>
          <w:rFonts w:eastAsia="Calibri"/>
          <w:color w:val="000000" w:themeColor="text1"/>
          <w:sz w:val="28"/>
          <w:szCs w:val="28"/>
        </w:rPr>
        <w:t>ода</w:t>
      </w:r>
      <w:r w:rsidR="00E26129" w:rsidRPr="002D2ED8">
        <w:rPr>
          <w:rFonts w:eastAsia="Calibri"/>
          <w:color w:val="000000" w:themeColor="text1"/>
          <w:sz w:val="28"/>
          <w:szCs w:val="28"/>
        </w:rPr>
        <w:t xml:space="preserve"> </w:t>
      </w:r>
      <w:r w:rsidR="00E26129" w:rsidRPr="002D2ED8">
        <w:rPr>
          <w:rFonts w:eastAsia="Calibri"/>
          <w:sz w:val="28"/>
          <w:szCs w:val="28"/>
        </w:rPr>
        <w:t>принят разработанный Агентством</w:t>
      </w:r>
      <w:r w:rsidR="001C665F" w:rsidRPr="002D2ED8">
        <w:rPr>
          <w:rFonts w:eastAsia="Calibri"/>
          <w:sz w:val="28"/>
          <w:szCs w:val="28"/>
        </w:rPr>
        <w:t xml:space="preserve"> </w:t>
      </w:r>
      <w:r w:rsidR="00311460" w:rsidRPr="002D2ED8">
        <w:rPr>
          <w:rFonts w:eastAsia="Calibri"/>
          <w:sz w:val="28"/>
          <w:szCs w:val="28"/>
        </w:rPr>
        <w:t xml:space="preserve">Закон Республики Казахстан </w:t>
      </w:r>
      <w:r w:rsidR="00E26129" w:rsidRPr="002D2ED8">
        <w:rPr>
          <w:rFonts w:eastAsia="Calibri"/>
          <w:color w:val="000000" w:themeColor="text1"/>
          <w:sz w:val="28"/>
          <w:szCs w:val="28"/>
        </w:rPr>
        <w:t>№133-VII</w:t>
      </w:r>
      <w:r w:rsidR="0085395D" w:rsidRPr="002D2ED8">
        <w:rPr>
          <w:rFonts w:eastAsia="Calibri"/>
          <w:color w:val="000000" w:themeColor="text1"/>
          <w:sz w:val="28"/>
          <w:szCs w:val="28"/>
        </w:rPr>
        <w:t xml:space="preserve"> ЗРК</w:t>
      </w:r>
      <w:r w:rsidR="00E26129" w:rsidRPr="002D2ED8">
        <w:rPr>
          <w:rFonts w:eastAsia="Calibri"/>
          <w:sz w:val="28"/>
          <w:szCs w:val="28"/>
        </w:rPr>
        <w:t xml:space="preserve"> </w:t>
      </w:r>
      <w:r w:rsidR="00311460" w:rsidRPr="002D2ED8">
        <w:rPr>
          <w:rFonts w:eastAsia="Calibri"/>
          <w:sz w:val="28"/>
          <w:szCs w:val="28"/>
        </w:rPr>
        <w:t xml:space="preserve">«О внесении изменений </w:t>
      </w:r>
      <w:r w:rsidR="00311460" w:rsidRPr="002D2ED8">
        <w:rPr>
          <w:rFonts w:eastAsia="Calibri"/>
          <w:color w:val="000000" w:themeColor="text1"/>
          <w:sz w:val="28"/>
          <w:szCs w:val="28"/>
        </w:rPr>
        <w:t>и дополнений в некоторые законодательные акты Республики Казахстан по вопросам развития рынка стрессовых активов»</w:t>
      </w:r>
      <w:r w:rsidR="00013D0E" w:rsidRPr="002D2ED8">
        <w:rPr>
          <w:rFonts w:eastAsia="Calibri"/>
          <w:color w:val="000000" w:themeColor="text1"/>
          <w:sz w:val="28"/>
          <w:szCs w:val="28"/>
        </w:rPr>
        <w:t xml:space="preserve">. </w:t>
      </w:r>
    </w:p>
    <w:p w14:paraId="6A407F7C" w14:textId="77777777" w:rsidR="00806603" w:rsidRPr="002D2ED8" w:rsidRDefault="00013D0E" w:rsidP="00C01CE8">
      <w:pPr>
        <w:ind w:firstLine="708"/>
        <w:jc w:val="both"/>
        <w:rPr>
          <w:rFonts w:eastAsia="Calibri"/>
          <w:color w:val="000000" w:themeColor="text1"/>
          <w:sz w:val="28"/>
          <w:szCs w:val="28"/>
        </w:rPr>
      </w:pPr>
      <w:r w:rsidRPr="002D2ED8">
        <w:rPr>
          <w:rFonts w:eastAsia="Calibri"/>
          <w:color w:val="000000" w:themeColor="text1"/>
          <w:sz w:val="28"/>
          <w:szCs w:val="28"/>
        </w:rPr>
        <w:lastRenderedPageBreak/>
        <w:t>Закон</w:t>
      </w:r>
      <w:r w:rsidR="00311460" w:rsidRPr="002D2ED8">
        <w:rPr>
          <w:rFonts w:eastAsia="Calibri"/>
          <w:color w:val="000000" w:themeColor="text1"/>
          <w:sz w:val="28"/>
          <w:szCs w:val="28"/>
        </w:rPr>
        <w:t xml:space="preserve"> направлен на</w:t>
      </w:r>
      <w:r w:rsidR="00806603" w:rsidRPr="002D2ED8">
        <w:rPr>
          <w:rFonts w:eastAsia="Calibri"/>
          <w:color w:val="000000" w:themeColor="text1"/>
          <w:sz w:val="28"/>
          <w:szCs w:val="28"/>
        </w:rPr>
        <w:t>:</w:t>
      </w:r>
    </w:p>
    <w:p w14:paraId="3D41342B" w14:textId="4767B8B3" w:rsidR="00311460" w:rsidRPr="002D2ED8" w:rsidRDefault="00806603" w:rsidP="00C01CE8">
      <w:pPr>
        <w:ind w:firstLine="708"/>
        <w:jc w:val="both"/>
        <w:rPr>
          <w:rFonts w:eastAsia="Calibri"/>
          <w:color w:val="000000" w:themeColor="text1"/>
          <w:sz w:val="28"/>
          <w:szCs w:val="28"/>
        </w:rPr>
      </w:pPr>
      <w:r w:rsidRPr="002D2ED8">
        <w:rPr>
          <w:rFonts w:eastAsia="Calibri"/>
          <w:color w:val="000000" w:themeColor="text1"/>
          <w:sz w:val="28"/>
          <w:szCs w:val="28"/>
        </w:rPr>
        <w:t>-</w:t>
      </w:r>
      <w:r w:rsidR="00311460" w:rsidRPr="002D2ED8">
        <w:rPr>
          <w:rFonts w:eastAsia="Calibri"/>
          <w:color w:val="000000" w:themeColor="text1"/>
          <w:sz w:val="28"/>
          <w:szCs w:val="28"/>
        </w:rPr>
        <w:t xml:space="preserve"> </w:t>
      </w:r>
      <w:r w:rsidR="00311460" w:rsidRPr="002D2ED8">
        <w:rPr>
          <w:rFonts w:eastAsia="Calibri"/>
          <w:i/>
          <w:color w:val="000000" w:themeColor="text1"/>
          <w:sz w:val="28"/>
          <w:szCs w:val="28"/>
        </w:rPr>
        <w:t xml:space="preserve">расширение круга субъектов, </w:t>
      </w:r>
      <w:r w:rsidR="00631C6B" w:rsidRPr="002D2ED8">
        <w:rPr>
          <w:rFonts w:eastAsia="Calibri"/>
          <w:i/>
          <w:color w:val="000000" w:themeColor="text1"/>
          <w:sz w:val="28"/>
          <w:szCs w:val="28"/>
        </w:rPr>
        <w:t>путем включения частных инвесторов</w:t>
      </w:r>
      <w:r w:rsidR="00631C6B" w:rsidRPr="002D2ED8">
        <w:rPr>
          <w:rFonts w:eastAsia="Calibri"/>
          <w:color w:val="000000" w:themeColor="text1"/>
          <w:sz w:val="28"/>
          <w:szCs w:val="28"/>
        </w:rPr>
        <w:t xml:space="preserve">, </w:t>
      </w:r>
      <w:r w:rsidR="00311460" w:rsidRPr="002D2ED8">
        <w:rPr>
          <w:rFonts w:eastAsia="Calibri"/>
          <w:color w:val="000000" w:themeColor="text1"/>
          <w:sz w:val="28"/>
          <w:szCs w:val="28"/>
        </w:rPr>
        <w:t xml:space="preserve">в том числе нерезидентов, юридически уполномоченных на покупку стрессовых активов у банков и микрофинансовых организаций.  </w:t>
      </w:r>
    </w:p>
    <w:p w14:paraId="5B0528CE" w14:textId="40320F70" w:rsidR="00631C6B" w:rsidRPr="002D2ED8" w:rsidRDefault="00806603" w:rsidP="00631C6B">
      <w:pPr>
        <w:ind w:firstLine="708"/>
        <w:jc w:val="both"/>
        <w:rPr>
          <w:rFonts w:eastAsia="Calibri"/>
          <w:sz w:val="28"/>
          <w:szCs w:val="28"/>
        </w:rPr>
      </w:pPr>
      <w:r w:rsidRPr="002D2ED8">
        <w:rPr>
          <w:rFonts w:eastAsia="Calibri"/>
          <w:sz w:val="28"/>
          <w:szCs w:val="28"/>
        </w:rPr>
        <w:t>В</w:t>
      </w:r>
      <w:r w:rsidR="00631C6B" w:rsidRPr="002D2ED8">
        <w:rPr>
          <w:rFonts w:eastAsia="Calibri"/>
          <w:sz w:val="28"/>
          <w:szCs w:val="28"/>
        </w:rPr>
        <w:t xml:space="preserve"> целях защиты прав заемщиков – физических лиц, частным инвесторам разрешено</w:t>
      </w:r>
      <w:r w:rsidRPr="002D2ED8">
        <w:rPr>
          <w:rFonts w:eastAsia="Calibri"/>
          <w:sz w:val="28"/>
          <w:szCs w:val="28"/>
        </w:rPr>
        <w:t xml:space="preserve"> </w:t>
      </w:r>
      <w:r w:rsidR="00631C6B" w:rsidRPr="002D2ED8">
        <w:rPr>
          <w:rFonts w:eastAsia="Calibri"/>
          <w:sz w:val="28"/>
          <w:szCs w:val="28"/>
        </w:rPr>
        <w:t>приобретать</w:t>
      </w:r>
      <w:r w:rsidRPr="002D2ED8">
        <w:rPr>
          <w:rFonts w:eastAsia="Calibri"/>
          <w:sz w:val="28"/>
          <w:szCs w:val="28"/>
        </w:rPr>
        <w:t xml:space="preserve"> </w:t>
      </w:r>
      <w:r w:rsidR="00631C6B" w:rsidRPr="002D2ED8">
        <w:rPr>
          <w:rFonts w:eastAsia="Calibri"/>
          <w:bCs/>
          <w:sz w:val="28"/>
          <w:szCs w:val="28"/>
        </w:rPr>
        <w:t>только</w:t>
      </w:r>
      <w:r w:rsidRPr="002D2ED8">
        <w:rPr>
          <w:rFonts w:eastAsia="Calibri"/>
          <w:bCs/>
          <w:sz w:val="28"/>
          <w:szCs w:val="28"/>
        </w:rPr>
        <w:t xml:space="preserve"> </w:t>
      </w:r>
      <w:r w:rsidR="00631C6B" w:rsidRPr="002D2ED8">
        <w:rPr>
          <w:rFonts w:eastAsia="Calibri"/>
          <w:bCs/>
          <w:sz w:val="28"/>
          <w:szCs w:val="28"/>
        </w:rPr>
        <w:t>займы</w:t>
      </w:r>
      <w:r w:rsidRPr="002D2ED8">
        <w:rPr>
          <w:rFonts w:eastAsia="Calibri"/>
          <w:bCs/>
          <w:sz w:val="28"/>
          <w:szCs w:val="28"/>
        </w:rPr>
        <w:t xml:space="preserve"> </w:t>
      </w:r>
      <w:r w:rsidR="00631C6B" w:rsidRPr="002D2ED8">
        <w:rPr>
          <w:rFonts w:eastAsia="Calibri"/>
          <w:bCs/>
          <w:sz w:val="28"/>
          <w:szCs w:val="28"/>
        </w:rPr>
        <w:t>юридических</w:t>
      </w:r>
      <w:r w:rsidRPr="002D2ED8">
        <w:rPr>
          <w:rFonts w:eastAsia="Calibri"/>
          <w:bCs/>
          <w:sz w:val="28"/>
          <w:szCs w:val="28"/>
        </w:rPr>
        <w:t xml:space="preserve"> </w:t>
      </w:r>
      <w:r w:rsidR="00631C6B" w:rsidRPr="002D2ED8">
        <w:rPr>
          <w:rFonts w:eastAsia="Calibri"/>
          <w:bCs/>
          <w:sz w:val="28"/>
          <w:szCs w:val="28"/>
        </w:rPr>
        <w:t>лиц</w:t>
      </w:r>
      <w:r w:rsidRPr="002D2ED8">
        <w:rPr>
          <w:rFonts w:eastAsia="Calibri"/>
          <w:bCs/>
          <w:sz w:val="28"/>
          <w:szCs w:val="28"/>
        </w:rPr>
        <w:t xml:space="preserve"> </w:t>
      </w:r>
      <w:r w:rsidR="00631C6B" w:rsidRPr="002D2ED8">
        <w:rPr>
          <w:rFonts w:eastAsia="Calibri"/>
          <w:bCs/>
          <w:sz w:val="28"/>
          <w:szCs w:val="28"/>
        </w:rPr>
        <w:t>и</w:t>
      </w:r>
      <w:r w:rsidRPr="002D2ED8">
        <w:rPr>
          <w:rFonts w:eastAsia="Calibri"/>
          <w:bCs/>
          <w:sz w:val="28"/>
          <w:szCs w:val="28"/>
        </w:rPr>
        <w:t xml:space="preserve"> </w:t>
      </w:r>
      <w:r w:rsidR="00631C6B" w:rsidRPr="002D2ED8">
        <w:rPr>
          <w:rFonts w:eastAsia="Calibri"/>
          <w:bCs/>
          <w:sz w:val="28"/>
          <w:szCs w:val="28"/>
        </w:rPr>
        <w:t>индивидуальных предпринимателей</w:t>
      </w:r>
      <w:r w:rsidR="008F469C" w:rsidRPr="002D2ED8">
        <w:rPr>
          <w:rFonts w:eastAsia="Calibri"/>
          <w:sz w:val="28"/>
          <w:szCs w:val="28"/>
        </w:rPr>
        <w:t>;</w:t>
      </w:r>
    </w:p>
    <w:p w14:paraId="6FFB5F18" w14:textId="7ED56BAE" w:rsidR="00631C6B" w:rsidRPr="002D2ED8" w:rsidRDefault="00806603" w:rsidP="00631C6B">
      <w:pPr>
        <w:ind w:firstLine="708"/>
        <w:jc w:val="both"/>
        <w:rPr>
          <w:rFonts w:eastAsia="Calibri"/>
          <w:sz w:val="28"/>
          <w:szCs w:val="28"/>
        </w:rPr>
      </w:pPr>
      <w:r w:rsidRPr="002D2ED8">
        <w:rPr>
          <w:rFonts w:eastAsia="Calibri"/>
          <w:b/>
          <w:bCs/>
          <w:sz w:val="28"/>
          <w:szCs w:val="28"/>
        </w:rPr>
        <w:t xml:space="preserve">- </w:t>
      </w:r>
      <w:r w:rsidR="00631C6B" w:rsidRPr="002D2ED8">
        <w:rPr>
          <w:rFonts w:eastAsia="Calibri"/>
          <w:sz w:val="28"/>
          <w:szCs w:val="28"/>
        </w:rPr>
        <w:t>создание </w:t>
      </w:r>
      <w:r w:rsidR="00631C6B" w:rsidRPr="002D2ED8">
        <w:rPr>
          <w:rFonts w:eastAsia="Calibri"/>
          <w:bCs/>
          <w:i/>
          <w:sz w:val="28"/>
          <w:szCs w:val="28"/>
        </w:rPr>
        <w:t>института сервисных компаний</w:t>
      </w:r>
      <w:r w:rsidR="00631C6B" w:rsidRPr="002D2ED8">
        <w:rPr>
          <w:rFonts w:eastAsia="Calibri"/>
          <w:sz w:val="28"/>
          <w:szCs w:val="28"/>
        </w:rPr>
        <w:t>, которые будут предоставлять услуги инвесторам по обслуживанию и управлению неработающими кредитами. Предполагается, что новые инвесторы будут передавать приобретенные неработающие кредиты в </w:t>
      </w:r>
      <w:r w:rsidR="00631C6B" w:rsidRPr="002D2ED8">
        <w:rPr>
          <w:rFonts w:eastAsia="Calibri"/>
          <w:bCs/>
          <w:sz w:val="28"/>
          <w:szCs w:val="28"/>
        </w:rPr>
        <w:t>доверительное управление</w:t>
      </w:r>
      <w:r w:rsidR="00631C6B" w:rsidRPr="002D2ED8">
        <w:rPr>
          <w:rFonts w:eastAsia="Calibri"/>
          <w:sz w:val="28"/>
          <w:szCs w:val="28"/>
        </w:rPr>
        <w:t> сервисным компаниям</w:t>
      </w:r>
      <w:r w:rsidR="008F469C" w:rsidRPr="002D2ED8">
        <w:rPr>
          <w:rFonts w:eastAsia="Calibri"/>
          <w:sz w:val="28"/>
          <w:szCs w:val="28"/>
        </w:rPr>
        <w:t>;</w:t>
      </w:r>
    </w:p>
    <w:p w14:paraId="4AAF46BF" w14:textId="1143780C" w:rsidR="00631C6B" w:rsidRPr="002D2ED8" w:rsidRDefault="00806603" w:rsidP="00631C6B">
      <w:pPr>
        <w:ind w:firstLine="708"/>
        <w:jc w:val="both"/>
        <w:rPr>
          <w:rFonts w:eastAsia="Calibri"/>
          <w:sz w:val="28"/>
          <w:szCs w:val="28"/>
        </w:rPr>
      </w:pPr>
      <w:r w:rsidRPr="002D2ED8">
        <w:rPr>
          <w:rFonts w:eastAsia="Calibri"/>
          <w:b/>
          <w:bCs/>
          <w:sz w:val="28"/>
          <w:szCs w:val="28"/>
        </w:rPr>
        <w:t xml:space="preserve">- </w:t>
      </w:r>
      <w:r w:rsidR="00631C6B" w:rsidRPr="002D2ED8">
        <w:rPr>
          <w:rFonts w:eastAsia="Calibri"/>
          <w:sz w:val="28"/>
          <w:szCs w:val="28"/>
        </w:rPr>
        <w:t xml:space="preserve">ускорение вовлечения стрессовых активов в экономический оборот. </w:t>
      </w:r>
      <w:r w:rsidR="008F469C" w:rsidRPr="002D2ED8">
        <w:rPr>
          <w:rFonts w:eastAsia="Calibri"/>
          <w:sz w:val="28"/>
          <w:szCs w:val="28"/>
        </w:rPr>
        <w:t>Закон</w:t>
      </w:r>
      <w:r w:rsidR="00631C6B" w:rsidRPr="002D2ED8">
        <w:rPr>
          <w:rFonts w:eastAsia="Calibri"/>
          <w:sz w:val="28"/>
          <w:szCs w:val="28"/>
        </w:rPr>
        <w:t xml:space="preserve"> предусматрива</w:t>
      </w:r>
      <w:r w:rsidR="008F469C" w:rsidRPr="002D2ED8">
        <w:rPr>
          <w:rFonts w:eastAsia="Calibri"/>
          <w:sz w:val="28"/>
          <w:szCs w:val="28"/>
        </w:rPr>
        <w:t>е</w:t>
      </w:r>
      <w:r w:rsidR="00631C6B" w:rsidRPr="002D2ED8">
        <w:rPr>
          <w:rFonts w:eastAsia="Calibri"/>
          <w:sz w:val="28"/>
          <w:szCs w:val="28"/>
        </w:rPr>
        <w:t>т</w:t>
      </w:r>
      <w:r w:rsidR="008F469C" w:rsidRPr="002D2ED8">
        <w:rPr>
          <w:rFonts w:eastAsia="Calibri"/>
          <w:sz w:val="28"/>
          <w:szCs w:val="28"/>
        </w:rPr>
        <w:t xml:space="preserve"> </w:t>
      </w:r>
      <w:r w:rsidR="00631C6B" w:rsidRPr="002D2ED8">
        <w:rPr>
          <w:rFonts w:eastAsia="Calibri"/>
          <w:sz w:val="28"/>
          <w:szCs w:val="28"/>
        </w:rPr>
        <w:t>установление</w:t>
      </w:r>
      <w:r w:rsidR="008F469C" w:rsidRPr="002D2ED8">
        <w:rPr>
          <w:rFonts w:eastAsia="Calibri"/>
          <w:sz w:val="28"/>
          <w:szCs w:val="28"/>
        </w:rPr>
        <w:t xml:space="preserve"> </w:t>
      </w:r>
      <w:r w:rsidR="00631C6B" w:rsidRPr="002D2ED8">
        <w:rPr>
          <w:rFonts w:eastAsia="Calibri"/>
          <w:bCs/>
          <w:i/>
          <w:sz w:val="28"/>
          <w:szCs w:val="28"/>
        </w:rPr>
        <w:t>предельного срока в 3 года</w:t>
      </w:r>
      <w:r w:rsidR="00631C6B" w:rsidRPr="002D2ED8">
        <w:rPr>
          <w:rFonts w:eastAsia="Calibri"/>
          <w:sz w:val="28"/>
          <w:szCs w:val="28"/>
        </w:rPr>
        <w:t> для нахождения на балансах банков и микрофинансовых организаций взысканного имущества.</w:t>
      </w:r>
    </w:p>
    <w:p w14:paraId="097B2EA4" w14:textId="77777777" w:rsidR="00311460" w:rsidRPr="002D2ED8" w:rsidRDefault="00311460" w:rsidP="00C01CE8">
      <w:pPr>
        <w:ind w:firstLine="708"/>
        <w:jc w:val="both"/>
        <w:rPr>
          <w:rFonts w:eastAsia="Calibri"/>
          <w:color w:val="000000" w:themeColor="text1"/>
          <w:sz w:val="28"/>
          <w:szCs w:val="28"/>
        </w:rPr>
      </w:pPr>
      <w:r w:rsidRPr="002D2ED8">
        <w:rPr>
          <w:rFonts w:eastAsia="Calibri"/>
          <w:sz w:val="28"/>
          <w:szCs w:val="28"/>
        </w:rPr>
        <w:t>Принятие Закона также позволяет применять в отношении частных инвесторов-резидентов режим налогообложения, при котором уплат</w:t>
      </w:r>
      <w:r w:rsidRPr="002D2ED8">
        <w:rPr>
          <w:rFonts w:eastAsia="Calibri"/>
          <w:color w:val="000000" w:themeColor="text1"/>
          <w:sz w:val="28"/>
          <w:szCs w:val="28"/>
        </w:rPr>
        <w:t>а налогов осуществляется с фактических доходов, являющихся положительной разницей между суммой, уплаченной заемщиком и покупной ценой права требования по займу (микрокредиту).</w:t>
      </w:r>
    </w:p>
    <w:p w14:paraId="55B8F4F6" w14:textId="75329CF8" w:rsidR="00311460" w:rsidRPr="002D2ED8" w:rsidRDefault="00311460" w:rsidP="00C01CE8">
      <w:pPr>
        <w:ind w:firstLine="708"/>
        <w:jc w:val="both"/>
        <w:rPr>
          <w:rFonts w:eastAsia="Calibri"/>
          <w:color w:val="000000" w:themeColor="text1"/>
          <w:sz w:val="28"/>
          <w:szCs w:val="28"/>
        </w:rPr>
      </w:pPr>
      <w:r w:rsidRPr="002D2ED8">
        <w:rPr>
          <w:rFonts w:eastAsia="Calibri"/>
          <w:color w:val="000000" w:themeColor="text1"/>
          <w:sz w:val="28"/>
          <w:szCs w:val="28"/>
        </w:rPr>
        <w:t>Дополнительно, для создания равных условий налогообложения покупателей стрессовых активов резидентов и нерезидентов разработаны поправки в Налоговый кодекс, предусматривающие распространение на покупателей-нерезидентов аналогичного порядка налогообложения, предусмотренного для покупателей-резидентов.</w:t>
      </w:r>
    </w:p>
    <w:p w14:paraId="31BCD8B2" w14:textId="5EBD3B76" w:rsidR="00B66018" w:rsidRPr="002D2ED8" w:rsidRDefault="00B66018" w:rsidP="00C01CE8">
      <w:pPr>
        <w:ind w:firstLine="708"/>
        <w:jc w:val="both"/>
        <w:rPr>
          <w:rFonts w:eastAsia="Calibri"/>
          <w:color w:val="000000" w:themeColor="text1"/>
          <w:sz w:val="28"/>
          <w:szCs w:val="28"/>
        </w:rPr>
      </w:pPr>
    </w:p>
    <w:p w14:paraId="1DA23D9D" w14:textId="77777777" w:rsidR="00B66018" w:rsidRPr="002D2ED8" w:rsidRDefault="00B66018" w:rsidP="00B66018">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28" w:name="_Toc126511022"/>
      <w:bookmarkStart w:id="29" w:name="_Toc126511161"/>
      <w:bookmarkStart w:id="30" w:name="_Toc127966711"/>
      <w:r w:rsidRPr="002D2ED8">
        <w:rPr>
          <w:rFonts w:ascii="Times New Roman" w:eastAsia="Calibri" w:hAnsi="Times New Roman" w:cs="Times New Roman"/>
          <w:i w:val="0"/>
          <w:color w:val="000000" w:themeColor="text1"/>
          <w:lang w:eastAsia="en-US"/>
        </w:rPr>
        <w:t>Расширение применения мотивированного надзорного суждения</w:t>
      </w:r>
      <w:bookmarkEnd w:id="28"/>
      <w:bookmarkEnd w:id="29"/>
      <w:bookmarkEnd w:id="30"/>
      <w:r w:rsidRPr="002D2ED8">
        <w:rPr>
          <w:rFonts w:ascii="Times New Roman" w:eastAsia="Calibri" w:hAnsi="Times New Roman" w:cs="Times New Roman"/>
          <w:i w:val="0"/>
          <w:color w:val="000000" w:themeColor="text1"/>
          <w:lang w:eastAsia="en-US"/>
        </w:rPr>
        <w:t xml:space="preserve"> </w:t>
      </w:r>
    </w:p>
    <w:p w14:paraId="74226768" w14:textId="3046E2A2" w:rsidR="00B66018" w:rsidRPr="002D2ED8" w:rsidRDefault="00B66018" w:rsidP="00B66018">
      <w:pPr>
        <w:ind w:firstLine="708"/>
        <w:jc w:val="both"/>
        <w:rPr>
          <w:color w:val="000000" w:themeColor="text1"/>
          <w:sz w:val="28"/>
          <w:szCs w:val="28"/>
        </w:rPr>
      </w:pPr>
      <w:r w:rsidRPr="002D2ED8">
        <w:rPr>
          <w:color w:val="000000" w:themeColor="text1"/>
          <w:sz w:val="28"/>
          <w:szCs w:val="28"/>
        </w:rPr>
        <w:t>В 2019 году надзорный инструментарий финансового регулятора был дополнен новым инструментом в виде мотивированного суждения (обоснованного профессионального мнения коллегиального органа Агентства) в отдельных областях деятельности банков второго уровня.</w:t>
      </w:r>
    </w:p>
    <w:p w14:paraId="66E5E389" w14:textId="2A7132D4" w:rsidR="00B66018" w:rsidRPr="002D2ED8" w:rsidRDefault="00B66018" w:rsidP="00B66018">
      <w:pPr>
        <w:ind w:firstLine="709"/>
        <w:jc w:val="both"/>
        <w:rPr>
          <w:color w:val="000000" w:themeColor="text1"/>
          <w:sz w:val="28"/>
          <w:szCs w:val="28"/>
        </w:rPr>
      </w:pPr>
      <w:r w:rsidRPr="002D2ED8">
        <w:rPr>
          <w:color w:val="000000" w:themeColor="text1"/>
          <w:sz w:val="28"/>
          <w:szCs w:val="28"/>
        </w:rPr>
        <w:t>Законодательством были определены четыре сферы применения мотивированного суждения:</w:t>
      </w:r>
    </w:p>
    <w:p w14:paraId="1C56E832" w14:textId="77777777" w:rsidR="00B66018" w:rsidRPr="002D2ED8" w:rsidRDefault="00B66018" w:rsidP="00B66018">
      <w:pPr>
        <w:pStyle w:val="ac"/>
        <w:numPr>
          <w:ilvl w:val="0"/>
          <w:numId w:val="9"/>
        </w:numPr>
        <w:tabs>
          <w:tab w:val="left" w:pos="993"/>
        </w:tabs>
        <w:ind w:left="0" w:firstLine="709"/>
        <w:jc w:val="both"/>
        <w:rPr>
          <w:color w:val="000000" w:themeColor="text1"/>
          <w:sz w:val="28"/>
          <w:szCs w:val="28"/>
        </w:rPr>
      </w:pPr>
      <w:r w:rsidRPr="002D2ED8">
        <w:rPr>
          <w:color w:val="000000" w:themeColor="text1"/>
          <w:sz w:val="28"/>
          <w:szCs w:val="28"/>
        </w:rPr>
        <w:t>оценка деловой репутации и финансового положения при согласовании менеджмента и акционеров банков второго уровня;</w:t>
      </w:r>
    </w:p>
    <w:p w14:paraId="4D168F72" w14:textId="77777777" w:rsidR="00B66018" w:rsidRPr="002D2ED8" w:rsidRDefault="00B66018" w:rsidP="00B66018">
      <w:pPr>
        <w:pStyle w:val="ac"/>
        <w:numPr>
          <w:ilvl w:val="0"/>
          <w:numId w:val="9"/>
        </w:numPr>
        <w:tabs>
          <w:tab w:val="left" w:pos="993"/>
        </w:tabs>
        <w:ind w:left="0" w:firstLine="709"/>
        <w:jc w:val="both"/>
        <w:rPr>
          <w:color w:val="000000" w:themeColor="text1"/>
          <w:sz w:val="28"/>
          <w:szCs w:val="28"/>
        </w:rPr>
      </w:pPr>
      <w:r w:rsidRPr="002D2ED8">
        <w:rPr>
          <w:color w:val="000000" w:themeColor="text1"/>
          <w:sz w:val="28"/>
          <w:szCs w:val="28"/>
        </w:rPr>
        <w:t>оценка адекватности созданных банками провизий (резервов);</w:t>
      </w:r>
    </w:p>
    <w:p w14:paraId="7589D49D" w14:textId="77777777" w:rsidR="00B66018" w:rsidRPr="002D2ED8" w:rsidRDefault="00B66018" w:rsidP="00B66018">
      <w:pPr>
        <w:pStyle w:val="ac"/>
        <w:numPr>
          <w:ilvl w:val="0"/>
          <w:numId w:val="9"/>
        </w:numPr>
        <w:tabs>
          <w:tab w:val="left" w:pos="993"/>
        </w:tabs>
        <w:ind w:left="0" w:firstLine="709"/>
        <w:jc w:val="both"/>
        <w:rPr>
          <w:color w:val="000000" w:themeColor="text1"/>
          <w:sz w:val="28"/>
          <w:szCs w:val="28"/>
        </w:rPr>
      </w:pPr>
      <w:r w:rsidRPr="002D2ED8">
        <w:rPr>
          <w:color w:val="000000" w:themeColor="text1"/>
          <w:sz w:val="28"/>
          <w:szCs w:val="28"/>
        </w:rPr>
        <w:t>определение лиц, связанных с банками особыми отношениями и установления фактов предоставления льготных условий таким лицам;</w:t>
      </w:r>
    </w:p>
    <w:p w14:paraId="43AE80D3" w14:textId="77777777" w:rsidR="00B66018" w:rsidRPr="002D2ED8" w:rsidRDefault="00B66018" w:rsidP="00B66018">
      <w:pPr>
        <w:pStyle w:val="ac"/>
        <w:numPr>
          <w:ilvl w:val="0"/>
          <w:numId w:val="9"/>
        </w:numPr>
        <w:tabs>
          <w:tab w:val="left" w:pos="993"/>
        </w:tabs>
        <w:ind w:left="0" w:firstLine="709"/>
        <w:jc w:val="both"/>
        <w:rPr>
          <w:color w:val="000000" w:themeColor="text1"/>
          <w:sz w:val="28"/>
          <w:szCs w:val="28"/>
        </w:rPr>
      </w:pPr>
      <w:r w:rsidRPr="002D2ED8">
        <w:rPr>
          <w:color w:val="000000" w:themeColor="text1"/>
          <w:sz w:val="28"/>
          <w:szCs w:val="28"/>
        </w:rPr>
        <w:t>оценка качества систем управления рисками и внутреннего контроля банков.</w:t>
      </w:r>
    </w:p>
    <w:p w14:paraId="1890E6D0" w14:textId="77777777" w:rsidR="00B66018" w:rsidRPr="002D2ED8" w:rsidRDefault="00B66018" w:rsidP="00B66018">
      <w:pPr>
        <w:ind w:firstLine="708"/>
        <w:jc w:val="both"/>
        <w:rPr>
          <w:color w:val="000000" w:themeColor="text1"/>
          <w:sz w:val="28"/>
          <w:szCs w:val="28"/>
        </w:rPr>
      </w:pPr>
      <w:r w:rsidRPr="002D2ED8">
        <w:rPr>
          <w:color w:val="000000" w:themeColor="text1"/>
          <w:sz w:val="28"/>
          <w:szCs w:val="28"/>
        </w:rPr>
        <w:t>Решение о принятии и использовании Агентством мотивированного суждения принимается коллегиальным органом Агентства – Комитетом по надзору.</w:t>
      </w:r>
    </w:p>
    <w:p w14:paraId="09F369F8" w14:textId="588E48B5" w:rsidR="00B66018" w:rsidRPr="002D2ED8" w:rsidRDefault="00B66018" w:rsidP="00B66018">
      <w:pPr>
        <w:ind w:firstLine="709"/>
        <w:jc w:val="both"/>
        <w:rPr>
          <w:color w:val="000000" w:themeColor="text1"/>
          <w:sz w:val="28"/>
          <w:szCs w:val="28"/>
        </w:rPr>
      </w:pPr>
      <w:r w:rsidRPr="002D2ED8">
        <w:rPr>
          <w:color w:val="000000" w:themeColor="text1"/>
          <w:sz w:val="28"/>
          <w:szCs w:val="28"/>
        </w:rPr>
        <w:t xml:space="preserve">Агентство с 2020 года начало применять мотивированное суждение в отношении отдельных банков в следующих областях: признание заемщиков в </w:t>
      </w:r>
      <w:r w:rsidRPr="002D2ED8">
        <w:rPr>
          <w:color w:val="000000" w:themeColor="text1"/>
          <w:sz w:val="28"/>
          <w:szCs w:val="28"/>
        </w:rPr>
        <w:lastRenderedPageBreak/>
        <w:t xml:space="preserve">качестве лица, связанного </w:t>
      </w:r>
      <w:proofErr w:type="gramStart"/>
      <w:r w:rsidRPr="002D2ED8">
        <w:rPr>
          <w:color w:val="000000" w:themeColor="text1"/>
          <w:sz w:val="28"/>
          <w:szCs w:val="28"/>
        </w:rPr>
        <w:t>особыми отношениями</w:t>
      </w:r>
      <w:r w:rsidR="00A3520C" w:rsidRPr="002D2ED8">
        <w:rPr>
          <w:color w:val="000000" w:themeColor="text1"/>
          <w:sz w:val="28"/>
          <w:szCs w:val="28"/>
        </w:rPr>
        <w:t xml:space="preserve"> </w:t>
      </w:r>
      <w:r w:rsidRPr="002D2ED8">
        <w:rPr>
          <w:color w:val="000000" w:themeColor="text1"/>
          <w:sz w:val="28"/>
          <w:szCs w:val="28"/>
        </w:rPr>
        <w:t>с банком</w:t>
      </w:r>
      <w:proofErr w:type="gramEnd"/>
      <w:r w:rsidRPr="002D2ED8">
        <w:rPr>
          <w:color w:val="000000" w:themeColor="text1"/>
          <w:sz w:val="28"/>
          <w:szCs w:val="28"/>
        </w:rPr>
        <w:t xml:space="preserve"> и оценка качества системы управления рисками и внутреннего контроля.</w:t>
      </w:r>
    </w:p>
    <w:p w14:paraId="5A350F9B" w14:textId="579146B8" w:rsidR="00B66018" w:rsidRPr="002D2ED8" w:rsidRDefault="00B66018" w:rsidP="00B66018">
      <w:pPr>
        <w:ind w:firstLine="709"/>
        <w:jc w:val="both"/>
        <w:rPr>
          <w:color w:val="000000" w:themeColor="text1"/>
          <w:sz w:val="28"/>
          <w:szCs w:val="28"/>
        </w:rPr>
      </w:pPr>
      <w:r w:rsidRPr="002D2ED8">
        <w:rPr>
          <w:color w:val="000000" w:themeColor="text1"/>
          <w:sz w:val="28"/>
          <w:szCs w:val="28"/>
        </w:rPr>
        <w:t xml:space="preserve">В 2022 году Агентством продолжена практика применения мотивированного суждения. Так, по итогам проведения надзорной оценки </w:t>
      </w:r>
      <w:r w:rsidRPr="002D2ED8">
        <w:rPr>
          <w:color w:val="000000" w:themeColor="text1"/>
          <w:sz w:val="28"/>
          <w:szCs w:val="28"/>
          <w:lang w:val="en-US"/>
        </w:rPr>
        <w:t>SREP</w:t>
      </w:r>
      <w:r w:rsidRPr="002D2ED8">
        <w:rPr>
          <w:color w:val="000000" w:themeColor="text1"/>
          <w:sz w:val="28"/>
          <w:szCs w:val="28"/>
        </w:rPr>
        <w:t xml:space="preserve"> в отношении нескольких банков было применено мотивированное суждение в связи с наличием мнения регулятора о недостатках в системах управления рисками и внутреннего контроля банков.</w:t>
      </w:r>
    </w:p>
    <w:p w14:paraId="40A49635" w14:textId="7D3480C0" w:rsidR="00B66018" w:rsidRPr="002D2ED8" w:rsidRDefault="00B66018" w:rsidP="00B66018">
      <w:pPr>
        <w:autoSpaceDE w:val="0"/>
        <w:autoSpaceDN w:val="0"/>
        <w:adjustRightInd w:val="0"/>
        <w:ind w:firstLine="709"/>
        <w:jc w:val="both"/>
        <w:rPr>
          <w:color w:val="000000"/>
          <w:sz w:val="28"/>
          <w:szCs w:val="28"/>
          <w:lang w:eastAsia="en-GB"/>
        </w:rPr>
      </w:pPr>
      <w:r w:rsidRPr="002D2ED8">
        <w:rPr>
          <w:color w:val="000000"/>
          <w:sz w:val="28"/>
          <w:szCs w:val="28"/>
          <w:lang w:eastAsia="en-GB"/>
        </w:rPr>
        <w:t xml:space="preserve">Одновременно, принят блок законодательных поправок Законом Республики Казахстан от 12 июля 2022 года №138-VII ЗРК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 которыми были расширены сферы применения Агентством мотивированного </w:t>
      </w:r>
      <w:r w:rsidR="00A3520C" w:rsidRPr="002D2ED8">
        <w:rPr>
          <w:color w:val="000000"/>
          <w:sz w:val="28"/>
          <w:szCs w:val="28"/>
          <w:lang w:eastAsia="en-GB"/>
        </w:rPr>
        <w:t>с</w:t>
      </w:r>
      <w:r w:rsidRPr="002D2ED8">
        <w:rPr>
          <w:color w:val="000000"/>
          <w:sz w:val="28"/>
          <w:szCs w:val="28"/>
          <w:lang w:eastAsia="en-GB"/>
        </w:rPr>
        <w:t>уждения в надзорном процессе:</w:t>
      </w:r>
    </w:p>
    <w:p w14:paraId="0523547C" w14:textId="77777777" w:rsidR="00B66018" w:rsidRPr="002D2ED8" w:rsidRDefault="00B66018" w:rsidP="00B66018">
      <w:pPr>
        <w:tabs>
          <w:tab w:val="left" w:pos="993"/>
        </w:tabs>
        <w:autoSpaceDE w:val="0"/>
        <w:autoSpaceDN w:val="0"/>
        <w:adjustRightInd w:val="0"/>
        <w:ind w:firstLine="709"/>
        <w:jc w:val="both"/>
        <w:rPr>
          <w:i/>
          <w:color w:val="000000"/>
          <w:sz w:val="28"/>
          <w:szCs w:val="28"/>
          <w:lang w:eastAsia="en-GB"/>
        </w:rPr>
      </w:pPr>
      <w:r w:rsidRPr="002D2ED8">
        <w:rPr>
          <w:color w:val="000000"/>
          <w:sz w:val="28"/>
          <w:szCs w:val="28"/>
          <w:lang w:eastAsia="en-GB"/>
        </w:rPr>
        <w:t>1)</w:t>
      </w:r>
      <w:r w:rsidRPr="002D2ED8">
        <w:rPr>
          <w:color w:val="000000"/>
          <w:sz w:val="28"/>
          <w:szCs w:val="28"/>
          <w:lang w:eastAsia="en-GB"/>
        </w:rPr>
        <w:tab/>
        <w:t>определение лиц, которые являются (совместно являются) крупными участниками банка, страховой (перестраховочной) организации, банковскими, страховыми холдингами</w:t>
      </w:r>
      <w:r w:rsidRPr="002D2ED8">
        <w:rPr>
          <w:i/>
          <w:color w:val="000000"/>
          <w:sz w:val="28"/>
          <w:szCs w:val="28"/>
          <w:lang w:eastAsia="en-GB"/>
        </w:rPr>
        <w:t xml:space="preserve"> (по косвенным признакам, в том числе при фактическом владении каждого акционера пакетом акций банка в размере менее 10%). </w:t>
      </w:r>
    </w:p>
    <w:p w14:paraId="376CDBBC" w14:textId="77777777" w:rsidR="00B66018" w:rsidRPr="002D2ED8" w:rsidRDefault="00B66018" w:rsidP="00B66018">
      <w:pPr>
        <w:ind w:firstLine="709"/>
        <w:jc w:val="both"/>
        <w:rPr>
          <w:i/>
          <w:color w:val="000000"/>
          <w:sz w:val="28"/>
          <w:szCs w:val="28"/>
          <w:lang w:eastAsia="en-GB"/>
        </w:rPr>
      </w:pPr>
      <w:r w:rsidRPr="002D2ED8">
        <w:rPr>
          <w:color w:val="000000" w:themeColor="text1"/>
          <w:sz w:val="28"/>
          <w:szCs w:val="28"/>
        </w:rPr>
        <w:t xml:space="preserve">Данная поправка необходима для снижения рисков намеренного дробления акций банка между миноритарными акционерами, связанными между собой или с крупным акционером, что позволяет им фактически владеть контрольным пакетом акций банка и принимать </w:t>
      </w:r>
      <w:proofErr w:type="spellStart"/>
      <w:r w:rsidRPr="002D2ED8">
        <w:rPr>
          <w:color w:val="000000" w:themeColor="text1"/>
          <w:sz w:val="28"/>
          <w:szCs w:val="28"/>
        </w:rPr>
        <w:t>высокорисковые</w:t>
      </w:r>
      <w:proofErr w:type="spellEnd"/>
      <w:r w:rsidRPr="002D2ED8">
        <w:rPr>
          <w:color w:val="000000" w:themeColor="text1"/>
          <w:sz w:val="28"/>
          <w:szCs w:val="28"/>
        </w:rPr>
        <w:t xml:space="preserve"> решения. На практике имелись подобные случаи, которые в последующем привели к отзыву лицензий недобросовестных банков</w:t>
      </w:r>
      <w:r w:rsidRPr="002D2ED8">
        <w:rPr>
          <w:color w:val="000000"/>
          <w:sz w:val="28"/>
          <w:szCs w:val="28"/>
          <w:lang w:eastAsia="en-GB"/>
        </w:rPr>
        <w:t>;</w:t>
      </w:r>
    </w:p>
    <w:p w14:paraId="66368819" w14:textId="77777777" w:rsidR="00B66018" w:rsidRPr="002D2ED8" w:rsidRDefault="00B66018" w:rsidP="00B66018">
      <w:pPr>
        <w:pStyle w:val="ac"/>
        <w:tabs>
          <w:tab w:val="left" w:pos="993"/>
        </w:tabs>
        <w:autoSpaceDE w:val="0"/>
        <w:autoSpaceDN w:val="0"/>
        <w:adjustRightInd w:val="0"/>
        <w:ind w:left="0" w:firstLine="709"/>
        <w:jc w:val="both"/>
        <w:rPr>
          <w:color w:val="000000"/>
          <w:sz w:val="28"/>
          <w:szCs w:val="28"/>
          <w:lang w:eastAsia="en-GB"/>
        </w:rPr>
      </w:pPr>
      <w:r w:rsidRPr="002D2ED8">
        <w:rPr>
          <w:color w:val="000000"/>
          <w:sz w:val="28"/>
          <w:szCs w:val="28"/>
          <w:lang w:eastAsia="en-GB"/>
        </w:rPr>
        <w:t>2)</w:t>
      </w:r>
      <w:r w:rsidRPr="002D2ED8">
        <w:rPr>
          <w:color w:val="000000"/>
          <w:sz w:val="28"/>
          <w:szCs w:val="28"/>
          <w:lang w:eastAsia="en-GB"/>
        </w:rPr>
        <w:tab/>
        <w:t xml:space="preserve">наделение Агентства правом использовать мотивированное суждение </w:t>
      </w:r>
      <w:r w:rsidRPr="002D2ED8">
        <w:rPr>
          <w:color w:val="000000"/>
          <w:sz w:val="28"/>
          <w:szCs w:val="28"/>
          <w:lang w:eastAsia="en-GB"/>
        </w:rPr>
        <w:br/>
        <w:t xml:space="preserve">в случаях, если есть основание его применения, не только в момент назначения (избрания) руководящего работника, но </w:t>
      </w:r>
      <w:r w:rsidRPr="002D2ED8">
        <w:rPr>
          <w:i/>
          <w:color w:val="000000"/>
          <w:sz w:val="28"/>
          <w:szCs w:val="28"/>
          <w:lang w:eastAsia="en-GB"/>
        </w:rPr>
        <w:t>и в течение всего периода осуществления его деятельности в банке</w:t>
      </w:r>
      <w:r w:rsidRPr="002D2ED8">
        <w:rPr>
          <w:color w:val="000000"/>
          <w:sz w:val="28"/>
          <w:szCs w:val="28"/>
          <w:lang w:eastAsia="en-GB"/>
        </w:rPr>
        <w:t xml:space="preserve">. </w:t>
      </w:r>
    </w:p>
    <w:p w14:paraId="551007E3" w14:textId="77777777" w:rsidR="00B66018" w:rsidRPr="002D2ED8" w:rsidRDefault="00B66018" w:rsidP="00B66018">
      <w:pPr>
        <w:ind w:firstLine="709"/>
        <w:jc w:val="both"/>
        <w:rPr>
          <w:color w:val="000000"/>
          <w:sz w:val="28"/>
          <w:szCs w:val="28"/>
          <w:lang w:eastAsia="en-GB"/>
        </w:rPr>
      </w:pPr>
      <w:r w:rsidRPr="002D2ED8">
        <w:rPr>
          <w:color w:val="000000"/>
          <w:sz w:val="28"/>
          <w:szCs w:val="28"/>
          <w:lang w:eastAsia="en-GB"/>
        </w:rPr>
        <w:t xml:space="preserve">Безупречная деловая репутация является неотъемлемым качеством самого руководящего работника, необходимым для осуществления его деятельности. Целью проверки безупречной деловой репутации является недопущение лиц, не имеющих безупречную деловую репутацию, к управлению и контролю за субъектами финансового рынка. При этом у уполномоченного органа должны быть рычаги воздействия и применения в том числе мотивированного суждения по основаниям отсутствия безупречной деловой репутации, не только при согласовании руководящих работников, но и в период осуществления ими деятельности.  </w:t>
      </w:r>
    </w:p>
    <w:p w14:paraId="630B8361" w14:textId="77777777" w:rsidR="00B66018" w:rsidRPr="002D2ED8" w:rsidRDefault="00B66018" w:rsidP="00B66018">
      <w:pPr>
        <w:ind w:firstLine="709"/>
        <w:jc w:val="both"/>
        <w:rPr>
          <w:color w:val="000000" w:themeColor="text1"/>
          <w:sz w:val="28"/>
          <w:szCs w:val="28"/>
        </w:rPr>
      </w:pPr>
      <w:r w:rsidRPr="002D2ED8">
        <w:rPr>
          <w:color w:val="000000" w:themeColor="text1"/>
          <w:sz w:val="28"/>
          <w:szCs w:val="28"/>
        </w:rPr>
        <w:t>Агентством в 2023 году будут усовершенствованы надзорные процессы с учетом внесенных в законодательство изменений.</w:t>
      </w:r>
    </w:p>
    <w:p w14:paraId="1C9F12D5" w14:textId="77777777" w:rsidR="00B66018" w:rsidRPr="002D2ED8" w:rsidRDefault="00B66018" w:rsidP="00C01CE8">
      <w:pPr>
        <w:ind w:firstLine="708"/>
        <w:jc w:val="both"/>
        <w:rPr>
          <w:rFonts w:eastAsia="Calibri"/>
          <w:color w:val="000000" w:themeColor="text1"/>
          <w:sz w:val="28"/>
          <w:szCs w:val="28"/>
        </w:rPr>
      </w:pPr>
    </w:p>
    <w:p w14:paraId="10DC7C18" w14:textId="5010EF57" w:rsidR="00552F8E" w:rsidRPr="002D2ED8" w:rsidRDefault="00552F8E"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31" w:name="_Toc127966712"/>
      <w:r w:rsidRPr="002D2ED8">
        <w:rPr>
          <w:rFonts w:ascii="Times New Roman" w:eastAsia="Calibri" w:hAnsi="Times New Roman" w:cs="Times New Roman"/>
          <w:i w:val="0"/>
          <w:color w:val="000000" w:themeColor="text1"/>
          <w:lang w:eastAsia="en-US"/>
        </w:rPr>
        <w:t>Проведение процессов добровольной реорганизации микрофинансовой организации в форме конвертации в банк и выстраивание надзорного процесса</w:t>
      </w:r>
      <w:bookmarkEnd w:id="31"/>
    </w:p>
    <w:p w14:paraId="759151AC" w14:textId="515567C1" w:rsidR="00552F8E" w:rsidRPr="002D2ED8" w:rsidRDefault="00B66018" w:rsidP="00552F8E">
      <w:pPr>
        <w:tabs>
          <w:tab w:val="left" w:pos="993"/>
        </w:tabs>
        <w:autoSpaceDE w:val="0"/>
        <w:autoSpaceDN w:val="0"/>
        <w:adjustRightInd w:val="0"/>
        <w:ind w:firstLine="709"/>
        <w:jc w:val="both"/>
        <w:rPr>
          <w:color w:val="000000"/>
          <w:sz w:val="28"/>
          <w:szCs w:val="28"/>
          <w:lang w:eastAsia="en-GB"/>
        </w:rPr>
      </w:pPr>
      <w:r w:rsidRPr="002D2ED8">
        <w:rPr>
          <w:color w:val="000000"/>
          <w:sz w:val="28"/>
          <w:szCs w:val="28"/>
          <w:lang w:eastAsia="en-GB"/>
        </w:rPr>
        <w:t>Вышеуказанным</w:t>
      </w:r>
      <w:r w:rsidR="00552F8E" w:rsidRPr="002D2ED8">
        <w:rPr>
          <w:color w:val="000000"/>
          <w:sz w:val="28"/>
          <w:szCs w:val="28"/>
          <w:lang w:eastAsia="en-GB"/>
        </w:rPr>
        <w:t xml:space="preserve"> Законом Республики Казахстан от 12 июля 2022 года </w:t>
      </w:r>
      <w:r w:rsidRPr="002D2ED8">
        <w:rPr>
          <w:color w:val="000000"/>
          <w:sz w:val="28"/>
          <w:szCs w:val="28"/>
          <w:lang w:eastAsia="en-GB"/>
        </w:rPr>
        <w:t>внесены</w:t>
      </w:r>
      <w:r w:rsidR="0044501A" w:rsidRPr="002D2ED8">
        <w:rPr>
          <w:color w:val="000000"/>
          <w:sz w:val="28"/>
          <w:szCs w:val="28"/>
          <w:lang w:eastAsia="en-GB"/>
        </w:rPr>
        <w:t xml:space="preserve"> </w:t>
      </w:r>
      <w:r w:rsidRPr="002D2ED8">
        <w:rPr>
          <w:color w:val="000000"/>
          <w:sz w:val="28"/>
          <w:szCs w:val="28"/>
          <w:lang w:eastAsia="en-GB"/>
        </w:rPr>
        <w:t>изменения в законодательство,</w:t>
      </w:r>
      <w:r w:rsidR="00552F8E" w:rsidRPr="002D2ED8">
        <w:rPr>
          <w:color w:val="000000"/>
          <w:sz w:val="28"/>
          <w:szCs w:val="28"/>
          <w:lang w:eastAsia="en-GB"/>
        </w:rPr>
        <w:t xml:space="preserve"> предусматривающи</w:t>
      </w:r>
      <w:r w:rsidRPr="002D2ED8">
        <w:rPr>
          <w:color w:val="000000"/>
          <w:sz w:val="28"/>
          <w:szCs w:val="28"/>
          <w:lang w:eastAsia="en-GB"/>
        </w:rPr>
        <w:t>е</w:t>
      </w:r>
      <w:r w:rsidR="00552F8E" w:rsidRPr="002D2ED8">
        <w:rPr>
          <w:color w:val="000000"/>
          <w:sz w:val="28"/>
          <w:szCs w:val="28"/>
          <w:lang w:eastAsia="en-GB"/>
        </w:rPr>
        <w:t xml:space="preserve"> возможность </w:t>
      </w:r>
      <w:r w:rsidR="00552F8E" w:rsidRPr="002D2ED8">
        <w:rPr>
          <w:color w:val="000000"/>
          <w:sz w:val="28"/>
          <w:szCs w:val="28"/>
          <w:lang w:eastAsia="en-GB"/>
        </w:rPr>
        <w:lastRenderedPageBreak/>
        <w:t xml:space="preserve">трансформации действующих микрофинансовых организаций (МФО), соответствующих </w:t>
      </w:r>
      <w:r w:rsidRPr="002D2ED8">
        <w:rPr>
          <w:color w:val="000000"/>
          <w:sz w:val="28"/>
          <w:szCs w:val="28"/>
          <w:lang w:eastAsia="en-GB"/>
        </w:rPr>
        <w:t xml:space="preserve">установленным </w:t>
      </w:r>
      <w:r w:rsidR="00552F8E" w:rsidRPr="002D2ED8">
        <w:rPr>
          <w:color w:val="000000"/>
          <w:sz w:val="28"/>
          <w:szCs w:val="28"/>
          <w:lang w:eastAsia="en-GB"/>
        </w:rPr>
        <w:t>требованиям, путем конвертации в банк.</w:t>
      </w:r>
    </w:p>
    <w:p w14:paraId="62F73316" w14:textId="77777777" w:rsidR="00552F8E" w:rsidRPr="002D2ED8" w:rsidRDefault="00552F8E" w:rsidP="00552F8E">
      <w:pPr>
        <w:tabs>
          <w:tab w:val="left" w:pos="993"/>
        </w:tabs>
        <w:autoSpaceDE w:val="0"/>
        <w:autoSpaceDN w:val="0"/>
        <w:adjustRightInd w:val="0"/>
        <w:ind w:firstLine="709"/>
        <w:jc w:val="both"/>
        <w:rPr>
          <w:color w:val="000000"/>
          <w:sz w:val="28"/>
          <w:szCs w:val="28"/>
          <w:lang w:eastAsia="en-GB"/>
        </w:rPr>
      </w:pPr>
      <w:r w:rsidRPr="002D2ED8">
        <w:rPr>
          <w:color w:val="000000"/>
          <w:sz w:val="28"/>
          <w:szCs w:val="28"/>
          <w:lang w:eastAsia="en-GB"/>
        </w:rPr>
        <w:t>В реализацию данного закона, 22 ноября 2022 года Агентством принято постановление Правления № 93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w:t>
      </w:r>
    </w:p>
    <w:p w14:paraId="406FB9B8" w14:textId="77777777" w:rsidR="00552F8E" w:rsidRPr="002D2ED8" w:rsidRDefault="00552F8E" w:rsidP="00552F8E">
      <w:pPr>
        <w:autoSpaceDE w:val="0"/>
        <w:autoSpaceDN w:val="0"/>
        <w:adjustRightInd w:val="0"/>
        <w:ind w:firstLine="709"/>
        <w:jc w:val="both"/>
        <w:rPr>
          <w:color w:val="000000"/>
          <w:sz w:val="28"/>
          <w:szCs w:val="28"/>
          <w:lang w:eastAsia="en-GB"/>
        </w:rPr>
      </w:pPr>
      <w:r w:rsidRPr="002D2ED8">
        <w:rPr>
          <w:color w:val="000000"/>
          <w:sz w:val="28"/>
          <w:szCs w:val="28"/>
          <w:lang w:eastAsia="en-GB"/>
        </w:rPr>
        <w:t>Постановлением определен порядок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w:t>
      </w:r>
    </w:p>
    <w:p w14:paraId="1934A2CF" w14:textId="77777777" w:rsidR="00552F8E" w:rsidRPr="002D2ED8" w:rsidRDefault="00552F8E" w:rsidP="00552F8E">
      <w:pPr>
        <w:tabs>
          <w:tab w:val="left" w:pos="993"/>
        </w:tabs>
        <w:autoSpaceDE w:val="0"/>
        <w:autoSpaceDN w:val="0"/>
        <w:adjustRightInd w:val="0"/>
        <w:ind w:firstLine="709"/>
        <w:jc w:val="both"/>
        <w:rPr>
          <w:color w:val="000000"/>
          <w:sz w:val="28"/>
          <w:szCs w:val="28"/>
          <w:lang w:eastAsia="en-GB"/>
        </w:rPr>
      </w:pPr>
      <w:r w:rsidRPr="002D2ED8">
        <w:rPr>
          <w:color w:val="000000"/>
          <w:sz w:val="28"/>
          <w:szCs w:val="28"/>
          <w:lang w:eastAsia="en-GB"/>
        </w:rPr>
        <w:t>Данные поправки послужили толчком для начала проведения некоторыми крупными МФО подготовительных работ для конвертации в банк, заявления на получение разрешения на осуществление которой они планируют подать в 2023 году.</w:t>
      </w:r>
    </w:p>
    <w:p w14:paraId="1356A64F" w14:textId="4BB230CB" w:rsidR="00552F8E" w:rsidRPr="002D2ED8" w:rsidRDefault="00552F8E" w:rsidP="00552F8E">
      <w:pPr>
        <w:tabs>
          <w:tab w:val="left" w:pos="993"/>
        </w:tabs>
        <w:autoSpaceDE w:val="0"/>
        <w:autoSpaceDN w:val="0"/>
        <w:adjustRightInd w:val="0"/>
        <w:ind w:firstLine="709"/>
        <w:jc w:val="both"/>
        <w:rPr>
          <w:color w:val="000000"/>
          <w:sz w:val="28"/>
          <w:szCs w:val="28"/>
          <w:lang w:eastAsia="en-GB"/>
        </w:rPr>
      </w:pPr>
      <w:r w:rsidRPr="002D2ED8">
        <w:rPr>
          <w:color w:val="000000"/>
          <w:sz w:val="28"/>
          <w:szCs w:val="28"/>
          <w:lang w:eastAsia="en-GB"/>
        </w:rPr>
        <w:t>Агентством пров</w:t>
      </w:r>
      <w:r w:rsidR="0088108A" w:rsidRPr="002D2ED8">
        <w:rPr>
          <w:color w:val="000000"/>
          <w:sz w:val="28"/>
          <w:szCs w:val="28"/>
          <w:lang w:eastAsia="en-GB"/>
        </w:rPr>
        <w:t>одится</w:t>
      </w:r>
      <w:r w:rsidRPr="002D2ED8">
        <w:rPr>
          <w:color w:val="000000"/>
          <w:sz w:val="28"/>
          <w:szCs w:val="28"/>
          <w:lang w:eastAsia="en-GB"/>
        </w:rPr>
        <w:t xml:space="preserve"> работа по адаптации внутренних надзорных процессов в отношении банков, преобразованных из МФО.</w:t>
      </w:r>
    </w:p>
    <w:p w14:paraId="4AFDA229" w14:textId="4AD2F9AA" w:rsidR="00781179" w:rsidRPr="002D2ED8" w:rsidRDefault="00781179" w:rsidP="00C01CE8">
      <w:pPr>
        <w:ind w:firstLine="709"/>
        <w:jc w:val="both"/>
        <w:rPr>
          <w:rFonts w:eastAsia="Calibri"/>
          <w:color w:val="000000" w:themeColor="text1"/>
          <w:sz w:val="28"/>
          <w:szCs w:val="28"/>
        </w:rPr>
      </w:pPr>
    </w:p>
    <w:p w14:paraId="1AC0D1F7" w14:textId="7243B716" w:rsidR="00F014CA" w:rsidRPr="002D2ED8" w:rsidRDefault="00F014CA" w:rsidP="00C01CE8">
      <w:pPr>
        <w:ind w:firstLine="709"/>
        <w:jc w:val="both"/>
        <w:rPr>
          <w:rFonts w:eastAsia="Calibri"/>
          <w:color w:val="000000" w:themeColor="text1"/>
          <w:sz w:val="28"/>
          <w:szCs w:val="28"/>
        </w:rPr>
      </w:pPr>
    </w:p>
    <w:p w14:paraId="2AD3B656" w14:textId="1706D816" w:rsidR="00F014CA" w:rsidRPr="002D2ED8" w:rsidRDefault="00F014CA" w:rsidP="00C01CE8">
      <w:pPr>
        <w:ind w:firstLine="709"/>
        <w:jc w:val="both"/>
        <w:rPr>
          <w:rFonts w:eastAsia="Calibri"/>
          <w:color w:val="000000" w:themeColor="text1"/>
          <w:sz w:val="28"/>
          <w:szCs w:val="28"/>
        </w:rPr>
      </w:pPr>
    </w:p>
    <w:p w14:paraId="7C9C8B78" w14:textId="1C9F85BD" w:rsidR="00F014CA" w:rsidRPr="002D2ED8" w:rsidRDefault="00F014CA" w:rsidP="00C01CE8">
      <w:pPr>
        <w:ind w:firstLine="709"/>
        <w:jc w:val="both"/>
        <w:rPr>
          <w:rFonts w:eastAsia="Calibri"/>
          <w:color w:val="000000" w:themeColor="text1"/>
          <w:sz w:val="28"/>
          <w:szCs w:val="28"/>
        </w:rPr>
      </w:pPr>
    </w:p>
    <w:p w14:paraId="2EDA62FA" w14:textId="0B13D6F5" w:rsidR="00F014CA" w:rsidRPr="002D2ED8" w:rsidRDefault="00F014CA" w:rsidP="00C01CE8">
      <w:pPr>
        <w:ind w:firstLine="709"/>
        <w:jc w:val="both"/>
        <w:rPr>
          <w:rFonts w:eastAsia="Calibri"/>
          <w:color w:val="000000" w:themeColor="text1"/>
          <w:sz w:val="28"/>
          <w:szCs w:val="28"/>
        </w:rPr>
      </w:pPr>
    </w:p>
    <w:p w14:paraId="132A2915" w14:textId="5376C752" w:rsidR="00F014CA" w:rsidRPr="002D2ED8" w:rsidRDefault="00F014CA" w:rsidP="00C01CE8">
      <w:pPr>
        <w:ind w:firstLine="709"/>
        <w:jc w:val="both"/>
        <w:rPr>
          <w:rFonts w:eastAsia="Calibri"/>
          <w:color w:val="000000" w:themeColor="text1"/>
          <w:sz w:val="28"/>
          <w:szCs w:val="28"/>
        </w:rPr>
      </w:pPr>
    </w:p>
    <w:p w14:paraId="0EC97394" w14:textId="61639F9F" w:rsidR="00F014CA" w:rsidRPr="002D2ED8" w:rsidRDefault="00F014CA" w:rsidP="00C01CE8">
      <w:pPr>
        <w:ind w:firstLine="709"/>
        <w:jc w:val="both"/>
        <w:rPr>
          <w:rFonts w:eastAsia="Calibri"/>
          <w:color w:val="000000" w:themeColor="text1"/>
          <w:sz w:val="28"/>
          <w:szCs w:val="28"/>
        </w:rPr>
      </w:pPr>
    </w:p>
    <w:p w14:paraId="45EF9311" w14:textId="12E9DA21" w:rsidR="00F014CA" w:rsidRPr="002D2ED8" w:rsidRDefault="00F014CA" w:rsidP="00C01CE8">
      <w:pPr>
        <w:ind w:firstLine="709"/>
        <w:jc w:val="both"/>
        <w:rPr>
          <w:rFonts w:eastAsia="Calibri"/>
          <w:color w:val="000000" w:themeColor="text1"/>
          <w:sz w:val="28"/>
          <w:szCs w:val="28"/>
        </w:rPr>
      </w:pPr>
    </w:p>
    <w:p w14:paraId="3061ED7F" w14:textId="5CA18A09" w:rsidR="00F014CA" w:rsidRPr="002D2ED8" w:rsidRDefault="00F014CA" w:rsidP="00C01CE8">
      <w:pPr>
        <w:ind w:firstLine="709"/>
        <w:jc w:val="both"/>
        <w:rPr>
          <w:rFonts w:eastAsia="Calibri"/>
          <w:color w:val="000000" w:themeColor="text1"/>
          <w:sz w:val="28"/>
          <w:szCs w:val="28"/>
        </w:rPr>
      </w:pPr>
    </w:p>
    <w:p w14:paraId="3C397242" w14:textId="02E1128A" w:rsidR="00504A0B" w:rsidRPr="002D2ED8" w:rsidRDefault="00504A0B" w:rsidP="00C01CE8">
      <w:pPr>
        <w:ind w:firstLine="709"/>
        <w:jc w:val="both"/>
        <w:rPr>
          <w:rFonts w:eastAsia="Calibri"/>
          <w:color w:val="000000" w:themeColor="text1"/>
          <w:sz w:val="28"/>
          <w:szCs w:val="28"/>
        </w:rPr>
      </w:pPr>
    </w:p>
    <w:p w14:paraId="0F90F354" w14:textId="46D3A407" w:rsidR="00504A0B" w:rsidRPr="002D2ED8" w:rsidRDefault="00504A0B" w:rsidP="00C01CE8">
      <w:pPr>
        <w:ind w:firstLine="709"/>
        <w:jc w:val="both"/>
        <w:rPr>
          <w:rFonts w:eastAsia="Calibri"/>
          <w:color w:val="000000" w:themeColor="text1"/>
          <w:sz w:val="28"/>
          <w:szCs w:val="28"/>
        </w:rPr>
      </w:pPr>
    </w:p>
    <w:p w14:paraId="4048681A" w14:textId="34CE72D4" w:rsidR="00504A0B" w:rsidRPr="002D2ED8" w:rsidRDefault="00504A0B" w:rsidP="00C01CE8">
      <w:pPr>
        <w:ind w:firstLine="709"/>
        <w:jc w:val="both"/>
        <w:rPr>
          <w:rFonts w:eastAsia="Calibri"/>
          <w:color w:val="000000" w:themeColor="text1"/>
          <w:sz w:val="28"/>
          <w:szCs w:val="28"/>
        </w:rPr>
      </w:pPr>
    </w:p>
    <w:p w14:paraId="6F18107F" w14:textId="093DBE0B" w:rsidR="00504A0B" w:rsidRPr="002D2ED8" w:rsidRDefault="00504A0B" w:rsidP="00C01CE8">
      <w:pPr>
        <w:ind w:firstLine="709"/>
        <w:jc w:val="both"/>
        <w:rPr>
          <w:rFonts w:eastAsia="Calibri"/>
          <w:color w:val="000000" w:themeColor="text1"/>
          <w:sz w:val="28"/>
          <w:szCs w:val="28"/>
        </w:rPr>
      </w:pPr>
    </w:p>
    <w:p w14:paraId="20B060AC" w14:textId="29797490" w:rsidR="00504A0B" w:rsidRPr="002D2ED8" w:rsidRDefault="00504A0B" w:rsidP="00C01CE8">
      <w:pPr>
        <w:ind w:firstLine="709"/>
        <w:jc w:val="both"/>
        <w:rPr>
          <w:rFonts w:eastAsia="Calibri"/>
          <w:color w:val="000000" w:themeColor="text1"/>
          <w:sz w:val="28"/>
          <w:szCs w:val="28"/>
        </w:rPr>
      </w:pPr>
    </w:p>
    <w:p w14:paraId="33797621" w14:textId="77777777" w:rsidR="00504A0B" w:rsidRPr="002D2ED8" w:rsidRDefault="00504A0B" w:rsidP="00C01CE8">
      <w:pPr>
        <w:ind w:firstLine="709"/>
        <w:jc w:val="both"/>
        <w:rPr>
          <w:rFonts w:eastAsia="Calibri"/>
          <w:color w:val="000000" w:themeColor="text1"/>
          <w:sz w:val="28"/>
          <w:szCs w:val="28"/>
        </w:rPr>
      </w:pPr>
    </w:p>
    <w:p w14:paraId="4860302A" w14:textId="2D24848A" w:rsidR="00F014CA" w:rsidRPr="002D2ED8" w:rsidRDefault="00F014CA" w:rsidP="00C01CE8">
      <w:pPr>
        <w:ind w:firstLine="709"/>
        <w:jc w:val="both"/>
        <w:rPr>
          <w:rFonts w:eastAsia="Calibri"/>
          <w:color w:val="000000" w:themeColor="text1"/>
          <w:sz w:val="28"/>
          <w:szCs w:val="28"/>
        </w:rPr>
      </w:pPr>
    </w:p>
    <w:p w14:paraId="6CFD6E55" w14:textId="517EA8AA" w:rsidR="00F014CA" w:rsidRPr="002D2ED8" w:rsidRDefault="00F014CA" w:rsidP="00C01CE8">
      <w:pPr>
        <w:ind w:firstLine="709"/>
        <w:jc w:val="both"/>
        <w:rPr>
          <w:rFonts w:eastAsia="Calibri"/>
          <w:color w:val="000000" w:themeColor="text1"/>
          <w:sz w:val="28"/>
          <w:szCs w:val="28"/>
        </w:rPr>
      </w:pPr>
    </w:p>
    <w:p w14:paraId="03197048" w14:textId="01F52A90" w:rsidR="00F014CA" w:rsidRPr="002D2ED8" w:rsidRDefault="00F014CA" w:rsidP="00C01CE8">
      <w:pPr>
        <w:ind w:firstLine="709"/>
        <w:jc w:val="both"/>
        <w:rPr>
          <w:rFonts w:eastAsia="Calibri"/>
          <w:color w:val="000000" w:themeColor="text1"/>
          <w:sz w:val="28"/>
          <w:szCs w:val="28"/>
        </w:rPr>
      </w:pPr>
    </w:p>
    <w:p w14:paraId="356E96D4" w14:textId="6E9D1C8C" w:rsidR="00F014CA" w:rsidRPr="002D2ED8" w:rsidRDefault="00F014CA" w:rsidP="00C01CE8">
      <w:pPr>
        <w:ind w:firstLine="709"/>
        <w:jc w:val="both"/>
        <w:rPr>
          <w:rFonts w:eastAsia="Calibri"/>
          <w:color w:val="000000" w:themeColor="text1"/>
          <w:sz w:val="28"/>
          <w:szCs w:val="28"/>
        </w:rPr>
      </w:pPr>
    </w:p>
    <w:p w14:paraId="5A4DC12E" w14:textId="73F8D900" w:rsidR="00F9527A" w:rsidRPr="002D2ED8" w:rsidRDefault="00F9527A" w:rsidP="00C01CE8">
      <w:pPr>
        <w:ind w:firstLine="709"/>
        <w:jc w:val="both"/>
        <w:rPr>
          <w:rFonts w:eastAsia="Calibri"/>
          <w:color w:val="000000" w:themeColor="text1"/>
          <w:sz w:val="28"/>
          <w:szCs w:val="28"/>
        </w:rPr>
      </w:pPr>
    </w:p>
    <w:p w14:paraId="7F42DEA6" w14:textId="35C0E955" w:rsidR="00A678E6" w:rsidRPr="002D2ED8" w:rsidRDefault="00A678E6" w:rsidP="00995789">
      <w:pPr>
        <w:pStyle w:val="2"/>
        <w:numPr>
          <w:ilvl w:val="0"/>
          <w:numId w:val="17"/>
        </w:numPr>
        <w:spacing w:before="0" w:after="0"/>
        <w:ind w:left="0" w:firstLine="709"/>
        <w:jc w:val="both"/>
        <w:rPr>
          <w:rFonts w:ascii="Times New Roman" w:eastAsia="Calibri" w:hAnsi="Times New Roman" w:cs="Times New Roman"/>
          <w:i w:val="0"/>
          <w:color w:val="000000" w:themeColor="text1"/>
          <w:lang w:eastAsia="en-US"/>
        </w:rPr>
      </w:pPr>
      <w:bookmarkStart w:id="32" w:name="_Toc126511018"/>
      <w:bookmarkStart w:id="33" w:name="_Toc126511157"/>
      <w:bookmarkStart w:id="34" w:name="_Toc127966713"/>
      <w:r w:rsidRPr="002D2ED8">
        <w:rPr>
          <w:rFonts w:ascii="Times New Roman" w:eastAsia="Calibri" w:hAnsi="Times New Roman" w:cs="Times New Roman"/>
          <w:i w:val="0"/>
          <w:color w:val="000000" w:themeColor="text1"/>
          <w:lang w:eastAsia="en-US"/>
        </w:rPr>
        <w:lastRenderedPageBreak/>
        <w:t xml:space="preserve">Надзорный процесс и </w:t>
      </w:r>
      <w:r w:rsidR="00A475D1" w:rsidRPr="002D2ED8">
        <w:rPr>
          <w:rFonts w:ascii="Times New Roman" w:eastAsia="Calibri" w:hAnsi="Times New Roman" w:cs="Times New Roman"/>
          <w:i w:val="0"/>
          <w:color w:val="000000" w:themeColor="text1"/>
          <w:lang w:eastAsia="en-US"/>
        </w:rPr>
        <w:t xml:space="preserve">развитие </w:t>
      </w:r>
      <w:r w:rsidRPr="002D2ED8">
        <w:rPr>
          <w:rFonts w:ascii="Times New Roman" w:eastAsia="Calibri" w:hAnsi="Times New Roman" w:cs="Times New Roman"/>
          <w:i w:val="0"/>
          <w:color w:val="000000" w:themeColor="text1"/>
          <w:lang w:eastAsia="en-US"/>
        </w:rPr>
        <w:t>приоритетны</w:t>
      </w:r>
      <w:r w:rsidR="00A475D1" w:rsidRPr="002D2ED8">
        <w:rPr>
          <w:rFonts w:ascii="Times New Roman" w:eastAsia="Calibri" w:hAnsi="Times New Roman" w:cs="Times New Roman"/>
          <w:i w:val="0"/>
          <w:color w:val="000000" w:themeColor="text1"/>
          <w:lang w:eastAsia="en-US"/>
        </w:rPr>
        <w:t>х</w:t>
      </w:r>
      <w:r w:rsidRPr="002D2ED8">
        <w:rPr>
          <w:rFonts w:ascii="Times New Roman" w:eastAsia="Calibri" w:hAnsi="Times New Roman" w:cs="Times New Roman"/>
          <w:i w:val="0"/>
          <w:color w:val="000000" w:themeColor="text1"/>
          <w:lang w:eastAsia="en-US"/>
        </w:rPr>
        <w:t xml:space="preserve"> надзорны</w:t>
      </w:r>
      <w:r w:rsidR="00A475D1" w:rsidRPr="002D2ED8">
        <w:rPr>
          <w:rFonts w:ascii="Times New Roman" w:eastAsia="Calibri" w:hAnsi="Times New Roman" w:cs="Times New Roman"/>
          <w:i w:val="0"/>
          <w:color w:val="000000" w:themeColor="text1"/>
          <w:lang w:eastAsia="en-US"/>
        </w:rPr>
        <w:t>х</w:t>
      </w:r>
      <w:r w:rsidRPr="002D2ED8">
        <w:rPr>
          <w:rFonts w:ascii="Times New Roman" w:eastAsia="Calibri" w:hAnsi="Times New Roman" w:cs="Times New Roman"/>
          <w:i w:val="0"/>
          <w:color w:val="000000" w:themeColor="text1"/>
          <w:lang w:eastAsia="en-US"/>
        </w:rPr>
        <w:t xml:space="preserve"> инструмент</w:t>
      </w:r>
      <w:r w:rsidR="00A475D1" w:rsidRPr="002D2ED8">
        <w:rPr>
          <w:rFonts w:ascii="Times New Roman" w:eastAsia="Calibri" w:hAnsi="Times New Roman" w:cs="Times New Roman"/>
          <w:i w:val="0"/>
          <w:color w:val="000000" w:themeColor="text1"/>
          <w:lang w:eastAsia="en-US"/>
        </w:rPr>
        <w:t>ов</w:t>
      </w:r>
      <w:r w:rsidR="00B041C5" w:rsidRPr="002D2ED8">
        <w:rPr>
          <w:rFonts w:ascii="Times New Roman" w:eastAsia="Calibri" w:hAnsi="Times New Roman" w:cs="Times New Roman"/>
          <w:i w:val="0"/>
          <w:color w:val="000000" w:themeColor="text1"/>
          <w:lang w:eastAsia="en-US"/>
        </w:rPr>
        <w:t xml:space="preserve"> в 202</w:t>
      </w:r>
      <w:r w:rsidR="00215259" w:rsidRPr="002D2ED8">
        <w:rPr>
          <w:rFonts w:ascii="Times New Roman" w:eastAsia="Calibri" w:hAnsi="Times New Roman" w:cs="Times New Roman"/>
          <w:i w:val="0"/>
          <w:color w:val="000000" w:themeColor="text1"/>
          <w:lang w:eastAsia="en-US"/>
        </w:rPr>
        <w:t>3</w:t>
      </w:r>
      <w:r w:rsidR="00B041C5" w:rsidRPr="002D2ED8">
        <w:rPr>
          <w:rFonts w:ascii="Times New Roman" w:eastAsia="Calibri" w:hAnsi="Times New Roman" w:cs="Times New Roman"/>
          <w:i w:val="0"/>
          <w:color w:val="000000" w:themeColor="text1"/>
          <w:lang w:eastAsia="en-US"/>
        </w:rPr>
        <w:t xml:space="preserve"> году</w:t>
      </w:r>
      <w:bookmarkStart w:id="35" w:name="_Toc94801292"/>
      <w:bookmarkEnd w:id="32"/>
      <w:bookmarkEnd w:id="33"/>
      <w:bookmarkEnd w:id="34"/>
      <w:bookmarkEnd w:id="35"/>
    </w:p>
    <w:p w14:paraId="035231ED" w14:textId="0167C743" w:rsidR="00860788" w:rsidRPr="002D2ED8" w:rsidRDefault="00860788" w:rsidP="00C01CE8">
      <w:pPr>
        <w:ind w:firstLine="709"/>
        <w:jc w:val="both"/>
        <w:rPr>
          <w:color w:val="000000" w:themeColor="text1"/>
          <w:sz w:val="28"/>
          <w:szCs w:val="28"/>
        </w:rPr>
      </w:pPr>
      <w:r w:rsidRPr="002D2ED8">
        <w:rPr>
          <w:color w:val="000000" w:themeColor="text1"/>
          <w:sz w:val="28"/>
          <w:szCs w:val="28"/>
        </w:rPr>
        <w:t>В 202</w:t>
      </w:r>
      <w:r w:rsidR="009C4845" w:rsidRPr="002D2ED8">
        <w:rPr>
          <w:color w:val="000000" w:themeColor="text1"/>
          <w:sz w:val="28"/>
          <w:szCs w:val="28"/>
        </w:rPr>
        <w:t>3</w:t>
      </w:r>
      <w:r w:rsidRPr="002D2ED8">
        <w:rPr>
          <w:color w:val="000000" w:themeColor="text1"/>
          <w:sz w:val="28"/>
          <w:szCs w:val="28"/>
        </w:rPr>
        <w:t xml:space="preserve"> году Агентство продолжит работу по </w:t>
      </w:r>
      <w:r w:rsidRPr="002D2ED8">
        <w:rPr>
          <w:rFonts w:eastAsia="Calibri"/>
          <w:color w:val="000000" w:themeColor="text1"/>
          <w:sz w:val="28"/>
          <w:szCs w:val="28"/>
        </w:rPr>
        <w:t xml:space="preserve">повышению прозрачности и доверия к банковскому сектору и оценке финансовой устойчивости банковского сектора через выстраивание </w:t>
      </w:r>
      <w:r w:rsidR="00F57A36" w:rsidRPr="002D2ED8">
        <w:rPr>
          <w:rFonts w:eastAsia="Calibri"/>
          <w:color w:val="000000" w:themeColor="text1"/>
          <w:sz w:val="28"/>
          <w:szCs w:val="28"/>
        </w:rPr>
        <w:t>комплексной</w:t>
      </w:r>
      <w:r w:rsidRPr="002D2ED8">
        <w:rPr>
          <w:rFonts w:eastAsia="Calibri"/>
          <w:color w:val="000000" w:themeColor="text1"/>
          <w:sz w:val="28"/>
          <w:szCs w:val="28"/>
        </w:rPr>
        <w:t xml:space="preserve"> модели надзорного процесса</w:t>
      </w:r>
      <w:r w:rsidRPr="002D2ED8">
        <w:rPr>
          <w:color w:val="000000" w:themeColor="text1"/>
          <w:sz w:val="28"/>
          <w:szCs w:val="28"/>
        </w:rPr>
        <w:t>.</w:t>
      </w:r>
    </w:p>
    <w:p w14:paraId="7FA4DC7F" w14:textId="39F5DB23" w:rsidR="00A805CC" w:rsidRPr="002D2ED8" w:rsidRDefault="00C16510" w:rsidP="00A805CC">
      <w:pPr>
        <w:tabs>
          <w:tab w:val="left" w:pos="7655"/>
        </w:tabs>
        <w:ind w:firstLine="709"/>
        <w:jc w:val="both"/>
        <w:rPr>
          <w:color w:val="000000" w:themeColor="text1"/>
          <w:sz w:val="28"/>
          <w:szCs w:val="28"/>
        </w:rPr>
      </w:pPr>
      <w:r w:rsidRPr="002D2ED8">
        <w:rPr>
          <w:color w:val="000000" w:themeColor="text1"/>
          <w:sz w:val="28"/>
          <w:szCs w:val="28"/>
        </w:rPr>
        <w:t xml:space="preserve">Агентство </w:t>
      </w:r>
      <w:r w:rsidR="00590093" w:rsidRPr="002D2ED8">
        <w:rPr>
          <w:color w:val="000000" w:themeColor="text1"/>
          <w:sz w:val="28"/>
          <w:szCs w:val="28"/>
        </w:rPr>
        <w:t>будет осуществлять</w:t>
      </w:r>
      <w:r w:rsidRPr="002D2ED8">
        <w:rPr>
          <w:color w:val="000000" w:themeColor="text1"/>
          <w:sz w:val="28"/>
          <w:szCs w:val="28"/>
        </w:rPr>
        <w:t xml:space="preserve"> дальнейшее совершенствование надзорного процесса</w:t>
      </w:r>
      <w:r w:rsidR="00860788" w:rsidRPr="002D2ED8">
        <w:rPr>
          <w:color w:val="000000" w:themeColor="text1"/>
          <w:sz w:val="28"/>
          <w:szCs w:val="28"/>
        </w:rPr>
        <w:t xml:space="preserve"> по методологии </w:t>
      </w:r>
      <w:r w:rsidR="00D22DCC" w:rsidRPr="002D2ED8">
        <w:rPr>
          <w:color w:val="000000" w:themeColor="text1"/>
          <w:sz w:val="28"/>
          <w:szCs w:val="28"/>
        </w:rPr>
        <w:t>SREP (</w:t>
      </w:r>
      <w:r w:rsidR="00860788" w:rsidRPr="002D2ED8">
        <w:rPr>
          <w:color w:val="000000" w:themeColor="text1"/>
          <w:sz w:val="28"/>
          <w:szCs w:val="28"/>
        </w:rPr>
        <w:t>Supervisory Review and Evaluation Process)</w:t>
      </w:r>
      <w:r w:rsidRPr="002D2ED8">
        <w:rPr>
          <w:color w:val="000000" w:themeColor="text1"/>
          <w:sz w:val="28"/>
          <w:szCs w:val="28"/>
        </w:rPr>
        <w:t xml:space="preserve"> и </w:t>
      </w:r>
      <w:r w:rsidR="00A805CC" w:rsidRPr="002D2ED8">
        <w:rPr>
          <w:color w:val="000000" w:themeColor="text1"/>
          <w:sz w:val="28"/>
          <w:szCs w:val="28"/>
        </w:rPr>
        <w:t xml:space="preserve">интеграцию приоритетных надзорных инструментов AQR и </w:t>
      </w:r>
      <w:r w:rsidR="000B7414" w:rsidRPr="002D2ED8">
        <w:rPr>
          <w:color w:val="000000" w:themeColor="text1"/>
          <w:sz w:val="28"/>
          <w:szCs w:val="28"/>
        </w:rPr>
        <w:t>надзорного</w:t>
      </w:r>
      <w:r w:rsidR="00A805CC" w:rsidRPr="002D2ED8">
        <w:rPr>
          <w:color w:val="000000" w:themeColor="text1"/>
          <w:sz w:val="28"/>
          <w:szCs w:val="28"/>
        </w:rPr>
        <w:t xml:space="preserve"> стресс-тестирования в </w:t>
      </w:r>
      <w:r w:rsidR="00A805CC" w:rsidRPr="002D2ED8">
        <w:rPr>
          <w:color w:val="000000" w:themeColor="text1"/>
          <w:sz w:val="28"/>
          <w:szCs w:val="28"/>
          <w:lang w:val="en-US"/>
        </w:rPr>
        <w:t>SREP</w:t>
      </w:r>
      <w:r w:rsidR="00A805CC" w:rsidRPr="002D2ED8">
        <w:rPr>
          <w:color w:val="000000" w:themeColor="text1"/>
          <w:sz w:val="28"/>
          <w:szCs w:val="28"/>
        </w:rPr>
        <w:t>.</w:t>
      </w:r>
    </w:p>
    <w:p w14:paraId="7A83C439" w14:textId="77777777" w:rsidR="001C61E8" w:rsidRPr="002D2ED8" w:rsidRDefault="001C61E8" w:rsidP="00C01CE8">
      <w:pPr>
        <w:tabs>
          <w:tab w:val="left" w:pos="7655"/>
        </w:tabs>
        <w:ind w:firstLine="709"/>
        <w:jc w:val="both"/>
        <w:rPr>
          <w:color w:val="000000" w:themeColor="text1"/>
          <w:sz w:val="28"/>
          <w:szCs w:val="28"/>
        </w:rPr>
      </w:pPr>
    </w:p>
    <w:p w14:paraId="2C0BB7DD" w14:textId="611B1CFF" w:rsidR="007F61CD" w:rsidRPr="002D2ED8" w:rsidRDefault="007F0150"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36" w:name="_Toc127966714"/>
      <w:bookmarkStart w:id="37" w:name="_Toc126511019"/>
      <w:bookmarkStart w:id="38" w:name="_Toc126511158"/>
      <w:r w:rsidRPr="002D2ED8">
        <w:rPr>
          <w:rFonts w:ascii="Times New Roman" w:eastAsia="Calibri" w:hAnsi="Times New Roman" w:cs="Times New Roman"/>
          <w:i w:val="0"/>
          <w:color w:val="000000" w:themeColor="text1"/>
          <w:lang w:eastAsia="en-US"/>
        </w:rPr>
        <w:t xml:space="preserve">Ежегодная надзорная оценка банков в рамках надзорного процесса по методологии </w:t>
      </w:r>
      <w:r w:rsidR="00B64A39" w:rsidRPr="002D2ED8">
        <w:rPr>
          <w:rFonts w:ascii="Times New Roman" w:eastAsia="Calibri" w:hAnsi="Times New Roman" w:cs="Times New Roman"/>
          <w:i w:val="0"/>
          <w:color w:val="000000" w:themeColor="text1"/>
          <w:lang w:eastAsia="en-US"/>
        </w:rPr>
        <w:t>SREP</w:t>
      </w:r>
      <w:bookmarkEnd w:id="36"/>
      <w:r w:rsidR="00D301F1" w:rsidRPr="002D2ED8">
        <w:rPr>
          <w:rFonts w:ascii="Times New Roman" w:eastAsia="Calibri" w:hAnsi="Times New Roman" w:cs="Times New Roman"/>
          <w:i w:val="0"/>
          <w:color w:val="000000" w:themeColor="text1"/>
          <w:lang w:eastAsia="en-US"/>
        </w:rPr>
        <w:t xml:space="preserve"> </w:t>
      </w:r>
      <w:bookmarkEnd w:id="37"/>
      <w:bookmarkEnd w:id="38"/>
    </w:p>
    <w:p w14:paraId="0F48B628" w14:textId="1C45ABE3" w:rsidR="0038035A" w:rsidRPr="002D2ED8" w:rsidRDefault="0038035A" w:rsidP="0038035A">
      <w:pPr>
        <w:tabs>
          <w:tab w:val="left" w:pos="7655"/>
        </w:tabs>
        <w:ind w:firstLine="709"/>
        <w:jc w:val="both"/>
        <w:rPr>
          <w:bCs/>
          <w:color w:val="000000" w:themeColor="text1"/>
          <w:sz w:val="28"/>
          <w:szCs w:val="28"/>
        </w:rPr>
      </w:pPr>
      <w:r w:rsidRPr="002D2ED8">
        <w:rPr>
          <w:bCs/>
          <w:color w:val="000000" w:themeColor="text1"/>
          <w:sz w:val="28"/>
          <w:szCs w:val="28"/>
        </w:rPr>
        <w:t>В 2023 году надзорная оценка банков по методологии SREP будет проводиться по следующему графику:</w:t>
      </w:r>
    </w:p>
    <w:p w14:paraId="7380CD28" w14:textId="77777777" w:rsidR="0038035A" w:rsidRPr="002D2ED8" w:rsidRDefault="0038035A"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февраль - июнь:</w:t>
      </w:r>
      <w:r w:rsidRPr="002D2ED8">
        <w:rPr>
          <w:bCs/>
          <w:color w:val="000000" w:themeColor="text1"/>
          <w:sz w:val="28"/>
          <w:szCs w:val="28"/>
        </w:rPr>
        <w:t xml:space="preserve"> количественная и качественная оценка показателей банков;</w:t>
      </w:r>
    </w:p>
    <w:p w14:paraId="2F4B7350" w14:textId="77777777" w:rsidR="0038035A" w:rsidRPr="002D2ED8" w:rsidRDefault="0038035A"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июль:</w:t>
      </w:r>
      <w:r w:rsidRPr="002D2ED8">
        <w:rPr>
          <w:bCs/>
          <w:color w:val="000000" w:themeColor="text1"/>
          <w:sz w:val="28"/>
          <w:szCs w:val="28"/>
        </w:rPr>
        <w:t xml:space="preserve"> формирование предварительных </w:t>
      </w:r>
      <w:bookmarkStart w:id="39" w:name="_Hlk95234796"/>
      <w:r w:rsidRPr="002D2ED8">
        <w:rPr>
          <w:bCs/>
          <w:color w:val="000000" w:themeColor="text1"/>
          <w:sz w:val="28"/>
          <w:szCs w:val="28"/>
        </w:rPr>
        <w:t xml:space="preserve">рейтингов банков </w:t>
      </w:r>
      <w:bookmarkEnd w:id="39"/>
      <w:r w:rsidRPr="002D2ED8">
        <w:rPr>
          <w:bCs/>
          <w:color w:val="000000" w:themeColor="text1"/>
          <w:sz w:val="28"/>
          <w:szCs w:val="28"/>
        </w:rPr>
        <w:br/>
        <w:t>по методологии SREP;</w:t>
      </w:r>
    </w:p>
    <w:p w14:paraId="7C93A098" w14:textId="6FB65E5D" w:rsidR="0038035A" w:rsidRPr="002D2ED8" w:rsidRDefault="0038035A"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август:</w:t>
      </w:r>
      <w:r w:rsidRPr="002D2ED8">
        <w:rPr>
          <w:bCs/>
          <w:color w:val="000000" w:themeColor="text1"/>
          <w:sz w:val="28"/>
          <w:szCs w:val="28"/>
        </w:rPr>
        <w:t xml:space="preserve"> актуализация количественных показателей и расчет откорректированных рейтингов банков;</w:t>
      </w:r>
    </w:p>
    <w:p w14:paraId="4684F3EF" w14:textId="356822BC" w:rsidR="0038035A" w:rsidRPr="002D2ED8" w:rsidRDefault="005F2368"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сентябрь</w:t>
      </w:r>
      <w:r w:rsidR="0038035A" w:rsidRPr="002D2ED8">
        <w:rPr>
          <w:bCs/>
          <w:i/>
          <w:color w:val="000000" w:themeColor="text1"/>
          <w:sz w:val="28"/>
          <w:szCs w:val="28"/>
        </w:rPr>
        <w:t>:</w:t>
      </w:r>
      <w:r w:rsidR="0038035A" w:rsidRPr="002D2ED8">
        <w:rPr>
          <w:bCs/>
          <w:color w:val="000000" w:themeColor="text1"/>
          <w:sz w:val="28"/>
          <w:szCs w:val="28"/>
        </w:rPr>
        <w:t xml:space="preserve"> </w:t>
      </w:r>
      <w:r w:rsidR="00D248B2" w:rsidRPr="002D2ED8">
        <w:rPr>
          <w:bCs/>
          <w:color w:val="000000" w:themeColor="text1"/>
          <w:sz w:val="28"/>
          <w:szCs w:val="28"/>
        </w:rPr>
        <w:t>направление в банки п</w:t>
      </w:r>
      <w:r w:rsidR="0038035A" w:rsidRPr="002D2ED8">
        <w:rPr>
          <w:bCs/>
          <w:color w:val="000000" w:themeColor="text1"/>
          <w:sz w:val="28"/>
          <w:szCs w:val="28"/>
        </w:rPr>
        <w:t>редварительных результатов SREP;</w:t>
      </w:r>
    </w:p>
    <w:p w14:paraId="40D6A23B" w14:textId="2C0093AF" w:rsidR="005F2368" w:rsidRPr="002D2ED8" w:rsidRDefault="00360D40"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октябрь-</w:t>
      </w:r>
      <w:r w:rsidR="0038035A" w:rsidRPr="002D2ED8">
        <w:rPr>
          <w:bCs/>
          <w:i/>
          <w:color w:val="000000" w:themeColor="text1"/>
          <w:sz w:val="28"/>
          <w:szCs w:val="28"/>
        </w:rPr>
        <w:t>ноябрь:</w:t>
      </w:r>
      <w:r w:rsidR="0038035A" w:rsidRPr="002D2ED8">
        <w:rPr>
          <w:bCs/>
          <w:color w:val="000000" w:themeColor="text1"/>
          <w:sz w:val="28"/>
          <w:szCs w:val="28"/>
        </w:rPr>
        <w:t xml:space="preserve"> </w:t>
      </w:r>
      <w:r w:rsidR="005F2368" w:rsidRPr="002D2ED8">
        <w:rPr>
          <w:bCs/>
          <w:color w:val="000000" w:themeColor="text1"/>
          <w:sz w:val="28"/>
          <w:szCs w:val="28"/>
        </w:rPr>
        <w:t>подведение итогов, разработка проектов надзорных решений (мер надзорного реагирования)</w:t>
      </w:r>
      <w:r w:rsidR="000808DD" w:rsidRPr="002D2ED8">
        <w:rPr>
          <w:bCs/>
          <w:color w:val="000000" w:themeColor="text1"/>
          <w:sz w:val="28"/>
          <w:szCs w:val="28"/>
        </w:rPr>
        <w:t>;</w:t>
      </w:r>
    </w:p>
    <w:p w14:paraId="758EF675" w14:textId="6EDAF58E" w:rsidR="0038035A" w:rsidRPr="002D2ED8" w:rsidRDefault="005F2368"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 xml:space="preserve">декабрь: </w:t>
      </w:r>
      <w:r w:rsidR="0038035A" w:rsidRPr="002D2ED8">
        <w:rPr>
          <w:bCs/>
          <w:color w:val="000000" w:themeColor="text1"/>
          <w:sz w:val="28"/>
          <w:szCs w:val="28"/>
        </w:rPr>
        <w:t>утверждение Комитетом по надзору проект</w:t>
      </w:r>
      <w:r w:rsidR="000808DD" w:rsidRPr="002D2ED8">
        <w:rPr>
          <w:bCs/>
          <w:color w:val="000000" w:themeColor="text1"/>
          <w:sz w:val="28"/>
          <w:szCs w:val="28"/>
        </w:rPr>
        <w:t>ов</w:t>
      </w:r>
      <w:r w:rsidR="0038035A" w:rsidRPr="002D2ED8">
        <w:rPr>
          <w:bCs/>
          <w:color w:val="000000" w:themeColor="text1"/>
          <w:sz w:val="28"/>
          <w:szCs w:val="28"/>
        </w:rPr>
        <w:t xml:space="preserve"> надзорных решений (мер надзорного реагирования) по каждому банку; </w:t>
      </w:r>
    </w:p>
    <w:p w14:paraId="0891D028" w14:textId="1D1D3B6D" w:rsidR="0038035A" w:rsidRPr="002D2ED8" w:rsidRDefault="005F2368" w:rsidP="0038035A">
      <w:pPr>
        <w:pStyle w:val="ac"/>
        <w:numPr>
          <w:ilvl w:val="0"/>
          <w:numId w:val="25"/>
        </w:numPr>
        <w:tabs>
          <w:tab w:val="left" w:pos="1134"/>
          <w:tab w:val="left" w:pos="7655"/>
        </w:tabs>
        <w:ind w:left="0" w:firstLine="709"/>
        <w:jc w:val="both"/>
        <w:rPr>
          <w:bCs/>
          <w:color w:val="000000" w:themeColor="text1"/>
          <w:sz w:val="28"/>
          <w:szCs w:val="28"/>
        </w:rPr>
      </w:pPr>
      <w:r w:rsidRPr="002D2ED8">
        <w:rPr>
          <w:bCs/>
          <w:i/>
          <w:color w:val="000000" w:themeColor="text1"/>
          <w:sz w:val="28"/>
          <w:szCs w:val="28"/>
        </w:rPr>
        <w:t>январь-февраль 202</w:t>
      </w:r>
      <w:r w:rsidR="00877E89" w:rsidRPr="002D2ED8">
        <w:rPr>
          <w:bCs/>
          <w:i/>
          <w:color w:val="000000" w:themeColor="text1"/>
          <w:sz w:val="28"/>
          <w:szCs w:val="28"/>
        </w:rPr>
        <w:t>4</w:t>
      </w:r>
      <w:r w:rsidRPr="002D2ED8">
        <w:rPr>
          <w:bCs/>
          <w:i/>
          <w:color w:val="000000" w:themeColor="text1"/>
          <w:sz w:val="28"/>
          <w:szCs w:val="28"/>
        </w:rPr>
        <w:t>г.:</w:t>
      </w:r>
      <w:r w:rsidRPr="002D2ED8">
        <w:rPr>
          <w:bCs/>
          <w:color w:val="000000" w:themeColor="text1"/>
          <w:sz w:val="28"/>
          <w:szCs w:val="28"/>
        </w:rPr>
        <w:t xml:space="preserve"> </w:t>
      </w:r>
      <w:r w:rsidR="0038035A" w:rsidRPr="002D2ED8">
        <w:rPr>
          <w:bCs/>
          <w:color w:val="000000" w:themeColor="text1"/>
          <w:sz w:val="28"/>
          <w:szCs w:val="28"/>
        </w:rPr>
        <w:t>направление уведомлений в банки о принятом надзорном решении, согласование и принятие планов мероприятий по устранению недостатков</w:t>
      </w:r>
      <w:r w:rsidR="000808DD" w:rsidRPr="002D2ED8">
        <w:rPr>
          <w:bCs/>
          <w:color w:val="000000" w:themeColor="text1"/>
          <w:sz w:val="28"/>
          <w:szCs w:val="28"/>
        </w:rPr>
        <w:t xml:space="preserve"> или продолжение мониторинга ранее принятых планов</w:t>
      </w:r>
      <w:r w:rsidR="0038035A" w:rsidRPr="002D2ED8">
        <w:rPr>
          <w:bCs/>
          <w:color w:val="000000" w:themeColor="text1"/>
          <w:sz w:val="28"/>
          <w:szCs w:val="28"/>
        </w:rPr>
        <w:t>.</w:t>
      </w:r>
    </w:p>
    <w:p w14:paraId="057D7E26" w14:textId="6F3DC875" w:rsidR="00963C41" w:rsidRPr="002D2ED8" w:rsidRDefault="00963C41" w:rsidP="00963C41">
      <w:pPr>
        <w:pStyle w:val="ac"/>
        <w:tabs>
          <w:tab w:val="left" w:pos="1134"/>
          <w:tab w:val="left" w:pos="7655"/>
        </w:tabs>
        <w:ind w:left="0" w:firstLine="709"/>
        <w:jc w:val="both"/>
        <w:rPr>
          <w:bCs/>
          <w:color w:val="000000" w:themeColor="text1"/>
          <w:sz w:val="28"/>
          <w:szCs w:val="28"/>
        </w:rPr>
      </w:pPr>
      <w:r w:rsidRPr="002D2ED8">
        <w:rPr>
          <w:bCs/>
          <w:color w:val="000000" w:themeColor="text1"/>
          <w:sz w:val="28"/>
          <w:szCs w:val="28"/>
        </w:rPr>
        <w:t xml:space="preserve">В ходе надзорной оценки банков </w:t>
      </w:r>
      <w:r w:rsidR="009F033C" w:rsidRPr="002D2ED8">
        <w:rPr>
          <w:bCs/>
          <w:color w:val="000000" w:themeColor="text1"/>
          <w:sz w:val="28"/>
          <w:szCs w:val="28"/>
        </w:rPr>
        <w:t>Агентством будет дополнительно рассмотрено выполнение банками новых требований Правил № 188 в части</w:t>
      </w:r>
      <w:r w:rsidR="00C34715" w:rsidRPr="002D2ED8">
        <w:rPr>
          <w:bCs/>
          <w:color w:val="000000" w:themeColor="text1"/>
          <w:sz w:val="28"/>
          <w:szCs w:val="28"/>
        </w:rPr>
        <w:t xml:space="preserve"> разработки и утверждения</w:t>
      </w:r>
      <w:r w:rsidR="009F033C" w:rsidRPr="002D2ED8">
        <w:rPr>
          <w:bCs/>
          <w:color w:val="000000" w:themeColor="text1"/>
          <w:sz w:val="28"/>
          <w:szCs w:val="28"/>
        </w:rPr>
        <w:t xml:space="preserve"> </w:t>
      </w:r>
      <w:r w:rsidR="00C34715" w:rsidRPr="002D2ED8">
        <w:rPr>
          <w:sz w:val="28"/>
          <w:szCs w:val="28"/>
        </w:rPr>
        <w:t>отчет</w:t>
      </w:r>
      <w:r w:rsidR="00CB106C" w:rsidRPr="002D2ED8">
        <w:rPr>
          <w:sz w:val="28"/>
          <w:szCs w:val="28"/>
        </w:rPr>
        <w:t>ности</w:t>
      </w:r>
      <w:r w:rsidR="00C34715" w:rsidRPr="002D2ED8">
        <w:rPr>
          <w:sz w:val="28"/>
          <w:szCs w:val="28"/>
        </w:rPr>
        <w:t xml:space="preserve"> </w:t>
      </w:r>
      <w:r w:rsidR="00CA230F" w:rsidRPr="002D2ED8">
        <w:rPr>
          <w:sz w:val="28"/>
          <w:szCs w:val="28"/>
        </w:rPr>
        <w:t xml:space="preserve">в рамках процессов </w:t>
      </w:r>
      <w:r w:rsidR="00CA230F" w:rsidRPr="002D2ED8">
        <w:rPr>
          <w:rFonts w:eastAsia="Calibri"/>
          <w:color w:val="000000" w:themeColor="text1"/>
          <w:sz w:val="28"/>
          <w:szCs w:val="28"/>
          <w:lang w:eastAsia="en-US"/>
        </w:rPr>
        <w:t xml:space="preserve">ICAAP/ILAAP, </w:t>
      </w:r>
      <w:r w:rsidR="00CA230F" w:rsidRPr="002D2ED8">
        <w:rPr>
          <w:sz w:val="28"/>
          <w:szCs w:val="28"/>
        </w:rPr>
        <w:t>наличия внутренней методологии и расчета внутреннего (экономического) капитала.</w:t>
      </w:r>
    </w:p>
    <w:p w14:paraId="350B870F" w14:textId="2DD5A693" w:rsidR="009B65B0" w:rsidRPr="002D2ED8" w:rsidRDefault="0075663E" w:rsidP="009B65B0">
      <w:pPr>
        <w:tabs>
          <w:tab w:val="left" w:pos="1134"/>
          <w:tab w:val="left" w:pos="7655"/>
        </w:tabs>
        <w:ind w:firstLine="709"/>
        <w:jc w:val="both"/>
        <w:rPr>
          <w:bCs/>
          <w:color w:val="000000" w:themeColor="text1"/>
          <w:sz w:val="28"/>
          <w:szCs w:val="28"/>
        </w:rPr>
      </w:pPr>
      <w:r w:rsidRPr="002D2ED8">
        <w:rPr>
          <w:bCs/>
          <w:color w:val="000000" w:themeColor="text1"/>
          <w:sz w:val="28"/>
          <w:szCs w:val="28"/>
        </w:rPr>
        <w:t>Утвержденная м</w:t>
      </w:r>
      <w:r w:rsidR="00FF63FC" w:rsidRPr="002D2ED8">
        <w:rPr>
          <w:bCs/>
          <w:color w:val="000000" w:themeColor="text1"/>
          <w:sz w:val="28"/>
          <w:szCs w:val="28"/>
        </w:rPr>
        <w:t xml:space="preserve">етодология </w:t>
      </w:r>
      <w:r w:rsidR="00615269" w:rsidRPr="002D2ED8">
        <w:rPr>
          <w:sz w:val="28"/>
          <w:szCs w:val="28"/>
          <w:lang w:bidi="ru-RU"/>
        </w:rPr>
        <w:t xml:space="preserve">системы оценки рисков (СОР) в рамках надзорного процесса </w:t>
      </w:r>
      <w:r w:rsidR="00615269" w:rsidRPr="002D2ED8">
        <w:rPr>
          <w:sz w:val="28"/>
          <w:szCs w:val="28"/>
          <w:lang w:val="en-US" w:bidi="ru-RU"/>
        </w:rPr>
        <w:t>SREP</w:t>
      </w:r>
      <w:r w:rsidR="00615269" w:rsidRPr="002D2ED8">
        <w:rPr>
          <w:sz w:val="28"/>
          <w:szCs w:val="28"/>
          <w:lang w:bidi="ru-RU"/>
        </w:rPr>
        <w:t xml:space="preserve"> предусматривает необходимость актуализации</w:t>
      </w:r>
      <w:r w:rsidR="00D24A09" w:rsidRPr="002D2ED8">
        <w:rPr>
          <w:sz w:val="28"/>
          <w:szCs w:val="28"/>
          <w:lang w:bidi="ru-RU"/>
        </w:rPr>
        <w:t xml:space="preserve"> модели оценки</w:t>
      </w:r>
      <w:r w:rsidR="00615269" w:rsidRPr="002D2ED8">
        <w:rPr>
          <w:sz w:val="28"/>
          <w:szCs w:val="28"/>
          <w:lang w:bidi="ru-RU"/>
        </w:rPr>
        <w:t>, по меньшей мере один раз в год, путем внесения изменения в структуру модели оценки</w:t>
      </w:r>
      <w:r w:rsidR="00615269" w:rsidRPr="002D2ED8">
        <w:rPr>
          <w:bCs/>
          <w:color w:val="000000" w:themeColor="text1"/>
          <w:sz w:val="28"/>
          <w:szCs w:val="28"/>
        </w:rPr>
        <w:t xml:space="preserve"> по </w:t>
      </w:r>
      <w:r w:rsidR="008E3810" w:rsidRPr="002D2ED8">
        <w:rPr>
          <w:bCs/>
          <w:color w:val="000000" w:themeColor="text1"/>
          <w:sz w:val="28"/>
          <w:szCs w:val="28"/>
        </w:rPr>
        <w:t xml:space="preserve">параметрам </w:t>
      </w:r>
      <w:r w:rsidR="00615269" w:rsidRPr="002D2ED8">
        <w:rPr>
          <w:bCs/>
          <w:color w:val="000000" w:themeColor="text1"/>
          <w:sz w:val="28"/>
          <w:szCs w:val="28"/>
        </w:rPr>
        <w:t>количественны</w:t>
      </w:r>
      <w:r w:rsidR="008E3810" w:rsidRPr="002D2ED8">
        <w:rPr>
          <w:bCs/>
          <w:color w:val="000000" w:themeColor="text1"/>
          <w:sz w:val="28"/>
          <w:szCs w:val="28"/>
        </w:rPr>
        <w:t>х</w:t>
      </w:r>
      <w:r w:rsidR="00615269" w:rsidRPr="002D2ED8">
        <w:rPr>
          <w:bCs/>
          <w:color w:val="000000" w:themeColor="text1"/>
          <w:sz w:val="28"/>
          <w:szCs w:val="28"/>
        </w:rPr>
        <w:t xml:space="preserve"> и качественны</w:t>
      </w:r>
      <w:r w:rsidR="008E3810" w:rsidRPr="002D2ED8">
        <w:rPr>
          <w:bCs/>
          <w:color w:val="000000" w:themeColor="text1"/>
          <w:sz w:val="28"/>
          <w:szCs w:val="28"/>
        </w:rPr>
        <w:t>х</w:t>
      </w:r>
      <w:r w:rsidR="00615269" w:rsidRPr="002D2ED8">
        <w:rPr>
          <w:bCs/>
          <w:color w:val="000000" w:themeColor="text1"/>
          <w:sz w:val="28"/>
          <w:szCs w:val="28"/>
        </w:rPr>
        <w:t xml:space="preserve"> показател</w:t>
      </w:r>
      <w:r w:rsidR="008E3810" w:rsidRPr="002D2ED8">
        <w:rPr>
          <w:bCs/>
          <w:color w:val="000000" w:themeColor="text1"/>
          <w:sz w:val="28"/>
          <w:szCs w:val="28"/>
        </w:rPr>
        <w:t>ей</w:t>
      </w:r>
      <w:r w:rsidR="00615269" w:rsidRPr="002D2ED8">
        <w:rPr>
          <w:bCs/>
          <w:color w:val="000000" w:themeColor="text1"/>
          <w:sz w:val="28"/>
          <w:szCs w:val="28"/>
        </w:rPr>
        <w:t>.</w:t>
      </w:r>
      <w:r w:rsidR="00090769" w:rsidRPr="002D2ED8">
        <w:rPr>
          <w:bCs/>
          <w:color w:val="000000" w:themeColor="text1"/>
          <w:sz w:val="28"/>
          <w:szCs w:val="28"/>
        </w:rPr>
        <w:t xml:space="preserve"> Кроме этого, модель </w:t>
      </w:r>
      <w:r w:rsidR="009258EA" w:rsidRPr="002D2ED8">
        <w:rPr>
          <w:bCs/>
          <w:color w:val="000000" w:themeColor="text1"/>
          <w:sz w:val="28"/>
          <w:szCs w:val="28"/>
        </w:rPr>
        <w:t xml:space="preserve">оценки рисков следует </w:t>
      </w:r>
      <w:r w:rsidR="00235F23" w:rsidRPr="002D2ED8">
        <w:rPr>
          <w:bCs/>
          <w:color w:val="000000" w:themeColor="text1"/>
          <w:sz w:val="28"/>
          <w:szCs w:val="28"/>
        </w:rPr>
        <w:t xml:space="preserve">калибровать </w:t>
      </w:r>
      <w:r w:rsidR="009258EA" w:rsidRPr="002D2ED8">
        <w:rPr>
          <w:bCs/>
          <w:color w:val="000000" w:themeColor="text1"/>
          <w:sz w:val="28"/>
          <w:szCs w:val="28"/>
        </w:rPr>
        <w:t xml:space="preserve">в зависимости от текущей </w:t>
      </w:r>
      <w:r w:rsidR="00235F23" w:rsidRPr="002D2ED8">
        <w:rPr>
          <w:bCs/>
          <w:color w:val="000000" w:themeColor="text1"/>
          <w:sz w:val="28"/>
          <w:szCs w:val="28"/>
        </w:rPr>
        <w:t>рыночной</w:t>
      </w:r>
      <w:r w:rsidR="009258EA" w:rsidRPr="002D2ED8">
        <w:rPr>
          <w:bCs/>
          <w:color w:val="000000" w:themeColor="text1"/>
          <w:sz w:val="28"/>
          <w:szCs w:val="28"/>
        </w:rPr>
        <w:t xml:space="preserve"> ситуации в стране и динамики макро</w:t>
      </w:r>
      <w:r w:rsidR="00D0224D" w:rsidRPr="002D2ED8">
        <w:rPr>
          <w:bCs/>
          <w:color w:val="000000" w:themeColor="text1"/>
          <w:sz w:val="28"/>
          <w:szCs w:val="28"/>
        </w:rPr>
        <w:t xml:space="preserve">экономических </w:t>
      </w:r>
      <w:r w:rsidR="009258EA" w:rsidRPr="002D2ED8">
        <w:rPr>
          <w:bCs/>
          <w:color w:val="000000" w:themeColor="text1"/>
          <w:sz w:val="28"/>
          <w:szCs w:val="28"/>
        </w:rPr>
        <w:t>факторов</w:t>
      </w:r>
      <w:r w:rsidR="0032490F" w:rsidRPr="002D2ED8">
        <w:rPr>
          <w:bCs/>
          <w:color w:val="000000" w:themeColor="text1"/>
          <w:sz w:val="28"/>
          <w:szCs w:val="28"/>
        </w:rPr>
        <w:t xml:space="preserve">, также </w:t>
      </w:r>
      <w:r w:rsidR="00B85FC4" w:rsidRPr="002D2ED8">
        <w:rPr>
          <w:bCs/>
          <w:color w:val="000000" w:themeColor="text1"/>
          <w:sz w:val="28"/>
          <w:szCs w:val="28"/>
        </w:rPr>
        <w:t>целесообразно</w:t>
      </w:r>
      <w:r w:rsidR="0032490F" w:rsidRPr="002D2ED8">
        <w:rPr>
          <w:bCs/>
          <w:color w:val="000000" w:themeColor="text1"/>
          <w:sz w:val="28"/>
          <w:szCs w:val="28"/>
        </w:rPr>
        <w:t xml:space="preserve"> у</w:t>
      </w:r>
      <w:r w:rsidR="00235F23" w:rsidRPr="002D2ED8">
        <w:rPr>
          <w:bCs/>
          <w:color w:val="000000" w:themeColor="text1"/>
          <w:sz w:val="28"/>
          <w:szCs w:val="28"/>
        </w:rPr>
        <w:t>че</w:t>
      </w:r>
      <w:r w:rsidR="0032490F" w:rsidRPr="002D2ED8">
        <w:rPr>
          <w:bCs/>
          <w:color w:val="000000" w:themeColor="text1"/>
          <w:sz w:val="28"/>
          <w:szCs w:val="28"/>
        </w:rPr>
        <w:t>сть</w:t>
      </w:r>
      <w:r w:rsidR="00235F23" w:rsidRPr="002D2ED8">
        <w:rPr>
          <w:bCs/>
          <w:color w:val="000000" w:themeColor="text1"/>
          <w:sz w:val="28"/>
          <w:szCs w:val="28"/>
        </w:rPr>
        <w:t xml:space="preserve"> изменения требований законодательства</w:t>
      </w:r>
      <w:r w:rsidR="0032490F" w:rsidRPr="002D2ED8">
        <w:rPr>
          <w:bCs/>
          <w:color w:val="000000" w:themeColor="text1"/>
          <w:sz w:val="28"/>
          <w:szCs w:val="28"/>
        </w:rPr>
        <w:t>.</w:t>
      </w:r>
    </w:p>
    <w:p w14:paraId="3A60A6F5" w14:textId="77777777" w:rsidR="005A2CA0" w:rsidRPr="002D2ED8" w:rsidRDefault="0032490F" w:rsidP="009B65B0">
      <w:pPr>
        <w:tabs>
          <w:tab w:val="left" w:pos="1134"/>
          <w:tab w:val="left" w:pos="7655"/>
        </w:tabs>
        <w:ind w:firstLine="709"/>
        <w:jc w:val="both"/>
        <w:rPr>
          <w:bCs/>
          <w:color w:val="000000" w:themeColor="text1"/>
          <w:sz w:val="28"/>
          <w:szCs w:val="28"/>
        </w:rPr>
      </w:pPr>
      <w:r w:rsidRPr="002D2ED8">
        <w:rPr>
          <w:bCs/>
          <w:color w:val="000000" w:themeColor="text1"/>
          <w:sz w:val="28"/>
          <w:szCs w:val="28"/>
        </w:rPr>
        <w:t xml:space="preserve">В данном направлении Агентством </w:t>
      </w:r>
      <w:r w:rsidR="00B85FC4" w:rsidRPr="002D2ED8">
        <w:rPr>
          <w:bCs/>
          <w:color w:val="000000" w:themeColor="text1"/>
          <w:sz w:val="28"/>
          <w:szCs w:val="28"/>
        </w:rPr>
        <w:t xml:space="preserve">в 2023 году начата </w:t>
      </w:r>
      <w:r w:rsidR="00B94EB7" w:rsidRPr="002D2ED8">
        <w:rPr>
          <w:bCs/>
          <w:color w:val="000000" w:themeColor="text1"/>
          <w:sz w:val="28"/>
          <w:szCs w:val="28"/>
        </w:rPr>
        <w:t xml:space="preserve">работа по совершенствованию количественных и качественных показателей </w:t>
      </w:r>
      <w:r w:rsidR="00B85FC4" w:rsidRPr="002D2ED8">
        <w:rPr>
          <w:bCs/>
          <w:color w:val="000000" w:themeColor="text1"/>
          <w:sz w:val="28"/>
          <w:szCs w:val="28"/>
        </w:rPr>
        <w:t xml:space="preserve">модели оценки </w:t>
      </w:r>
      <w:r w:rsidR="00B94EB7" w:rsidRPr="002D2ED8">
        <w:rPr>
          <w:bCs/>
          <w:color w:val="000000" w:themeColor="text1"/>
          <w:sz w:val="28"/>
          <w:szCs w:val="28"/>
        </w:rPr>
        <w:t xml:space="preserve">в целях </w:t>
      </w:r>
      <w:r w:rsidR="00B85FC4" w:rsidRPr="002D2ED8">
        <w:rPr>
          <w:bCs/>
          <w:color w:val="000000" w:themeColor="text1"/>
          <w:sz w:val="28"/>
          <w:szCs w:val="28"/>
        </w:rPr>
        <w:t xml:space="preserve">улучшения надзорной оценки рисков банков и качества их управления в рамках методологии SREP. </w:t>
      </w:r>
    </w:p>
    <w:p w14:paraId="2C9FDBF0" w14:textId="77777777" w:rsidR="000B519C" w:rsidRPr="002D2ED8" w:rsidRDefault="000B519C" w:rsidP="000B519C">
      <w:pPr>
        <w:tabs>
          <w:tab w:val="left" w:pos="1134"/>
          <w:tab w:val="left" w:pos="7655"/>
        </w:tabs>
        <w:ind w:firstLine="709"/>
        <w:jc w:val="both"/>
        <w:rPr>
          <w:bCs/>
          <w:sz w:val="28"/>
          <w:szCs w:val="28"/>
        </w:rPr>
      </w:pPr>
      <w:r w:rsidRPr="002D2ED8">
        <w:rPr>
          <w:bCs/>
          <w:sz w:val="28"/>
          <w:szCs w:val="28"/>
        </w:rPr>
        <w:lastRenderedPageBreak/>
        <w:t xml:space="preserve">Вместе с тем в текущем году для целей обеспечения единого понимания банками Агентством будут отдельно опубликованы ожидания по пересмотренным количественным и качественным показателям </w:t>
      </w:r>
      <w:r w:rsidRPr="002D2ED8">
        <w:rPr>
          <w:bCs/>
          <w:sz w:val="28"/>
          <w:szCs w:val="28"/>
          <w:lang w:val="en-US"/>
        </w:rPr>
        <w:t>SREP</w:t>
      </w:r>
      <w:r w:rsidRPr="002D2ED8">
        <w:rPr>
          <w:bCs/>
          <w:sz w:val="28"/>
          <w:szCs w:val="28"/>
        </w:rPr>
        <w:t>.</w:t>
      </w:r>
    </w:p>
    <w:p w14:paraId="147F0B91" w14:textId="77777777" w:rsidR="002A7206" w:rsidRPr="002D2ED8" w:rsidRDefault="002A7206" w:rsidP="002A7206">
      <w:pPr>
        <w:ind w:firstLine="709"/>
        <w:jc w:val="both"/>
        <w:rPr>
          <w:bCs/>
          <w:color w:val="000000" w:themeColor="text1"/>
          <w:sz w:val="28"/>
          <w:szCs w:val="28"/>
        </w:rPr>
      </w:pPr>
    </w:p>
    <w:p w14:paraId="22CBF86E" w14:textId="10A3D58A" w:rsidR="003B1F3D" w:rsidRPr="002D2ED8" w:rsidRDefault="003B1F3D" w:rsidP="003070F2">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40" w:name="_Toc127966715"/>
      <w:r w:rsidRPr="002D2ED8">
        <w:rPr>
          <w:rFonts w:ascii="Times New Roman" w:eastAsia="Calibri" w:hAnsi="Times New Roman" w:cs="Times New Roman"/>
          <w:i w:val="0"/>
          <w:color w:val="000000" w:themeColor="text1"/>
          <w:lang w:eastAsia="en-US"/>
        </w:rPr>
        <w:t>Регулярная оценка качества активов (AQR)</w:t>
      </w:r>
      <w:bookmarkEnd w:id="40"/>
    </w:p>
    <w:p w14:paraId="45830188" w14:textId="407CAC3B" w:rsidR="004A3765" w:rsidRPr="002D2ED8" w:rsidRDefault="004A3765" w:rsidP="00C01CE8">
      <w:pPr>
        <w:ind w:firstLine="709"/>
        <w:jc w:val="both"/>
        <w:rPr>
          <w:color w:val="000000" w:themeColor="text1"/>
          <w:sz w:val="28"/>
          <w:szCs w:val="28"/>
        </w:rPr>
      </w:pPr>
      <w:r w:rsidRPr="002D2ED8">
        <w:rPr>
          <w:color w:val="000000" w:themeColor="text1"/>
          <w:sz w:val="28"/>
          <w:szCs w:val="28"/>
        </w:rPr>
        <w:t xml:space="preserve">В рамках регулярного </w:t>
      </w:r>
      <w:r w:rsidRPr="002D2ED8">
        <w:rPr>
          <w:color w:val="000000" w:themeColor="text1"/>
          <w:sz w:val="28"/>
          <w:szCs w:val="28"/>
          <w:lang w:val="en-US"/>
        </w:rPr>
        <w:t>AQR</w:t>
      </w:r>
      <w:r w:rsidRPr="002D2ED8">
        <w:rPr>
          <w:color w:val="000000" w:themeColor="text1"/>
          <w:sz w:val="28"/>
          <w:szCs w:val="28"/>
        </w:rPr>
        <w:t xml:space="preserve"> Агентство будет совершенствовать и оттачивать процесс взаимодействия с банками. Для этого был проанализирован опыт проведения AQR в 2022 году. По итогам данной работы в банки направлен перечень наиболее часто встречавшихся ошибок и рекомендаций по их исправлению. Также в банки передан полный перечень контролей качества и полноты данных с кодами по их автоматизации. Кроме того, банкам направлена полная база ответов на часто задаваемые вопросы и продолжится практика оказания постоянной методологической поддержки по вопросам сбора и предоставления данных. Ожидается, что эти меры позволят снизить нагрузку на банки по сбору данных, сократить сроки проведения AQR и снизить риск операционных ошибок при сборе данных.</w:t>
      </w:r>
    </w:p>
    <w:p w14:paraId="3A0A3441" w14:textId="7B13E69D" w:rsidR="003B1F3D" w:rsidRPr="002D2ED8" w:rsidRDefault="003B1F3D" w:rsidP="00C01CE8">
      <w:pPr>
        <w:ind w:firstLine="709"/>
        <w:jc w:val="both"/>
        <w:rPr>
          <w:color w:val="000000" w:themeColor="text1"/>
          <w:sz w:val="28"/>
          <w:szCs w:val="28"/>
        </w:rPr>
      </w:pPr>
      <w:r w:rsidRPr="002D2ED8">
        <w:rPr>
          <w:color w:val="000000" w:themeColor="text1"/>
          <w:sz w:val="28"/>
          <w:szCs w:val="28"/>
        </w:rPr>
        <w:t xml:space="preserve">С </w:t>
      </w:r>
      <w:r w:rsidR="0047213E" w:rsidRPr="002D2ED8">
        <w:rPr>
          <w:color w:val="000000" w:themeColor="text1"/>
          <w:sz w:val="28"/>
          <w:szCs w:val="28"/>
        </w:rPr>
        <w:t xml:space="preserve">конца февраля </w:t>
      </w:r>
      <w:r w:rsidRPr="002D2ED8">
        <w:rPr>
          <w:color w:val="000000" w:themeColor="text1"/>
          <w:sz w:val="28"/>
          <w:szCs w:val="28"/>
        </w:rPr>
        <w:t xml:space="preserve">2023 года </w:t>
      </w:r>
      <w:r w:rsidR="0047213E" w:rsidRPr="002D2ED8">
        <w:rPr>
          <w:color w:val="000000" w:themeColor="text1"/>
          <w:sz w:val="28"/>
          <w:szCs w:val="28"/>
        </w:rPr>
        <w:t xml:space="preserve">Агентство начало подготовительные мероприятия по проведению очередного </w:t>
      </w:r>
      <w:r w:rsidRPr="002D2ED8">
        <w:rPr>
          <w:color w:val="000000" w:themeColor="text1"/>
          <w:sz w:val="28"/>
          <w:szCs w:val="28"/>
        </w:rPr>
        <w:t>регулярн</w:t>
      </w:r>
      <w:r w:rsidR="0047213E" w:rsidRPr="002D2ED8">
        <w:rPr>
          <w:color w:val="000000" w:themeColor="text1"/>
          <w:sz w:val="28"/>
          <w:szCs w:val="28"/>
        </w:rPr>
        <w:t>ого</w:t>
      </w:r>
      <w:r w:rsidRPr="002D2ED8">
        <w:rPr>
          <w:color w:val="000000" w:themeColor="text1"/>
          <w:sz w:val="28"/>
          <w:szCs w:val="28"/>
        </w:rPr>
        <w:t xml:space="preserve"> </w:t>
      </w:r>
      <w:r w:rsidRPr="002D2ED8">
        <w:rPr>
          <w:color w:val="000000" w:themeColor="text1"/>
          <w:sz w:val="28"/>
          <w:szCs w:val="28"/>
          <w:lang w:val="en-US"/>
        </w:rPr>
        <w:t>AQR</w:t>
      </w:r>
      <w:r w:rsidRPr="002D2ED8">
        <w:rPr>
          <w:color w:val="000000" w:themeColor="text1"/>
          <w:sz w:val="28"/>
          <w:szCs w:val="28"/>
        </w:rPr>
        <w:t xml:space="preserve"> также по расширенному списку банков с покрытием не менее 70% активов и 70% ссудного портфеля банковской системы:</w:t>
      </w:r>
    </w:p>
    <w:p w14:paraId="3483748F" w14:textId="77777777" w:rsidR="003B1F3D" w:rsidRPr="002D2ED8" w:rsidRDefault="003B1F3D" w:rsidP="00C01CE8">
      <w:pPr>
        <w:ind w:firstLine="709"/>
        <w:jc w:val="both"/>
        <w:rPr>
          <w:color w:val="000000" w:themeColor="text1"/>
          <w:sz w:val="28"/>
          <w:szCs w:val="28"/>
        </w:rPr>
      </w:pPr>
      <w:r w:rsidRPr="002D2ED8">
        <w:rPr>
          <w:color w:val="000000" w:themeColor="text1"/>
          <w:sz w:val="28"/>
          <w:szCs w:val="28"/>
        </w:rPr>
        <w:t>− создание базы данных –</w:t>
      </w:r>
      <w:r w:rsidRPr="002D2ED8">
        <w:rPr>
          <w:i/>
          <w:color w:val="000000" w:themeColor="text1"/>
          <w:sz w:val="28"/>
          <w:szCs w:val="28"/>
        </w:rPr>
        <w:t xml:space="preserve"> март-май</w:t>
      </w:r>
      <w:r w:rsidRPr="002D2ED8">
        <w:rPr>
          <w:color w:val="000000" w:themeColor="text1"/>
          <w:sz w:val="28"/>
          <w:szCs w:val="28"/>
        </w:rPr>
        <w:t>;</w:t>
      </w:r>
    </w:p>
    <w:p w14:paraId="321B6EB6" w14:textId="77777777" w:rsidR="003B1F3D" w:rsidRPr="002D2ED8" w:rsidRDefault="003B1F3D" w:rsidP="00C01CE8">
      <w:pPr>
        <w:ind w:firstLine="709"/>
        <w:jc w:val="both"/>
        <w:rPr>
          <w:color w:val="000000" w:themeColor="text1"/>
          <w:sz w:val="28"/>
          <w:szCs w:val="28"/>
        </w:rPr>
      </w:pPr>
      <w:r w:rsidRPr="002D2ED8">
        <w:rPr>
          <w:color w:val="000000" w:themeColor="text1"/>
          <w:sz w:val="28"/>
          <w:szCs w:val="28"/>
        </w:rPr>
        <w:t xml:space="preserve">− расчет риск-метрик – </w:t>
      </w:r>
      <w:r w:rsidRPr="002D2ED8">
        <w:rPr>
          <w:i/>
          <w:color w:val="000000" w:themeColor="text1"/>
          <w:sz w:val="28"/>
          <w:szCs w:val="28"/>
        </w:rPr>
        <w:t>июнь-июль</w:t>
      </w:r>
      <w:r w:rsidRPr="002D2ED8">
        <w:rPr>
          <w:color w:val="000000" w:themeColor="text1"/>
          <w:sz w:val="28"/>
          <w:szCs w:val="28"/>
        </w:rPr>
        <w:t>;</w:t>
      </w:r>
    </w:p>
    <w:p w14:paraId="61731102" w14:textId="5A1D1823" w:rsidR="003B1F3D" w:rsidRPr="002D2ED8" w:rsidRDefault="003B1F3D" w:rsidP="00C01CE8">
      <w:pPr>
        <w:ind w:firstLine="709"/>
        <w:jc w:val="both"/>
        <w:rPr>
          <w:color w:val="000000" w:themeColor="text1"/>
          <w:sz w:val="28"/>
          <w:szCs w:val="28"/>
        </w:rPr>
      </w:pPr>
      <w:r w:rsidRPr="002D2ED8">
        <w:rPr>
          <w:color w:val="000000" w:themeColor="text1"/>
          <w:sz w:val="28"/>
          <w:szCs w:val="28"/>
        </w:rPr>
        <w:t xml:space="preserve">− анализ индивидуальных займов – </w:t>
      </w:r>
      <w:r w:rsidRPr="002D2ED8">
        <w:rPr>
          <w:i/>
          <w:color w:val="000000" w:themeColor="text1"/>
          <w:sz w:val="28"/>
          <w:szCs w:val="28"/>
        </w:rPr>
        <w:t>июн</w:t>
      </w:r>
      <w:r w:rsidR="004A3765" w:rsidRPr="002D2ED8">
        <w:rPr>
          <w:i/>
          <w:color w:val="000000" w:themeColor="text1"/>
          <w:sz w:val="28"/>
          <w:szCs w:val="28"/>
        </w:rPr>
        <w:t>ь</w:t>
      </w:r>
      <w:r w:rsidRPr="002D2ED8">
        <w:rPr>
          <w:i/>
          <w:color w:val="000000" w:themeColor="text1"/>
          <w:sz w:val="28"/>
          <w:szCs w:val="28"/>
        </w:rPr>
        <w:t>-июль</w:t>
      </w:r>
      <w:r w:rsidRPr="002D2ED8">
        <w:rPr>
          <w:color w:val="000000" w:themeColor="text1"/>
          <w:sz w:val="28"/>
          <w:szCs w:val="28"/>
        </w:rPr>
        <w:t>;</w:t>
      </w:r>
    </w:p>
    <w:p w14:paraId="16607237" w14:textId="2933CE9C" w:rsidR="003B1F3D" w:rsidRPr="002D2ED8" w:rsidRDefault="003B1F3D" w:rsidP="00C01CE8">
      <w:pPr>
        <w:ind w:firstLine="709"/>
        <w:jc w:val="both"/>
        <w:rPr>
          <w:i/>
          <w:color w:val="000000" w:themeColor="text1"/>
          <w:sz w:val="28"/>
          <w:szCs w:val="28"/>
        </w:rPr>
      </w:pPr>
      <w:r w:rsidRPr="002D2ED8">
        <w:rPr>
          <w:color w:val="000000" w:themeColor="text1"/>
          <w:sz w:val="28"/>
          <w:szCs w:val="28"/>
        </w:rPr>
        <w:t xml:space="preserve">− расчет достаточности капитала – </w:t>
      </w:r>
      <w:r w:rsidRPr="002D2ED8">
        <w:rPr>
          <w:i/>
          <w:color w:val="000000" w:themeColor="text1"/>
          <w:sz w:val="28"/>
          <w:szCs w:val="28"/>
        </w:rPr>
        <w:t>август.</w:t>
      </w:r>
    </w:p>
    <w:p w14:paraId="0D0A5E75" w14:textId="0C9DD72D" w:rsidR="003B1F3D" w:rsidRPr="002D2ED8" w:rsidRDefault="003B1F3D" w:rsidP="00C01CE8">
      <w:pPr>
        <w:ind w:firstLine="709"/>
        <w:jc w:val="both"/>
        <w:rPr>
          <w:color w:val="000000" w:themeColor="text1"/>
          <w:sz w:val="28"/>
          <w:szCs w:val="28"/>
        </w:rPr>
      </w:pPr>
      <w:r w:rsidRPr="002D2ED8">
        <w:rPr>
          <w:color w:val="000000" w:themeColor="text1"/>
          <w:sz w:val="28"/>
          <w:szCs w:val="28"/>
        </w:rPr>
        <w:t xml:space="preserve">До конца 2023 года планируется подготовка отчета регулярного </w:t>
      </w:r>
      <w:r w:rsidRPr="002D2ED8">
        <w:rPr>
          <w:color w:val="000000" w:themeColor="text1"/>
          <w:sz w:val="28"/>
          <w:szCs w:val="28"/>
          <w:lang w:val="en-US"/>
        </w:rPr>
        <w:t>AQR</w:t>
      </w:r>
      <w:r w:rsidRPr="002D2ED8">
        <w:rPr>
          <w:color w:val="000000" w:themeColor="text1"/>
          <w:sz w:val="28"/>
          <w:szCs w:val="28"/>
        </w:rPr>
        <w:t xml:space="preserve"> по состоянию на 01.01.2023</w:t>
      </w:r>
      <w:r w:rsidR="001538E1" w:rsidRPr="002D2ED8">
        <w:rPr>
          <w:color w:val="000000" w:themeColor="text1"/>
          <w:sz w:val="28"/>
          <w:szCs w:val="28"/>
        </w:rPr>
        <w:t>г</w:t>
      </w:r>
      <w:r w:rsidRPr="002D2ED8">
        <w:rPr>
          <w:color w:val="000000" w:themeColor="text1"/>
          <w:sz w:val="28"/>
          <w:szCs w:val="28"/>
        </w:rPr>
        <w:t>.</w:t>
      </w:r>
    </w:p>
    <w:p w14:paraId="1E548841" w14:textId="2BFBF437" w:rsidR="004A3765" w:rsidRPr="002D2ED8" w:rsidRDefault="004A3765" w:rsidP="00C01CE8">
      <w:pPr>
        <w:ind w:firstLine="709"/>
        <w:jc w:val="both"/>
        <w:rPr>
          <w:color w:val="000000" w:themeColor="text1"/>
          <w:sz w:val="28"/>
          <w:szCs w:val="28"/>
        </w:rPr>
      </w:pPr>
      <w:r w:rsidRPr="002D2ED8">
        <w:rPr>
          <w:color w:val="000000" w:themeColor="text1"/>
          <w:sz w:val="28"/>
          <w:szCs w:val="28"/>
        </w:rPr>
        <w:t>AQR не только позволяет повысить точность оценки качества кредитных портфелей банков, но и способствует повышению компетенций банковского сектора в области оценки кредитных рисков. На основе проведенного анализа и выявленных недоработок в методиках и процессах банков Агентство продолжит обучение банков по ключевым аспектам регулярного AQR, а также продолжит знакомство банков с принципами и лучшими практиками построения внутренних моделей оценки и анализа кредитного риска.</w:t>
      </w:r>
    </w:p>
    <w:p w14:paraId="61D66400" w14:textId="77777777" w:rsidR="003B1F3D" w:rsidRPr="002D2ED8" w:rsidRDefault="003B1F3D" w:rsidP="00C01CE8">
      <w:pPr>
        <w:jc w:val="both"/>
        <w:rPr>
          <w:sz w:val="28"/>
          <w:szCs w:val="28"/>
          <w:lang w:val="kk-KZ"/>
        </w:rPr>
      </w:pPr>
    </w:p>
    <w:p w14:paraId="78C7485C" w14:textId="1C703895" w:rsidR="003B1F3D" w:rsidRPr="002D2ED8" w:rsidRDefault="003B1F3D" w:rsidP="003070F2">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41" w:name="_Toc127966716"/>
      <w:r w:rsidRPr="002D2ED8">
        <w:rPr>
          <w:rFonts w:ascii="Times New Roman" w:eastAsia="Calibri" w:hAnsi="Times New Roman" w:cs="Times New Roman"/>
          <w:i w:val="0"/>
          <w:color w:val="000000" w:themeColor="text1"/>
          <w:lang w:eastAsia="en-US"/>
        </w:rPr>
        <w:t>Надзорное стресс-тестирование</w:t>
      </w:r>
      <w:bookmarkEnd w:id="41"/>
    </w:p>
    <w:p w14:paraId="220AB0E9" w14:textId="77777777" w:rsidR="00896D8A" w:rsidRPr="002D2ED8" w:rsidRDefault="00896D8A" w:rsidP="00896D8A">
      <w:pPr>
        <w:ind w:firstLine="709"/>
        <w:jc w:val="both"/>
        <w:rPr>
          <w:color w:val="000000" w:themeColor="text1"/>
          <w:sz w:val="28"/>
          <w:szCs w:val="28"/>
        </w:rPr>
      </w:pPr>
      <w:r w:rsidRPr="002D2ED8">
        <w:rPr>
          <w:color w:val="000000" w:themeColor="text1"/>
          <w:sz w:val="28"/>
          <w:szCs w:val="28"/>
        </w:rPr>
        <w:t>В 2023 году Агентство приступит к ежегодному надзорному стресс-тестированию по перечню банков в соответствии с периметром AQR. Для успешного проведения надзорного стресс-тестирования, Агентством будут проведены подготовительные мероприятия, в том числе разработаны сценарии НСТ, проведена калибровка моделей.</w:t>
      </w:r>
    </w:p>
    <w:p w14:paraId="0F31ADF8" w14:textId="77777777" w:rsidR="00896D8A" w:rsidRPr="002D2ED8" w:rsidRDefault="00896D8A" w:rsidP="00896D8A">
      <w:pPr>
        <w:ind w:firstLine="709"/>
        <w:jc w:val="both"/>
        <w:rPr>
          <w:color w:val="000000" w:themeColor="text1"/>
          <w:sz w:val="28"/>
          <w:szCs w:val="28"/>
        </w:rPr>
      </w:pPr>
      <w:r w:rsidRPr="002D2ED8">
        <w:rPr>
          <w:color w:val="000000" w:themeColor="text1"/>
          <w:sz w:val="28"/>
          <w:szCs w:val="28"/>
        </w:rPr>
        <w:t xml:space="preserve">В дополнение, Агентство предоставит банкам все необходимые материалы для проведения надзорного стресс-тестирования: актуальную методологию, шаблон надзорного стресс-тестирования и инструкцию по его заполнению, а также утвержденные сценарии. Также Агентством будут проводиться обучающие </w:t>
      </w:r>
      <w:r w:rsidRPr="002D2ED8">
        <w:rPr>
          <w:color w:val="000000" w:themeColor="text1"/>
          <w:sz w:val="28"/>
          <w:szCs w:val="28"/>
        </w:rPr>
        <w:lastRenderedPageBreak/>
        <w:t xml:space="preserve">сессии для сотрудников банков не только для ознакомления с методологией НСТ, но и для обсуждения часто встречавшихся ошибок и рекомендаций по их исправлению. </w:t>
      </w:r>
    </w:p>
    <w:p w14:paraId="7FEBB5F7" w14:textId="77777777" w:rsidR="00896D8A" w:rsidRPr="002D2ED8" w:rsidRDefault="00896D8A" w:rsidP="00896D8A">
      <w:pPr>
        <w:ind w:firstLine="709"/>
        <w:jc w:val="both"/>
        <w:rPr>
          <w:color w:val="000000" w:themeColor="text1"/>
          <w:sz w:val="28"/>
          <w:szCs w:val="28"/>
        </w:rPr>
      </w:pPr>
      <w:r w:rsidRPr="002D2ED8">
        <w:rPr>
          <w:color w:val="000000" w:themeColor="text1"/>
          <w:sz w:val="28"/>
          <w:szCs w:val="28"/>
        </w:rPr>
        <w:t xml:space="preserve">После подготовительных работ </w:t>
      </w:r>
      <w:r w:rsidRPr="002D2ED8">
        <w:rPr>
          <w:i/>
          <w:color w:val="000000" w:themeColor="text1"/>
          <w:sz w:val="28"/>
          <w:szCs w:val="28"/>
        </w:rPr>
        <w:t>до конца 2023 года</w:t>
      </w:r>
      <w:r w:rsidRPr="002D2ED8">
        <w:rPr>
          <w:color w:val="000000" w:themeColor="text1"/>
          <w:sz w:val="28"/>
          <w:szCs w:val="28"/>
        </w:rPr>
        <w:t xml:space="preserve"> будет проходить надзорное стресс-тестирование. Банкам необходимо будет провести оценку влияния заданных сценариев на свое финансовое состояние с использованием единых методологических требований, а также заполнить шаблон с результатами этой оценки. В рамках надзорного стресс-тестирования будут учитываться потери от потенциальной реализации кредитного, рыночного, валютного рисков и изменения в чистом процентном и чистом непроцентном доходах. Агентством в свою очередь будет осуществляться проверка качества расчетов банков, в том числе с использованием проверочных моделей, и предоставляться обратная связь. Финальным этапом будет оценка достаточности капитала банков для поглощения возможных убытков в случае реализации стрессовых сценариев. </w:t>
      </w:r>
    </w:p>
    <w:p w14:paraId="10B0D1C0" w14:textId="77777777" w:rsidR="00896D8A" w:rsidRPr="002D2ED8" w:rsidRDefault="00896D8A" w:rsidP="00896D8A">
      <w:pPr>
        <w:ind w:firstLine="708"/>
        <w:jc w:val="both"/>
        <w:rPr>
          <w:color w:val="000000" w:themeColor="text1"/>
          <w:sz w:val="28"/>
          <w:szCs w:val="28"/>
        </w:rPr>
      </w:pPr>
      <w:r w:rsidRPr="002D2ED8">
        <w:rPr>
          <w:color w:val="000000" w:themeColor="text1"/>
          <w:sz w:val="28"/>
          <w:szCs w:val="28"/>
        </w:rPr>
        <w:t>Банкам, вошедшим в периметр надзорного стресс-тестирования, необходимо будет учитывать результаты надзорного стресс-тестирования при выявлении рисков, присущих их деятельности. В целях законодательного урегулирования данного вопроса Агентством в 2022 году внесены изменения и дополнения в Правила №188.</w:t>
      </w:r>
    </w:p>
    <w:p w14:paraId="6A6B6087" w14:textId="7EE8BFF0" w:rsidR="00896D8A" w:rsidRPr="002D2ED8" w:rsidRDefault="00896D8A" w:rsidP="00896D8A">
      <w:pPr>
        <w:ind w:firstLine="708"/>
        <w:jc w:val="both"/>
        <w:rPr>
          <w:color w:val="000000" w:themeColor="text1"/>
          <w:sz w:val="28"/>
          <w:szCs w:val="28"/>
        </w:rPr>
      </w:pPr>
      <w:r w:rsidRPr="002D2ED8">
        <w:rPr>
          <w:color w:val="000000" w:themeColor="text1"/>
          <w:sz w:val="28"/>
          <w:szCs w:val="28"/>
        </w:rPr>
        <w:t>Дополнительно результаты надзорного стресс-тестирования будут учитываться при определении надзорных мер для каждого банка исходя из его риск-профиля. Поэтапное раскрытие и публикация результатов НСТ в последующие годы будет осуществляться по мере развития инструментария стресс-тестирования, что позволит повысить транспарентность банковского сектора и доверие рынка.</w:t>
      </w:r>
    </w:p>
    <w:p w14:paraId="42186568" w14:textId="39AB48B8" w:rsidR="00FA5E02" w:rsidRPr="002D2ED8" w:rsidRDefault="00FA5E02" w:rsidP="00896D8A">
      <w:pPr>
        <w:ind w:firstLine="708"/>
        <w:jc w:val="both"/>
        <w:rPr>
          <w:color w:val="000000" w:themeColor="text1"/>
          <w:sz w:val="28"/>
          <w:szCs w:val="28"/>
        </w:rPr>
      </w:pPr>
    </w:p>
    <w:p w14:paraId="7A7B3668" w14:textId="2D8FECB1" w:rsidR="003A041A" w:rsidRPr="002D2ED8" w:rsidRDefault="003A041A" w:rsidP="00995789">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42" w:name="_Toc127966717"/>
      <w:r w:rsidRPr="002D2ED8">
        <w:rPr>
          <w:rFonts w:ascii="Times New Roman" w:eastAsia="Calibri" w:hAnsi="Times New Roman" w:cs="Times New Roman"/>
          <w:i w:val="0"/>
          <w:color w:val="000000" w:themeColor="text1"/>
          <w:lang w:eastAsia="en-US"/>
        </w:rPr>
        <w:t xml:space="preserve">Мониторинг индивидуальных планов корректирующих мер по итогам </w:t>
      </w:r>
      <w:r w:rsidRPr="002D2ED8">
        <w:rPr>
          <w:rFonts w:ascii="Times New Roman" w:eastAsia="Calibri" w:hAnsi="Times New Roman" w:cs="Times New Roman"/>
          <w:i w:val="0"/>
          <w:lang w:eastAsia="en-US"/>
        </w:rPr>
        <w:t>AQR</w:t>
      </w:r>
      <w:bookmarkEnd w:id="42"/>
    </w:p>
    <w:p w14:paraId="5EF3045C" w14:textId="50335FA0" w:rsidR="003A041A" w:rsidRPr="002D2ED8" w:rsidRDefault="003A041A" w:rsidP="003A041A">
      <w:pPr>
        <w:ind w:firstLine="709"/>
        <w:jc w:val="both"/>
        <w:rPr>
          <w:rFonts w:eastAsia="Calibri"/>
          <w:color w:val="000000" w:themeColor="text1"/>
          <w:sz w:val="28"/>
          <w:szCs w:val="28"/>
        </w:rPr>
      </w:pPr>
      <w:r w:rsidRPr="002D2ED8">
        <w:rPr>
          <w:rFonts w:eastAsia="Calibri"/>
          <w:color w:val="000000" w:themeColor="text1"/>
          <w:sz w:val="28"/>
          <w:szCs w:val="28"/>
        </w:rPr>
        <w:t xml:space="preserve">До полного исполнения Планов мероприятий по итогам </w:t>
      </w:r>
      <w:r w:rsidR="001B2E29" w:rsidRPr="002D2ED8">
        <w:rPr>
          <w:rFonts w:eastAsia="Calibri"/>
          <w:color w:val="000000" w:themeColor="text1"/>
          <w:sz w:val="28"/>
          <w:szCs w:val="28"/>
        </w:rPr>
        <w:t xml:space="preserve">проведенного в 2019 году </w:t>
      </w:r>
      <w:r w:rsidRPr="002D2ED8">
        <w:rPr>
          <w:rFonts w:eastAsia="Calibri"/>
          <w:color w:val="000000" w:themeColor="text1"/>
          <w:sz w:val="28"/>
          <w:szCs w:val="28"/>
        </w:rPr>
        <w:t>AQR, банкам-участникам осталось реализовать мероприятия, связанные в основном с автоматизацией новых и усовершенствованных бизнес-процессов, исполнение которых запланировано на первое полугодие 2023г.</w:t>
      </w:r>
    </w:p>
    <w:p w14:paraId="2BFB1790" w14:textId="77777777" w:rsidR="003A041A" w:rsidRPr="002D2ED8" w:rsidRDefault="003A041A" w:rsidP="003A041A">
      <w:pPr>
        <w:ind w:firstLine="709"/>
        <w:jc w:val="both"/>
        <w:rPr>
          <w:rFonts w:eastAsia="Calibri"/>
          <w:color w:val="000000" w:themeColor="text1"/>
          <w:sz w:val="28"/>
          <w:szCs w:val="28"/>
        </w:rPr>
      </w:pPr>
      <w:r w:rsidRPr="002D2ED8">
        <w:rPr>
          <w:rFonts w:eastAsia="Calibri"/>
          <w:color w:val="000000" w:themeColor="text1"/>
          <w:sz w:val="28"/>
          <w:szCs w:val="28"/>
        </w:rPr>
        <w:t>Окончательное внедрение всех обновленных бизнес-процессов в деятельность банков-участников AQR путем их полной автоматизации позволит завершить качественный переход банков к наилучшим стандартам ведения банковского дела и повысит устойчивость банков к внешним и внутренним шокам.</w:t>
      </w:r>
    </w:p>
    <w:p w14:paraId="5AC3B67E" w14:textId="6BCFF895" w:rsidR="003A041A" w:rsidRPr="002D2ED8" w:rsidRDefault="003A041A" w:rsidP="003A041A">
      <w:pPr>
        <w:ind w:firstLine="709"/>
        <w:jc w:val="both"/>
        <w:rPr>
          <w:rFonts w:eastAsia="Calibri"/>
          <w:color w:val="000000" w:themeColor="text1"/>
          <w:sz w:val="28"/>
          <w:szCs w:val="28"/>
        </w:rPr>
      </w:pPr>
      <w:r w:rsidRPr="002D2ED8">
        <w:rPr>
          <w:rFonts w:eastAsia="Calibri"/>
          <w:color w:val="000000" w:themeColor="text1"/>
          <w:sz w:val="28"/>
          <w:szCs w:val="28"/>
        </w:rPr>
        <w:t>Для усиления контроля эффективности исполнения</w:t>
      </w:r>
      <w:r w:rsidR="001B2E29" w:rsidRPr="002D2ED8">
        <w:rPr>
          <w:rFonts w:eastAsia="Calibri"/>
          <w:color w:val="000000" w:themeColor="text1"/>
          <w:sz w:val="28"/>
          <w:szCs w:val="28"/>
        </w:rPr>
        <w:t xml:space="preserve"> запланированных мероприятий </w:t>
      </w:r>
      <w:r w:rsidRPr="002D2ED8">
        <w:rPr>
          <w:rFonts w:eastAsia="Calibri"/>
          <w:color w:val="000000" w:themeColor="text1"/>
          <w:sz w:val="28"/>
          <w:szCs w:val="28"/>
        </w:rPr>
        <w:t>в</w:t>
      </w:r>
      <w:r w:rsidR="001B2E29" w:rsidRPr="002D2ED8">
        <w:rPr>
          <w:rFonts w:eastAsia="Calibri"/>
          <w:color w:val="000000" w:themeColor="text1"/>
          <w:sz w:val="28"/>
          <w:szCs w:val="28"/>
        </w:rPr>
        <w:t xml:space="preserve"> </w:t>
      </w:r>
      <w:r w:rsidRPr="002D2ED8">
        <w:rPr>
          <w:rFonts w:eastAsia="Calibri"/>
          <w:color w:val="000000" w:themeColor="text1"/>
          <w:sz w:val="28"/>
          <w:szCs w:val="28"/>
        </w:rPr>
        <w:t>1-м</w:t>
      </w:r>
      <w:r w:rsidR="001B2E29" w:rsidRPr="002D2ED8">
        <w:rPr>
          <w:rFonts w:eastAsia="Calibri"/>
          <w:color w:val="000000" w:themeColor="text1"/>
          <w:sz w:val="28"/>
          <w:szCs w:val="28"/>
        </w:rPr>
        <w:t xml:space="preserve"> </w:t>
      </w:r>
      <w:r w:rsidRPr="002D2ED8">
        <w:rPr>
          <w:rFonts w:eastAsia="Calibri"/>
          <w:color w:val="000000" w:themeColor="text1"/>
          <w:sz w:val="28"/>
          <w:szCs w:val="28"/>
        </w:rPr>
        <w:t>полугодии</w:t>
      </w:r>
      <w:r w:rsidR="001B2E29" w:rsidRPr="002D2ED8">
        <w:rPr>
          <w:rFonts w:eastAsia="Calibri"/>
          <w:color w:val="000000" w:themeColor="text1"/>
          <w:sz w:val="28"/>
          <w:szCs w:val="28"/>
        </w:rPr>
        <w:t xml:space="preserve"> </w:t>
      </w:r>
      <w:r w:rsidRPr="002D2ED8">
        <w:rPr>
          <w:rFonts w:eastAsia="Calibri"/>
          <w:color w:val="000000" w:themeColor="text1"/>
          <w:sz w:val="28"/>
          <w:szCs w:val="28"/>
        </w:rPr>
        <w:t>2023</w:t>
      </w:r>
      <w:r w:rsidR="001B2E29" w:rsidRPr="002D2ED8">
        <w:rPr>
          <w:rFonts w:eastAsia="Calibri"/>
          <w:color w:val="000000" w:themeColor="text1"/>
          <w:sz w:val="28"/>
          <w:szCs w:val="28"/>
        </w:rPr>
        <w:t xml:space="preserve"> </w:t>
      </w:r>
      <w:r w:rsidRPr="002D2ED8">
        <w:rPr>
          <w:rFonts w:eastAsia="Calibri"/>
          <w:color w:val="000000" w:themeColor="text1"/>
          <w:sz w:val="28"/>
          <w:szCs w:val="28"/>
        </w:rPr>
        <w:t>года</w:t>
      </w:r>
      <w:r w:rsidR="001B2E29" w:rsidRPr="002D2ED8">
        <w:rPr>
          <w:rFonts w:eastAsia="Calibri"/>
          <w:color w:val="000000" w:themeColor="text1"/>
          <w:sz w:val="28"/>
          <w:szCs w:val="28"/>
        </w:rPr>
        <w:t xml:space="preserve"> </w:t>
      </w:r>
      <w:r w:rsidRPr="002D2ED8">
        <w:rPr>
          <w:rFonts w:eastAsia="Calibri"/>
          <w:color w:val="000000" w:themeColor="text1"/>
          <w:sz w:val="28"/>
          <w:szCs w:val="28"/>
        </w:rPr>
        <w:t>планируется</w:t>
      </w:r>
      <w:r w:rsidR="001B2E29" w:rsidRPr="002D2ED8">
        <w:rPr>
          <w:rFonts w:eastAsia="Calibri"/>
          <w:color w:val="000000" w:themeColor="text1"/>
          <w:sz w:val="28"/>
          <w:szCs w:val="28"/>
        </w:rPr>
        <w:t xml:space="preserve"> </w:t>
      </w:r>
      <w:r w:rsidRPr="002D2ED8">
        <w:rPr>
          <w:rFonts w:eastAsia="Calibri"/>
          <w:color w:val="000000" w:themeColor="text1"/>
          <w:sz w:val="28"/>
          <w:szCs w:val="28"/>
        </w:rPr>
        <w:t>проведение</w:t>
      </w:r>
      <w:r w:rsidR="001B2E29" w:rsidRPr="002D2ED8">
        <w:rPr>
          <w:rFonts w:eastAsia="Calibri"/>
          <w:color w:val="000000" w:themeColor="text1"/>
          <w:sz w:val="28"/>
          <w:szCs w:val="28"/>
        </w:rPr>
        <w:t xml:space="preserve"> </w:t>
      </w:r>
      <w:r w:rsidRPr="002D2ED8">
        <w:rPr>
          <w:rFonts w:eastAsia="Calibri"/>
          <w:color w:val="000000" w:themeColor="text1"/>
          <w:sz w:val="28"/>
          <w:szCs w:val="28"/>
        </w:rPr>
        <w:t xml:space="preserve">индивидуальных отчетных встреч с банками-участниками AQR по исполнению Планов мероприятий по итогам AQR. </w:t>
      </w:r>
    </w:p>
    <w:p w14:paraId="78EAC272" w14:textId="77777777" w:rsidR="003A041A" w:rsidRPr="002D2ED8" w:rsidRDefault="003A041A" w:rsidP="00896D8A">
      <w:pPr>
        <w:ind w:firstLine="708"/>
        <w:jc w:val="both"/>
        <w:rPr>
          <w:color w:val="000000" w:themeColor="text1"/>
          <w:sz w:val="28"/>
          <w:szCs w:val="28"/>
        </w:rPr>
      </w:pPr>
    </w:p>
    <w:p w14:paraId="724033B2" w14:textId="4FD5BC8C" w:rsidR="00D03C00" w:rsidRPr="002D2ED8" w:rsidRDefault="00D03C00" w:rsidP="00832937">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43" w:name="_Toc126511021"/>
      <w:bookmarkStart w:id="44" w:name="_Toc126511160"/>
      <w:bookmarkStart w:id="45" w:name="_Toc127966718"/>
      <w:bookmarkStart w:id="46" w:name="_Hlk94785765"/>
      <w:r w:rsidRPr="002D2ED8">
        <w:rPr>
          <w:rFonts w:ascii="Times New Roman" w:eastAsia="Calibri" w:hAnsi="Times New Roman" w:cs="Times New Roman"/>
          <w:i w:val="0"/>
          <w:color w:val="000000" w:themeColor="text1"/>
          <w:lang w:eastAsia="en-US"/>
        </w:rPr>
        <w:lastRenderedPageBreak/>
        <w:t>Развитие надзора на консолидированной основе</w:t>
      </w:r>
      <w:bookmarkEnd w:id="43"/>
      <w:bookmarkEnd w:id="44"/>
      <w:bookmarkEnd w:id="45"/>
    </w:p>
    <w:p w14:paraId="54BEA644" w14:textId="77777777" w:rsidR="00AD1886" w:rsidRPr="002D2ED8" w:rsidRDefault="00AD1886" w:rsidP="00AD1886">
      <w:pPr>
        <w:ind w:firstLine="709"/>
        <w:contextualSpacing/>
        <w:jc w:val="both"/>
        <w:rPr>
          <w:color w:val="000000" w:themeColor="text1"/>
          <w:sz w:val="28"/>
          <w:szCs w:val="28"/>
        </w:rPr>
      </w:pPr>
      <w:r w:rsidRPr="002D2ED8">
        <w:rPr>
          <w:color w:val="000000" w:themeColor="text1"/>
          <w:sz w:val="28"/>
          <w:szCs w:val="28"/>
        </w:rPr>
        <w:t>Риски банковских холдингов становятся более комплексными и предполагают системное управление с учетом специфики экосистем и нефинансовых продуктов и услуг.</w:t>
      </w:r>
      <w:r w:rsidRPr="002D2ED8">
        <w:t xml:space="preserve"> </w:t>
      </w:r>
      <w:r w:rsidRPr="002D2ED8">
        <w:rPr>
          <w:color w:val="000000" w:themeColor="text1"/>
          <w:sz w:val="28"/>
          <w:szCs w:val="28"/>
        </w:rPr>
        <w:t>Усиление консолидированного надзора направлено на выявление и недопущение многократного использования капитала, оценку групповых рисков (распределение и концентрация рисков, сложности в управлении и исключение конфликта интересов), а также минимизацию регуляторного арбитража.</w:t>
      </w:r>
    </w:p>
    <w:p w14:paraId="30FD5E03" w14:textId="77777777" w:rsidR="00AD1886" w:rsidRPr="002D2ED8" w:rsidRDefault="00AD1886" w:rsidP="00AD1886">
      <w:pPr>
        <w:pStyle w:val="ac"/>
        <w:shd w:val="clear" w:color="auto" w:fill="FFFFFF"/>
        <w:tabs>
          <w:tab w:val="left" w:pos="993"/>
        </w:tabs>
        <w:ind w:left="0" w:firstLine="709"/>
        <w:jc w:val="both"/>
        <w:textAlignment w:val="baseline"/>
        <w:rPr>
          <w:color w:val="000000" w:themeColor="text1"/>
          <w:sz w:val="28"/>
          <w:szCs w:val="28"/>
        </w:rPr>
      </w:pPr>
      <w:r w:rsidRPr="002D2ED8">
        <w:rPr>
          <w:color w:val="000000" w:themeColor="text1"/>
          <w:sz w:val="28"/>
          <w:szCs w:val="28"/>
        </w:rPr>
        <w:t>Для снижения системных рисков будет продолжена работа по усилению регулирования банков и банковских холдингов на консолидированном уровне.</w:t>
      </w:r>
    </w:p>
    <w:p w14:paraId="030C74BB" w14:textId="77777777" w:rsidR="00AD1886" w:rsidRPr="002D2ED8" w:rsidRDefault="00AD1886" w:rsidP="00AD1886">
      <w:pPr>
        <w:pStyle w:val="ac"/>
        <w:shd w:val="clear" w:color="auto" w:fill="FFFFFF"/>
        <w:tabs>
          <w:tab w:val="left" w:pos="993"/>
        </w:tabs>
        <w:ind w:left="0" w:firstLine="709"/>
        <w:jc w:val="both"/>
        <w:textAlignment w:val="baseline"/>
        <w:rPr>
          <w:color w:val="000000" w:themeColor="text1"/>
          <w:sz w:val="28"/>
          <w:szCs w:val="28"/>
        </w:rPr>
      </w:pPr>
      <w:r w:rsidRPr="002D2ED8">
        <w:rPr>
          <w:color w:val="000000" w:themeColor="text1"/>
          <w:sz w:val="28"/>
          <w:szCs w:val="28"/>
        </w:rPr>
        <w:t xml:space="preserve">1) </w:t>
      </w:r>
      <w:proofErr w:type="spellStart"/>
      <w:r w:rsidRPr="002D2ED8">
        <w:rPr>
          <w:color w:val="000000" w:themeColor="text1"/>
          <w:sz w:val="28"/>
          <w:szCs w:val="28"/>
        </w:rPr>
        <w:t>пруденциальное</w:t>
      </w:r>
      <w:proofErr w:type="spellEnd"/>
      <w:r w:rsidRPr="002D2ED8">
        <w:rPr>
          <w:color w:val="000000" w:themeColor="text1"/>
          <w:sz w:val="28"/>
          <w:szCs w:val="28"/>
        </w:rPr>
        <w:t xml:space="preserve"> регулирование финансовых конгломератов будет установлено в соответствии с требованиями </w:t>
      </w:r>
      <w:proofErr w:type="spellStart"/>
      <w:r w:rsidRPr="002D2ED8">
        <w:rPr>
          <w:color w:val="000000" w:themeColor="text1"/>
          <w:sz w:val="28"/>
          <w:szCs w:val="28"/>
        </w:rPr>
        <w:t>Базельского</w:t>
      </w:r>
      <w:proofErr w:type="spellEnd"/>
      <w:r w:rsidRPr="002D2ED8">
        <w:rPr>
          <w:color w:val="000000" w:themeColor="text1"/>
          <w:sz w:val="28"/>
          <w:szCs w:val="28"/>
        </w:rPr>
        <w:t xml:space="preserve"> комитета </w:t>
      </w:r>
      <w:r w:rsidRPr="002D2ED8">
        <w:rPr>
          <w:color w:val="000000" w:themeColor="text1"/>
          <w:sz w:val="28"/>
          <w:szCs w:val="28"/>
        </w:rPr>
        <w:br/>
        <w:t xml:space="preserve">по банковскому надзору (БКБН). Согласно принципу 12 БКБН регулятор должен определять требования и осуществлять сбор и анализ информации на консолидированной основе, включая такие компоненты как достаточность капитала, ликвидность, максимальный риск, риски в отношении лиц, связанных особыми отношениями, лимиты на кредитование и структуру группы. Подход в отношении конгломерата для целей регулирования должен выходить за стандарты консолидации на уровне бухгалтерского учета. </w:t>
      </w:r>
    </w:p>
    <w:p w14:paraId="0FE6E308" w14:textId="77777777" w:rsidR="00AD1886" w:rsidRPr="002D2ED8" w:rsidRDefault="00AD1886" w:rsidP="00AD1886">
      <w:pPr>
        <w:pStyle w:val="ac"/>
        <w:tabs>
          <w:tab w:val="left" w:pos="993"/>
        </w:tabs>
        <w:ind w:left="0" w:firstLine="709"/>
        <w:jc w:val="both"/>
        <w:textAlignment w:val="baseline"/>
        <w:rPr>
          <w:color w:val="000000" w:themeColor="text1"/>
          <w:sz w:val="28"/>
          <w:szCs w:val="28"/>
        </w:rPr>
      </w:pPr>
      <w:r w:rsidRPr="002D2ED8">
        <w:rPr>
          <w:color w:val="000000" w:themeColor="text1"/>
          <w:sz w:val="28"/>
          <w:szCs w:val="28"/>
        </w:rPr>
        <w:t xml:space="preserve">Агентством в 2023 году будет определена методика расчета капитала на консолидированном уровне в соответствии с международными стандартами в рамках реализации первого этапа мероприятий по усилению регулирования на консолидированной основе. </w:t>
      </w:r>
    </w:p>
    <w:p w14:paraId="27A06D1F" w14:textId="77777777" w:rsidR="00AD1886" w:rsidRPr="002D2ED8" w:rsidRDefault="00AD1886" w:rsidP="00AD1886">
      <w:pPr>
        <w:shd w:val="clear" w:color="auto" w:fill="FFFFFF"/>
        <w:tabs>
          <w:tab w:val="left" w:pos="993"/>
        </w:tabs>
        <w:ind w:firstLine="709"/>
        <w:jc w:val="both"/>
        <w:textAlignment w:val="baseline"/>
        <w:rPr>
          <w:color w:val="000000" w:themeColor="text1"/>
          <w:sz w:val="28"/>
          <w:szCs w:val="28"/>
        </w:rPr>
      </w:pPr>
      <w:r w:rsidRPr="002D2ED8">
        <w:rPr>
          <w:rFonts w:eastAsia="Calibri"/>
          <w:bCs/>
          <w:sz w:val="28"/>
          <w:lang w:val="kk-KZ"/>
        </w:rPr>
        <w:t>2)</w:t>
      </w:r>
      <w:r w:rsidRPr="002D2ED8">
        <w:rPr>
          <w:color w:val="000000" w:themeColor="text1"/>
          <w:sz w:val="28"/>
          <w:szCs w:val="28"/>
        </w:rPr>
        <w:t xml:space="preserve"> требования к системе управления рисками будут определяться на консолидированном уровне в соответствии с международными рекомендациями. </w:t>
      </w:r>
    </w:p>
    <w:p w14:paraId="5087061E" w14:textId="77777777" w:rsidR="00AD1886" w:rsidRPr="002D2ED8" w:rsidRDefault="00AD1886" w:rsidP="00AD1886">
      <w:pPr>
        <w:shd w:val="clear" w:color="auto" w:fill="FFFFFF"/>
        <w:tabs>
          <w:tab w:val="left" w:pos="993"/>
        </w:tabs>
        <w:ind w:firstLine="709"/>
        <w:jc w:val="both"/>
        <w:textAlignment w:val="baseline"/>
        <w:rPr>
          <w:color w:val="000000" w:themeColor="text1"/>
          <w:sz w:val="28"/>
          <w:szCs w:val="28"/>
        </w:rPr>
      </w:pPr>
      <w:r w:rsidRPr="002D2ED8">
        <w:rPr>
          <w:color w:val="000000" w:themeColor="text1"/>
          <w:sz w:val="28"/>
          <w:szCs w:val="28"/>
        </w:rPr>
        <w:t>Согласно принципам 21 и 22 международного Форума (</w:t>
      </w:r>
      <w:r w:rsidRPr="002D2ED8">
        <w:rPr>
          <w:color w:val="000000" w:themeColor="text1"/>
          <w:sz w:val="28"/>
          <w:szCs w:val="28"/>
          <w:lang w:val="en-US"/>
        </w:rPr>
        <w:t>The</w:t>
      </w:r>
      <w:r w:rsidRPr="002D2ED8">
        <w:rPr>
          <w:color w:val="000000" w:themeColor="text1"/>
          <w:sz w:val="28"/>
          <w:szCs w:val="28"/>
        </w:rPr>
        <w:t xml:space="preserve"> </w:t>
      </w:r>
      <w:r w:rsidRPr="002D2ED8">
        <w:rPr>
          <w:color w:val="000000" w:themeColor="text1"/>
          <w:sz w:val="28"/>
          <w:szCs w:val="28"/>
          <w:lang w:val="en-US"/>
        </w:rPr>
        <w:t>Joint</w:t>
      </w:r>
      <w:r w:rsidRPr="002D2ED8">
        <w:rPr>
          <w:color w:val="000000" w:themeColor="text1"/>
          <w:sz w:val="28"/>
          <w:szCs w:val="28"/>
        </w:rPr>
        <w:t xml:space="preserve"> </w:t>
      </w:r>
      <w:r w:rsidRPr="002D2ED8">
        <w:rPr>
          <w:color w:val="000000" w:themeColor="text1"/>
          <w:sz w:val="28"/>
          <w:szCs w:val="28"/>
          <w:lang w:val="en-US"/>
        </w:rPr>
        <w:t>Forum</w:t>
      </w:r>
      <w:r w:rsidRPr="002D2ED8">
        <w:rPr>
          <w:color w:val="000000" w:themeColor="text1"/>
          <w:sz w:val="28"/>
          <w:szCs w:val="28"/>
        </w:rPr>
        <w:t xml:space="preserve">), который был учрежден в 1996 году под эгидой БКБН, Международной организации комиссий по ценным бумагам (IOSCO), Международной ассоциации страховых надзоров (IAIS), регулятор должен разработать требования к финансовым конгломератам для обеспечения наличия независимой всесторонней эффективной системы управления рисками с жесткой системой внутреннего контроля, эффективным внутренним аудитом и комплаенс-контролем. </w:t>
      </w:r>
    </w:p>
    <w:p w14:paraId="67028E27" w14:textId="77777777" w:rsidR="00AD1886" w:rsidRPr="002D2ED8" w:rsidRDefault="00AD1886" w:rsidP="00AD1886">
      <w:pPr>
        <w:shd w:val="clear" w:color="auto" w:fill="FFFFFF"/>
        <w:tabs>
          <w:tab w:val="left" w:pos="993"/>
        </w:tabs>
        <w:ind w:firstLine="709"/>
        <w:jc w:val="both"/>
        <w:textAlignment w:val="baseline"/>
        <w:rPr>
          <w:color w:val="000000" w:themeColor="text1"/>
          <w:sz w:val="28"/>
          <w:szCs w:val="28"/>
        </w:rPr>
      </w:pPr>
      <w:r w:rsidRPr="002D2ED8">
        <w:rPr>
          <w:color w:val="000000" w:themeColor="text1"/>
          <w:sz w:val="28"/>
          <w:szCs w:val="28"/>
        </w:rPr>
        <w:t xml:space="preserve">3) планируется усилить контроль за внутригрупповыми сделками для ограничения возможного использования послаблений, которые подразумевают снижение нагрузки на капитал группы путем перераспределения кредитного риска между организациями группы (предоставление кредитов, продажа активов и выпуск кросс-гарантий). </w:t>
      </w:r>
    </w:p>
    <w:p w14:paraId="68146587" w14:textId="77777777" w:rsidR="00AD1886" w:rsidRPr="002D2ED8" w:rsidRDefault="00AD1886" w:rsidP="00AD1886">
      <w:pPr>
        <w:shd w:val="clear" w:color="auto" w:fill="FFFFFF"/>
        <w:tabs>
          <w:tab w:val="left" w:pos="993"/>
        </w:tabs>
        <w:ind w:firstLine="709"/>
        <w:jc w:val="both"/>
        <w:textAlignment w:val="baseline"/>
        <w:rPr>
          <w:rFonts w:eastAsia="Calibri"/>
          <w:bCs/>
          <w:sz w:val="28"/>
          <w:lang w:val="kk-KZ"/>
        </w:rPr>
      </w:pPr>
      <w:r w:rsidRPr="002D2ED8">
        <w:rPr>
          <w:color w:val="000000" w:themeColor="text1"/>
          <w:sz w:val="28"/>
          <w:szCs w:val="28"/>
        </w:rPr>
        <w:t>Директивой ЕС также были определены рекомендации по установке регуляторами качественных и количественных ограничений, мер надзорного характера в отношении внутригрупповых сделок организаций конгломерата.</w:t>
      </w:r>
    </w:p>
    <w:p w14:paraId="7187D371" w14:textId="77777777" w:rsidR="00AD1886" w:rsidRPr="002D2ED8" w:rsidRDefault="00AD1886" w:rsidP="00AD1886">
      <w:pPr>
        <w:shd w:val="clear" w:color="auto" w:fill="FFFFFF"/>
        <w:tabs>
          <w:tab w:val="left" w:pos="993"/>
        </w:tabs>
        <w:ind w:firstLine="709"/>
        <w:jc w:val="both"/>
        <w:textAlignment w:val="baseline"/>
        <w:rPr>
          <w:color w:val="000000" w:themeColor="text1"/>
          <w:sz w:val="28"/>
          <w:szCs w:val="28"/>
        </w:rPr>
      </w:pPr>
      <w:r w:rsidRPr="002D2ED8">
        <w:rPr>
          <w:color w:val="000000" w:themeColor="text1"/>
          <w:sz w:val="28"/>
          <w:szCs w:val="28"/>
        </w:rPr>
        <w:t>4) предполагается усиление контроля за деятельностью банковских групп и банковского конгломерата по вопросам противодействия легализации (отмыванию) доходов, полученных преступным путем, и финансированию терроризма (ПОД/ФТ).</w:t>
      </w:r>
    </w:p>
    <w:p w14:paraId="02C7895F" w14:textId="77777777" w:rsidR="00AD1886" w:rsidRPr="002D2ED8" w:rsidRDefault="00AD1886" w:rsidP="00AD1886">
      <w:pPr>
        <w:ind w:firstLine="708"/>
        <w:contextualSpacing/>
        <w:jc w:val="both"/>
        <w:rPr>
          <w:rFonts w:eastAsia="Calibri"/>
          <w:sz w:val="28"/>
        </w:rPr>
      </w:pPr>
      <w:r w:rsidRPr="002D2ED8">
        <w:rPr>
          <w:rFonts w:eastAsia="Calibri"/>
          <w:sz w:val="28"/>
        </w:rPr>
        <w:lastRenderedPageBreak/>
        <w:t>Согласно Рекомендации 26 Группы разработки финансовых мер борьбы с отмыванием денег (FATF) органам финансового надзора следует принимать необходимые меры для недопущения того, чтобы преступники могли иметь долевое участие или занимать руководящие должности в финансовом учреждении, или являться бенефициарным собственником такого учреждения.</w:t>
      </w:r>
    </w:p>
    <w:p w14:paraId="3BEDA39B" w14:textId="77777777" w:rsidR="00AD1886" w:rsidRPr="002D2ED8" w:rsidRDefault="00AD1886" w:rsidP="00AD1886">
      <w:pPr>
        <w:tabs>
          <w:tab w:val="left" w:pos="993"/>
        </w:tabs>
        <w:ind w:firstLine="709"/>
        <w:jc w:val="both"/>
        <w:textAlignment w:val="baseline"/>
        <w:rPr>
          <w:color w:val="000000" w:themeColor="text1"/>
          <w:sz w:val="28"/>
          <w:szCs w:val="28"/>
        </w:rPr>
      </w:pPr>
      <w:r w:rsidRPr="002D2ED8">
        <w:rPr>
          <w:color w:val="000000" w:themeColor="text1"/>
          <w:sz w:val="28"/>
          <w:szCs w:val="28"/>
        </w:rPr>
        <w:t xml:space="preserve">По итогам оценки Республики Казахстан во 2-м раунде взаимных оценок Евразийской группы по противодействию легализации преступных доходов и финансированию терроризма (ЕАГ) было рекомендовано совершенствование консолидированного надзора в части требований по ПОД/ФТ. </w:t>
      </w:r>
      <w:r w:rsidRPr="002D2ED8">
        <w:rPr>
          <w:rFonts w:eastAsia="Calibri"/>
          <w:sz w:val="28"/>
        </w:rPr>
        <w:t>В связи с этим, Агентством в 2023 году будут доработаны внутренние процедуры по проведению проверок за соблюдением требований о ПОД/ФТ на консолидированной основе.</w:t>
      </w:r>
    </w:p>
    <w:p w14:paraId="74CDBBA3" w14:textId="17A1F8AC" w:rsidR="009222D9" w:rsidRPr="002D2ED8" w:rsidRDefault="002A6208" w:rsidP="00D52B48">
      <w:pPr>
        <w:ind w:firstLine="708"/>
        <w:contextualSpacing/>
        <w:jc w:val="both"/>
        <w:rPr>
          <w:sz w:val="28"/>
          <w:szCs w:val="28"/>
        </w:rPr>
      </w:pPr>
      <w:r w:rsidRPr="002D2ED8">
        <w:rPr>
          <w:sz w:val="28"/>
          <w:szCs w:val="28"/>
        </w:rPr>
        <w:t xml:space="preserve">Отдельное внимание Агентством уделяется </w:t>
      </w:r>
      <w:r w:rsidR="00A83D2F" w:rsidRPr="002D2ED8">
        <w:rPr>
          <w:sz w:val="28"/>
          <w:szCs w:val="28"/>
        </w:rPr>
        <w:t>вопросам обеспечения прозрачности в структуре собс</w:t>
      </w:r>
      <w:r w:rsidR="005C0570" w:rsidRPr="002D2ED8">
        <w:rPr>
          <w:sz w:val="28"/>
          <w:szCs w:val="28"/>
        </w:rPr>
        <w:t>т</w:t>
      </w:r>
      <w:r w:rsidR="00A83D2F" w:rsidRPr="002D2ED8">
        <w:rPr>
          <w:sz w:val="28"/>
          <w:szCs w:val="28"/>
        </w:rPr>
        <w:t>венности банковских конгломератов</w:t>
      </w:r>
      <w:r w:rsidR="00CA08BC" w:rsidRPr="002D2ED8">
        <w:rPr>
          <w:sz w:val="28"/>
          <w:szCs w:val="28"/>
        </w:rPr>
        <w:t xml:space="preserve">, необходимость исследования которой заложено </w:t>
      </w:r>
      <w:proofErr w:type="spellStart"/>
      <w:r w:rsidR="006631FB" w:rsidRPr="002D2ED8">
        <w:rPr>
          <w:sz w:val="28"/>
          <w:szCs w:val="28"/>
        </w:rPr>
        <w:t>Базельскими</w:t>
      </w:r>
      <w:proofErr w:type="spellEnd"/>
      <w:r w:rsidR="006631FB" w:rsidRPr="002D2ED8">
        <w:rPr>
          <w:sz w:val="28"/>
          <w:szCs w:val="28"/>
        </w:rPr>
        <w:t xml:space="preserve"> принципами</w:t>
      </w:r>
      <w:r w:rsidR="00CA08BC" w:rsidRPr="002D2ED8">
        <w:rPr>
          <w:sz w:val="28"/>
          <w:szCs w:val="28"/>
        </w:rPr>
        <w:t>.</w:t>
      </w:r>
      <w:r w:rsidR="006631FB" w:rsidRPr="002D2ED8">
        <w:rPr>
          <w:sz w:val="28"/>
          <w:szCs w:val="28"/>
        </w:rPr>
        <w:t xml:space="preserve"> </w:t>
      </w:r>
    </w:p>
    <w:p w14:paraId="55A945E6" w14:textId="73B2941E" w:rsidR="0005729A" w:rsidRPr="002D2ED8" w:rsidRDefault="002546DE" w:rsidP="009222D9">
      <w:pPr>
        <w:shd w:val="clear" w:color="auto" w:fill="FFFFFF"/>
        <w:ind w:firstLine="709"/>
        <w:jc w:val="both"/>
        <w:textAlignment w:val="baseline"/>
        <w:rPr>
          <w:sz w:val="28"/>
          <w:szCs w:val="28"/>
          <w:lang w:eastAsia="en-GB"/>
        </w:rPr>
      </w:pPr>
      <w:r w:rsidRPr="002D2ED8">
        <w:rPr>
          <w:sz w:val="28"/>
          <w:szCs w:val="28"/>
          <w:lang w:eastAsia="en-GB"/>
        </w:rPr>
        <w:t>Законом Республики Казахстан от 30</w:t>
      </w:r>
      <w:r w:rsidR="00DB5D3C" w:rsidRPr="002D2ED8">
        <w:rPr>
          <w:sz w:val="28"/>
          <w:szCs w:val="28"/>
          <w:lang w:eastAsia="en-GB"/>
        </w:rPr>
        <w:t xml:space="preserve"> декабря </w:t>
      </w:r>
      <w:r w:rsidRPr="002D2ED8">
        <w:rPr>
          <w:sz w:val="28"/>
          <w:szCs w:val="28"/>
          <w:lang w:eastAsia="en-GB"/>
        </w:rPr>
        <w:t>2022</w:t>
      </w:r>
      <w:r w:rsidR="00DB5D3C" w:rsidRPr="002D2ED8">
        <w:rPr>
          <w:sz w:val="28"/>
          <w:szCs w:val="28"/>
          <w:lang w:eastAsia="en-GB"/>
        </w:rPr>
        <w:t xml:space="preserve"> </w:t>
      </w:r>
      <w:r w:rsidRPr="002D2ED8">
        <w:rPr>
          <w:sz w:val="28"/>
          <w:szCs w:val="28"/>
          <w:lang w:eastAsia="en-GB"/>
        </w:rPr>
        <w:t>г</w:t>
      </w:r>
      <w:r w:rsidR="00DB5D3C" w:rsidRPr="002D2ED8">
        <w:rPr>
          <w:sz w:val="28"/>
          <w:szCs w:val="28"/>
          <w:lang w:eastAsia="en-GB"/>
        </w:rPr>
        <w:t>ода</w:t>
      </w:r>
      <w:r w:rsidRPr="002D2ED8">
        <w:rPr>
          <w:sz w:val="28"/>
          <w:szCs w:val="28"/>
          <w:lang w:eastAsia="en-GB"/>
        </w:rPr>
        <w:t xml:space="preserve"> №177-</w:t>
      </w:r>
      <w:r w:rsidRPr="002D2ED8">
        <w:rPr>
          <w:sz w:val="28"/>
          <w:szCs w:val="28"/>
          <w:lang w:val="en-US" w:eastAsia="en-GB"/>
        </w:rPr>
        <w:t>VII</w:t>
      </w:r>
      <w:r w:rsidR="00DB5D3C" w:rsidRPr="002D2ED8">
        <w:rPr>
          <w:sz w:val="28"/>
          <w:szCs w:val="28"/>
          <w:lang w:eastAsia="en-GB"/>
        </w:rPr>
        <w:t xml:space="preserve"> ЗРК</w:t>
      </w:r>
      <w:r w:rsidRPr="002D2ED8">
        <w:rPr>
          <w:sz w:val="28"/>
          <w:szCs w:val="28"/>
          <w:lang w:eastAsia="en-GB"/>
        </w:rPr>
        <w:t xml:space="preserve"> «О внесении изменений и дополнений в некоторые законодательные акты Республики Казахстан по вопросам реализации отдельных поручений Главы государства»</w:t>
      </w:r>
      <w:r w:rsidR="00570E8D" w:rsidRPr="002D2ED8">
        <w:rPr>
          <w:sz w:val="28"/>
          <w:szCs w:val="28"/>
          <w:lang w:val="kk-KZ" w:eastAsia="en-GB"/>
        </w:rPr>
        <w:t xml:space="preserve"> </w:t>
      </w:r>
      <w:r w:rsidR="006631FB" w:rsidRPr="002D2ED8">
        <w:rPr>
          <w:rFonts w:eastAsia="Calibri"/>
          <w:iCs/>
          <w:sz w:val="28"/>
          <w:szCs w:val="28"/>
        </w:rPr>
        <w:t>внесены изменения в банковское законодательство, устраняющие исключение</w:t>
      </w:r>
      <w:r w:rsidR="00B94B47" w:rsidRPr="002D2ED8">
        <w:rPr>
          <w:rFonts w:eastAsia="Calibri"/>
          <w:iCs/>
          <w:sz w:val="28"/>
          <w:szCs w:val="28"/>
        </w:rPr>
        <w:t xml:space="preserve"> об отсутствии необходимости получения предварительного согла</w:t>
      </w:r>
      <w:r w:rsidR="00CD3D83" w:rsidRPr="002D2ED8">
        <w:rPr>
          <w:rFonts w:eastAsia="Calibri"/>
          <w:iCs/>
          <w:sz w:val="28"/>
          <w:szCs w:val="28"/>
        </w:rPr>
        <w:t>сия уполномоченного органа</w:t>
      </w:r>
      <w:r w:rsidR="006631FB" w:rsidRPr="002D2ED8">
        <w:rPr>
          <w:rFonts w:eastAsia="Calibri"/>
          <w:iCs/>
          <w:sz w:val="28"/>
          <w:szCs w:val="28"/>
        </w:rPr>
        <w:t xml:space="preserve">, </w:t>
      </w:r>
      <w:r w:rsidR="00B94B47" w:rsidRPr="002D2ED8">
        <w:rPr>
          <w:rFonts w:eastAsia="Calibri"/>
          <w:iCs/>
          <w:sz w:val="28"/>
          <w:szCs w:val="28"/>
        </w:rPr>
        <w:t xml:space="preserve">ранее </w:t>
      </w:r>
      <w:r w:rsidR="006631FB" w:rsidRPr="002D2ED8">
        <w:rPr>
          <w:rFonts w:eastAsia="Calibri"/>
          <w:iCs/>
          <w:sz w:val="28"/>
          <w:szCs w:val="28"/>
        </w:rPr>
        <w:t>предусмотренное для владельцев финансовой организации, которая приобретает банк.</w:t>
      </w:r>
      <w:r w:rsidR="00020E24" w:rsidRPr="002D2ED8">
        <w:rPr>
          <w:rFonts w:eastAsia="Calibri"/>
          <w:iCs/>
          <w:sz w:val="28"/>
          <w:szCs w:val="28"/>
          <w:lang w:val="kk-KZ"/>
        </w:rPr>
        <w:t xml:space="preserve"> </w:t>
      </w:r>
    </w:p>
    <w:p w14:paraId="3A327FF0" w14:textId="18C537F3" w:rsidR="0005729A" w:rsidRPr="002D2ED8" w:rsidRDefault="0005729A" w:rsidP="009222D9">
      <w:pPr>
        <w:shd w:val="clear" w:color="auto" w:fill="FFFFFF"/>
        <w:ind w:firstLine="709"/>
        <w:jc w:val="both"/>
        <w:textAlignment w:val="baseline"/>
        <w:rPr>
          <w:sz w:val="28"/>
          <w:szCs w:val="28"/>
          <w:lang w:eastAsia="en-GB"/>
        </w:rPr>
      </w:pPr>
      <w:r w:rsidRPr="002D2ED8">
        <w:rPr>
          <w:sz w:val="28"/>
          <w:szCs w:val="28"/>
          <w:lang w:eastAsia="en-GB"/>
        </w:rPr>
        <w:t>Лица, которые на дату введения в действие</w:t>
      </w:r>
      <w:r w:rsidR="00065223" w:rsidRPr="002D2ED8">
        <w:rPr>
          <w:sz w:val="28"/>
          <w:szCs w:val="28"/>
          <w:lang w:eastAsia="en-GB"/>
        </w:rPr>
        <w:t xml:space="preserve"> указанной нормы</w:t>
      </w:r>
      <w:r w:rsidR="00B61D7F" w:rsidRPr="002D2ED8">
        <w:rPr>
          <w:sz w:val="28"/>
          <w:szCs w:val="28"/>
          <w:lang w:eastAsia="en-GB"/>
        </w:rPr>
        <w:t xml:space="preserve"> (1 января 2023 года)</w:t>
      </w:r>
      <w:r w:rsidRPr="002D2ED8">
        <w:rPr>
          <w:sz w:val="28"/>
          <w:szCs w:val="28"/>
          <w:lang w:eastAsia="en-GB"/>
        </w:rPr>
        <w:t xml:space="preserve"> прямо или косвенно владеют, пользуются и (или) распоряжаются</w:t>
      </w:r>
      <w:r w:rsidR="00515D3B" w:rsidRPr="002D2ED8">
        <w:rPr>
          <w:sz w:val="28"/>
          <w:szCs w:val="28"/>
          <w:lang w:eastAsia="en-GB"/>
        </w:rPr>
        <w:t xml:space="preserve"> 10</w:t>
      </w:r>
      <w:r w:rsidRPr="002D2ED8">
        <w:rPr>
          <w:sz w:val="28"/>
          <w:szCs w:val="28"/>
          <w:lang w:eastAsia="en-GB"/>
        </w:rPr>
        <w:t xml:space="preserve"> и более процентами </w:t>
      </w:r>
      <w:r w:rsidR="005F1F02" w:rsidRPr="002D2ED8">
        <w:rPr>
          <w:sz w:val="28"/>
          <w:szCs w:val="28"/>
          <w:lang w:eastAsia="en-GB"/>
        </w:rPr>
        <w:t xml:space="preserve">голосующих </w:t>
      </w:r>
      <w:r w:rsidRPr="002D2ED8">
        <w:rPr>
          <w:sz w:val="28"/>
          <w:szCs w:val="28"/>
          <w:lang w:eastAsia="en-GB"/>
        </w:rPr>
        <w:t xml:space="preserve">акций банка, а также имеют контроль или возможность оказывать влияние на принимаемые банком решения без получения предварительного согласия </w:t>
      </w:r>
      <w:r w:rsidR="00065223" w:rsidRPr="002D2ED8">
        <w:rPr>
          <w:sz w:val="28"/>
          <w:szCs w:val="28"/>
          <w:lang w:eastAsia="en-GB"/>
        </w:rPr>
        <w:t>Агентства</w:t>
      </w:r>
      <w:r w:rsidRPr="002D2ED8">
        <w:rPr>
          <w:sz w:val="28"/>
          <w:szCs w:val="28"/>
          <w:lang w:eastAsia="en-GB"/>
        </w:rPr>
        <w:t xml:space="preserve">, обязаны в течение </w:t>
      </w:r>
      <w:r w:rsidR="00CA08BC" w:rsidRPr="002D2ED8">
        <w:rPr>
          <w:sz w:val="28"/>
          <w:szCs w:val="28"/>
          <w:lang w:eastAsia="en-GB"/>
        </w:rPr>
        <w:t xml:space="preserve">30-ти </w:t>
      </w:r>
      <w:r w:rsidRPr="002D2ED8">
        <w:rPr>
          <w:sz w:val="28"/>
          <w:szCs w:val="28"/>
          <w:lang w:eastAsia="en-GB"/>
        </w:rPr>
        <w:t>календарных дней привести свою деятельность в соответствие с требованиями</w:t>
      </w:r>
      <w:r w:rsidR="00065223" w:rsidRPr="002D2ED8">
        <w:rPr>
          <w:sz w:val="28"/>
          <w:szCs w:val="28"/>
          <w:lang w:eastAsia="en-GB"/>
        </w:rPr>
        <w:t xml:space="preserve"> </w:t>
      </w:r>
      <w:r w:rsidR="00CA08BC" w:rsidRPr="002D2ED8">
        <w:rPr>
          <w:sz w:val="28"/>
          <w:szCs w:val="28"/>
          <w:lang w:eastAsia="en-GB"/>
        </w:rPr>
        <w:t xml:space="preserve">Закона </w:t>
      </w:r>
      <w:r w:rsidRPr="002D2ED8">
        <w:rPr>
          <w:sz w:val="28"/>
          <w:szCs w:val="28"/>
          <w:lang w:eastAsia="en-GB"/>
        </w:rPr>
        <w:t xml:space="preserve">путем подачи заявлений и </w:t>
      </w:r>
      <w:r w:rsidR="00EE426C" w:rsidRPr="002D2ED8">
        <w:rPr>
          <w:sz w:val="28"/>
          <w:szCs w:val="28"/>
          <w:lang w:eastAsia="en-GB"/>
        </w:rPr>
        <w:t xml:space="preserve">необходимых </w:t>
      </w:r>
      <w:r w:rsidRPr="002D2ED8">
        <w:rPr>
          <w:sz w:val="28"/>
          <w:szCs w:val="28"/>
          <w:lang w:eastAsia="en-GB"/>
        </w:rPr>
        <w:t xml:space="preserve">документов на приобретение статуса крупного участника (банковского холдинга) либо уменьшить количество принадлежащих им прямо или косвенно </w:t>
      </w:r>
      <w:r w:rsidR="007E55DB" w:rsidRPr="002D2ED8">
        <w:rPr>
          <w:sz w:val="28"/>
          <w:szCs w:val="28"/>
          <w:lang w:eastAsia="en-GB"/>
        </w:rPr>
        <w:t xml:space="preserve">голосующих </w:t>
      </w:r>
      <w:r w:rsidRPr="002D2ED8">
        <w:rPr>
          <w:sz w:val="28"/>
          <w:szCs w:val="28"/>
          <w:lang w:eastAsia="en-GB"/>
        </w:rPr>
        <w:t xml:space="preserve">акций банка до уровня ниже </w:t>
      </w:r>
      <w:r w:rsidR="00065223" w:rsidRPr="002D2ED8">
        <w:rPr>
          <w:sz w:val="28"/>
          <w:szCs w:val="28"/>
          <w:lang w:eastAsia="en-GB"/>
        </w:rPr>
        <w:t>десяти процентов.</w:t>
      </w:r>
    </w:p>
    <w:p w14:paraId="717F2F67" w14:textId="1AE41E1B" w:rsidR="00892E76" w:rsidRPr="002D2ED8" w:rsidRDefault="00020E24" w:rsidP="009222D9">
      <w:pPr>
        <w:shd w:val="clear" w:color="auto" w:fill="FFFFFF"/>
        <w:ind w:firstLine="709"/>
        <w:jc w:val="both"/>
        <w:textAlignment w:val="baseline"/>
        <w:rPr>
          <w:sz w:val="28"/>
          <w:szCs w:val="28"/>
        </w:rPr>
      </w:pPr>
      <w:r w:rsidRPr="002D2ED8">
        <w:rPr>
          <w:sz w:val="28"/>
          <w:szCs w:val="28"/>
          <w:lang w:eastAsia="en-GB"/>
        </w:rPr>
        <w:t>Агентством будет проведена соответствующая работа по</w:t>
      </w:r>
      <w:r w:rsidR="00C70457" w:rsidRPr="002D2ED8">
        <w:rPr>
          <w:sz w:val="28"/>
          <w:szCs w:val="28"/>
          <w:lang w:eastAsia="en-GB"/>
        </w:rPr>
        <w:t xml:space="preserve"> контролю</w:t>
      </w:r>
      <w:r w:rsidRPr="002D2ED8">
        <w:rPr>
          <w:sz w:val="28"/>
          <w:szCs w:val="28"/>
          <w:lang w:eastAsia="en-GB"/>
        </w:rPr>
        <w:t xml:space="preserve"> </w:t>
      </w:r>
      <w:r w:rsidR="0073570C" w:rsidRPr="002D2ED8">
        <w:rPr>
          <w:sz w:val="28"/>
          <w:szCs w:val="28"/>
          <w:lang w:eastAsia="en-GB"/>
        </w:rPr>
        <w:t>соблюдени</w:t>
      </w:r>
      <w:r w:rsidR="00C70457" w:rsidRPr="002D2ED8">
        <w:rPr>
          <w:sz w:val="28"/>
          <w:szCs w:val="28"/>
          <w:lang w:eastAsia="en-GB"/>
        </w:rPr>
        <w:t>я</w:t>
      </w:r>
      <w:r w:rsidR="00CD46DA" w:rsidRPr="002D2ED8">
        <w:rPr>
          <w:sz w:val="28"/>
          <w:szCs w:val="28"/>
          <w:lang w:eastAsia="en-GB"/>
        </w:rPr>
        <w:t xml:space="preserve"> </w:t>
      </w:r>
      <w:r w:rsidR="00C70457" w:rsidRPr="002D2ED8">
        <w:rPr>
          <w:sz w:val="28"/>
          <w:szCs w:val="28"/>
          <w:lang w:eastAsia="en-GB"/>
        </w:rPr>
        <w:t xml:space="preserve">прямыми и косвенными </w:t>
      </w:r>
      <w:r w:rsidR="0073570C" w:rsidRPr="002D2ED8">
        <w:rPr>
          <w:sz w:val="28"/>
          <w:szCs w:val="28"/>
          <w:lang w:eastAsia="en-GB"/>
        </w:rPr>
        <w:t>акционерами</w:t>
      </w:r>
      <w:r w:rsidR="00C70457" w:rsidRPr="002D2ED8">
        <w:rPr>
          <w:sz w:val="28"/>
          <w:szCs w:val="28"/>
          <w:lang w:eastAsia="en-GB"/>
        </w:rPr>
        <w:t xml:space="preserve"> банков</w:t>
      </w:r>
      <w:r w:rsidR="0073570C" w:rsidRPr="002D2ED8">
        <w:rPr>
          <w:sz w:val="28"/>
          <w:szCs w:val="28"/>
          <w:lang w:eastAsia="en-GB"/>
        </w:rPr>
        <w:t xml:space="preserve"> требований законодательства</w:t>
      </w:r>
      <w:r w:rsidR="00680D63" w:rsidRPr="002D2ED8">
        <w:rPr>
          <w:rFonts w:eastAsia="Calibri"/>
          <w:iCs/>
          <w:sz w:val="28"/>
          <w:szCs w:val="28"/>
          <w:lang w:val="kk-KZ"/>
        </w:rPr>
        <w:t>.</w:t>
      </w:r>
    </w:p>
    <w:p w14:paraId="5687A6D9" w14:textId="77777777" w:rsidR="00D03C00" w:rsidRPr="002D2ED8" w:rsidRDefault="00D03C00" w:rsidP="00C01CE8">
      <w:pPr>
        <w:ind w:firstLine="709"/>
        <w:jc w:val="both"/>
        <w:rPr>
          <w:color w:val="2F5496" w:themeColor="accent1" w:themeShade="BF"/>
          <w:sz w:val="28"/>
          <w:szCs w:val="28"/>
        </w:rPr>
      </w:pPr>
    </w:p>
    <w:p w14:paraId="15576CDA" w14:textId="38B23A99" w:rsidR="00FE369E" w:rsidRPr="002D2ED8" w:rsidRDefault="00FE369E"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47" w:name="_Toc126511023"/>
      <w:bookmarkStart w:id="48" w:name="_Toc126511162"/>
      <w:bookmarkStart w:id="49" w:name="_Toc127966719"/>
      <w:bookmarkEnd w:id="46"/>
      <w:r w:rsidRPr="002D2ED8">
        <w:rPr>
          <w:rFonts w:ascii="Times New Roman" w:eastAsia="Calibri" w:hAnsi="Times New Roman" w:cs="Times New Roman"/>
          <w:i w:val="0"/>
          <w:color w:val="000000" w:themeColor="text1"/>
          <w:lang w:eastAsia="en-US"/>
        </w:rPr>
        <w:t>Внедрение методологии оценки ICAAP/ILAAP</w:t>
      </w:r>
      <w:bookmarkEnd w:id="47"/>
      <w:bookmarkEnd w:id="48"/>
      <w:bookmarkEnd w:id="49"/>
      <w:r w:rsidRPr="002D2ED8">
        <w:rPr>
          <w:rFonts w:ascii="Times New Roman" w:eastAsia="Calibri" w:hAnsi="Times New Roman" w:cs="Times New Roman"/>
          <w:i w:val="0"/>
          <w:color w:val="000000" w:themeColor="text1"/>
          <w:lang w:eastAsia="en-US"/>
        </w:rPr>
        <w:t xml:space="preserve"> </w:t>
      </w:r>
    </w:p>
    <w:p w14:paraId="6F388693" w14:textId="77777777" w:rsidR="0019553F" w:rsidRPr="002D2ED8" w:rsidRDefault="0019553F" w:rsidP="0019553F">
      <w:pPr>
        <w:tabs>
          <w:tab w:val="left" w:pos="851"/>
        </w:tabs>
        <w:ind w:firstLine="709"/>
        <w:jc w:val="both"/>
        <w:rPr>
          <w:sz w:val="28"/>
          <w:szCs w:val="28"/>
          <w:lang w:val="en-US"/>
        </w:rPr>
      </w:pPr>
      <w:r w:rsidRPr="002D2ED8">
        <w:rPr>
          <w:sz w:val="28"/>
          <w:szCs w:val="28"/>
        </w:rPr>
        <w:t xml:space="preserve">1. Внутренняя методология </w:t>
      </w:r>
      <w:r w:rsidRPr="002D2ED8">
        <w:rPr>
          <w:sz w:val="28"/>
          <w:szCs w:val="28"/>
          <w:lang w:val="en-US"/>
        </w:rPr>
        <w:t>ICAAP/ILAAP</w:t>
      </w:r>
    </w:p>
    <w:p w14:paraId="00B6236E" w14:textId="6110101A" w:rsidR="00F615F4" w:rsidRPr="002D2ED8" w:rsidRDefault="00F615F4" w:rsidP="001C3B8D">
      <w:pPr>
        <w:tabs>
          <w:tab w:val="left" w:pos="851"/>
        </w:tabs>
        <w:ind w:firstLine="709"/>
        <w:jc w:val="both"/>
        <w:rPr>
          <w:sz w:val="28"/>
          <w:szCs w:val="28"/>
        </w:rPr>
      </w:pPr>
      <w:r w:rsidRPr="002D2ED8">
        <w:rPr>
          <w:sz w:val="28"/>
          <w:szCs w:val="28"/>
        </w:rPr>
        <w:t xml:space="preserve">Для финансового регулятора внутренние процедуры оценки достаточности капитала (ICAAP) и внутренние процедуры оценки достаточности ликвидности (ILAAP) служат основным источником информации при реализации надзорного процесса по методологии SREP, направленного </w:t>
      </w:r>
      <w:r w:rsidR="005431EE" w:rsidRPr="002D2ED8">
        <w:rPr>
          <w:sz w:val="28"/>
          <w:szCs w:val="28"/>
        </w:rPr>
        <w:t xml:space="preserve">в том числе </w:t>
      </w:r>
      <w:r w:rsidRPr="002D2ED8">
        <w:rPr>
          <w:sz w:val="28"/>
          <w:szCs w:val="28"/>
        </w:rPr>
        <w:t>на обеспечение</w:t>
      </w:r>
      <w:r w:rsidR="005431EE" w:rsidRPr="002D2ED8">
        <w:rPr>
          <w:sz w:val="28"/>
          <w:szCs w:val="28"/>
        </w:rPr>
        <w:t xml:space="preserve"> банками</w:t>
      </w:r>
      <w:r w:rsidRPr="002D2ED8">
        <w:rPr>
          <w:sz w:val="28"/>
          <w:szCs w:val="28"/>
        </w:rPr>
        <w:t xml:space="preserve"> эффективного управления капиталом и ликвидностью. </w:t>
      </w:r>
    </w:p>
    <w:p w14:paraId="0952EF87" w14:textId="3E1FAC30" w:rsidR="00D57405" w:rsidRPr="002D2ED8" w:rsidRDefault="00D57405" w:rsidP="00D57405">
      <w:pPr>
        <w:shd w:val="clear" w:color="auto" w:fill="FFFFFF" w:themeFill="background1"/>
        <w:ind w:firstLine="709"/>
        <w:jc w:val="both"/>
        <w:rPr>
          <w:color w:val="000000" w:themeColor="text1"/>
          <w:sz w:val="28"/>
          <w:szCs w:val="28"/>
        </w:rPr>
      </w:pPr>
      <w:r w:rsidRPr="002D2ED8">
        <w:rPr>
          <w:color w:val="000000" w:themeColor="text1"/>
          <w:sz w:val="28"/>
          <w:szCs w:val="28"/>
        </w:rPr>
        <w:t xml:space="preserve">Агентством в 2022 году в рамках развития риск-ориентированного надзора утверждена внутренняя методология, которая определяет процесс надзорной </w:t>
      </w:r>
      <w:r w:rsidRPr="002D2ED8">
        <w:rPr>
          <w:color w:val="000000" w:themeColor="text1"/>
          <w:sz w:val="28"/>
          <w:szCs w:val="28"/>
        </w:rPr>
        <w:lastRenderedPageBreak/>
        <w:t>оценки ICAAP/ILAAP, и направлена на дополнение действующих качественных показателей SREP с целью улучшения общей оценки банков.</w:t>
      </w:r>
    </w:p>
    <w:p w14:paraId="7B541C96" w14:textId="77777777" w:rsidR="00277305" w:rsidRPr="002D2ED8" w:rsidRDefault="00277305" w:rsidP="00277305">
      <w:pPr>
        <w:ind w:firstLine="709"/>
        <w:jc w:val="both"/>
        <w:rPr>
          <w:color w:val="000000" w:themeColor="text1"/>
          <w:sz w:val="28"/>
          <w:szCs w:val="28"/>
        </w:rPr>
      </w:pPr>
      <w:r w:rsidRPr="002D2ED8">
        <w:rPr>
          <w:color w:val="000000" w:themeColor="text1"/>
          <w:sz w:val="28"/>
          <w:szCs w:val="28"/>
        </w:rPr>
        <w:t>Процесс надзорной оценки ICAAP/ILAAP банка основан на последовательном и комплексном анализе внутренних процессов для определения надежности и адекватности рассчитанного банками уровня внутреннего капитала и ликвидности.</w:t>
      </w:r>
    </w:p>
    <w:p w14:paraId="536EABE3" w14:textId="77777777" w:rsidR="00277305" w:rsidRPr="002D2ED8" w:rsidRDefault="00277305" w:rsidP="00277305">
      <w:pPr>
        <w:tabs>
          <w:tab w:val="left" w:pos="851"/>
        </w:tabs>
        <w:ind w:firstLine="709"/>
        <w:jc w:val="both"/>
        <w:rPr>
          <w:sz w:val="28"/>
          <w:szCs w:val="28"/>
        </w:rPr>
      </w:pPr>
      <w:r w:rsidRPr="002D2ED8">
        <w:rPr>
          <w:sz w:val="28"/>
          <w:szCs w:val="28"/>
        </w:rPr>
        <w:t>2. Изменения и дополнения в Правила №188</w:t>
      </w:r>
    </w:p>
    <w:p w14:paraId="5A891BC7" w14:textId="56696D3A" w:rsidR="00B8369D" w:rsidRPr="002D2ED8" w:rsidRDefault="00F615F4" w:rsidP="001C3B8D">
      <w:pPr>
        <w:ind w:firstLine="709"/>
        <w:jc w:val="both"/>
        <w:rPr>
          <w:sz w:val="28"/>
          <w:szCs w:val="28"/>
        </w:rPr>
      </w:pPr>
      <w:r w:rsidRPr="002D2ED8">
        <w:rPr>
          <w:sz w:val="28"/>
          <w:szCs w:val="28"/>
        </w:rPr>
        <w:t xml:space="preserve">В 2022 году </w:t>
      </w:r>
      <w:r w:rsidR="00B8369D" w:rsidRPr="002D2ED8">
        <w:rPr>
          <w:sz w:val="28"/>
          <w:szCs w:val="28"/>
        </w:rPr>
        <w:t>Агентством внесен</w:t>
      </w:r>
      <w:r w:rsidRPr="002D2ED8">
        <w:rPr>
          <w:sz w:val="28"/>
          <w:szCs w:val="28"/>
        </w:rPr>
        <w:t>ы</w:t>
      </w:r>
      <w:r w:rsidR="00B8369D" w:rsidRPr="002D2ED8">
        <w:rPr>
          <w:sz w:val="28"/>
          <w:szCs w:val="28"/>
        </w:rPr>
        <w:t xml:space="preserve"> изменени</w:t>
      </w:r>
      <w:r w:rsidRPr="002D2ED8">
        <w:rPr>
          <w:sz w:val="28"/>
          <w:szCs w:val="28"/>
        </w:rPr>
        <w:t>я</w:t>
      </w:r>
      <w:r w:rsidR="00B8369D" w:rsidRPr="002D2ED8">
        <w:rPr>
          <w:sz w:val="28"/>
          <w:szCs w:val="28"/>
        </w:rPr>
        <w:t xml:space="preserve"> и дополнени</w:t>
      </w:r>
      <w:r w:rsidRPr="002D2ED8">
        <w:rPr>
          <w:sz w:val="28"/>
          <w:szCs w:val="28"/>
        </w:rPr>
        <w:t>я</w:t>
      </w:r>
      <w:r w:rsidR="00B8369D" w:rsidRPr="002D2ED8">
        <w:rPr>
          <w:sz w:val="28"/>
          <w:szCs w:val="28"/>
        </w:rPr>
        <w:t xml:space="preserve"> в </w:t>
      </w:r>
      <w:r w:rsidR="00EB55DE" w:rsidRPr="002D2ED8">
        <w:rPr>
          <w:sz w:val="28"/>
          <w:szCs w:val="28"/>
        </w:rPr>
        <w:t>Правила №188</w:t>
      </w:r>
      <w:r w:rsidR="00B8369D" w:rsidRPr="002D2ED8">
        <w:rPr>
          <w:sz w:val="28"/>
          <w:szCs w:val="28"/>
        </w:rPr>
        <w:t>, которым</w:t>
      </w:r>
      <w:r w:rsidR="00253241" w:rsidRPr="002D2ED8">
        <w:rPr>
          <w:sz w:val="28"/>
          <w:szCs w:val="28"/>
        </w:rPr>
        <w:t>и</w:t>
      </w:r>
      <w:r w:rsidR="00B8369D" w:rsidRPr="002D2ED8">
        <w:rPr>
          <w:sz w:val="28"/>
          <w:szCs w:val="28"/>
        </w:rPr>
        <w:t xml:space="preserve"> предусмотрено:</w:t>
      </w:r>
    </w:p>
    <w:p w14:paraId="58FB979B" w14:textId="0AC86E04" w:rsidR="00B8369D" w:rsidRPr="002D2ED8" w:rsidRDefault="00B8369D" w:rsidP="001C3B8D">
      <w:pPr>
        <w:pStyle w:val="af"/>
        <w:ind w:firstLine="709"/>
        <w:jc w:val="both"/>
        <w:rPr>
          <w:sz w:val="28"/>
          <w:szCs w:val="28"/>
        </w:rPr>
      </w:pPr>
      <w:r w:rsidRPr="002D2ED8">
        <w:rPr>
          <w:sz w:val="28"/>
          <w:szCs w:val="28"/>
        </w:rPr>
        <w:t xml:space="preserve"> – </w:t>
      </w:r>
      <w:r w:rsidR="00ED6DF5" w:rsidRPr="002D2ED8">
        <w:rPr>
          <w:sz w:val="28"/>
          <w:szCs w:val="28"/>
        </w:rPr>
        <w:t xml:space="preserve">детализация </w:t>
      </w:r>
      <w:r w:rsidR="00ED3034" w:rsidRPr="002D2ED8">
        <w:rPr>
          <w:sz w:val="28"/>
          <w:szCs w:val="28"/>
        </w:rPr>
        <w:t>требовани</w:t>
      </w:r>
      <w:r w:rsidR="00ED6DF5" w:rsidRPr="002D2ED8">
        <w:rPr>
          <w:sz w:val="28"/>
          <w:szCs w:val="28"/>
        </w:rPr>
        <w:t>й</w:t>
      </w:r>
      <w:r w:rsidR="00ED3034" w:rsidRPr="002D2ED8">
        <w:rPr>
          <w:sz w:val="28"/>
          <w:szCs w:val="28"/>
        </w:rPr>
        <w:t xml:space="preserve"> к</w:t>
      </w:r>
      <w:r w:rsidRPr="002D2ED8">
        <w:rPr>
          <w:sz w:val="28"/>
          <w:szCs w:val="28"/>
        </w:rPr>
        <w:t xml:space="preserve"> процесс</w:t>
      </w:r>
      <w:r w:rsidR="00ED3034" w:rsidRPr="002D2ED8">
        <w:rPr>
          <w:sz w:val="28"/>
          <w:szCs w:val="28"/>
        </w:rPr>
        <w:t>ам</w:t>
      </w:r>
      <w:r w:rsidRPr="002D2ED8">
        <w:rPr>
          <w:sz w:val="28"/>
          <w:szCs w:val="28"/>
        </w:rPr>
        <w:t xml:space="preserve"> </w:t>
      </w:r>
      <w:r w:rsidRPr="002D2ED8">
        <w:rPr>
          <w:sz w:val="28"/>
          <w:szCs w:val="28"/>
          <w:lang w:val="en-US"/>
        </w:rPr>
        <w:t>ICAAP</w:t>
      </w:r>
      <w:r w:rsidRPr="002D2ED8">
        <w:rPr>
          <w:sz w:val="28"/>
          <w:szCs w:val="28"/>
        </w:rPr>
        <w:t>/</w:t>
      </w:r>
      <w:r w:rsidRPr="002D2ED8">
        <w:rPr>
          <w:sz w:val="28"/>
          <w:szCs w:val="28"/>
          <w:lang w:val="en-US"/>
        </w:rPr>
        <w:t>ILAAP</w:t>
      </w:r>
      <w:r w:rsidRPr="002D2ED8">
        <w:rPr>
          <w:sz w:val="28"/>
          <w:szCs w:val="28"/>
        </w:rPr>
        <w:t xml:space="preserve"> с указанием ответственных подразделений и внутренних документов</w:t>
      </w:r>
      <w:r w:rsidR="00CE6C50" w:rsidRPr="002D2ED8">
        <w:rPr>
          <w:sz w:val="28"/>
          <w:szCs w:val="28"/>
        </w:rPr>
        <w:t>,</w:t>
      </w:r>
      <w:r w:rsidRPr="002D2ED8">
        <w:rPr>
          <w:sz w:val="28"/>
          <w:szCs w:val="28"/>
        </w:rPr>
        <w:t xml:space="preserve"> регламентирующи</w:t>
      </w:r>
      <w:r w:rsidR="00CE6C50" w:rsidRPr="002D2ED8">
        <w:rPr>
          <w:sz w:val="28"/>
          <w:szCs w:val="28"/>
        </w:rPr>
        <w:t>х</w:t>
      </w:r>
      <w:r w:rsidRPr="002D2ED8">
        <w:rPr>
          <w:sz w:val="28"/>
          <w:szCs w:val="28"/>
        </w:rPr>
        <w:t xml:space="preserve"> процессы;</w:t>
      </w:r>
    </w:p>
    <w:p w14:paraId="46F3E7E1" w14:textId="77777777" w:rsidR="00B8369D" w:rsidRPr="002D2ED8" w:rsidRDefault="00B8369D" w:rsidP="001C3B8D">
      <w:pPr>
        <w:pStyle w:val="af"/>
        <w:ind w:firstLine="709"/>
        <w:jc w:val="both"/>
        <w:rPr>
          <w:sz w:val="28"/>
          <w:szCs w:val="28"/>
        </w:rPr>
      </w:pPr>
      <w:r w:rsidRPr="002D2ED8">
        <w:rPr>
          <w:sz w:val="28"/>
          <w:szCs w:val="28"/>
        </w:rPr>
        <w:t xml:space="preserve">– описание управленческой отчетности, формируемой в рамках </w:t>
      </w:r>
      <w:r w:rsidRPr="002D2ED8">
        <w:rPr>
          <w:sz w:val="28"/>
          <w:szCs w:val="28"/>
          <w:lang w:val="en-US"/>
        </w:rPr>
        <w:t>ICAAP</w:t>
      </w:r>
      <w:r w:rsidRPr="002D2ED8">
        <w:rPr>
          <w:sz w:val="28"/>
          <w:szCs w:val="28"/>
        </w:rPr>
        <w:t>/</w:t>
      </w:r>
      <w:r w:rsidRPr="002D2ED8">
        <w:rPr>
          <w:sz w:val="28"/>
          <w:szCs w:val="28"/>
          <w:lang w:val="en-US"/>
        </w:rPr>
        <w:t>ILAAP</w:t>
      </w:r>
      <w:r w:rsidRPr="002D2ED8">
        <w:rPr>
          <w:sz w:val="28"/>
          <w:szCs w:val="28"/>
        </w:rPr>
        <w:t>;</w:t>
      </w:r>
    </w:p>
    <w:p w14:paraId="16138306" w14:textId="28F4E253" w:rsidR="00B8369D" w:rsidRPr="002D2ED8" w:rsidRDefault="00B8369D" w:rsidP="001C3B8D">
      <w:pPr>
        <w:pStyle w:val="af"/>
        <w:ind w:firstLine="709"/>
        <w:jc w:val="both"/>
        <w:rPr>
          <w:sz w:val="28"/>
          <w:szCs w:val="28"/>
        </w:rPr>
      </w:pPr>
      <w:r w:rsidRPr="002D2ED8">
        <w:rPr>
          <w:sz w:val="28"/>
          <w:szCs w:val="28"/>
        </w:rPr>
        <w:t xml:space="preserve">– </w:t>
      </w:r>
      <w:r w:rsidR="00AA3D82" w:rsidRPr="002D2ED8">
        <w:rPr>
          <w:sz w:val="28"/>
          <w:szCs w:val="28"/>
        </w:rPr>
        <w:t xml:space="preserve">определение </w:t>
      </w:r>
      <w:r w:rsidR="00AA3D82" w:rsidRPr="002D2ED8">
        <w:rPr>
          <w:color w:val="000000"/>
          <w:sz w:val="28"/>
        </w:rPr>
        <w:t>внутреннего (экономического) капитала</w:t>
      </w:r>
      <w:r w:rsidR="00CE6C50" w:rsidRPr="002D2ED8">
        <w:rPr>
          <w:color w:val="000000"/>
          <w:sz w:val="28"/>
        </w:rPr>
        <w:t xml:space="preserve"> как</w:t>
      </w:r>
      <w:r w:rsidR="00AA3D82" w:rsidRPr="002D2ED8">
        <w:rPr>
          <w:color w:val="000000"/>
          <w:sz w:val="28"/>
        </w:rPr>
        <w:t xml:space="preserve"> капитал</w:t>
      </w:r>
      <w:r w:rsidR="00CE6C50" w:rsidRPr="002D2ED8">
        <w:rPr>
          <w:color w:val="000000"/>
          <w:sz w:val="28"/>
        </w:rPr>
        <w:t>а</w:t>
      </w:r>
      <w:r w:rsidR="00AA3D82" w:rsidRPr="002D2ED8">
        <w:rPr>
          <w:color w:val="000000"/>
          <w:sz w:val="28"/>
        </w:rPr>
        <w:t>, необходим</w:t>
      </w:r>
      <w:r w:rsidR="00CE6C50" w:rsidRPr="002D2ED8">
        <w:rPr>
          <w:color w:val="000000"/>
          <w:sz w:val="28"/>
        </w:rPr>
        <w:t>ого</w:t>
      </w:r>
      <w:r w:rsidR="00AA3D82" w:rsidRPr="002D2ED8">
        <w:rPr>
          <w:color w:val="000000"/>
          <w:sz w:val="28"/>
        </w:rPr>
        <w:t xml:space="preserve"> для покрытия существенных рисков, в том числе потенциальных, принятых банком, рассчитанн</w:t>
      </w:r>
      <w:r w:rsidR="00CE6C50" w:rsidRPr="002D2ED8">
        <w:rPr>
          <w:color w:val="000000"/>
          <w:sz w:val="28"/>
        </w:rPr>
        <w:t>ого</w:t>
      </w:r>
      <w:r w:rsidR="00AA3D82" w:rsidRPr="002D2ED8">
        <w:rPr>
          <w:color w:val="000000"/>
          <w:sz w:val="28"/>
        </w:rPr>
        <w:t xml:space="preserve"> внутри банка с использованием собственных моделей</w:t>
      </w:r>
      <w:r w:rsidR="00CE6C50" w:rsidRPr="002D2ED8">
        <w:rPr>
          <w:color w:val="000000"/>
          <w:sz w:val="28"/>
        </w:rPr>
        <w:t>,</w:t>
      </w:r>
      <w:r w:rsidR="00AA3D82" w:rsidRPr="002D2ED8">
        <w:rPr>
          <w:sz w:val="28"/>
          <w:szCs w:val="28"/>
        </w:rPr>
        <w:t xml:space="preserve"> </w:t>
      </w:r>
      <w:r w:rsidRPr="002D2ED8">
        <w:rPr>
          <w:sz w:val="28"/>
          <w:szCs w:val="28"/>
        </w:rPr>
        <w:t>описание состава капитала и ликвидности банка;</w:t>
      </w:r>
    </w:p>
    <w:p w14:paraId="05964052" w14:textId="77777777" w:rsidR="00B8369D" w:rsidRPr="002D2ED8" w:rsidRDefault="00B8369D" w:rsidP="001C3B8D">
      <w:pPr>
        <w:pStyle w:val="af"/>
        <w:ind w:firstLine="709"/>
        <w:jc w:val="both"/>
        <w:rPr>
          <w:sz w:val="28"/>
          <w:szCs w:val="28"/>
        </w:rPr>
      </w:pPr>
      <w:r w:rsidRPr="002D2ED8">
        <w:rPr>
          <w:sz w:val="28"/>
          <w:szCs w:val="28"/>
        </w:rPr>
        <w:t>– описание методик, используемых банком для выявления, оценки, мониторинга и контроля существенных рисков, в том числе процентного риска;</w:t>
      </w:r>
    </w:p>
    <w:p w14:paraId="702E33AC" w14:textId="18290B41" w:rsidR="00B8369D" w:rsidRPr="002D2ED8" w:rsidRDefault="00B8369D" w:rsidP="001C3B8D">
      <w:pPr>
        <w:pStyle w:val="af"/>
        <w:ind w:firstLine="709"/>
        <w:jc w:val="both"/>
        <w:rPr>
          <w:sz w:val="28"/>
          <w:szCs w:val="28"/>
        </w:rPr>
      </w:pPr>
      <w:r w:rsidRPr="002D2ED8">
        <w:rPr>
          <w:sz w:val="28"/>
          <w:szCs w:val="28"/>
        </w:rPr>
        <w:t xml:space="preserve">– </w:t>
      </w:r>
      <w:r w:rsidR="00ED3034" w:rsidRPr="002D2ED8">
        <w:rPr>
          <w:sz w:val="28"/>
          <w:szCs w:val="28"/>
        </w:rPr>
        <w:t>необходимость</w:t>
      </w:r>
      <w:r w:rsidRPr="002D2ED8">
        <w:rPr>
          <w:sz w:val="28"/>
          <w:szCs w:val="28"/>
        </w:rPr>
        <w:t xml:space="preserve"> использования стресс-тестирования, его интеграци</w:t>
      </w:r>
      <w:r w:rsidR="00ED3034" w:rsidRPr="002D2ED8">
        <w:rPr>
          <w:sz w:val="28"/>
          <w:szCs w:val="28"/>
        </w:rPr>
        <w:t>я</w:t>
      </w:r>
      <w:r w:rsidRPr="002D2ED8">
        <w:rPr>
          <w:sz w:val="28"/>
          <w:szCs w:val="28"/>
        </w:rPr>
        <w:t xml:space="preserve"> в систему управления рисками и контроля, и применение результатов.</w:t>
      </w:r>
    </w:p>
    <w:p w14:paraId="431EFF77" w14:textId="5CE6A474" w:rsidR="00053863" w:rsidRPr="002D2ED8" w:rsidRDefault="00053863" w:rsidP="00053863">
      <w:pPr>
        <w:pStyle w:val="af"/>
        <w:ind w:firstLine="709"/>
        <w:jc w:val="both"/>
        <w:rPr>
          <w:sz w:val="28"/>
          <w:szCs w:val="28"/>
        </w:rPr>
      </w:pPr>
      <w:r w:rsidRPr="002D2ED8">
        <w:rPr>
          <w:sz w:val="28"/>
          <w:szCs w:val="28"/>
        </w:rPr>
        <w:t>Указанные изменения и дополнения в Правила №188 вводятся поэтапно, так</w:t>
      </w:r>
      <w:r w:rsidR="000837DA" w:rsidRPr="002D2ED8">
        <w:rPr>
          <w:sz w:val="28"/>
          <w:szCs w:val="28"/>
        </w:rPr>
        <w:t>,</w:t>
      </w:r>
      <w:r w:rsidRPr="002D2ED8">
        <w:rPr>
          <w:sz w:val="28"/>
          <w:szCs w:val="28"/>
        </w:rPr>
        <w:t xml:space="preserve"> банкам необходимо обеспечить: </w:t>
      </w:r>
    </w:p>
    <w:p w14:paraId="173B4EA0" w14:textId="77777777" w:rsidR="00053863" w:rsidRPr="002D2ED8" w:rsidRDefault="00053863" w:rsidP="00053863">
      <w:pPr>
        <w:pStyle w:val="af"/>
        <w:ind w:firstLine="709"/>
        <w:jc w:val="both"/>
        <w:rPr>
          <w:i/>
          <w:sz w:val="28"/>
          <w:szCs w:val="28"/>
        </w:rPr>
      </w:pPr>
      <w:r w:rsidRPr="002D2ED8">
        <w:rPr>
          <w:sz w:val="28"/>
          <w:szCs w:val="28"/>
        </w:rPr>
        <w:t xml:space="preserve">1) подготовку и утверждение советом директоров отчета по соблюдению внутреннего процесса оценки достаточности капитала и внутреннего процесса оценки достаточности ликвидности за 2022 год в </w:t>
      </w:r>
      <w:r w:rsidRPr="002D2ED8">
        <w:rPr>
          <w:i/>
          <w:sz w:val="28"/>
          <w:szCs w:val="28"/>
        </w:rPr>
        <w:t>срок не позднее 30 апреля 2023 года;</w:t>
      </w:r>
    </w:p>
    <w:p w14:paraId="59441429" w14:textId="77777777" w:rsidR="00053863" w:rsidRPr="002D2ED8" w:rsidRDefault="00053863" w:rsidP="00053863">
      <w:pPr>
        <w:pStyle w:val="af"/>
        <w:ind w:firstLine="709"/>
        <w:jc w:val="both"/>
        <w:rPr>
          <w:i/>
          <w:sz w:val="28"/>
          <w:szCs w:val="28"/>
        </w:rPr>
      </w:pPr>
      <w:r w:rsidRPr="002D2ED8">
        <w:rPr>
          <w:sz w:val="28"/>
          <w:szCs w:val="28"/>
        </w:rPr>
        <w:t xml:space="preserve">2) наличие внутренней методологии и расчета внутреннего (экономического) капитала в срок </w:t>
      </w:r>
      <w:r w:rsidRPr="002D2ED8">
        <w:rPr>
          <w:i/>
          <w:sz w:val="28"/>
          <w:szCs w:val="28"/>
        </w:rPr>
        <w:t>не позднее 1 июля 2023 года.</w:t>
      </w:r>
    </w:p>
    <w:p w14:paraId="4BD1DFF9" w14:textId="09D7827F" w:rsidR="00B67BCB" w:rsidRPr="002D2ED8" w:rsidRDefault="003460EB" w:rsidP="001C3B8D">
      <w:pPr>
        <w:pStyle w:val="af"/>
        <w:ind w:firstLine="709"/>
        <w:jc w:val="both"/>
        <w:rPr>
          <w:i/>
          <w:sz w:val="28"/>
          <w:szCs w:val="28"/>
        </w:rPr>
      </w:pPr>
      <w:r w:rsidRPr="002D2ED8">
        <w:rPr>
          <w:sz w:val="28"/>
          <w:szCs w:val="28"/>
        </w:rPr>
        <w:t xml:space="preserve">Анализ выполнения банками </w:t>
      </w:r>
      <w:r w:rsidR="00041AE7" w:rsidRPr="002D2ED8">
        <w:rPr>
          <w:sz w:val="28"/>
          <w:szCs w:val="28"/>
        </w:rPr>
        <w:t>указанных</w:t>
      </w:r>
      <w:r w:rsidR="00CB3450" w:rsidRPr="002D2ED8">
        <w:rPr>
          <w:sz w:val="28"/>
          <w:szCs w:val="28"/>
        </w:rPr>
        <w:t xml:space="preserve"> требований</w:t>
      </w:r>
      <w:r w:rsidR="00B913C6" w:rsidRPr="002D2ED8">
        <w:rPr>
          <w:sz w:val="28"/>
          <w:szCs w:val="28"/>
        </w:rPr>
        <w:t xml:space="preserve"> Правил №188</w:t>
      </w:r>
      <w:r w:rsidR="00CB3450" w:rsidRPr="002D2ED8">
        <w:rPr>
          <w:sz w:val="28"/>
          <w:szCs w:val="28"/>
        </w:rPr>
        <w:t xml:space="preserve"> будет осуществлен</w:t>
      </w:r>
      <w:r w:rsidR="00041AE7" w:rsidRPr="002D2ED8">
        <w:rPr>
          <w:sz w:val="28"/>
          <w:szCs w:val="28"/>
        </w:rPr>
        <w:t xml:space="preserve"> Агентством</w:t>
      </w:r>
      <w:r w:rsidR="00CB3450" w:rsidRPr="002D2ED8">
        <w:rPr>
          <w:sz w:val="28"/>
          <w:szCs w:val="28"/>
        </w:rPr>
        <w:t xml:space="preserve"> в рамках е</w:t>
      </w:r>
      <w:r w:rsidR="00B67BCB" w:rsidRPr="002D2ED8">
        <w:rPr>
          <w:sz w:val="28"/>
          <w:szCs w:val="28"/>
        </w:rPr>
        <w:t>жегодн</w:t>
      </w:r>
      <w:r w:rsidR="00CB3450" w:rsidRPr="002D2ED8">
        <w:rPr>
          <w:sz w:val="28"/>
          <w:szCs w:val="28"/>
        </w:rPr>
        <w:t>ой</w:t>
      </w:r>
      <w:r w:rsidR="00B67BCB" w:rsidRPr="002D2ED8">
        <w:rPr>
          <w:sz w:val="28"/>
          <w:szCs w:val="28"/>
        </w:rPr>
        <w:t xml:space="preserve"> надзорн</w:t>
      </w:r>
      <w:r w:rsidR="00CB3450" w:rsidRPr="002D2ED8">
        <w:rPr>
          <w:sz w:val="28"/>
          <w:szCs w:val="28"/>
        </w:rPr>
        <w:t>ой</w:t>
      </w:r>
      <w:r w:rsidR="00B67BCB" w:rsidRPr="002D2ED8">
        <w:rPr>
          <w:sz w:val="28"/>
          <w:szCs w:val="28"/>
        </w:rPr>
        <w:t xml:space="preserve"> оценк</w:t>
      </w:r>
      <w:r w:rsidR="00CB3450" w:rsidRPr="002D2ED8">
        <w:rPr>
          <w:sz w:val="28"/>
          <w:szCs w:val="28"/>
        </w:rPr>
        <w:t>и</w:t>
      </w:r>
      <w:r w:rsidR="00B67BCB" w:rsidRPr="002D2ED8">
        <w:rPr>
          <w:sz w:val="28"/>
          <w:szCs w:val="28"/>
        </w:rPr>
        <w:t xml:space="preserve"> банков в рамках надзорного процесса по методологии SREP </w:t>
      </w:r>
      <w:r w:rsidR="00B913C6" w:rsidRPr="002D2ED8">
        <w:rPr>
          <w:i/>
          <w:sz w:val="28"/>
          <w:szCs w:val="28"/>
        </w:rPr>
        <w:t>в ходе</w:t>
      </w:r>
      <w:r w:rsidR="00B67BCB" w:rsidRPr="002D2ED8">
        <w:rPr>
          <w:i/>
          <w:sz w:val="28"/>
          <w:szCs w:val="28"/>
        </w:rPr>
        <w:t xml:space="preserve"> оценки в 2023 году</w:t>
      </w:r>
      <w:r w:rsidR="00CB3450" w:rsidRPr="002D2ED8">
        <w:rPr>
          <w:i/>
          <w:sz w:val="28"/>
          <w:szCs w:val="28"/>
        </w:rPr>
        <w:t xml:space="preserve">. </w:t>
      </w:r>
    </w:p>
    <w:p w14:paraId="0986421C" w14:textId="77777777" w:rsidR="006B3D46" w:rsidRPr="002D2ED8" w:rsidRDefault="006B3D46" w:rsidP="001C3B8D">
      <w:pPr>
        <w:pStyle w:val="af"/>
        <w:ind w:firstLine="709"/>
        <w:jc w:val="both"/>
        <w:rPr>
          <w:i/>
          <w:sz w:val="28"/>
          <w:szCs w:val="28"/>
        </w:rPr>
      </w:pPr>
    </w:p>
    <w:p w14:paraId="68B5C214" w14:textId="5F149D69" w:rsidR="007B5671" w:rsidRPr="002D2ED8" w:rsidRDefault="007B5671"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50" w:name="_Toc127966720"/>
      <w:bookmarkStart w:id="51" w:name="_Toc126511024"/>
      <w:bookmarkStart w:id="52" w:name="_Toc126511163"/>
      <w:r w:rsidRPr="002D2ED8">
        <w:rPr>
          <w:rFonts w:ascii="Times New Roman" w:eastAsia="Calibri" w:hAnsi="Times New Roman" w:cs="Times New Roman"/>
          <w:i w:val="0"/>
          <w:color w:val="000000" w:themeColor="text1"/>
          <w:lang w:eastAsia="en-US"/>
        </w:rPr>
        <w:t>Методология IRRBB</w:t>
      </w:r>
      <w:bookmarkEnd w:id="50"/>
      <w:r w:rsidRPr="002D2ED8">
        <w:rPr>
          <w:rFonts w:ascii="Times New Roman" w:eastAsia="Calibri" w:hAnsi="Times New Roman" w:cs="Times New Roman"/>
          <w:i w:val="0"/>
          <w:color w:val="000000" w:themeColor="text1"/>
          <w:lang w:eastAsia="en-US"/>
        </w:rPr>
        <w:t xml:space="preserve">  </w:t>
      </w:r>
    </w:p>
    <w:p w14:paraId="3F2C6304" w14:textId="55800558" w:rsidR="00143072" w:rsidRPr="002D2ED8" w:rsidRDefault="00143072" w:rsidP="00143072">
      <w:pPr>
        <w:tabs>
          <w:tab w:val="left" w:pos="1418"/>
        </w:tabs>
        <w:ind w:firstLine="709"/>
        <w:jc w:val="both"/>
        <w:rPr>
          <w:sz w:val="28"/>
          <w:szCs w:val="28"/>
          <w:lang w:bidi="ru-RU"/>
        </w:rPr>
      </w:pPr>
      <w:r w:rsidRPr="002D2ED8">
        <w:rPr>
          <w:sz w:val="28"/>
          <w:szCs w:val="28"/>
          <w:lang w:bidi="ru-RU"/>
        </w:rPr>
        <w:t xml:space="preserve">В рамках совершенствования требований к системе управления рисками банков в 2022 году Агентством </w:t>
      </w:r>
      <w:r w:rsidR="002F003F" w:rsidRPr="002D2ED8">
        <w:rPr>
          <w:sz w:val="28"/>
          <w:szCs w:val="28"/>
          <w:lang w:bidi="ru-RU"/>
        </w:rPr>
        <w:t xml:space="preserve">также </w:t>
      </w:r>
      <w:r w:rsidR="002F003F" w:rsidRPr="002D2ED8">
        <w:rPr>
          <w:sz w:val="28"/>
          <w:szCs w:val="28"/>
        </w:rPr>
        <w:t xml:space="preserve">внесены изменения и дополнения в Правила №188, которыми </w:t>
      </w:r>
      <w:r w:rsidRPr="002D2ED8">
        <w:rPr>
          <w:sz w:val="28"/>
          <w:szCs w:val="28"/>
          <w:lang w:bidi="ru-RU"/>
        </w:rPr>
        <w:t>детализированы требования к оценке и управлени</w:t>
      </w:r>
      <w:r w:rsidR="00150D80" w:rsidRPr="002D2ED8">
        <w:rPr>
          <w:sz w:val="28"/>
          <w:szCs w:val="28"/>
          <w:lang w:bidi="ru-RU"/>
        </w:rPr>
        <w:t>ю</w:t>
      </w:r>
      <w:r w:rsidRPr="002D2ED8">
        <w:rPr>
          <w:sz w:val="28"/>
          <w:szCs w:val="28"/>
          <w:lang w:bidi="ru-RU"/>
        </w:rPr>
        <w:t xml:space="preserve"> </w:t>
      </w:r>
      <w:r w:rsidR="00150D80" w:rsidRPr="002D2ED8">
        <w:rPr>
          <w:i/>
          <w:sz w:val="28"/>
        </w:rPr>
        <w:t>процентным риском банковской книги</w:t>
      </w:r>
      <w:r w:rsidR="00150D80" w:rsidRPr="002D2ED8">
        <w:rPr>
          <w:sz w:val="28"/>
        </w:rPr>
        <w:t xml:space="preserve"> </w:t>
      </w:r>
      <w:r w:rsidR="00150D80" w:rsidRPr="002D2ED8">
        <w:rPr>
          <w:i/>
          <w:sz w:val="28"/>
        </w:rPr>
        <w:t>(</w:t>
      </w:r>
      <w:r w:rsidRPr="002D2ED8">
        <w:rPr>
          <w:i/>
          <w:sz w:val="28"/>
          <w:szCs w:val="28"/>
          <w:lang w:bidi="ru-RU"/>
        </w:rPr>
        <w:t>IRRBB</w:t>
      </w:r>
      <w:r w:rsidR="00150D80" w:rsidRPr="002D2ED8">
        <w:rPr>
          <w:i/>
          <w:sz w:val="28"/>
          <w:szCs w:val="28"/>
          <w:lang w:bidi="ru-RU"/>
        </w:rPr>
        <w:t>)</w:t>
      </w:r>
      <w:r w:rsidRPr="002D2ED8">
        <w:rPr>
          <w:i/>
          <w:sz w:val="28"/>
          <w:szCs w:val="28"/>
          <w:lang w:bidi="ru-RU"/>
        </w:rPr>
        <w:t>,</w:t>
      </w:r>
      <w:r w:rsidRPr="002D2ED8">
        <w:rPr>
          <w:sz w:val="28"/>
          <w:szCs w:val="28"/>
          <w:lang w:bidi="ru-RU"/>
        </w:rPr>
        <w:t xml:space="preserve"> представлению соответствующ</w:t>
      </w:r>
      <w:r w:rsidR="00214AD6" w:rsidRPr="002D2ED8">
        <w:rPr>
          <w:sz w:val="28"/>
          <w:szCs w:val="28"/>
          <w:lang w:bidi="ru-RU"/>
        </w:rPr>
        <w:t>ей</w:t>
      </w:r>
      <w:r w:rsidRPr="002D2ED8">
        <w:rPr>
          <w:sz w:val="28"/>
          <w:szCs w:val="28"/>
          <w:lang w:bidi="ru-RU"/>
        </w:rPr>
        <w:t xml:space="preserve"> форм</w:t>
      </w:r>
      <w:r w:rsidR="00214AD6" w:rsidRPr="002D2ED8">
        <w:rPr>
          <w:sz w:val="28"/>
          <w:szCs w:val="28"/>
          <w:lang w:bidi="ru-RU"/>
        </w:rPr>
        <w:t>ы</w:t>
      </w:r>
      <w:r w:rsidRPr="002D2ED8">
        <w:rPr>
          <w:sz w:val="28"/>
          <w:szCs w:val="28"/>
          <w:lang w:bidi="ru-RU"/>
        </w:rPr>
        <w:t xml:space="preserve"> отчетност</w:t>
      </w:r>
      <w:r w:rsidR="00214AD6" w:rsidRPr="002D2ED8">
        <w:rPr>
          <w:sz w:val="28"/>
          <w:szCs w:val="28"/>
          <w:lang w:bidi="ru-RU"/>
        </w:rPr>
        <w:t>и</w:t>
      </w:r>
      <w:r w:rsidRPr="002D2ED8">
        <w:rPr>
          <w:sz w:val="28"/>
          <w:szCs w:val="28"/>
          <w:lang w:bidi="ru-RU"/>
        </w:rPr>
        <w:t xml:space="preserve">. </w:t>
      </w:r>
    </w:p>
    <w:p w14:paraId="380074B1" w14:textId="521BADDA" w:rsidR="00150D80" w:rsidRPr="002D2ED8" w:rsidRDefault="00150D80" w:rsidP="00150D80">
      <w:pPr>
        <w:pStyle w:val="af"/>
        <w:ind w:firstLine="709"/>
        <w:jc w:val="both"/>
        <w:rPr>
          <w:i/>
          <w:sz w:val="28"/>
          <w:szCs w:val="28"/>
        </w:rPr>
      </w:pPr>
      <w:r w:rsidRPr="002D2ED8">
        <w:rPr>
          <w:i/>
          <w:sz w:val="28"/>
          <w:szCs w:val="28"/>
        </w:rPr>
        <w:t xml:space="preserve">Форма отчета по </w:t>
      </w:r>
      <w:r w:rsidRPr="002D2ED8">
        <w:rPr>
          <w:i/>
          <w:sz w:val="28"/>
          <w:szCs w:val="28"/>
          <w:lang w:bidi="ru-RU"/>
        </w:rPr>
        <w:t>IRRBB</w:t>
      </w:r>
      <w:r w:rsidRPr="002D2ED8">
        <w:rPr>
          <w:sz w:val="28"/>
          <w:szCs w:val="28"/>
        </w:rPr>
        <w:t xml:space="preserve"> представляется в виде управленческой отчетности руководству банка в составе отчет</w:t>
      </w:r>
      <w:r w:rsidR="00DB4E43" w:rsidRPr="002D2ED8">
        <w:rPr>
          <w:sz w:val="28"/>
          <w:szCs w:val="28"/>
        </w:rPr>
        <w:t>а по соблюдению</w:t>
      </w:r>
      <w:r w:rsidRPr="002D2ED8">
        <w:rPr>
          <w:sz w:val="28"/>
          <w:szCs w:val="28"/>
        </w:rPr>
        <w:t xml:space="preserve"> </w:t>
      </w:r>
      <w:r w:rsidRPr="002D2ED8">
        <w:rPr>
          <w:sz w:val="28"/>
          <w:szCs w:val="28"/>
          <w:lang w:val="en-US"/>
        </w:rPr>
        <w:t>ICAAP</w:t>
      </w:r>
      <w:r w:rsidR="00C9067E" w:rsidRPr="002D2ED8">
        <w:rPr>
          <w:sz w:val="28"/>
          <w:szCs w:val="28"/>
        </w:rPr>
        <w:t>/</w:t>
      </w:r>
      <w:r w:rsidR="00C9067E" w:rsidRPr="002D2ED8">
        <w:rPr>
          <w:color w:val="000000" w:themeColor="text1"/>
          <w:sz w:val="28"/>
          <w:szCs w:val="28"/>
        </w:rPr>
        <w:t>ILAAP</w:t>
      </w:r>
      <w:r w:rsidR="00B6172F" w:rsidRPr="002D2ED8">
        <w:rPr>
          <w:color w:val="000000" w:themeColor="text1"/>
          <w:sz w:val="28"/>
          <w:szCs w:val="28"/>
        </w:rPr>
        <w:t xml:space="preserve">, </w:t>
      </w:r>
      <w:r w:rsidRPr="002D2ED8">
        <w:rPr>
          <w:sz w:val="28"/>
          <w:szCs w:val="28"/>
        </w:rPr>
        <w:t>утверждае</w:t>
      </w:r>
      <w:r w:rsidR="00B6172F" w:rsidRPr="002D2ED8">
        <w:rPr>
          <w:sz w:val="28"/>
          <w:szCs w:val="28"/>
        </w:rPr>
        <w:t>мом</w:t>
      </w:r>
      <w:r w:rsidRPr="002D2ED8">
        <w:rPr>
          <w:sz w:val="28"/>
          <w:szCs w:val="28"/>
        </w:rPr>
        <w:t xml:space="preserve"> на ежегодной основе органом управления банка </w:t>
      </w:r>
      <w:r w:rsidRPr="002D2ED8">
        <w:rPr>
          <w:i/>
          <w:sz w:val="28"/>
          <w:szCs w:val="28"/>
        </w:rPr>
        <w:t>не позднее 30 апреля.</w:t>
      </w:r>
    </w:p>
    <w:p w14:paraId="0EF0A668" w14:textId="1AC737FB" w:rsidR="007B5671" w:rsidRPr="002D2ED8" w:rsidRDefault="007B5671" w:rsidP="007B5671">
      <w:pPr>
        <w:tabs>
          <w:tab w:val="left" w:pos="1418"/>
        </w:tabs>
        <w:ind w:firstLine="709"/>
        <w:jc w:val="both"/>
        <w:rPr>
          <w:sz w:val="28"/>
          <w:szCs w:val="28"/>
          <w:lang w:bidi="ru-RU"/>
        </w:rPr>
      </w:pPr>
      <w:r w:rsidRPr="002D2ED8">
        <w:rPr>
          <w:sz w:val="28"/>
          <w:szCs w:val="28"/>
          <w:lang w:bidi="ru-RU"/>
        </w:rPr>
        <w:lastRenderedPageBreak/>
        <w:t xml:space="preserve">Агентством </w:t>
      </w:r>
      <w:r w:rsidR="0032677F" w:rsidRPr="002D2ED8">
        <w:rPr>
          <w:sz w:val="28"/>
          <w:szCs w:val="28"/>
          <w:lang w:bidi="ru-RU"/>
        </w:rPr>
        <w:t xml:space="preserve">в 2022 году </w:t>
      </w:r>
      <w:r w:rsidR="007060AE" w:rsidRPr="002D2ED8">
        <w:rPr>
          <w:sz w:val="28"/>
          <w:szCs w:val="28"/>
          <w:lang w:bidi="ru-RU"/>
        </w:rPr>
        <w:t>до</w:t>
      </w:r>
      <w:r w:rsidRPr="002D2ED8">
        <w:rPr>
          <w:sz w:val="28"/>
          <w:szCs w:val="28"/>
          <w:lang w:bidi="ru-RU"/>
        </w:rPr>
        <w:t>работа</w:t>
      </w:r>
      <w:r w:rsidR="0032677F" w:rsidRPr="002D2ED8">
        <w:rPr>
          <w:sz w:val="28"/>
          <w:szCs w:val="28"/>
          <w:lang w:bidi="ru-RU"/>
        </w:rPr>
        <w:t>на</w:t>
      </w:r>
      <w:r w:rsidRPr="002D2ED8">
        <w:rPr>
          <w:sz w:val="28"/>
          <w:szCs w:val="28"/>
          <w:lang w:bidi="ru-RU"/>
        </w:rPr>
        <w:t xml:space="preserve"> внутренн</w:t>
      </w:r>
      <w:r w:rsidR="0032677F" w:rsidRPr="002D2ED8">
        <w:rPr>
          <w:sz w:val="28"/>
          <w:szCs w:val="28"/>
          <w:lang w:bidi="ru-RU"/>
        </w:rPr>
        <w:t>яя</w:t>
      </w:r>
      <w:r w:rsidRPr="002D2ED8">
        <w:rPr>
          <w:sz w:val="28"/>
          <w:szCs w:val="28"/>
          <w:lang w:bidi="ru-RU"/>
        </w:rPr>
        <w:t xml:space="preserve"> надзорн</w:t>
      </w:r>
      <w:r w:rsidR="0032677F" w:rsidRPr="002D2ED8">
        <w:rPr>
          <w:sz w:val="28"/>
          <w:szCs w:val="28"/>
          <w:lang w:bidi="ru-RU"/>
        </w:rPr>
        <w:t>ая</w:t>
      </w:r>
      <w:r w:rsidRPr="002D2ED8">
        <w:rPr>
          <w:sz w:val="28"/>
          <w:szCs w:val="28"/>
          <w:lang w:bidi="ru-RU"/>
        </w:rPr>
        <w:t xml:space="preserve"> методологи</w:t>
      </w:r>
      <w:r w:rsidR="0032677F" w:rsidRPr="002D2ED8">
        <w:rPr>
          <w:sz w:val="28"/>
          <w:szCs w:val="28"/>
          <w:lang w:bidi="ru-RU"/>
        </w:rPr>
        <w:t xml:space="preserve">я, которая </w:t>
      </w:r>
      <w:r w:rsidRPr="002D2ED8">
        <w:rPr>
          <w:sz w:val="28"/>
          <w:szCs w:val="28"/>
          <w:lang w:bidi="ru-RU"/>
        </w:rPr>
        <w:t>позволит надзорным подразделениям оценивать эффективность управления рисками и внутреннего контроля в отношении IRRBB.</w:t>
      </w:r>
    </w:p>
    <w:p w14:paraId="16F66835" w14:textId="51A41B5E" w:rsidR="00041AE7" w:rsidRPr="002D2ED8" w:rsidRDefault="00041AE7" w:rsidP="00041AE7">
      <w:pPr>
        <w:pStyle w:val="af"/>
        <w:ind w:firstLine="709"/>
        <w:jc w:val="both"/>
        <w:rPr>
          <w:i/>
          <w:sz w:val="28"/>
          <w:szCs w:val="28"/>
        </w:rPr>
      </w:pPr>
      <w:r w:rsidRPr="002D2ED8">
        <w:rPr>
          <w:sz w:val="28"/>
          <w:szCs w:val="28"/>
        </w:rPr>
        <w:t xml:space="preserve">Анализ выполнения банками внесенных требований в Правила №188 в отношении </w:t>
      </w:r>
      <w:r w:rsidRPr="002D2ED8">
        <w:rPr>
          <w:sz w:val="28"/>
        </w:rPr>
        <w:t>процентного риска банковской книги (</w:t>
      </w:r>
      <w:r w:rsidRPr="002D2ED8">
        <w:rPr>
          <w:sz w:val="28"/>
          <w:szCs w:val="28"/>
          <w:lang w:bidi="ru-RU"/>
        </w:rPr>
        <w:t xml:space="preserve">IRRBB) также будет проведен </w:t>
      </w:r>
      <w:r w:rsidR="009556D9" w:rsidRPr="002D2ED8">
        <w:rPr>
          <w:sz w:val="28"/>
          <w:szCs w:val="28"/>
          <w:lang w:bidi="ru-RU"/>
        </w:rPr>
        <w:t xml:space="preserve">Агентством </w:t>
      </w:r>
      <w:r w:rsidRPr="002D2ED8">
        <w:rPr>
          <w:sz w:val="28"/>
          <w:szCs w:val="28"/>
          <w:lang w:bidi="ru-RU"/>
        </w:rPr>
        <w:t>в</w:t>
      </w:r>
      <w:r w:rsidRPr="002D2ED8">
        <w:rPr>
          <w:sz w:val="28"/>
          <w:szCs w:val="28"/>
        </w:rPr>
        <w:t xml:space="preserve"> рамках надзорного процесса по методологии SREP </w:t>
      </w:r>
      <w:r w:rsidRPr="002D2ED8">
        <w:rPr>
          <w:i/>
          <w:sz w:val="28"/>
          <w:szCs w:val="28"/>
        </w:rPr>
        <w:t xml:space="preserve">в ходе оценки в 2023 году. </w:t>
      </w:r>
    </w:p>
    <w:p w14:paraId="67BB4942" w14:textId="77777777" w:rsidR="00041AE7" w:rsidRPr="002D2ED8" w:rsidRDefault="00041AE7" w:rsidP="007B5671">
      <w:pPr>
        <w:tabs>
          <w:tab w:val="left" w:pos="1418"/>
        </w:tabs>
        <w:ind w:firstLine="709"/>
        <w:jc w:val="both"/>
        <w:rPr>
          <w:sz w:val="28"/>
          <w:szCs w:val="28"/>
          <w:lang w:bidi="ru-RU"/>
        </w:rPr>
      </w:pPr>
    </w:p>
    <w:p w14:paraId="6CDBA5D9" w14:textId="77777777" w:rsidR="000663EB" w:rsidRPr="002D2ED8" w:rsidRDefault="000663EB" w:rsidP="000663EB">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53" w:name="_Toc127966721"/>
      <w:r w:rsidRPr="002D2ED8">
        <w:rPr>
          <w:rFonts w:ascii="Times New Roman" w:eastAsia="Calibri" w:hAnsi="Times New Roman" w:cs="Times New Roman"/>
          <w:i w:val="0"/>
          <w:color w:val="000000" w:themeColor="text1"/>
          <w:lang w:eastAsia="en-US"/>
        </w:rPr>
        <w:t>Усиление требований к работе банков с залоговым обеспечением</w:t>
      </w:r>
      <w:bookmarkEnd w:id="53"/>
    </w:p>
    <w:p w14:paraId="41765CDC" w14:textId="77777777" w:rsidR="000663EB" w:rsidRPr="002D2ED8" w:rsidRDefault="000663EB" w:rsidP="000663EB">
      <w:pPr>
        <w:ind w:firstLine="709"/>
        <w:jc w:val="both"/>
        <w:rPr>
          <w:rFonts w:eastAsia="Calibri"/>
          <w:sz w:val="28"/>
          <w:szCs w:val="28"/>
          <w:lang w:eastAsia="en-US"/>
        </w:rPr>
      </w:pPr>
      <w:r w:rsidRPr="002D2ED8">
        <w:rPr>
          <w:rFonts w:eastAsia="Calibri"/>
          <w:sz w:val="28"/>
          <w:szCs w:val="28"/>
          <w:lang w:eastAsia="en-US"/>
        </w:rPr>
        <w:t xml:space="preserve">Надзорная практика, а также результаты проведенного в 2019 году AQR показали недостатки как в работе независимых оценщиков, так и внутренних политик банков второго уровня по работе с залоговым обеспечением. Были установлены случаи применения банками некорректных подходов к оценке стоимости залога, необоснованных суждений и корректировок независимыми оценщиками, что приводило к искажению стоимости залога. </w:t>
      </w:r>
    </w:p>
    <w:p w14:paraId="74D53478" w14:textId="77777777" w:rsidR="000663EB" w:rsidRPr="002D2ED8" w:rsidRDefault="000663EB" w:rsidP="000663EB">
      <w:pPr>
        <w:ind w:firstLine="709"/>
        <w:jc w:val="both"/>
        <w:rPr>
          <w:rFonts w:eastAsia="Calibri"/>
          <w:sz w:val="28"/>
          <w:szCs w:val="28"/>
        </w:rPr>
      </w:pPr>
      <w:r w:rsidRPr="002D2ED8">
        <w:rPr>
          <w:rFonts w:eastAsia="Calibri"/>
          <w:sz w:val="28"/>
          <w:szCs w:val="28"/>
        </w:rPr>
        <w:t>В рамках исполнения надзорных приоритетов Агентства на 2022 год с целью совершенствования регуляторных требований к системам управления рисками и внутреннего контроля для банков второго уровня, Агентством 29 декабря 2022 года</w:t>
      </w:r>
      <w:r w:rsidRPr="002D2ED8">
        <w:rPr>
          <w:color w:val="000000"/>
          <w:sz w:val="28"/>
          <w:szCs w:val="28"/>
        </w:rPr>
        <w:t xml:space="preserve"> </w:t>
      </w:r>
      <w:r w:rsidRPr="002D2ED8">
        <w:rPr>
          <w:rFonts w:eastAsia="Calibri"/>
          <w:sz w:val="28"/>
          <w:szCs w:val="28"/>
        </w:rPr>
        <w:t>приняты поправки в Правила №188, предусматривающие усиление внутренних процедур по работе с залоговым обеспечением банков второго уровня в части:</w:t>
      </w:r>
    </w:p>
    <w:p w14:paraId="324AC38D" w14:textId="77777777" w:rsidR="000663EB" w:rsidRPr="002D2ED8" w:rsidRDefault="000663EB" w:rsidP="000663EB">
      <w:pPr>
        <w:pStyle w:val="ac"/>
        <w:numPr>
          <w:ilvl w:val="0"/>
          <w:numId w:val="13"/>
        </w:numPr>
        <w:tabs>
          <w:tab w:val="left" w:pos="993"/>
        </w:tabs>
        <w:ind w:left="0" w:firstLine="709"/>
        <w:jc w:val="both"/>
        <w:rPr>
          <w:rFonts w:eastAsia="Calibri"/>
          <w:sz w:val="28"/>
          <w:szCs w:val="28"/>
        </w:rPr>
      </w:pPr>
      <w:r w:rsidRPr="002D2ED8">
        <w:rPr>
          <w:rFonts w:eastAsia="Calibri"/>
          <w:sz w:val="28"/>
          <w:szCs w:val="28"/>
        </w:rPr>
        <w:t xml:space="preserve"> требований наличия отдельного подразделения залоговой службы, компетенции ее сотрудников и построения ее деятельности в условиях отсутствия конфликта интересов;</w:t>
      </w:r>
    </w:p>
    <w:p w14:paraId="793CB7AF" w14:textId="77777777" w:rsidR="000663EB" w:rsidRPr="002D2ED8" w:rsidRDefault="000663EB" w:rsidP="000663EB">
      <w:pPr>
        <w:pStyle w:val="ac"/>
        <w:numPr>
          <w:ilvl w:val="0"/>
          <w:numId w:val="13"/>
        </w:numPr>
        <w:tabs>
          <w:tab w:val="left" w:pos="993"/>
        </w:tabs>
        <w:ind w:left="0" w:firstLine="709"/>
        <w:jc w:val="both"/>
        <w:rPr>
          <w:rFonts w:eastAsia="Calibri"/>
          <w:sz w:val="28"/>
          <w:szCs w:val="28"/>
        </w:rPr>
      </w:pPr>
      <w:r w:rsidRPr="002D2ED8">
        <w:rPr>
          <w:rFonts w:eastAsia="Calibri"/>
          <w:sz w:val="28"/>
          <w:szCs w:val="28"/>
        </w:rPr>
        <w:t>требований и критериев качества внутренней банковской оценки залогового обеспечения в соответствии с международными стандартами с использованием обоснованных подходов и суждений;</w:t>
      </w:r>
    </w:p>
    <w:p w14:paraId="295FAF02" w14:textId="77777777" w:rsidR="000663EB" w:rsidRPr="002D2ED8" w:rsidRDefault="000663EB" w:rsidP="000663EB">
      <w:pPr>
        <w:pStyle w:val="ac"/>
        <w:numPr>
          <w:ilvl w:val="0"/>
          <w:numId w:val="13"/>
        </w:numPr>
        <w:tabs>
          <w:tab w:val="left" w:pos="993"/>
        </w:tabs>
        <w:ind w:left="0" w:firstLine="709"/>
        <w:jc w:val="both"/>
        <w:rPr>
          <w:rFonts w:eastAsia="Calibri"/>
          <w:sz w:val="28"/>
          <w:szCs w:val="28"/>
        </w:rPr>
      </w:pPr>
      <w:r w:rsidRPr="002D2ED8">
        <w:rPr>
          <w:rFonts w:eastAsia="Calibri"/>
          <w:sz w:val="28"/>
          <w:szCs w:val="28"/>
        </w:rPr>
        <w:t>необходимости проведения детального анализа отчетов независимых оценочных компаний работниками залоговой службы банка с дальнейшим составлением соответствующего заключения и выработкой рекомендаций о дальнейшем сотрудничестве с независимыми оценочными компаниями.</w:t>
      </w:r>
    </w:p>
    <w:p w14:paraId="56C9B212" w14:textId="77777777" w:rsidR="000663EB" w:rsidRPr="002D2ED8" w:rsidRDefault="000663EB" w:rsidP="000663EB">
      <w:pPr>
        <w:tabs>
          <w:tab w:val="left" w:pos="993"/>
        </w:tabs>
        <w:ind w:firstLine="709"/>
        <w:jc w:val="both"/>
        <w:rPr>
          <w:rFonts w:eastAsia="Calibri"/>
          <w:sz w:val="28"/>
          <w:szCs w:val="28"/>
        </w:rPr>
      </w:pPr>
      <w:r w:rsidRPr="002D2ED8">
        <w:rPr>
          <w:rFonts w:eastAsia="Calibri"/>
          <w:sz w:val="28"/>
          <w:szCs w:val="28"/>
        </w:rPr>
        <w:t xml:space="preserve">Также с учетом результатов анализа мероприятий по итогам оценки качества активов банков (AQR) вводится новое понятие </w:t>
      </w:r>
      <w:r w:rsidRPr="002D2ED8">
        <w:rPr>
          <w:rFonts w:eastAsia="Calibri"/>
          <w:i/>
          <w:sz w:val="28"/>
          <w:szCs w:val="28"/>
        </w:rPr>
        <w:t>статистический журнал стоимости залогового обеспечения</w:t>
      </w:r>
      <w:r w:rsidRPr="002D2ED8">
        <w:rPr>
          <w:rFonts w:eastAsia="Calibri"/>
          <w:sz w:val="28"/>
          <w:szCs w:val="28"/>
        </w:rPr>
        <w:t>, который позволит банкам корректнее определять коэффициенты ликвидности, применяемые для определения залоговой стоимости, а также точнее рассчитывать компоненты расчета ожидаемых кредитных убытков с целью обеспечения устойчивого функционирования как отдельного банка, так и всей системы.</w:t>
      </w:r>
    </w:p>
    <w:p w14:paraId="12C14E49" w14:textId="77777777" w:rsidR="000663EB" w:rsidRPr="002D2ED8" w:rsidRDefault="000663EB" w:rsidP="000663EB">
      <w:pPr>
        <w:pStyle w:val="ac"/>
        <w:tabs>
          <w:tab w:val="left" w:pos="993"/>
        </w:tabs>
        <w:ind w:left="0" w:firstLine="709"/>
        <w:jc w:val="both"/>
        <w:rPr>
          <w:rFonts w:eastAsia="Calibri"/>
          <w:i/>
          <w:sz w:val="28"/>
          <w:szCs w:val="28"/>
        </w:rPr>
      </w:pPr>
      <w:r w:rsidRPr="002D2ED8">
        <w:rPr>
          <w:rFonts w:eastAsia="Calibri"/>
          <w:sz w:val="28"/>
          <w:szCs w:val="28"/>
        </w:rPr>
        <w:t xml:space="preserve">Банкам второго уровня необходимо будет свои внутренние процедуры по работе с залоговым обеспечением привести в соответствие с новыми требованиями Правил №188 </w:t>
      </w:r>
      <w:r w:rsidRPr="002D2ED8">
        <w:rPr>
          <w:rFonts w:eastAsia="Calibri"/>
          <w:i/>
          <w:sz w:val="28"/>
          <w:szCs w:val="28"/>
        </w:rPr>
        <w:t xml:space="preserve">с 1 июля 2023 года. </w:t>
      </w:r>
    </w:p>
    <w:p w14:paraId="1CE4EFA8" w14:textId="15CACF29" w:rsidR="000663EB" w:rsidRPr="002D2ED8" w:rsidRDefault="000663EB" w:rsidP="000663EB">
      <w:pPr>
        <w:pStyle w:val="ac"/>
        <w:tabs>
          <w:tab w:val="left" w:pos="993"/>
        </w:tabs>
        <w:ind w:left="0" w:firstLine="709"/>
        <w:jc w:val="both"/>
        <w:rPr>
          <w:rFonts w:eastAsia="Calibri"/>
          <w:sz w:val="28"/>
          <w:szCs w:val="28"/>
        </w:rPr>
      </w:pPr>
      <w:r w:rsidRPr="002D2ED8">
        <w:rPr>
          <w:rFonts w:eastAsia="Calibri"/>
          <w:sz w:val="28"/>
          <w:szCs w:val="28"/>
        </w:rPr>
        <w:t>Исполнение требований законодательства будет проверяться Агентством в ходе инспекторских проверок банков и дистанционного надзора.</w:t>
      </w:r>
    </w:p>
    <w:p w14:paraId="207A042E" w14:textId="2A0CAC9A" w:rsidR="000663EB" w:rsidRPr="002D2ED8" w:rsidRDefault="000663EB" w:rsidP="000663EB">
      <w:pPr>
        <w:pStyle w:val="ac"/>
        <w:tabs>
          <w:tab w:val="left" w:pos="993"/>
        </w:tabs>
        <w:ind w:left="0" w:firstLine="709"/>
        <w:jc w:val="both"/>
        <w:rPr>
          <w:rFonts w:eastAsia="Calibri"/>
          <w:sz w:val="28"/>
          <w:szCs w:val="28"/>
        </w:rPr>
      </w:pPr>
    </w:p>
    <w:p w14:paraId="5508F956" w14:textId="77777777" w:rsidR="00DD4C63" w:rsidRPr="002D2ED8" w:rsidRDefault="00DD4C63"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54" w:name="_Toc127966722"/>
      <w:r w:rsidRPr="002D2ED8">
        <w:rPr>
          <w:rFonts w:ascii="Times New Roman" w:eastAsia="Calibri" w:hAnsi="Times New Roman" w:cs="Times New Roman"/>
          <w:i w:val="0"/>
          <w:color w:val="000000" w:themeColor="text1"/>
          <w:lang w:eastAsia="en-US"/>
        </w:rPr>
        <w:lastRenderedPageBreak/>
        <w:t>Совершенствование надзорных процессов по итогам FSAP</w:t>
      </w:r>
      <w:bookmarkEnd w:id="54"/>
    </w:p>
    <w:p w14:paraId="545235F0" w14:textId="77777777" w:rsidR="00DD4C63" w:rsidRPr="002D2ED8" w:rsidRDefault="00DD4C63" w:rsidP="00DD4C63">
      <w:pPr>
        <w:pStyle w:val="aa"/>
        <w:shd w:val="clear" w:color="auto" w:fill="FFFFFF"/>
        <w:spacing w:before="0" w:beforeAutospacing="0" w:after="0" w:afterAutospacing="0"/>
        <w:ind w:firstLine="709"/>
        <w:jc w:val="both"/>
        <w:rPr>
          <w:bCs/>
          <w:color w:val="000000" w:themeColor="text1"/>
          <w:sz w:val="28"/>
          <w:szCs w:val="28"/>
        </w:rPr>
      </w:pPr>
      <w:r w:rsidRPr="002D2ED8">
        <w:rPr>
          <w:bCs/>
          <w:color w:val="000000" w:themeColor="text1"/>
          <w:sz w:val="28"/>
          <w:szCs w:val="28"/>
        </w:rPr>
        <w:t xml:space="preserve">В конце 2022 года в Казахстане начата </w:t>
      </w:r>
      <w:r w:rsidRPr="002D2ED8">
        <w:rPr>
          <w:color w:val="000000" w:themeColor="text1"/>
          <w:sz w:val="28"/>
          <w:szCs w:val="28"/>
        </w:rPr>
        <w:t>Программы оценки финансового сектора Республики Казахстан (FSAP)</w:t>
      </w:r>
      <w:r w:rsidRPr="002D2ED8">
        <w:rPr>
          <w:bCs/>
          <w:color w:val="000000" w:themeColor="text1"/>
          <w:sz w:val="28"/>
          <w:szCs w:val="28"/>
        </w:rPr>
        <w:t xml:space="preserve">, которая продолжится до конца 2023 года. </w:t>
      </w:r>
    </w:p>
    <w:p w14:paraId="70EC2AAD" w14:textId="77777777" w:rsidR="00DD4C63" w:rsidRPr="002D2ED8" w:rsidRDefault="00DD4C63" w:rsidP="00DD4C63">
      <w:pPr>
        <w:pStyle w:val="aa"/>
        <w:shd w:val="clear" w:color="auto" w:fill="FFFFFF"/>
        <w:spacing w:before="0" w:beforeAutospacing="0" w:after="0" w:afterAutospacing="0"/>
        <w:ind w:firstLine="709"/>
        <w:jc w:val="both"/>
        <w:rPr>
          <w:rFonts w:eastAsia="Calibri"/>
          <w:i/>
          <w:color w:val="000000" w:themeColor="text1"/>
          <w:sz w:val="28"/>
          <w:szCs w:val="28"/>
          <w:lang w:eastAsia="en-US"/>
        </w:rPr>
      </w:pPr>
      <w:r w:rsidRPr="002D2ED8">
        <w:rPr>
          <w:rFonts w:eastAsia="Calibri"/>
          <w:color w:val="000000" w:themeColor="text1"/>
          <w:sz w:val="28"/>
          <w:szCs w:val="28"/>
          <w:lang w:eastAsia="en-US"/>
        </w:rPr>
        <w:t>FSAP проводится совместно МВФ и Всемирным банком и представляет собой всеобъемлющий и углубленный анализ финансового сектора страны в рамках двух основных направлений: оценка стабильности и надежности финансового сектора и оценка его потенциального вклада в рост и развитие экономики страны.</w:t>
      </w:r>
      <w:r w:rsidRPr="002D2ED8">
        <w:rPr>
          <w:rFonts w:eastAsiaTheme="minorEastAsia"/>
          <w:color w:val="000000" w:themeColor="text1"/>
          <w:kern w:val="24"/>
          <w:sz w:val="28"/>
          <w:szCs w:val="28"/>
          <w14:textFill>
            <w14:solidFill>
              <w14:schemeClr w14:val="tx1">
                <w14:satOff w14:val="0"/>
                <w14:lumOff w14:val="0"/>
              </w14:schemeClr>
            </w14:solidFill>
          </w14:textFill>
        </w:rPr>
        <w:t xml:space="preserve"> Будет уделено особое внимание </w:t>
      </w:r>
      <w:r w:rsidRPr="002D2ED8">
        <w:rPr>
          <w:rFonts w:eastAsiaTheme="minorEastAsia"/>
          <w:i/>
          <w:color w:val="000000" w:themeColor="text1"/>
          <w:kern w:val="24"/>
          <w:sz w:val="28"/>
          <w:szCs w:val="28"/>
          <w14:textFill>
            <w14:solidFill>
              <w14:schemeClr w14:val="tx1">
                <w14:satOff w14:val="0"/>
                <w14:lumOff w14:val="0"/>
              </w14:schemeClr>
            </w14:solidFill>
          </w14:textFill>
        </w:rPr>
        <w:t>о</w:t>
      </w:r>
      <w:r w:rsidRPr="002D2ED8">
        <w:rPr>
          <w:rFonts w:eastAsia="Calibri"/>
          <w:i/>
          <w:color w:val="000000" w:themeColor="text1"/>
          <w:sz w:val="28"/>
          <w:szCs w:val="28"/>
          <w:lang w:eastAsia="en-US"/>
        </w:rPr>
        <w:t xml:space="preserve">ценке соответствия банковского регулирования и надзора </w:t>
      </w:r>
      <w:proofErr w:type="spellStart"/>
      <w:r w:rsidRPr="002D2ED8">
        <w:rPr>
          <w:rFonts w:eastAsia="Calibri"/>
          <w:i/>
          <w:color w:val="000000" w:themeColor="text1"/>
          <w:sz w:val="28"/>
          <w:szCs w:val="28"/>
          <w:lang w:eastAsia="en-US"/>
        </w:rPr>
        <w:t>Базельским</w:t>
      </w:r>
      <w:proofErr w:type="spellEnd"/>
      <w:r w:rsidRPr="002D2ED8">
        <w:rPr>
          <w:rFonts w:eastAsia="Calibri"/>
          <w:i/>
          <w:color w:val="000000" w:themeColor="text1"/>
          <w:sz w:val="28"/>
          <w:szCs w:val="28"/>
          <w:lang w:eastAsia="en-US"/>
        </w:rPr>
        <w:t xml:space="preserve"> принципам.</w:t>
      </w:r>
    </w:p>
    <w:p w14:paraId="2F2E1DAB" w14:textId="77777777" w:rsidR="00DD4C63" w:rsidRPr="002D2ED8" w:rsidRDefault="00DD4C63" w:rsidP="00DD4C63">
      <w:pPr>
        <w:pStyle w:val="aa"/>
        <w:shd w:val="clear" w:color="auto" w:fill="FFFFFF"/>
        <w:spacing w:before="0" w:beforeAutospacing="0" w:after="0" w:afterAutospacing="0"/>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Прохождение оценки FSAP является обязательным для 47-ми стран, определенных МВФ как «Юрисдикции с системно важным финансовым сектором» (страны G20, Малайзия, Колумбия, Сингапур, Новая Зеландия и др.). В остальных странах FSAP проводится по запросу властей с периодичностью в 5-7 лет.</w:t>
      </w:r>
    </w:p>
    <w:p w14:paraId="1734F57A" w14:textId="77777777" w:rsidR="00DD4C63" w:rsidRPr="002D2ED8" w:rsidRDefault="00DD4C63" w:rsidP="00DD4C63">
      <w:pPr>
        <w:pStyle w:val="aa"/>
        <w:shd w:val="clear" w:color="auto" w:fill="FFFFFF"/>
        <w:spacing w:before="0" w:beforeAutospacing="0" w:after="0" w:afterAutospacing="0"/>
        <w:ind w:firstLine="709"/>
        <w:jc w:val="both"/>
        <w:rPr>
          <w:rFonts w:eastAsia="Calibri"/>
          <w:color w:val="000000" w:themeColor="text1"/>
          <w:sz w:val="28"/>
          <w:szCs w:val="28"/>
          <w:lang w:eastAsia="en-US"/>
        </w:rPr>
      </w:pPr>
      <w:r w:rsidRPr="002D2ED8">
        <w:rPr>
          <w:rFonts w:eastAsia="Calibri"/>
          <w:bCs/>
          <w:color w:val="000000" w:themeColor="text1"/>
          <w:sz w:val="28"/>
          <w:szCs w:val="28"/>
          <w:lang w:eastAsia="en-US"/>
        </w:rPr>
        <w:t>Исследовательской миссией </w:t>
      </w:r>
      <w:r w:rsidRPr="002D2ED8">
        <w:rPr>
          <w:rFonts w:eastAsia="Calibri"/>
          <w:color w:val="000000" w:themeColor="text1"/>
          <w:sz w:val="28"/>
          <w:szCs w:val="28"/>
          <w:lang w:eastAsia="en-US"/>
        </w:rPr>
        <w:t>FSAP (</w:t>
      </w:r>
      <w:proofErr w:type="spellStart"/>
      <w:r w:rsidRPr="002D2ED8">
        <w:rPr>
          <w:rFonts w:eastAsia="Calibri"/>
          <w:color w:val="000000" w:themeColor="text1"/>
          <w:sz w:val="28"/>
          <w:szCs w:val="28"/>
          <w:lang w:eastAsia="en-US"/>
        </w:rPr>
        <w:t>Scoping</w:t>
      </w:r>
      <w:proofErr w:type="spellEnd"/>
      <w:r w:rsidRPr="002D2ED8">
        <w:rPr>
          <w:rFonts w:eastAsia="Calibri"/>
          <w:color w:val="000000" w:themeColor="text1"/>
          <w:sz w:val="28"/>
          <w:szCs w:val="28"/>
          <w:lang w:eastAsia="en-US"/>
        </w:rPr>
        <w:t xml:space="preserve"> </w:t>
      </w:r>
      <w:proofErr w:type="spellStart"/>
      <w:r w:rsidRPr="002D2ED8">
        <w:rPr>
          <w:rFonts w:eastAsia="Calibri"/>
          <w:color w:val="000000" w:themeColor="text1"/>
          <w:sz w:val="28"/>
          <w:szCs w:val="28"/>
          <w:lang w:eastAsia="en-US"/>
        </w:rPr>
        <w:t>Mission</w:t>
      </w:r>
      <w:proofErr w:type="spellEnd"/>
      <w:r w:rsidRPr="002D2ED8">
        <w:rPr>
          <w:rFonts w:eastAsia="Calibri"/>
          <w:color w:val="000000" w:themeColor="text1"/>
          <w:sz w:val="28"/>
          <w:szCs w:val="28"/>
          <w:lang w:eastAsia="en-US"/>
        </w:rPr>
        <w:t>) были проведены консультации с представителями Агентства по определению масштаба и направлений оценки. В рамках </w:t>
      </w:r>
      <w:r w:rsidRPr="002D2ED8">
        <w:rPr>
          <w:rFonts w:eastAsia="Calibri"/>
          <w:bCs/>
          <w:color w:val="000000" w:themeColor="text1"/>
          <w:sz w:val="28"/>
          <w:szCs w:val="28"/>
          <w:lang w:eastAsia="en-US"/>
        </w:rPr>
        <w:t>Исследовательской миссии </w:t>
      </w:r>
      <w:r w:rsidRPr="002D2ED8">
        <w:rPr>
          <w:rFonts w:eastAsia="Calibri"/>
          <w:color w:val="000000" w:themeColor="text1"/>
          <w:sz w:val="28"/>
          <w:szCs w:val="28"/>
          <w:lang w:eastAsia="en-US"/>
        </w:rPr>
        <w:t>команда FSAP провели встречи также с Национальным Банком, Ассоциацией финансистов РК, фондовой биржей, финансовыми организациями, министерствами финансов и национальной экономики, АО НУХ «Байтерек» и МФЦА.</w:t>
      </w:r>
    </w:p>
    <w:p w14:paraId="65BA0051" w14:textId="77777777" w:rsidR="00DD4C63" w:rsidRPr="002D2ED8" w:rsidRDefault="00DD4C63" w:rsidP="00DD4C63">
      <w:pPr>
        <w:pStyle w:val="aa"/>
        <w:shd w:val="clear" w:color="auto" w:fill="FFFFFF"/>
        <w:spacing w:before="0" w:beforeAutospacing="0" w:after="0" w:afterAutospacing="0"/>
        <w:ind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По результатам оценки FSAP, МВФ и Всемирным банком будут представлены отчеты и рекомендации по дальнейшему развитию финансового сектора Казахстана, в том числе по усовершенствованию надзорных процессов.</w:t>
      </w:r>
    </w:p>
    <w:p w14:paraId="14BAE622" w14:textId="611B728D" w:rsidR="007B5671" w:rsidRPr="002D2ED8" w:rsidRDefault="007B5671" w:rsidP="007B5671">
      <w:pPr>
        <w:rPr>
          <w:rFonts w:eastAsia="Calibri"/>
          <w:lang w:eastAsia="en-US"/>
        </w:rPr>
      </w:pPr>
    </w:p>
    <w:bookmarkEnd w:id="51"/>
    <w:bookmarkEnd w:id="52"/>
    <w:p w14:paraId="28F3CC5D" w14:textId="2BF3CC86" w:rsidR="00012F0D" w:rsidRPr="002D2ED8" w:rsidRDefault="00012F0D" w:rsidP="006672B4">
      <w:pPr>
        <w:pStyle w:val="ac"/>
        <w:tabs>
          <w:tab w:val="left" w:pos="993"/>
        </w:tabs>
        <w:ind w:left="0" w:firstLine="709"/>
        <w:jc w:val="both"/>
        <w:rPr>
          <w:rFonts w:eastAsia="Calibri"/>
          <w:sz w:val="28"/>
          <w:szCs w:val="28"/>
        </w:rPr>
      </w:pPr>
    </w:p>
    <w:p w14:paraId="7436237D" w14:textId="77777777" w:rsidR="00256BAC" w:rsidRPr="002D2ED8" w:rsidRDefault="00256BAC" w:rsidP="00256BAC">
      <w:pPr>
        <w:pStyle w:val="ac"/>
        <w:tabs>
          <w:tab w:val="left" w:pos="993"/>
        </w:tabs>
        <w:ind w:left="0" w:firstLine="709"/>
        <w:jc w:val="both"/>
        <w:rPr>
          <w:rFonts w:eastAsia="Calibri"/>
          <w:sz w:val="28"/>
          <w:szCs w:val="28"/>
        </w:rPr>
      </w:pPr>
    </w:p>
    <w:p w14:paraId="032B03A4" w14:textId="24376506" w:rsidR="00167D8C" w:rsidRPr="002D2ED8" w:rsidRDefault="00167D8C" w:rsidP="00167D8C">
      <w:pPr>
        <w:pStyle w:val="ac"/>
        <w:tabs>
          <w:tab w:val="left" w:pos="993"/>
        </w:tabs>
        <w:ind w:left="709"/>
        <w:jc w:val="both"/>
        <w:rPr>
          <w:rFonts w:eastAsia="Calibri"/>
          <w:b/>
          <w:sz w:val="28"/>
          <w:szCs w:val="28"/>
        </w:rPr>
      </w:pPr>
    </w:p>
    <w:p w14:paraId="0F3AE917" w14:textId="5CF1BCE2" w:rsidR="003308F5" w:rsidRPr="002D2ED8" w:rsidRDefault="00781179" w:rsidP="00A075A6">
      <w:pPr>
        <w:pStyle w:val="2"/>
        <w:numPr>
          <w:ilvl w:val="0"/>
          <w:numId w:val="17"/>
        </w:numPr>
        <w:spacing w:before="0" w:after="0"/>
        <w:ind w:left="0" w:firstLine="709"/>
        <w:jc w:val="both"/>
        <w:rPr>
          <w:rFonts w:ascii="Times New Roman" w:eastAsia="Calibri" w:hAnsi="Times New Roman" w:cs="Times New Roman"/>
          <w:i w:val="0"/>
          <w:color w:val="000000" w:themeColor="text1"/>
          <w:lang w:eastAsia="en-US"/>
        </w:rPr>
      </w:pPr>
      <w:r w:rsidRPr="002D2ED8">
        <w:rPr>
          <w:b w:val="0"/>
          <w:color w:val="000000" w:themeColor="text1"/>
        </w:rPr>
        <w:br w:type="page"/>
      </w:r>
      <w:bookmarkStart w:id="55" w:name="_Toc65077541"/>
      <w:bookmarkStart w:id="56" w:name="_Toc126511025"/>
      <w:bookmarkStart w:id="57" w:name="_Toc126511164"/>
      <w:bookmarkStart w:id="58" w:name="_Toc127966723"/>
      <w:r w:rsidR="003308F5" w:rsidRPr="002D2ED8">
        <w:rPr>
          <w:rFonts w:ascii="Times New Roman" w:eastAsia="Calibri" w:hAnsi="Times New Roman" w:cs="Times New Roman"/>
          <w:i w:val="0"/>
          <w:color w:val="000000" w:themeColor="text1"/>
          <w:lang w:eastAsia="en-US"/>
        </w:rPr>
        <w:lastRenderedPageBreak/>
        <w:t>Совершенствование регуляторных требований</w:t>
      </w:r>
      <w:bookmarkStart w:id="59" w:name="_Toc94801300"/>
      <w:bookmarkEnd w:id="55"/>
      <w:bookmarkEnd w:id="56"/>
      <w:bookmarkEnd w:id="57"/>
      <w:bookmarkEnd w:id="58"/>
      <w:bookmarkEnd w:id="59"/>
    </w:p>
    <w:p w14:paraId="4A5269B3" w14:textId="56ADC6B3" w:rsidR="00CB3450" w:rsidRPr="002D2ED8" w:rsidRDefault="00CB3450" w:rsidP="00C01CE8">
      <w:pPr>
        <w:tabs>
          <w:tab w:val="left" w:pos="7655"/>
        </w:tabs>
        <w:ind w:firstLine="709"/>
        <w:jc w:val="both"/>
        <w:rPr>
          <w:color w:val="000000" w:themeColor="text1"/>
          <w:sz w:val="28"/>
          <w:szCs w:val="28"/>
        </w:rPr>
      </w:pPr>
    </w:p>
    <w:p w14:paraId="3BFBA5FC" w14:textId="03FE750E" w:rsidR="003308F5" w:rsidRPr="002D2ED8" w:rsidRDefault="00A832A7"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60" w:name="_Toc65077542"/>
      <w:r w:rsidRPr="002D2ED8">
        <w:rPr>
          <w:rFonts w:ascii="Times New Roman" w:eastAsia="Calibri" w:hAnsi="Times New Roman" w:cs="Times New Roman"/>
          <w:i w:val="0"/>
          <w:color w:val="000000" w:themeColor="text1"/>
          <w:lang w:eastAsia="en-US"/>
        </w:rPr>
        <w:t xml:space="preserve"> </w:t>
      </w:r>
      <w:bookmarkStart w:id="61" w:name="_Toc126511026"/>
      <w:bookmarkStart w:id="62" w:name="_Toc126511165"/>
      <w:bookmarkStart w:id="63" w:name="_Toc127966724"/>
      <w:r w:rsidR="003308F5" w:rsidRPr="002D2ED8">
        <w:rPr>
          <w:rFonts w:ascii="Times New Roman" w:eastAsia="Calibri" w:hAnsi="Times New Roman" w:cs="Times New Roman"/>
          <w:i w:val="0"/>
          <w:color w:val="000000" w:themeColor="text1"/>
          <w:lang w:eastAsia="en-US"/>
        </w:rPr>
        <w:t>Методология надзорной надбавки</w:t>
      </w:r>
      <w:bookmarkStart w:id="64" w:name="_Toc94801301"/>
      <w:bookmarkStart w:id="65" w:name="_Toc94801418"/>
      <w:bookmarkEnd w:id="60"/>
      <w:bookmarkEnd w:id="61"/>
      <w:bookmarkEnd w:id="62"/>
      <w:bookmarkEnd w:id="63"/>
      <w:bookmarkEnd w:id="64"/>
      <w:bookmarkEnd w:id="65"/>
    </w:p>
    <w:p w14:paraId="6E485135" w14:textId="77777777" w:rsidR="00375F25" w:rsidRPr="002D2ED8" w:rsidRDefault="00375F25" w:rsidP="00375F25">
      <w:pPr>
        <w:ind w:firstLine="709"/>
        <w:jc w:val="both"/>
        <w:rPr>
          <w:bCs/>
          <w:color w:val="000000" w:themeColor="text1"/>
          <w:sz w:val="28"/>
        </w:rPr>
      </w:pPr>
      <w:r w:rsidRPr="002D2ED8">
        <w:rPr>
          <w:sz w:val="28"/>
        </w:rPr>
        <w:t xml:space="preserve">По итогам оценки </w:t>
      </w:r>
      <w:r w:rsidRPr="002D2ED8">
        <w:rPr>
          <w:sz w:val="28"/>
          <w:lang w:val="en-US"/>
        </w:rPr>
        <w:t>SREP</w:t>
      </w:r>
      <w:r w:rsidRPr="002D2ED8">
        <w:rPr>
          <w:sz w:val="28"/>
        </w:rPr>
        <w:t xml:space="preserve"> и количественных результатов </w:t>
      </w:r>
      <w:r w:rsidRPr="002D2ED8">
        <w:rPr>
          <w:sz w:val="28"/>
          <w:lang w:val="en-US"/>
        </w:rPr>
        <w:t>AQR</w:t>
      </w:r>
      <w:r w:rsidRPr="002D2ED8">
        <w:rPr>
          <w:sz w:val="28"/>
        </w:rPr>
        <w:t xml:space="preserve"> и НСТ Агентством будет приниматься надзорное решение в отношении банк</w:t>
      </w:r>
      <w:r w:rsidRPr="002D2ED8">
        <w:rPr>
          <w:sz w:val="28"/>
          <w:lang w:val="kk-KZ"/>
        </w:rPr>
        <w:t>а</w:t>
      </w:r>
      <w:r w:rsidRPr="002D2ED8">
        <w:rPr>
          <w:sz w:val="28"/>
        </w:rPr>
        <w:t>, которое может включать в себя надзорную надбавку к нормативам достаточности капитала и другие меры надзорного реагирования.</w:t>
      </w:r>
      <w:r w:rsidRPr="002D2ED8">
        <w:rPr>
          <w:bCs/>
          <w:color w:val="000000" w:themeColor="text1"/>
          <w:sz w:val="28"/>
        </w:rPr>
        <w:t xml:space="preserve"> </w:t>
      </w:r>
    </w:p>
    <w:p w14:paraId="676062F3" w14:textId="77777777" w:rsidR="00375F25" w:rsidRPr="002D2ED8" w:rsidRDefault="00375F25" w:rsidP="00375F25">
      <w:pPr>
        <w:ind w:firstLine="709"/>
        <w:jc w:val="both"/>
        <w:rPr>
          <w:bCs/>
          <w:color w:val="000000" w:themeColor="text1"/>
          <w:sz w:val="28"/>
          <w:szCs w:val="28"/>
        </w:rPr>
      </w:pPr>
      <w:r w:rsidRPr="002D2ED8">
        <w:rPr>
          <w:bCs/>
          <w:color w:val="000000" w:themeColor="text1"/>
          <w:sz w:val="28"/>
          <w:szCs w:val="28"/>
        </w:rPr>
        <w:t xml:space="preserve">В международной практике установление надзорной надбавки </w:t>
      </w:r>
      <w:r w:rsidRPr="002D2ED8">
        <w:rPr>
          <w:bCs/>
          <w:color w:val="000000" w:themeColor="text1"/>
          <w:sz w:val="28"/>
          <w:szCs w:val="28"/>
        </w:rPr>
        <w:br/>
        <w:t xml:space="preserve">к коэффициентам достаточности капитала банка определено вторым компонентом </w:t>
      </w:r>
      <w:r w:rsidRPr="002D2ED8">
        <w:rPr>
          <w:bCs/>
          <w:color w:val="000000" w:themeColor="text1"/>
          <w:sz w:val="28"/>
          <w:szCs w:val="28"/>
          <w:lang w:val="en-US"/>
        </w:rPr>
        <w:t>Basel</w:t>
      </w:r>
      <w:r w:rsidRPr="002D2ED8">
        <w:rPr>
          <w:bCs/>
          <w:color w:val="000000" w:themeColor="text1"/>
          <w:sz w:val="28"/>
          <w:szCs w:val="28"/>
        </w:rPr>
        <w:t xml:space="preserve"> </w:t>
      </w:r>
      <w:r w:rsidRPr="002D2ED8">
        <w:rPr>
          <w:bCs/>
          <w:color w:val="000000" w:themeColor="text1"/>
          <w:sz w:val="28"/>
          <w:szCs w:val="28"/>
          <w:lang w:val="en-US"/>
        </w:rPr>
        <w:t>II</w:t>
      </w:r>
      <w:r w:rsidRPr="002D2ED8">
        <w:rPr>
          <w:bCs/>
          <w:color w:val="000000" w:themeColor="text1"/>
          <w:sz w:val="28"/>
          <w:szCs w:val="28"/>
        </w:rPr>
        <w:t xml:space="preserve">. Надзорная надбавка определяется по результатам ежегодной оценки SREP и </w:t>
      </w:r>
      <w:r w:rsidRPr="002D2ED8">
        <w:rPr>
          <w:color w:val="000000" w:themeColor="text1"/>
          <w:sz w:val="28"/>
          <w:szCs w:val="28"/>
        </w:rPr>
        <w:t xml:space="preserve">будет </w:t>
      </w:r>
      <w:r w:rsidRPr="002D2ED8">
        <w:rPr>
          <w:bCs/>
          <w:color w:val="000000" w:themeColor="text1"/>
          <w:sz w:val="28"/>
          <w:szCs w:val="28"/>
        </w:rPr>
        <w:t>стимулировать банки оперативно устранять выявленные в их деятельности недостатки и риски.</w:t>
      </w:r>
    </w:p>
    <w:p w14:paraId="77C0F87D" w14:textId="77777777" w:rsidR="00375F25" w:rsidRPr="002D2ED8" w:rsidRDefault="00375F25" w:rsidP="00375F25">
      <w:pPr>
        <w:ind w:firstLine="709"/>
        <w:contextualSpacing/>
        <w:jc w:val="both"/>
        <w:rPr>
          <w:bCs/>
          <w:color w:val="000000" w:themeColor="text1"/>
          <w:sz w:val="28"/>
        </w:rPr>
      </w:pPr>
      <w:r w:rsidRPr="002D2ED8">
        <w:rPr>
          <w:sz w:val="28"/>
        </w:rPr>
        <w:t>В рамках SREP выполняется качественная и количественная оценка эффективности внутренних процессов банка.</w:t>
      </w:r>
      <w:r w:rsidRPr="002D2ED8">
        <w:rPr>
          <w:bCs/>
          <w:color w:val="000000" w:themeColor="text1"/>
          <w:sz w:val="28"/>
        </w:rPr>
        <w:t xml:space="preserve"> AQR и надзорное стресс-тестирование – инструменты, дополняющие SREP и позволяющие оценить корректность отражения активов на балансе банка и его финансовую устойчивость к потенциальному неблагоприятному развитию экономической ситуации.</w:t>
      </w:r>
    </w:p>
    <w:p w14:paraId="4109C90C" w14:textId="77777777" w:rsidR="00375F25" w:rsidRPr="002D2ED8" w:rsidRDefault="00375F25" w:rsidP="00375F25">
      <w:pPr>
        <w:ind w:firstLine="709"/>
        <w:jc w:val="both"/>
        <w:rPr>
          <w:bCs/>
          <w:color w:val="000000" w:themeColor="text1"/>
          <w:sz w:val="28"/>
          <w:szCs w:val="28"/>
        </w:rPr>
      </w:pPr>
      <w:r w:rsidRPr="002D2ED8">
        <w:rPr>
          <w:bCs/>
          <w:color w:val="000000" w:themeColor="text1"/>
          <w:sz w:val="28"/>
          <w:szCs w:val="28"/>
        </w:rPr>
        <w:t xml:space="preserve">Агентство планирует поэтапную интеграцию основных надзорных инструментов </w:t>
      </w:r>
      <w:r w:rsidRPr="002D2ED8">
        <w:rPr>
          <w:bCs/>
          <w:color w:val="000000" w:themeColor="text1"/>
          <w:sz w:val="28"/>
          <w:szCs w:val="28"/>
          <w:lang w:val="en-US"/>
        </w:rPr>
        <w:t>SREP</w:t>
      </w:r>
      <w:r w:rsidRPr="002D2ED8">
        <w:rPr>
          <w:bCs/>
          <w:color w:val="000000" w:themeColor="text1"/>
          <w:sz w:val="28"/>
          <w:szCs w:val="28"/>
        </w:rPr>
        <w:t xml:space="preserve">, </w:t>
      </w:r>
      <w:r w:rsidRPr="002D2ED8">
        <w:rPr>
          <w:bCs/>
          <w:color w:val="000000" w:themeColor="text1"/>
          <w:sz w:val="28"/>
          <w:szCs w:val="28"/>
          <w:lang w:val="en-US"/>
        </w:rPr>
        <w:t>AQR</w:t>
      </w:r>
      <w:r w:rsidRPr="002D2ED8">
        <w:rPr>
          <w:bCs/>
          <w:color w:val="000000" w:themeColor="text1"/>
          <w:sz w:val="28"/>
          <w:szCs w:val="28"/>
        </w:rPr>
        <w:t xml:space="preserve"> и НСТ с целью определения потенциальных рисков и достаточности капитала.</w:t>
      </w:r>
    </w:p>
    <w:p w14:paraId="2F72B218" w14:textId="77777777" w:rsidR="00375F25" w:rsidRPr="002D2ED8" w:rsidRDefault="00375F25" w:rsidP="00375F25">
      <w:pPr>
        <w:ind w:firstLine="709"/>
        <w:jc w:val="both"/>
        <w:rPr>
          <w:bCs/>
          <w:color w:val="000000" w:themeColor="text1"/>
          <w:sz w:val="28"/>
          <w:szCs w:val="28"/>
        </w:rPr>
      </w:pPr>
      <w:r w:rsidRPr="002D2ED8">
        <w:rPr>
          <w:bCs/>
          <w:color w:val="000000" w:themeColor="text1"/>
          <w:sz w:val="28"/>
          <w:szCs w:val="28"/>
        </w:rPr>
        <w:t xml:space="preserve">В 2023 году </w:t>
      </w:r>
      <w:r w:rsidRPr="002D2ED8">
        <w:rPr>
          <w:bCs/>
          <w:iCs/>
          <w:color w:val="000000" w:themeColor="text1"/>
          <w:sz w:val="28"/>
          <w:szCs w:val="28"/>
        </w:rPr>
        <w:t xml:space="preserve">Агентством планируется разработать собственную внутреннею методику расчета надзорной надбавки в зависимости от рисков в деятельности того или иного банка, включая: </w:t>
      </w:r>
    </w:p>
    <w:p w14:paraId="5E27094D" w14:textId="77777777" w:rsidR="00375F25" w:rsidRPr="002D2ED8" w:rsidRDefault="00375F25" w:rsidP="00375F25">
      <w:pPr>
        <w:numPr>
          <w:ilvl w:val="0"/>
          <w:numId w:val="5"/>
        </w:numPr>
        <w:tabs>
          <w:tab w:val="left" w:pos="1134"/>
        </w:tabs>
        <w:ind w:left="0" w:firstLine="709"/>
        <w:jc w:val="both"/>
        <w:rPr>
          <w:bCs/>
          <w:color w:val="000000" w:themeColor="text1"/>
          <w:sz w:val="28"/>
          <w:szCs w:val="28"/>
        </w:rPr>
      </w:pPr>
      <w:r w:rsidRPr="002D2ED8">
        <w:rPr>
          <w:bCs/>
          <w:color w:val="000000" w:themeColor="text1"/>
          <w:sz w:val="28"/>
          <w:szCs w:val="28"/>
        </w:rPr>
        <w:t>определение категорий оцениваемых рисков в рамках SREP;</w:t>
      </w:r>
    </w:p>
    <w:p w14:paraId="1A9CACDC" w14:textId="77777777" w:rsidR="00375F25" w:rsidRPr="002D2ED8" w:rsidRDefault="00375F25" w:rsidP="00375F25">
      <w:pPr>
        <w:numPr>
          <w:ilvl w:val="0"/>
          <w:numId w:val="5"/>
        </w:numPr>
        <w:tabs>
          <w:tab w:val="left" w:pos="1134"/>
        </w:tabs>
        <w:ind w:left="0" w:firstLine="709"/>
        <w:jc w:val="both"/>
        <w:rPr>
          <w:bCs/>
          <w:color w:val="000000" w:themeColor="text1"/>
          <w:sz w:val="28"/>
          <w:szCs w:val="28"/>
        </w:rPr>
      </w:pPr>
      <w:r w:rsidRPr="002D2ED8">
        <w:rPr>
          <w:bCs/>
          <w:color w:val="000000" w:themeColor="text1"/>
          <w:sz w:val="28"/>
          <w:szCs w:val="28"/>
        </w:rPr>
        <w:t>порядок расчета надбавки к коэффициентам достаточности капитала;</w:t>
      </w:r>
    </w:p>
    <w:p w14:paraId="07A03E41" w14:textId="77777777" w:rsidR="00375F25" w:rsidRPr="002D2ED8" w:rsidRDefault="00375F25" w:rsidP="00375F25">
      <w:pPr>
        <w:numPr>
          <w:ilvl w:val="0"/>
          <w:numId w:val="5"/>
        </w:numPr>
        <w:tabs>
          <w:tab w:val="left" w:pos="1134"/>
        </w:tabs>
        <w:ind w:left="0" w:firstLine="709"/>
        <w:jc w:val="both"/>
        <w:rPr>
          <w:bCs/>
          <w:color w:val="000000" w:themeColor="text1"/>
          <w:sz w:val="28"/>
          <w:szCs w:val="28"/>
        </w:rPr>
      </w:pPr>
      <w:r w:rsidRPr="002D2ED8">
        <w:rPr>
          <w:bCs/>
          <w:color w:val="000000" w:themeColor="text1"/>
          <w:sz w:val="28"/>
          <w:szCs w:val="28"/>
        </w:rPr>
        <w:t>определение матрицы значений надбавки за каждый компонент надбавки в зависимости от риск-профиля банка и показателя риска.</w:t>
      </w:r>
    </w:p>
    <w:p w14:paraId="2980FE49" w14:textId="7E02768F" w:rsidR="00375F25" w:rsidRPr="002D2ED8" w:rsidRDefault="00375F25" w:rsidP="00375F25">
      <w:pPr>
        <w:ind w:firstLine="709"/>
        <w:jc w:val="both"/>
        <w:rPr>
          <w:bCs/>
          <w:color w:val="000000" w:themeColor="text1"/>
          <w:sz w:val="28"/>
        </w:rPr>
      </w:pPr>
      <w:r w:rsidRPr="002D2ED8">
        <w:rPr>
          <w:bCs/>
          <w:color w:val="000000" w:themeColor="text1"/>
          <w:sz w:val="28"/>
        </w:rPr>
        <w:t xml:space="preserve">До конца текущего года планируется определить основные подходы к применению </w:t>
      </w:r>
      <w:r w:rsidRPr="002D2ED8">
        <w:rPr>
          <w:bCs/>
          <w:color w:val="000000" w:themeColor="text1"/>
          <w:sz w:val="28"/>
          <w:szCs w:val="28"/>
        </w:rPr>
        <w:t>регулятором надзорной надбавки на капитал,</w:t>
      </w:r>
      <w:r w:rsidRPr="002D2ED8">
        <w:rPr>
          <w:bCs/>
          <w:iCs/>
          <w:color w:val="000000" w:themeColor="text1"/>
          <w:sz w:val="28"/>
          <w:szCs w:val="28"/>
        </w:rPr>
        <w:t xml:space="preserve"> включая структуру надбавки и предельные значения</w:t>
      </w:r>
      <w:r w:rsidRPr="002D2ED8">
        <w:rPr>
          <w:bCs/>
          <w:color w:val="000000" w:themeColor="text1"/>
          <w:sz w:val="28"/>
          <w:szCs w:val="28"/>
        </w:rPr>
        <w:t xml:space="preserve"> в зависимости от выявленных рисков, </w:t>
      </w:r>
      <w:r w:rsidR="00B55B08" w:rsidRPr="002D2ED8">
        <w:rPr>
          <w:bCs/>
          <w:color w:val="000000" w:themeColor="text1"/>
          <w:sz w:val="28"/>
          <w:szCs w:val="28"/>
        </w:rPr>
        <w:t xml:space="preserve">которые </w:t>
      </w:r>
      <w:r w:rsidRPr="002D2ED8">
        <w:rPr>
          <w:bCs/>
          <w:color w:val="000000" w:themeColor="text1"/>
          <w:sz w:val="28"/>
          <w:szCs w:val="28"/>
        </w:rPr>
        <w:t xml:space="preserve">будут определены </w:t>
      </w:r>
      <w:r w:rsidRPr="002D2ED8">
        <w:rPr>
          <w:bCs/>
          <w:iCs/>
          <w:color w:val="000000" w:themeColor="text1"/>
          <w:sz w:val="28"/>
          <w:szCs w:val="28"/>
        </w:rPr>
        <w:t xml:space="preserve">в рамках </w:t>
      </w:r>
      <w:proofErr w:type="spellStart"/>
      <w:r w:rsidRPr="002D2ED8">
        <w:rPr>
          <w:bCs/>
          <w:iCs/>
          <w:color w:val="000000" w:themeColor="text1"/>
          <w:sz w:val="28"/>
          <w:szCs w:val="28"/>
        </w:rPr>
        <w:t>пруденциального</w:t>
      </w:r>
      <w:proofErr w:type="spellEnd"/>
      <w:r w:rsidRPr="002D2ED8">
        <w:rPr>
          <w:bCs/>
          <w:iCs/>
          <w:color w:val="000000" w:themeColor="text1"/>
          <w:sz w:val="28"/>
          <w:szCs w:val="28"/>
        </w:rPr>
        <w:t xml:space="preserve"> регулирования банков.</w:t>
      </w:r>
    </w:p>
    <w:p w14:paraId="54A7F29C" w14:textId="77777777" w:rsidR="00375F25" w:rsidRPr="002D2ED8" w:rsidRDefault="00375F25" w:rsidP="00375F25">
      <w:pPr>
        <w:ind w:firstLine="709"/>
        <w:jc w:val="both"/>
        <w:rPr>
          <w:bCs/>
          <w:color w:val="000000" w:themeColor="text1"/>
          <w:sz w:val="28"/>
          <w:szCs w:val="28"/>
        </w:rPr>
      </w:pPr>
      <w:r w:rsidRPr="002D2ED8">
        <w:rPr>
          <w:bCs/>
          <w:color w:val="000000" w:themeColor="text1"/>
          <w:sz w:val="28"/>
          <w:szCs w:val="28"/>
        </w:rPr>
        <w:t>В этой связи Агентством в 2023 года будет продолжена работа по разработке нормативной базы по внедрению индивидуальной надзорной надбавки на капитал банков с учетом оценки надзорного стресс-тестирования и результатов регулярного AQR.</w:t>
      </w:r>
    </w:p>
    <w:p w14:paraId="6B42E187" w14:textId="56CD4FE5" w:rsidR="00CB3450" w:rsidRPr="002D2ED8" w:rsidRDefault="00CB3450" w:rsidP="00C01CE8">
      <w:pPr>
        <w:tabs>
          <w:tab w:val="left" w:pos="1134"/>
          <w:tab w:val="left" w:pos="7655"/>
        </w:tabs>
        <w:ind w:firstLine="709"/>
        <w:jc w:val="both"/>
        <w:rPr>
          <w:bCs/>
          <w:color w:val="000000" w:themeColor="text1"/>
          <w:sz w:val="28"/>
          <w:szCs w:val="28"/>
        </w:rPr>
      </w:pPr>
    </w:p>
    <w:p w14:paraId="23FCB412" w14:textId="3312432F" w:rsidR="00B04AAD" w:rsidRPr="002D2ED8" w:rsidRDefault="00B04AAD"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66" w:name="_Toc127966725"/>
      <w:r w:rsidRPr="002D2ED8">
        <w:rPr>
          <w:rFonts w:ascii="Times New Roman" w:eastAsia="Calibri" w:hAnsi="Times New Roman" w:cs="Times New Roman"/>
          <w:i w:val="0"/>
        </w:rPr>
        <w:t>Разработка</w:t>
      </w:r>
      <w:r w:rsidRPr="002D2ED8">
        <w:rPr>
          <w:rFonts w:ascii="Times New Roman" w:hAnsi="Times New Roman" w:cs="Times New Roman"/>
          <w:i w:val="0"/>
        </w:rPr>
        <w:t xml:space="preserve"> ключевых требований к содержанию плана восстановления платежеспособности банка</w:t>
      </w:r>
      <w:r w:rsidRPr="002D2ED8">
        <w:rPr>
          <w:rFonts w:ascii="Times New Roman" w:eastAsia="Calibri" w:hAnsi="Times New Roman" w:cs="Times New Roman"/>
          <w:i w:val="0"/>
          <w:color w:val="000000" w:themeColor="text1"/>
          <w:lang w:eastAsia="en-US"/>
        </w:rPr>
        <w:t xml:space="preserve"> (</w:t>
      </w:r>
      <w:r w:rsidRPr="002D2ED8">
        <w:rPr>
          <w:rFonts w:ascii="Times New Roman" w:eastAsia="Calibri" w:hAnsi="Times New Roman" w:cs="Times New Roman"/>
          <w:i w:val="0"/>
          <w:color w:val="000000" w:themeColor="text1"/>
          <w:lang w:val="en-US" w:eastAsia="en-US"/>
        </w:rPr>
        <w:t>Recovery</w:t>
      </w:r>
      <w:r w:rsidRPr="002D2ED8">
        <w:rPr>
          <w:rFonts w:ascii="Times New Roman" w:eastAsia="Calibri" w:hAnsi="Times New Roman" w:cs="Times New Roman"/>
          <w:i w:val="0"/>
          <w:color w:val="000000" w:themeColor="text1"/>
          <w:lang w:eastAsia="en-US"/>
        </w:rPr>
        <w:t xml:space="preserve"> </w:t>
      </w:r>
      <w:r w:rsidRPr="002D2ED8">
        <w:rPr>
          <w:rFonts w:ascii="Times New Roman" w:eastAsia="Calibri" w:hAnsi="Times New Roman" w:cs="Times New Roman"/>
          <w:i w:val="0"/>
          <w:color w:val="000000" w:themeColor="text1"/>
          <w:lang w:val="en-US" w:eastAsia="en-US"/>
        </w:rPr>
        <w:t>Plans</w:t>
      </w:r>
      <w:r w:rsidRPr="002D2ED8">
        <w:rPr>
          <w:rFonts w:ascii="Times New Roman" w:eastAsia="Calibri" w:hAnsi="Times New Roman" w:cs="Times New Roman"/>
          <w:i w:val="0"/>
          <w:color w:val="000000" w:themeColor="text1"/>
          <w:lang w:eastAsia="en-US"/>
        </w:rPr>
        <w:t>)</w:t>
      </w:r>
      <w:bookmarkEnd w:id="66"/>
    </w:p>
    <w:p w14:paraId="2C1E0991" w14:textId="77777777" w:rsidR="00F553EF" w:rsidRPr="002D2ED8" w:rsidRDefault="00B04AAD" w:rsidP="00B04AAD">
      <w:pPr>
        <w:tabs>
          <w:tab w:val="left" w:pos="851"/>
          <w:tab w:val="left" w:pos="1134"/>
        </w:tabs>
        <w:ind w:firstLine="709"/>
        <w:jc w:val="both"/>
        <w:rPr>
          <w:color w:val="000000"/>
          <w:sz w:val="28"/>
          <w:szCs w:val="28"/>
        </w:rPr>
      </w:pPr>
      <w:r w:rsidRPr="002D2ED8">
        <w:rPr>
          <w:rFonts w:eastAsia="Calibri"/>
          <w:bCs/>
          <w:sz w:val="28"/>
        </w:rPr>
        <w:t>В целях снижения системных рисков и ограничения последствий потенциальной несостоятельности банков будет проведена работа по изучению и внедрению эффективных инструментов урегулирования несостоятельности банков. В частности, в данном направлении планируется разработка</w:t>
      </w:r>
      <w:r w:rsidRPr="002D2ED8">
        <w:rPr>
          <w:bCs/>
          <w:sz w:val="28"/>
        </w:rPr>
        <w:t xml:space="preserve"> </w:t>
      </w:r>
      <w:r w:rsidRPr="002D2ED8">
        <w:rPr>
          <w:bCs/>
          <w:i/>
          <w:sz w:val="28"/>
        </w:rPr>
        <w:t>ключевых требований к содержанию плана восстановления платежеспособности банка</w:t>
      </w:r>
      <w:r w:rsidR="00AF37F7" w:rsidRPr="002D2ED8">
        <w:rPr>
          <w:bCs/>
          <w:i/>
          <w:sz w:val="28"/>
        </w:rPr>
        <w:t xml:space="preserve"> </w:t>
      </w:r>
      <w:r w:rsidR="00AF37F7" w:rsidRPr="002D2ED8">
        <w:rPr>
          <w:bCs/>
          <w:i/>
          <w:sz w:val="28"/>
        </w:rPr>
        <w:lastRenderedPageBreak/>
        <w:t>(Recovery Plans)</w:t>
      </w:r>
      <w:r w:rsidRPr="002D2ED8">
        <w:rPr>
          <w:bCs/>
          <w:sz w:val="28"/>
        </w:rPr>
        <w:t xml:space="preserve"> и утверждение внутренней методологии оценки </w:t>
      </w:r>
      <w:r w:rsidRPr="002D2ED8">
        <w:rPr>
          <w:color w:val="000000"/>
          <w:sz w:val="28"/>
          <w:szCs w:val="28"/>
        </w:rPr>
        <w:t>эффективности планов восстановления платежеспособности.</w:t>
      </w:r>
      <w:r w:rsidR="002D164E" w:rsidRPr="002D2ED8">
        <w:rPr>
          <w:color w:val="000000"/>
          <w:sz w:val="28"/>
          <w:szCs w:val="28"/>
        </w:rPr>
        <w:t xml:space="preserve"> </w:t>
      </w:r>
    </w:p>
    <w:p w14:paraId="3094DF85" w14:textId="4EBFB8B6" w:rsidR="00B04AAD" w:rsidRPr="002D2ED8" w:rsidRDefault="002D164E" w:rsidP="00B04AAD">
      <w:pPr>
        <w:tabs>
          <w:tab w:val="left" w:pos="851"/>
          <w:tab w:val="left" w:pos="1134"/>
        </w:tabs>
        <w:ind w:firstLine="709"/>
        <w:jc w:val="both"/>
        <w:rPr>
          <w:rFonts w:eastAsia="Calibri"/>
          <w:bCs/>
          <w:sz w:val="28"/>
        </w:rPr>
      </w:pPr>
      <w:r w:rsidRPr="002D2ED8">
        <w:rPr>
          <w:color w:val="000000"/>
          <w:sz w:val="28"/>
          <w:szCs w:val="28"/>
        </w:rPr>
        <w:t xml:space="preserve">Работа будет проводиться в том числе с учетом результатов проводимой </w:t>
      </w:r>
      <w:r w:rsidRPr="002D2ED8">
        <w:rPr>
          <w:color w:val="000000" w:themeColor="text1"/>
          <w:sz w:val="28"/>
          <w:szCs w:val="28"/>
        </w:rPr>
        <w:t>Программы оценки финансового сектора Республики Казахстан (FSAP).</w:t>
      </w:r>
    </w:p>
    <w:p w14:paraId="1D7EF08A" w14:textId="165733D8" w:rsidR="00B04AAD" w:rsidRPr="002D2ED8" w:rsidRDefault="00B04AAD" w:rsidP="00C01CE8">
      <w:pPr>
        <w:tabs>
          <w:tab w:val="left" w:pos="1134"/>
          <w:tab w:val="left" w:pos="7655"/>
        </w:tabs>
        <w:ind w:firstLine="709"/>
        <w:jc w:val="both"/>
        <w:rPr>
          <w:bCs/>
          <w:color w:val="000000" w:themeColor="text1"/>
          <w:sz w:val="28"/>
          <w:szCs w:val="28"/>
        </w:rPr>
      </w:pPr>
    </w:p>
    <w:p w14:paraId="0A2C307F" w14:textId="77777777" w:rsidR="00B263B3" w:rsidRPr="002D2ED8" w:rsidRDefault="00B263B3"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67" w:name="_Toc127966726"/>
      <w:r w:rsidRPr="002D2ED8">
        <w:rPr>
          <w:rFonts w:ascii="Times New Roman" w:eastAsia="Calibri" w:hAnsi="Times New Roman" w:cs="Times New Roman"/>
          <w:i w:val="0"/>
          <w:color w:val="000000" w:themeColor="text1"/>
          <w:lang w:eastAsia="en-US"/>
        </w:rPr>
        <w:t>Усовершенствование законодательства по вопросам повышения финансовой устойчивости банков, развития банковского сектора и расширения конкуренции</w:t>
      </w:r>
      <w:bookmarkEnd w:id="67"/>
    </w:p>
    <w:p w14:paraId="5C4D1F06" w14:textId="21A9BCF4" w:rsidR="00B263B3" w:rsidRPr="002D2ED8" w:rsidRDefault="00B263B3" w:rsidP="00B263B3">
      <w:pPr>
        <w:autoSpaceDE w:val="0"/>
        <w:autoSpaceDN w:val="0"/>
        <w:adjustRightInd w:val="0"/>
        <w:ind w:firstLine="709"/>
        <w:jc w:val="both"/>
        <w:rPr>
          <w:color w:val="000000"/>
          <w:sz w:val="28"/>
          <w:szCs w:val="28"/>
          <w:lang w:eastAsia="en-GB"/>
        </w:rPr>
      </w:pPr>
      <w:r w:rsidRPr="002D2ED8">
        <w:rPr>
          <w:color w:val="000000"/>
          <w:sz w:val="28"/>
          <w:szCs w:val="28"/>
          <w:lang w:eastAsia="en-GB"/>
        </w:rPr>
        <w:t xml:space="preserve">Для целевого и эффективного использования банками государственных средств, выданных в целях оздоровления банковского сектора, а также стимулирования банков к досрочному выполнению своих обязательств по возврату указанных средств в банковское законодательство </w:t>
      </w:r>
      <w:r w:rsidR="00D20AB1" w:rsidRPr="002D2ED8">
        <w:rPr>
          <w:color w:val="000000"/>
          <w:sz w:val="28"/>
          <w:szCs w:val="28"/>
          <w:lang w:eastAsia="en-GB"/>
        </w:rPr>
        <w:t>Законом Республики Казахстан от 30.12.2022г. № 177-</w:t>
      </w:r>
      <w:r w:rsidR="00D20AB1" w:rsidRPr="002D2ED8">
        <w:rPr>
          <w:color w:val="000000"/>
          <w:sz w:val="28"/>
          <w:szCs w:val="28"/>
          <w:lang w:val="en-US" w:eastAsia="en-GB"/>
        </w:rPr>
        <w:t>VII</w:t>
      </w:r>
      <w:r w:rsidR="00D20AB1" w:rsidRPr="002D2ED8">
        <w:rPr>
          <w:color w:val="000000"/>
          <w:sz w:val="28"/>
          <w:szCs w:val="28"/>
          <w:lang w:eastAsia="en-GB"/>
        </w:rPr>
        <w:t xml:space="preserve"> «О внесении изменений и дополнений в некоторые законодательные акты Республики Казахстан по вопросам реализации отдельных поручений Главы государства» </w:t>
      </w:r>
      <w:r w:rsidRPr="002D2ED8">
        <w:rPr>
          <w:color w:val="000000"/>
          <w:sz w:val="28"/>
          <w:szCs w:val="28"/>
          <w:lang w:eastAsia="en-GB"/>
        </w:rPr>
        <w:t>внесены дополнения в части ограничения по распределению прибыли и начислению дивидендов по простым и (или) привилегированным акциям и (или бессрочным) финансовым инструментам, а также проведению обратного выкупа собственных акций</w:t>
      </w:r>
      <w:r w:rsidR="009B5347" w:rsidRPr="002D2ED8">
        <w:rPr>
          <w:color w:val="000000"/>
          <w:sz w:val="28"/>
          <w:szCs w:val="28"/>
          <w:lang w:eastAsia="en-GB"/>
        </w:rPr>
        <w:t xml:space="preserve"> банком, получившим средства государственной поддержки.</w:t>
      </w:r>
      <w:r w:rsidRPr="002D2ED8">
        <w:rPr>
          <w:color w:val="000000"/>
          <w:sz w:val="28"/>
          <w:szCs w:val="28"/>
          <w:lang w:eastAsia="en-GB"/>
        </w:rPr>
        <w:t xml:space="preserve"> </w:t>
      </w:r>
    </w:p>
    <w:p w14:paraId="15AC0D70" w14:textId="79DCD6C3" w:rsidR="00B263B3" w:rsidRPr="002D2ED8" w:rsidRDefault="007833CB" w:rsidP="00B263B3">
      <w:pPr>
        <w:pStyle w:val="aa"/>
        <w:shd w:val="clear" w:color="auto" w:fill="FFFFFF"/>
        <w:spacing w:before="0" w:beforeAutospacing="0" w:after="0" w:afterAutospacing="0"/>
        <w:ind w:firstLine="709"/>
        <w:jc w:val="both"/>
        <w:rPr>
          <w:color w:val="000000"/>
          <w:sz w:val="28"/>
          <w:szCs w:val="28"/>
          <w:lang w:eastAsia="en-GB"/>
        </w:rPr>
      </w:pPr>
      <w:r w:rsidRPr="002D2ED8">
        <w:rPr>
          <w:color w:val="000000"/>
          <w:sz w:val="28"/>
          <w:szCs w:val="28"/>
          <w:lang w:eastAsia="en-GB"/>
        </w:rPr>
        <w:t xml:space="preserve">Во исполнение данного закона </w:t>
      </w:r>
      <w:r w:rsidR="00B263B3" w:rsidRPr="002D2ED8">
        <w:rPr>
          <w:color w:val="000000"/>
          <w:sz w:val="28"/>
          <w:szCs w:val="28"/>
          <w:lang w:eastAsia="en-GB"/>
        </w:rPr>
        <w:t xml:space="preserve">Агентством разработан </w:t>
      </w:r>
      <w:r w:rsidR="00B263B3" w:rsidRPr="002D2ED8">
        <w:rPr>
          <w:i/>
          <w:color w:val="000000"/>
          <w:sz w:val="28"/>
          <w:szCs w:val="28"/>
          <w:lang w:eastAsia="en-GB"/>
        </w:rPr>
        <w:t>проект нормативного правового акта, устанавливающий условия распределения прибыли, начисления дивидендов по простым и (или) привилегированным акциям и (или бессрочным) финансовым инструментам, а также проведения обратного выкупа собственных акций</w:t>
      </w:r>
      <w:r w:rsidR="00B263B3" w:rsidRPr="002D2ED8">
        <w:rPr>
          <w:color w:val="000000"/>
          <w:sz w:val="28"/>
          <w:szCs w:val="28"/>
          <w:lang w:eastAsia="en-GB"/>
        </w:rPr>
        <w:t xml:space="preserve"> банком второго уровня,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Будет введено требование по получению банком независимого аудиторского заключения, определяющего, что выплата дивидендов осуществляется за счет операционной прибыли банка, и средства государственной поддержки не используются при распределении дивидендов. Указанные условия будут распространяться на банк второго уровня, на балансовом и (или) </w:t>
      </w:r>
      <w:proofErr w:type="gramStart"/>
      <w:r w:rsidR="00B263B3" w:rsidRPr="002D2ED8">
        <w:rPr>
          <w:color w:val="000000"/>
          <w:sz w:val="28"/>
          <w:szCs w:val="28"/>
          <w:lang w:eastAsia="en-GB"/>
        </w:rPr>
        <w:t>вне балансовом учете</w:t>
      </w:r>
      <w:proofErr w:type="gramEnd"/>
      <w:r w:rsidR="00B263B3" w:rsidRPr="002D2ED8">
        <w:rPr>
          <w:color w:val="000000"/>
          <w:sz w:val="28"/>
          <w:szCs w:val="28"/>
          <w:lang w:eastAsia="en-GB"/>
        </w:rPr>
        <w:t xml:space="preserve"> которого на дату определения нераспределенной прибыли в соответствии с международными стандартами финансовой отчетности имеются средства государственной поддержки.</w:t>
      </w:r>
    </w:p>
    <w:p w14:paraId="048C3684" w14:textId="77777777" w:rsidR="00B263B3" w:rsidRPr="002D2ED8" w:rsidRDefault="00B263B3" w:rsidP="00B263B3">
      <w:pPr>
        <w:pStyle w:val="ac"/>
        <w:ind w:left="0" w:firstLine="709"/>
        <w:jc w:val="both"/>
        <w:rPr>
          <w:rFonts w:eastAsia="Calibri"/>
          <w:color w:val="000000" w:themeColor="text1"/>
          <w:sz w:val="28"/>
          <w:szCs w:val="28"/>
          <w:lang w:eastAsia="en-US"/>
        </w:rPr>
      </w:pPr>
      <w:r w:rsidRPr="002D2ED8">
        <w:rPr>
          <w:rFonts w:eastAsia="Calibri"/>
          <w:color w:val="000000" w:themeColor="text1"/>
          <w:sz w:val="28"/>
          <w:szCs w:val="28"/>
          <w:lang w:eastAsia="en-US"/>
        </w:rPr>
        <w:t xml:space="preserve">В целях развития банковского сектора и расширения конкуренции, а также учитывая текущую концентрацию в банковском секторе, планируется провести оптимизацию лицензионных требований для банков. Одним из барьеров по вхождению на рынок банковских услуг новых банков является норма по запрету на привлечение банком депозитов физических лиц в течение одного года после открытия банка. Данная норма была введена в 2008 году, когда риск невозврата вкладов депозиторов был высоким. </w:t>
      </w:r>
    </w:p>
    <w:p w14:paraId="12141B9B" w14:textId="77777777" w:rsidR="00B263B3" w:rsidRPr="002D2ED8" w:rsidRDefault="00B263B3" w:rsidP="00B263B3">
      <w:pPr>
        <w:pStyle w:val="ac"/>
        <w:ind w:left="0" w:firstLine="709"/>
        <w:jc w:val="both"/>
        <w:rPr>
          <w:rFonts w:eastAsia="Calibri"/>
          <w:i/>
          <w:color w:val="000000" w:themeColor="text1"/>
          <w:sz w:val="28"/>
          <w:szCs w:val="28"/>
          <w:lang w:eastAsia="en-US"/>
        </w:rPr>
      </w:pPr>
      <w:r w:rsidRPr="002D2ED8">
        <w:rPr>
          <w:rFonts w:eastAsia="Calibri"/>
          <w:color w:val="000000" w:themeColor="text1"/>
          <w:sz w:val="28"/>
          <w:szCs w:val="28"/>
          <w:lang w:eastAsia="en-US"/>
        </w:rPr>
        <w:t xml:space="preserve">В связи с чем, Агентством планируется внесение поправок в законодательство, предусматривающих </w:t>
      </w:r>
      <w:r w:rsidRPr="002D2ED8">
        <w:rPr>
          <w:rFonts w:eastAsia="Calibri"/>
          <w:i/>
          <w:color w:val="000000" w:themeColor="text1"/>
          <w:sz w:val="28"/>
          <w:szCs w:val="28"/>
          <w:lang w:eastAsia="en-US"/>
        </w:rPr>
        <w:t xml:space="preserve">исключение нормы по запрету на </w:t>
      </w:r>
      <w:r w:rsidRPr="002D2ED8">
        <w:rPr>
          <w:rFonts w:eastAsia="Calibri"/>
          <w:i/>
          <w:color w:val="000000" w:themeColor="text1"/>
          <w:sz w:val="28"/>
          <w:szCs w:val="28"/>
          <w:lang w:eastAsia="en-US"/>
        </w:rPr>
        <w:lastRenderedPageBreak/>
        <w:t xml:space="preserve">привлечение банком депозитов физических лиц в течение одного года после открытия банка. </w:t>
      </w:r>
    </w:p>
    <w:p w14:paraId="2873BEE2" w14:textId="77777777" w:rsidR="00B263B3" w:rsidRPr="002D2ED8" w:rsidRDefault="00B263B3" w:rsidP="00B263B3">
      <w:pPr>
        <w:pStyle w:val="ac"/>
        <w:ind w:left="0" w:firstLine="709"/>
        <w:jc w:val="both"/>
        <w:rPr>
          <w:color w:val="000000" w:themeColor="text1"/>
          <w:sz w:val="28"/>
          <w:szCs w:val="28"/>
        </w:rPr>
      </w:pPr>
    </w:p>
    <w:p w14:paraId="1076AC2A" w14:textId="3CDCC662" w:rsidR="00BD70CD" w:rsidRPr="002D2ED8" w:rsidRDefault="001F0142"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68" w:name="_Toc126511027"/>
      <w:bookmarkStart w:id="69" w:name="_Toc126511166"/>
      <w:bookmarkStart w:id="70" w:name="_Toc127966727"/>
      <w:r w:rsidRPr="002D2ED8">
        <w:rPr>
          <w:rFonts w:ascii="Times New Roman" w:eastAsia="Calibri" w:hAnsi="Times New Roman" w:cs="Times New Roman"/>
          <w:i w:val="0"/>
          <w:color w:val="000000" w:themeColor="text1"/>
          <w:lang w:eastAsia="en-US"/>
        </w:rPr>
        <w:t>Разработка един</w:t>
      </w:r>
      <w:r w:rsidR="0088601D" w:rsidRPr="002D2ED8">
        <w:rPr>
          <w:rFonts w:ascii="Times New Roman" w:eastAsia="Calibri" w:hAnsi="Times New Roman" w:cs="Times New Roman"/>
          <w:i w:val="0"/>
          <w:color w:val="000000" w:themeColor="text1"/>
          <w:lang w:eastAsia="en-US"/>
        </w:rPr>
        <w:t>ых требований к цифровым платформам</w:t>
      </w:r>
      <w:r w:rsidRPr="002D2ED8">
        <w:rPr>
          <w:rFonts w:ascii="Times New Roman" w:eastAsia="Calibri" w:hAnsi="Times New Roman" w:cs="Times New Roman"/>
          <w:i w:val="0"/>
          <w:color w:val="000000" w:themeColor="text1"/>
          <w:lang w:eastAsia="en-US"/>
        </w:rPr>
        <w:t xml:space="preserve"> для купли-продажи стрессовых активов</w:t>
      </w:r>
      <w:bookmarkEnd w:id="68"/>
      <w:bookmarkEnd w:id="69"/>
      <w:bookmarkEnd w:id="70"/>
      <w:r w:rsidR="00D03E3E" w:rsidRPr="002D2ED8">
        <w:rPr>
          <w:rFonts w:ascii="Times New Roman" w:eastAsia="Calibri" w:hAnsi="Times New Roman" w:cs="Times New Roman"/>
          <w:i w:val="0"/>
          <w:color w:val="000000" w:themeColor="text1"/>
          <w:lang w:eastAsia="en-US"/>
        </w:rPr>
        <w:t xml:space="preserve"> </w:t>
      </w:r>
    </w:p>
    <w:p w14:paraId="1D262A88" w14:textId="77777777" w:rsidR="005B3E5F" w:rsidRPr="002D2ED8" w:rsidRDefault="005B3E5F" w:rsidP="005B3E5F">
      <w:pPr>
        <w:ind w:firstLine="708"/>
        <w:jc w:val="both"/>
        <w:rPr>
          <w:rFonts w:eastAsia="Calibri"/>
          <w:color w:val="000000" w:themeColor="text1"/>
          <w:sz w:val="28"/>
          <w:szCs w:val="28"/>
        </w:rPr>
      </w:pPr>
      <w:r w:rsidRPr="002D2ED8">
        <w:rPr>
          <w:rFonts w:eastAsia="Calibri"/>
          <w:color w:val="000000" w:themeColor="text1"/>
          <w:sz w:val="28"/>
          <w:szCs w:val="28"/>
        </w:rPr>
        <w:t xml:space="preserve">Для проведения анализа существующей инфраструктуры на рынке стрессовых активов и выработки предложений по созданию цифровой платформы Агентством создана Рабочая группа, в состав которой входят ключевые министерства, включая Министерство национальной экономики и Министерство финансов Республики Казахстан, организации </w:t>
      </w:r>
      <w:proofErr w:type="spellStart"/>
      <w:r w:rsidRPr="002D2ED8">
        <w:rPr>
          <w:rFonts w:eastAsia="Calibri"/>
          <w:color w:val="000000" w:themeColor="text1"/>
          <w:sz w:val="28"/>
          <w:szCs w:val="28"/>
        </w:rPr>
        <w:t>квазигосударственного</w:t>
      </w:r>
      <w:proofErr w:type="spellEnd"/>
      <w:r w:rsidRPr="002D2ED8">
        <w:rPr>
          <w:rFonts w:eastAsia="Calibri"/>
          <w:color w:val="000000" w:themeColor="text1"/>
          <w:sz w:val="28"/>
          <w:szCs w:val="28"/>
        </w:rPr>
        <w:t xml:space="preserve"> сектора, а также международные финансовые организации.</w:t>
      </w:r>
    </w:p>
    <w:p w14:paraId="5C3A5FA6" w14:textId="77777777" w:rsidR="005B3E5F" w:rsidRPr="002D2ED8" w:rsidRDefault="005B3E5F" w:rsidP="005B3E5F">
      <w:pPr>
        <w:ind w:firstLine="708"/>
        <w:jc w:val="both"/>
        <w:rPr>
          <w:rFonts w:eastAsia="Calibri"/>
          <w:color w:val="000000" w:themeColor="text1"/>
          <w:sz w:val="28"/>
          <w:szCs w:val="28"/>
        </w:rPr>
      </w:pPr>
      <w:r w:rsidRPr="002D2ED8">
        <w:rPr>
          <w:rFonts w:eastAsia="Calibri"/>
          <w:color w:val="000000" w:themeColor="text1"/>
          <w:sz w:val="28"/>
          <w:szCs w:val="28"/>
        </w:rPr>
        <w:t xml:space="preserve">Привлечена техническая помощь Европейского банка реконструкции и развития (ЕБРР) с участием международных консультантов KPMG и </w:t>
      </w:r>
      <w:proofErr w:type="spellStart"/>
      <w:r w:rsidRPr="002D2ED8">
        <w:rPr>
          <w:rFonts w:eastAsia="Calibri"/>
          <w:color w:val="000000" w:themeColor="text1"/>
          <w:sz w:val="28"/>
          <w:szCs w:val="28"/>
        </w:rPr>
        <w:t>Dentons</w:t>
      </w:r>
      <w:proofErr w:type="spellEnd"/>
      <w:r w:rsidRPr="002D2ED8">
        <w:rPr>
          <w:rFonts w:eastAsia="Calibri"/>
          <w:color w:val="000000" w:themeColor="text1"/>
          <w:sz w:val="28"/>
          <w:szCs w:val="28"/>
        </w:rPr>
        <w:t>. Проект реализован в течение 2022 года с июня по декабрь. По результатам реализации Проекта разработано технико-экономическое обоснование по созданию цифровой платформы (ТЭО). В рамках ТЭО проведен анализ международного опыта, определены подходы, функционал и выработаны рекомендации по выбору цифровой платформы.</w:t>
      </w:r>
    </w:p>
    <w:p w14:paraId="46743EA4" w14:textId="77777777" w:rsidR="005B3E5F" w:rsidRPr="002D2ED8" w:rsidRDefault="005B3E5F" w:rsidP="005B3E5F">
      <w:pPr>
        <w:ind w:firstLine="708"/>
        <w:jc w:val="both"/>
        <w:rPr>
          <w:rFonts w:eastAsia="Calibri"/>
          <w:color w:val="000000" w:themeColor="text1"/>
          <w:sz w:val="28"/>
          <w:szCs w:val="28"/>
        </w:rPr>
      </w:pPr>
      <w:r w:rsidRPr="002D2ED8">
        <w:rPr>
          <w:rFonts w:eastAsia="Calibri"/>
          <w:color w:val="000000" w:themeColor="text1"/>
          <w:sz w:val="28"/>
          <w:szCs w:val="28"/>
        </w:rPr>
        <w:t>Проведенные в рамках ТЭО анализ международного опыта и детальное изучение имеющихся в Казахстане цифровых платформ показали, что целесообразным является применение подхода, который предполагает функционирование нескольких цифровых платформ, удовлетворяющим определенным единым требованиям.</w:t>
      </w:r>
    </w:p>
    <w:p w14:paraId="74940386" w14:textId="77777777" w:rsidR="005B3E5F" w:rsidRPr="002D2ED8" w:rsidRDefault="005B3E5F" w:rsidP="005B3E5F">
      <w:pPr>
        <w:ind w:firstLine="708"/>
        <w:jc w:val="both"/>
        <w:rPr>
          <w:rFonts w:eastAsia="Calibri"/>
          <w:color w:val="000000" w:themeColor="text1"/>
          <w:sz w:val="28"/>
          <w:szCs w:val="28"/>
        </w:rPr>
      </w:pPr>
      <w:r w:rsidRPr="002D2ED8">
        <w:rPr>
          <w:rFonts w:eastAsia="Calibri"/>
          <w:color w:val="000000" w:themeColor="text1"/>
          <w:sz w:val="28"/>
          <w:szCs w:val="28"/>
        </w:rPr>
        <w:t xml:space="preserve">Единые требования необходимы для создания равного доступа действующим и создаваемым платформам, а также для обеспечения прозрачности и предсказуемости для инвесторов процесса торговли стрессовыми активами. В этой связи, </w:t>
      </w:r>
      <w:r w:rsidRPr="002D2ED8">
        <w:rPr>
          <w:rFonts w:eastAsia="Calibri"/>
          <w:i/>
          <w:color w:val="000000" w:themeColor="text1"/>
          <w:sz w:val="28"/>
          <w:szCs w:val="28"/>
        </w:rPr>
        <w:t xml:space="preserve">на законодательном уровне будут установлены единые требования к цифровым платформам, </w:t>
      </w:r>
      <w:r w:rsidRPr="002D2ED8">
        <w:rPr>
          <w:rFonts w:eastAsia="Calibri"/>
          <w:color w:val="000000" w:themeColor="text1"/>
          <w:sz w:val="28"/>
          <w:szCs w:val="28"/>
        </w:rPr>
        <w:t>которые должны быть выполнены для того, чтобы платформа могла осуществлять продажу стрессовых активов. Только платформы, отвечающие этим требованиям, будут иметь право на проведение продаж, то есть будет введен процесс аккредитации платформ.</w:t>
      </w:r>
    </w:p>
    <w:p w14:paraId="644A7724" w14:textId="30A5C58F" w:rsidR="00226F20" w:rsidRPr="002D2ED8" w:rsidRDefault="00226F20" w:rsidP="00226F20">
      <w:pPr>
        <w:ind w:firstLine="708"/>
        <w:jc w:val="both"/>
        <w:rPr>
          <w:color w:val="000000" w:themeColor="text1"/>
          <w:sz w:val="28"/>
          <w:szCs w:val="28"/>
        </w:rPr>
      </w:pPr>
      <w:r w:rsidRPr="002D2ED8">
        <w:rPr>
          <w:color w:val="000000" w:themeColor="text1"/>
          <w:sz w:val="28"/>
          <w:szCs w:val="28"/>
        </w:rPr>
        <w:t>В 2023 году для реализации выбранной модели функционирования цифровой платформы, предполагающей функционировани</w:t>
      </w:r>
      <w:r w:rsidR="003E00DF" w:rsidRPr="002D2ED8">
        <w:rPr>
          <w:color w:val="000000" w:themeColor="text1"/>
          <w:sz w:val="28"/>
          <w:szCs w:val="28"/>
        </w:rPr>
        <w:t>е</w:t>
      </w:r>
      <w:r w:rsidRPr="002D2ED8">
        <w:rPr>
          <w:color w:val="000000" w:themeColor="text1"/>
          <w:sz w:val="28"/>
          <w:szCs w:val="28"/>
        </w:rPr>
        <w:t xml:space="preserve"> нескольких цифровых платформ, удовлетворяющим определенным единым требованиям, на законодательном уровне будут установлены положения по обязательной продаже стрессовых активов на цифровой платформе и наделения Агентства полномочиями по установлению единых требований к цифровым платформам.</w:t>
      </w:r>
    </w:p>
    <w:p w14:paraId="17C97BB8" w14:textId="77777777" w:rsidR="00226F20" w:rsidRPr="002D2ED8" w:rsidRDefault="00226F20" w:rsidP="00226F20">
      <w:pPr>
        <w:ind w:firstLine="708"/>
        <w:jc w:val="both"/>
        <w:rPr>
          <w:color w:val="000000" w:themeColor="text1"/>
          <w:sz w:val="28"/>
          <w:szCs w:val="28"/>
        </w:rPr>
      </w:pPr>
      <w:r w:rsidRPr="002D2ED8">
        <w:rPr>
          <w:color w:val="000000" w:themeColor="text1"/>
          <w:sz w:val="28"/>
          <w:szCs w:val="28"/>
        </w:rPr>
        <w:t>После принятия указанных законодательных поправок на нормативном уровне будут установлены единые требования к цифровым платформам, включающие следующее:</w:t>
      </w:r>
    </w:p>
    <w:p w14:paraId="279BFAF1" w14:textId="77777777" w:rsidR="00226F20" w:rsidRPr="002D2ED8" w:rsidRDefault="00226F20" w:rsidP="00F65166">
      <w:pPr>
        <w:pStyle w:val="ac"/>
        <w:numPr>
          <w:ilvl w:val="0"/>
          <w:numId w:val="12"/>
        </w:numPr>
        <w:jc w:val="both"/>
        <w:rPr>
          <w:color w:val="000000" w:themeColor="text1"/>
          <w:sz w:val="28"/>
          <w:szCs w:val="28"/>
        </w:rPr>
      </w:pPr>
      <w:r w:rsidRPr="002D2ED8">
        <w:rPr>
          <w:color w:val="000000" w:themeColor="text1"/>
          <w:sz w:val="28"/>
          <w:szCs w:val="28"/>
        </w:rPr>
        <w:t>определение функциональных и технических параметров цифровой платформы;</w:t>
      </w:r>
    </w:p>
    <w:p w14:paraId="25F6B2C3" w14:textId="77777777" w:rsidR="00226F20" w:rsidRPr="002D2ED8" w:rsidRDefault="00226F20" w:rsidP="00F65166">
      <w:pPr>
        <w:pStyle w:val="ac"/>
        <w:numPr>
          <w:ilvl w:val="0"/>
          <w:numId w:val="12"/>
        </w:numPr>
        <w:jc w:val="both"/>
        <w:rPr>
          <w:color w:val="000000" w:themeColor="text1"/>
          <w:sz w:val="28"/>
          <w:szCs w:val="28"/>
        </w:rPr>
      </w:pPr>
      <w:r w:rsidRPr="002D2ED8">
        <w:rPr>
          <w:color w:val="000000" w:themeColor="text1"/>
          <w:sz w:val="28"/>
          <w:szCs w:val="28"/>
        </w:rPr>
        <w:t>обеспечение информационной безопасности, включая защиту IT-систем;</w:t>
      </w:r>
    </w:p>
    <w:p w14:paraId="0434BA0F" w14:textId="77777777" w:rsidR="00226F20" w:rsidRPr="002D2ED8" w:rsidRDefault="00226F20" w:rsidP="00F65166">
      <w:pPr>
        <w:pStyle w:val="ac"/>
        <w:numPr>
          <w:ilvl w:val="0"/>
          <w:numId w:val="12"/>
        </w:numPr>
        <w:jc w:val="both"/>
        <w:rPr>
          <w:color w:val="000000" w:themeColor="text1"/>
          <w:sz w:val="28"/>
          <w:szCs w:val="28"/>
        </w:rPr>
      </w:pPr>
      <w:r w:rsidRPr="002D2ED8">
        <w:rPr>
          <w:color w:val="000000" w:themeColor="text1"/>
          <w:sz w:val="28"/>
          <w:szCs w:val="28"/>
        </w:rPr>
        <w:lastRenderedPageBreak/>
        <w:t>определение периметра активов для продажи (кредиты, взысканное имущество, активы на балансах дочерних организаций банков, осуществляющих управление стрессовыми активами);</w:t>
      </w:r>
    </w:p>
    <w:p w14:paraId="75D29568" w14:textId="77777777" w:rsidR="00226F20" w:rsidRPr="002D2ED8" w:rsidRDefault="00226F20" w:rsidP="00F65166">
      <w:pPr>
        <w:pStyle w:val="ac"/>
        <w:numPr>
          <w:ilvl w:val="0"/>
          <w:numId w:val="12"/>
        </w:numPr>
        <w:jc w:val="both"/>
        <w:rPr>
          <w:color w:val="000000" w:themeColor="text1"/>
          <w:sz w:val="28"/>
          <w:szCs w:val="28"/>
        </w:rPr>
      </w:pPr>
      <w:r w:rsidRPr="002D2ED8">
        <w:rPr>
          <w:color w:val="000000" w:themeColor="text1"/>
          <w:sz w:val="28"/>
          <w:szCs w:val="28"/>
        </w:rPr>
        <w:t>требования к обмену, хранению, анализу и валидации информации об активах в соответствии с установленными шаблонами данных;</w:t>
      </w:r>
    </w:p>
    <w:p w14:paraId="2ABAAD52" w14:textId="77777777" w:rsidR="00226F20" w:rsidRPr="002D2ED8" w:rsidRDefault="00226F20" w:rsidP="00F65166">
      <w:pPr>
        <w:pStyle w:val="ac"/>
        <w:numPr>
          <w:ilvl w:val="0"/>
          <w:numId w:val="12"/>
        </w:numPr>
        <w:jc w:val="both"/>
        <w:rPr>
          <w:color w:val="000000" w:themeColor="text1"/>
          <w:sz w:val="28"/>
          <w:szCs w:val="28"/>
        </w:rPr>
      </w:pPr>
      <w:r w:rsidRPr="002D2ED8">
        <w:rPr>
          <w:color w:val="000000" w:themeColor="text1"/>
          <w:sz w:val="28"/>
          <w:szCs w:val="28"/>
        </w:rPr>
        <w:t>утверждение шаблонов данных по стрессовым активам, включающих сведения по займам и взысканному имуществу;</w:t>
      </w:r>
    </w:p>
    <w:p w14:paraId="5697E40D" w14:textId="77777777" w:rsidR="00226F20" w:rsidRPr="002D2ED8" w:rsidRDefault="00226F20" w:rsidP="00F65166">
      <w:pPr>
        <w:pStyle w:val="ac"/>
        <w:numPr>
          <w:ilvl w:val="0"/>
          <w:numId w:val="12"/>
        </w:numPr>
        <w:jc w:val="both"/>
        <w:rPr>
          <w:color w:val="000000" w:themeColor="text1"/>
          <w:sz w:val="28"/>
          <w:szCs w:val="28"/>
        </w:rPr>
      </w:pPr>
      <w:r w:rsidRPr="002D2ED8">
        <w:rPr>
          <w:color w:val="000000" w:themeColor="text1"/>
          <w:sz w:val="28"/>
          <w:szCs w:val="28"/>
        </w:rPr>
        <w:t>требования к регистрации участников и проведению аукционов.</w:t>
      </w:r>
    </w:p>
    <w:p w14:paraId="1C14A895" w14:textId="70B13024" w:rsidR="00226F20" w:rsidRPr="002D2ED8" w:rsidRDefault="00226F20" w:rsidP="00226F20">
      <w:pPr>
        <w:tabs>
          <w:tab w:val="left" w:pos="7655"/>
        </w:tabs>
        <w:ind w:firstLine="709"/>
        <w:jc w:val="both"/>
        <w:rPr>
          <w:color w:val="000000" w:themeColor="text1"/>
          <w:sz w:val="28"/>
          <w:szCs w:val="28"/>
        </w:rPr>
      </w:pPr>
      <w:r w:rsidRPr="002D2ED8">
        <w:rPr>
          <w:color w:val="000000" w:themeColor="text1"/>
          <w:sz w:val="28"/>
          <w:szCs w:val="28"/>
        </w:rPr>
        <w:t>В целях предоставления равного доступа действующим и создаваемым платформам будет предоставлен определенный период времени для приведения деятельности в соответствие требованиям для аккредитации в качестве цифровой платформы по реализации стрессовых активов.</w:t>
      </w:r>
    </w:p>
    <w:p w14:paraId="5890C3BF" w14:textId="4C7EC073" w:rsidR="00D03E3E" w:rsidRPr="002D2ED8" w:rsidRDefault="00D03E3E" w:rsidP="00226F20">
      <w:pPr>
        <w:tabs>
          <w:tab w:val="left" w:pos="7655"/>
        </w:tabs>
        <w:ind w:firstLine="709"/>
        <w:jc w:val="both"/>
        <w:rPr>
          <w:bCs/>
          <w:color w:val="000000" w:themeColor="text1"/>
          <w:sz w:val="28"/>
          <w:szCs w:val="28"/>
        </w:rPr>
      </w:pPr>
    </w:p>
    <w:p w14:paraId="5E4EE270" w14:textId="1939B3E1" w:rsidR="00D03E3E" w:rsidRPr="002D2ED8" w:rsidRDefault="00D03E3E" w:rsidP="00A747CF">
      <w:pPr>
        <w:pStyle w:val="2"/>
        <w:numPr>
          <w:ilvl w:val="1"/>
          <w:numId w:val="17"/>
        </w:numPr>
        <w:spacing w:before="0" w:after="0"/>
        <w:ind w:left="0" w:firstLine="709"/>
        <w:jc w:val="both"/>
        <w:rPr>
          <w:rFonts w:ascii="Times New Roman" w:eastAsia="Calibri" w:hAnsi="Times New Roman" w:cs="Times New Roman"/>
          <w:i w:val="0"/>
          <w:color w:val="000000" w:themeColor="text1"/>
          <w:lang w:eastAsia="en-US"/>
        </w:rPr>
      </w:pPr>
      <w:bookmarkStart w:id="71" w:name="_Toc127966728"/>
      <w:r w:rsidRPr="002D2ED8">
        <w:rPr>
          <w:rFonts w:ascii="Times New Roman" w:eastAsia="Calibri" w:hAnsi="Times New Roman" w:cs="Times New Roman"/>
          <w:i w:val="0"/>
          <w:color w:val="000000" w:themeColor="text1"/>
          <w:lang w:eastAsia="en-US"/>
        </w:rPr>
        <w:t xml:space="preserve">Регуляторные инициативы </w:t>
      </w:r>
      <w:r w:rsidR="009F584C" w:rsidRPr="002D2ED8">
        <w:rPr>
          <w:rFonts w:ascii="Times New Roman" w:eastAsia="Calibri" w:hAnsi="Times New Roman" w:cs="Times New Roman"/>
          <w:i w:val="0"/>
          <w:color w:val="000000" w:themeColor="text1"/>
          <w:lang w:eastAsia="en-US"/>
        </w:rPr>
        <w:t>по</w:t>
      </w:r>
      <w:r w:rsidR="00511EAB" w:rsidRPr="002D2ED8">
        <w:rPr>
          <w:rFonts w:ascii="Times New Roman" w:eastAsia="Calibri" w:hAnsi="Times New Roman" w:cs="Times New Roman"/>
          <w:i w:val="0"/>
          <w:color w:val="000000" w:themeColor="text1"/>
          <w:lang w:eastAsia="en-US"/>
        </w:rPr>
        <w:t xml:space="preserve"> внедрению</w:t>
      </w:r>
      <w:r w:rsidR="009F584C" w:rsidRPr="002D2ED8">
        <w:rPr>
          <w:rFonts w:ascii="Times New Roman" w:eastAsia="Calibri" w:hAnsi="Times New Roman" w:cs="Times New Roman"/>
          <w:i w:val="0"/>
          <w:color w:val="000000" w:themeColor="text1"/>
          <w:lang w:eastAsia="en-US"/>
        </w:rPr>
        <w:t xml:space="preserve"> принцип</w:t>
      </w:r>
      <w:r w:rsidR="00511EAB" w:rsidRPr="002D2ED8">
        <w:rPr>
          <w:rFonts w:ascii="Times New Roman" w:eastAsia="Calibri" w:hAnsi="Times New Roman" w:cs="Times New Roman"/>
          <w:i w:val="0"/>
          <w:color w:val="000000" w:themeColor="text1"/>
          <w:lang w:eastAsia="en-US"/>
        </w:rPr>
        <w:t>ов</w:t>
      </w:r>
      <w:r w:rsidR="009F584C" w:rsidRPr="002D2ED8">
        <w:rPr>
          <w:rFonts w:ascii="Times New Roman" w:eastAsia="Calibri" w:hAnsi="Times New Roman" w:cs="Times New Roman"/>
          <w:i w:val="0"/>
          <w:color w:val="000000" w:themeColor="text1"/>
          <w:lang w:eastAsia="en-US"/>
        </w:rPr>
        <w:t xml:space="preserve"> ESG</w:t>
      </w:r>
      <w:bookmarkEnd w:id="71"/>
    </w:p>
    <w:p w14:paraId="157BAE4F" w14:textId="77777777"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Агентством будет продолжена постепенная (поэтапная) интеграция принципов ESG в стратегии и бизнес-модели финансовых организаций.</w:t>
      </w:r>
    </w:p>
    <w:p w14:paraId="44DABE9A" w14:textId="28089932"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В 2023 год</w:t>
      </w:r>
      <w:r w:rsidR="0092349A" w:rsidRPr="002D2ED8">
        <w:rPr>
          <w:bCs/>
          <w:color w:val="000000" w:themeColor="text1"/>
          <w:sz w:val="28"/>
          <w:szCs w:val="28"/>
        </w:rPr>
        <w:t>у</w:t>
      </w:r>
      <w:r w:rsidRPr="002D2ED8">
        <w:rPr>
          <w:bCs/>
          <w:color w:val="000000" w:themeColor="text1"/>
          <w:sz w:val="28"/>
          <w:szCs w:val="28"/>
        </w:rPr>
        <w:t xml:space="preserve"> будут утверждены Рекомендации по раскрытию финансовыми организациями информации о степени подверженности рискам ESG.</w:t>
      </w:r>
    </w:p>
    <w:p w14:paraId="16CEF2BD" w14:textId="77777777"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Планируется, что раскрытие нефинансовой информации будет осуществляться в рамках трех блоков: определение существенной ESG информации, управление ESG факторами, корпоративное управление.</w:t>
      </w:r>
    </w:p>
    <w:p w14:paraId="1C42F981" w14:textId="77777777"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Рекомендации будут содержать требования к подготовке ESG отчета, в частности к объему, качеству раскрываемой информации, формату и периодичности. Кроме того, будет представлен список общих ключевых показателей ESG.</w:t>
      </w:r>
    </w:p>
    <w:p w14:paraId="506A9038" w14:textId="488C7E07"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 xml:space="preserve">Агентством совместно с банками будут обсуждены планы и сроки по внедрению для финансовых организаций ключевых стандартов ESG в области раскрытия нефинансовой информации по критериям ESG, а также оценке и управлению ESG рисками. </w:t>
      </w:r>
      <w:r w:rsidR="006A0727" w:rsidRPr="002D2ED8">
        <w:rPr>
          <w:bCs/>
          <w:color w:val="000000" w:themeColor="text1"/>
          <w:sz w:val="28"/>
          <w:szCs w:val="28"/>
        </w:rPr>
        <w:t>Одновременно</w:t>
      </w:r>
      <w:r w:rsidRPr="002D2ED8">
        <w:rPr>
          <w:bCs/>
          <w:color w:val="000000" w:themeColor="text1"/>
          <w:sz w:val="28"/>
          <w:szCs w:val="28"/>
        </w:rPr>
        <w:t xml:space="preserve">, Агентством в течение 2023 года совместно с Международной финансовой корпорацией (IFC) будут проведены обучающие семинары для финансового сектора по вопросам внедрения принципов ESG. </w:t>
      </w:r>
    </w:p>
    <w:p w14:paraId="232BA3B0" w14:textId="77777777"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Планируется, что процесс внедрения стандартов ESG и переход от их добровольного соблюдения к обязательному будет поэтапным, что предоставит финансовым организациям возможность адаптации к новым регуляторным требованиям.</w:t>
      </w:r>
    </w:p>
    <w:p w14:paraId="5C336DA1" w14:textId="77777777" w:rsidR="00D02C85" w:rsidRPr="002D2ED8" w:rsidRDefault="00D02C85" w:rsidP="00D02C85">
      <w:pPr>
        <w:ind w:firstLine="709"/>
        <w:jc w:val="both"/>
        <w:rPr>
          <w:bCs/>
          <w:color w:val="000000" w:themeColor="text1"/>
          <w:sz w:val="28"/>
          <w:szCs w:val="28"/>
        </w:rPr>
      </w:pPr>
      <w:r w:rsidRPr="002D2ED8">
        <w:rPr>
          <w:bCs/>
          <w:color w:val="000000" w:themeColor="text1"/>
          <w:sz w:val="28"/>
          <w:szCs w:val="28"/>
        </w:rPr>
        <w:t xml:space="preserve">В дальнейшем контроль над ESG-рисками будет внедряться в систему надзора финансовых организаций. При этом мониторинг рисков ESG будет осуществляться </w:t>
      </w:r>
      <w:r w:rsidRPr="002D2ED8">
        <w:rPr>
          <w:bCs/>
          <w:i/>
          <w:color w:val="000000" w:themeColor="text1"/>
          <w:sz w:val="28"/>
          <w:szCs w:val="28"/>
        </w:rPr>
        <w:t>в рамках ежегодной надзорной оценки SREP</w:t>
      </w:r>
      <w:r w:rsidRPr="002D2ED8">
        <w:rPr>
          <w:bCs/>
          <w:color w:val="000000" w:themeColor="text1"/>
          <w:sz w:val="28"/>
          <w:szCs w:val="28"/>
        </w:rPr>
        <w:t xml:space="preserve"> по банкам.</w:t>
      </w:r>
    </w:p>
    <w:p w14:paraId="3C019966" w14:textId="48E4BF05" w:rsidR="00D02C85" w:rsidRPr="002D2ED8" w:rsidRDefault="00D02C85" w:rsidP="00D02C85">
      <w:pPr>
        <w:ind w:firstLine="709"/>
        <w:jc w:val="both"/>
        <w:rPr>
          <w:bCs/>
          <w:i/>
          <w:color w:val="000000" w:themeColor="text1"/>
          <w:sz w:val="28"/>
          <w:szCs w:val="28"/>
        </w:rPr>
      </w:pPr>
      <w:r w:rsidRPr="002D2ED8">
        <w:rPr>
          <w:bCs/>
          <w:color w:val="000000" w:themeColor="text1"/>
          <w:sz w:val="28"/>
          <w:szCs w:val="28"/>
        </w:rPr>
        <w:t xml:space="preserve">Кроме того, Агентством планируется проведение </w:t>
      </w:r>
      <w:r w:rsidRPr="002D2ED8">
        <w:rPr>
          <w:bCs/>
          <w:i/>
          <w:color w:val="000000" w:themeColor="text1"/>
          <w:sz w:val="28"/>
          <w:szCs w:val="28"/>
        </w:rPr>
        <w:t>стресс-тестирования</w:t>
      </w:r>
      <w:r w:rsidRPr="002D2ED8">
        <w:rPr>
          <w:bCs/>
          <w:color w:val="000000" w:themeColor="text1"/>
          <w:sz w:val="28"/>
          <w:szCs w:val="28"/>
        </w:rPr>
        <w:t xml:space="preserve"> </w:t>
      </w:r>
      <w:r w:rsidRPr="002D2ED8">
        <w:rPr>
          <w:bCs/>
          <w:i/>
          <w:color w:val="000000" w:themeColor="text1"/>
          <w:sz w:val="28"/>
          <w:szCs w:val="28"/>
        </w:rPr>
        <w:t xml:space="preserve">климатических рисков для банков в 2024 году, для которого будут разработаны </w:t>
      </w:r>
      <w:r w:rsidR="0072597E" w:rsidRPr="002D2ED8">
        <w:rPr>
          <w:bCs/>
          <w:i/>
          <w:color w:val="000000" w:themeColor="text1"/>
          <w:sz w:val="28"/>
          <w:szCs w:val="28"/>
        </w:rPr>
        <w:t xml:space="preserve">соответствующие </w:t>
      </w:r>
      <w:r w:rsidRPr="002D2ED8">
        <w:rPr>
          <w:bCs/>
          <w:i/>
          <w:color w:val="000000" w:themeColor="text1"/>
          <w:sz w:val="28"/>
          <w:szCs w:val="28"/>
        </w:rPr>
        <w:t>сценарии.</w:t>
      </w:r>
    </w:p>
    <w:p w14:paraId="6E8D3AEA" w14:textId="3A1AC1B4" w:rsidR="009617B0" w:rsidRPr="002D2ED8" w:rsidRDefault="009617B0" w:rsidP="001E6D4B">
      <w:pPr>
        <w:widowControl w:val="0"/>
        <w:tabs>
          <w:tab w:val="left" w:pos="993"/>
        </w:tabs>
        <w:ind w:firstLine="709"/>
        <w:jc w:val="both"/>
        <w:rPr>
          <w:color w:val="000000" w:themeColor="text1"/>
          <w:sz w:val="28"/>
          <w:szCs w:val="28"/>
        </w:rPr>
      </w:pPr>
    </w:p>
    <w:p w14:paraId="2F85E3A5" w14:textId="77777777" w:rsidR="00140A5C" w:rsidRPr="002D2ED8" w:rsidRDefault="00140A5C" w:rsidP="001E6D4B">
      <w:pPr>
        <w:widowControl w:val="0"/>
        <w:tabs>
          <w:tab w:val="left" w:pos="993"/>
        </w:tabs>
        <w:ind w:firstLine="709"/>
        <w:jc w:val="both"/>
        <w:rPr>
          <w:color w:val="000000" w:themeColor="text1"/>
          <w:sz w:val="28"/>
          <w:szCs w:val="28"/>
        </w:rPr>
      </w:pPr>
    </w:p>
    <w:p w14:paraId="2B70A594" w14:textId="74B6503A" w:rsidR="00AA0270" w:rsidRPr="002D2ED8" w:rsidRDefault="00AA0270" w:rsidP="00865525">
      <w:pPr>
        <w:pStyle w:val="2"/>
        <w:spacing w:before="0" w:after="0"/>
        <w:ind w:left="709"/>
        <w:jc w:val="both"/>
        <w:rPr>
          <w:rFonts w:ascii="Times New Roman" w:eastAsia="Calibri" w:hAnsi="Times New Roman" w:cs="Times New Roman"/>
          <w:i w:val="0"/>
          <w:color w:val="000000" w:themeColor="text1"/>
          <w:lang w:eastAsia="en-US"/>
        </w:rPr>
      </w:pPr>
      <w:bookmarkStart w:id="72" w:name="_Toc127966729"/>
      <w:r w:rsidRPr="002D2ED8">
        <w:rPr>
          <w:rFonts w:ascii="Times New Roman" w:eastAsia="Calibri" w:hAnsi="Times New Roman" w:cs="Times New Roman"/>
          <w:i w:val="0"/>
          <w:color w:val="000000" w:themeColor="text1"/>
          <w:lang w:eastAsia="en-US"/>
        </w:rPr>
        <w:lastRenderedPageBreak/>
        <w:t>Заключение</w:t>
      </w:r>
      <w:bookmarkEnd w:id="72"/>
    </w:p>
    <w:p w14:paraId="1130BA3C" w14:textId="77777777" w:rsidR="00AA0270" w:rsidRPr="002D2ED8" w:rsidRDefault="00AA0270" w:rsidP="00AA0270">
      <w:pPr>
        <w:pStyle w:val="ac"/>
        <w:ind w:left="0" w:firstLine="709"/>
        <w:jc w:val="both"/>
        <w:rPr>
          <w:b/>
          <w:color w:val="000000" w:themeColor="text1"/>
          <w:sz w:val="28"/>
          <w:szCs w:val="28"/>
        </w:rPr>
      </w:pPr>
    </w:p>
    <w:p w14:paraId="47A6BE9C" w14:textId="36C4C932" w:rsidR="00EC3ABF" w:rsidRPr="002D2ED8" w:rsidRDefault="00EC3ABF" w:rsidP="00AA0270">
      <w:pPr>
        <w:pStyle w:val="ac"/>
        <w:ind w:left="0" w:firstLine="709"/>
        <w:jc w:val="both"/>
        <w:rPr>
          <w:color w:val="000000" w:themeColor="text1"/>
          <w:sz w:val="28"/>
          <w:szCs w:val="28"/>
        </w:rPr>
      </w:pPr>
      <w:r w:rsidRPr="002D2ED8">
        <w:rPr>
          <w:color w:val="000000" w:themeColor="text1"/>
          <w:sz w:val="28"/>
          <w:szCs w:val="28"/>
        </w:rPr>
        <w:t>В 2022</w:t>
      </w:r>
      <w:r w:rsidR="00727BB5" w:rsidRPr="002D2ED8">
        <w:rPr>
          <w:color w:val="000000" w:themeColor="text1"/>
          <w:sz w:val="28"/>
          <w:szCs w:val="28"/>
        </w:rPr>
        <w:t xml:space="preserve"> году</w:t>
      </w:r>
      <w:r w:rsidRPr="002D2ED8">
        <w:rPr>
          <w:color w:val="000000" w:themeColor="text1"/>
          <w:sz w:val="28"/>
          <w:szCs w:val="28"/>
        </w:rPr>
        <w:t xml:space="preserve"> реализовались геополитические риски. Конфликт России</w:t>
      </w:r>
      <w:r w:rsidR="00727BB5" w:rsidRPr="002D2ED8">
        <w:rPr>
          <w:color w:val="000000" w:themeColor="text1"/>
          <w:sz w:val="28"/>
          <w:szCs w:val="28"/>
        </w:rPr>
        <w:t xml:space="preserve"> </w:t>
      </w:r>
      <w:r w:rsidRPr="002D2ED8">
        <w:rPr>
          <w:color w:val="000000" w:themeColor="text1"/>
          <w:sz w:val="28"/>
          <w:szCs w:val="28"/>
        </w:rPr>
        <w:t>с Украиной и антироссийские санкции оказали негативное воздействие</w:t>
      </w:r>
      <w:r w:rsidR="00727BB5" w:rsidRPr="002D2ED8">
        <w:rPr>
          <w:color w:val="000000" w:themeColor="text1"/>
          <w:sz w:val="28"/>
          <w:szCs w:val="28"/>
        </w:rPr>
        <w:t xml:space="preserve"> </w:t>
      </w:r>
      <w:r w:rsidRPr="002D2ED8">
        <w:rPr>
          <w:color w:val="000000" w:themeColor="text1"/>
          <w:sz w:val="28"/>
          <w:szCs w:val="28"/>
        </w:rPr>
        <w:t>на мировую торговлю и макроэкономическую стабильность. Эти</w:t>
      </w:r>
      <w:r w:rsidR="00727BB5" w:rsidRPr="002D2ED8">
        <w:rPr>
          <w:color w:val="000000" w:themeColor="text1"/>
          <w:sz w:val="28"/>
          <w:szCs w:val="28"/>
        </w:rPr>
        <w:t xml:space="preserve"> </w:t>
      </w:r>
      <w:r w:rsidRPr="002D2ED8">
        <w:rPr>
          <w:color w:val="000000" w:themeColor="text1"/>
          <w:sz w:val="28"/>
          <w:szCs w:val="28"/>
        </w:rPr>
        <w:t xml:space="preserve">события повлияли в том числе на </w:t>
      </w:r>
      <w:r w:rsidR="00727BB5" w:rsidRPr="002D2ED8">
        <w:rPr>
          <w:color w:val="000000" w:themeColor="text1"/>
          <w:sz w:val="28"/>
          <w:szCs w:val="28"/>
        </w:rPr>
        <w:t xml:space="preserve">банковский сектор и деятельность дочерних российских банков, </w:t>
      </w:r>
      <w:r w:rsidR="00BC2CAB" w:rsidRPr="002D2ED8">
        <w:rPr>
          <w:color w:val="000000" w:themeColor="text1"/>
          <w:sz w:val="28"/>
          <w:szCs w:val="28"/>
        </w:rPr>
        <w:t>функционировавших</w:t>
      </w:r>
      <w:r w:rsidR="00727BB5" w:rsidRPr="002D2ED8">
        <w:rPr>
          <w:color w:val="000000" w:themeColor="text1"/>
          <w:sz w:val="28"/>
          <w:szCs w:val="28"/>
        </w:rPr>
        <w:t xml:space="preserve"> </w:t>
      </w:r>
      <w:r w:rsidR="00BC2CAB" w:rsidRPr="002D2ED8">
        <w:rPr>
          <w:color w:val="000000" w:themeColor="text1"/>
          <w:sz w:val="28"/>
          <w:szCs w:val="28"/>
        </w:rPr>
        <w:t>на территории Республик</w:t>
      </w:r>
      <w:r w:rsidR="007E1366" w:rsidRPr="002D2ED8">
        <w:rPr>
          <w:color w:val="000000" w:themeColor="text1"/>
          <w:sz w:val="28"/>
          <w:szCs w:val="28"/>
        </w:rPr>
        <w:t>и</w:t>
      </w:r>
      <w:r w:rsidR="00BC2CAB" w:rsidRPr="002D2ED8">
        <w:rPr>
          <w:color w:val="000000" w:themeColor="text1"/>
          <w:sz w:val="28"/>
          <w:szCs w:val="28"/>
        </w:rPr>
        <w:t xml:space="preserve"> </w:t>
      </w:r>
      <w:r w:rsidR="00727BB5" w:rsidRPr="002D2ED8">
        <w:rPr>
          <w:color w:val="000000" w:themeColor="text1"/>
          <w:sz w:val="28"/>
          <w:szCs w:val="28"/>
        </w:rPr>
        <w:t>Казахстан</w:t>
      </w:r>
      <w:r w:rsidR="00E924B9" w:rsidRPr="002D2ED8">
        <w:rPr>
          <w:color w:val="000000" w:themeColor="text1"/>
          <w:sz w:val="28"/>
          <w:szCs w:val="28"/>
        </w:rPr>
        <w:t xml:space="preserve">, </w:t>
      </w:r>
    </w:p>
    <w:p w14:paraId="5BC52953" w14:textId="6CBED279" w:rsidR="00727BB5" w:rsidRPr="002D2ED8" w:rsidRDefault="00743204" w:rsidP="00727BB5">
      <w:pPr>
        <w:ind w:firstLine="708"/>
        <w:jc w:val="both"/>
        <w:rPr>
          <w:sz w:val="28"/>
          <w:szCs w:val="28"/>
        </w:rPr>
      </w:pPr>
      <w:r w:rsidRPr="002D2ED8">
        <w:rPr>
          <w:sz w:val="28"/>
          <w:szCs w:val="28"/>
        </w:rPr>
        <w:t xml:space="preserve">В </w:t>
      </w:r>
      <w:r w:rsidR="00727BB5" w:rsidRPr="002D2ED8">
        <w:rPr>
          <w:sz w:val="28"/>
          <w:szCs w:val="28"/>
        </w:rPr>
        <w:t xml:space="preserve">целях защиты </w:t>
      </w:r>
      <w:r w:rsidRPr="002D2ED8">
        <w:rPr>
          <w:sz w:val="28"/>
          <w:szCs w:val="28"/>
        </w:rPr>
        <w:t>интересов вкладчиков</w:t>
      </w:r>
      <w:r w:rsidR="0028124D" w:rsidRPr="002D2ED8">
        <w:rPr>
          <w:sz w:val="28"/>
          <w:szCs w:val="28"/>
        </w:rPr>
        <w:t xml:space="preserve"> и кредиторов российских дочерних банков</w:t>
      </w:r>
      <w:r w:rsidR="00E327AC" w:rsidRPr="002D2ED8">
        <w:rPr>
          <w:sz w:val="28"/>
          <w:szCs w:val="28"/>
        </w:rPr>
        <w:t>, обеспечения непрерывности потоков платежей между клиентами данных банков и иных казахстанских банков</w:t>
      </w:r>
      <w:r w:rsidRPr="002D2ED8">
        <w:rPr>
          <w:sz w:val="28"/>
          <w:szCs w:val="28"/>
        </w:rPr>
        <w:t xml:space="preserve"> Агентством была проведена </w:t>
      </w:r>
      <w:r w:rsidR="009A09E8" w:rsidRPr="002D2ED8">
        <w:rPr>
          <w:sz w:val="28"/>
          <w:szCs w:val="28"/>
        </w:rPr>
        <w:t>значительная</w:t>
      </w:r>
      <w:r w:rsidR="00655274" w:rsidRPr="002D2ED8">
        <w:rPr>
          <w:sz w:val="28"/>
          <w:szCs w:val="28"/>
        </w:rPr>
        <w:t xml:space="preserve"> </w:t>
      </w:r>
      <w:r w:rsidRPr="002D2ED8">
        <w:rPr>
          <w:sz w:val="28"/>
          <w:szCs w:val="28"/>
        </w:rPr>
        <w:t xml:space="preserve">работа, направленная на сохранение стабильности и устойчивости банковского сектора </w:t>
      </w:r>
      <w:r w:rsidR="00585BFF" w:rsidRPr="002D2ED8">
        <w:rPr>
          <w:sz w:val="28"/>
          <w:szCs w:val="28"/>
        </w:rPr>
        <w:t xml:space="preserve">Казахстана </w:t>
      </w:r>
      <w:r w:rsidRPr="002D2ED8">
        <w:rPr>
          <w:sz w:val="28"/>
          <w:szCs w:val="28"/>
        </w:rPr>
        <w:t xml:space="preserve">в условиях </w:t>
      </w:r>
      <w:r w:rsidRPr="002D2ED8">
        <w:rPr>
          <w:color w:val="000000" w:themeColor="text1"/>
          <w:sz w:val="28"/>
          <w:szCs w:val="28"/>
        </w:rPr>
        <w:t xml:space="preserve">геополитической </w:t>
      </w:r>
      <w:r w:rsidR="00A27FEA" w:rsidRPr="002D2ED8">
        <w:rPr>
          <w:color w:val="000000" w:themeColor="text1"/>
          <w:sz w:val="28"/>
          <w:szCs w:val="28"/>
        </w:rPr>
        <w:t>не</w:t>
      </w:r>
      <w:r w:rsidR="00A00F6E" w:rsidRPr="002D2ED8">
        <w:rPr>
          <w:color w:val="000000" w:themeColor="text1"/>
          <w:sz w:val="28"/>
          <w:szCs w:val="28"/>
        </w:rPr>
        <w:t>определенности</w:t>
      </w:r>
      <w:r w:rsidRPr="002D2ED8">
        <w:rPr>
          <w:color w:val="000000" w:themeColor="text1"/>
          <w:sz w:val="28"/>
          <w:szCs w:val="28"/>
        </w:rPr>
        <w:t>.</w:t>
      </w:r>
    </w:p>
    <w:p w14:paraId="0C70BB44" w14:textId="25109171" w:rsidR="00E40AA5" w:rsidRPr="002D2ED8" w:rsidRDefault="00E40AA5" w:rsidP="00E40AA5">
      <w:pPr>
        <w:tabs>
          <w:tab w:val="left" w:pos="7655"/>
        </w:tabs>
        <w:ind w:firstLine="709"/>
        <w:jc w:val="both"/>
        <w:rPr>
          <w:color w:val="000000" w:themeColor="text1"/>
          <w:sz w:val="28"/>
          <w:szCs w:val="28"/>
        </w:rPr>
      </w:pPr>
      <w:r w:rsidRPr="002D2ED8">
        <w:rPr>
          <w:color w:val="000000" w:themeColor="text1"/>
          <w:sz w:val="28"/>
          <w:szCs w:val="28"/>
        </w:rPr>
        <w:t>Принимаемые Агентством меры по развитию и расширению надзорного инструментария позволя</w:t>
      </w:r>
      <w:r w:rsidR="00DE5182" w:rsidRPr="002D2ED8">
        <w:rPr>
          <w:color w:val="000000" w:themeColor="text1"/>
          <w:sz w:val="28"/>
          <w:szCs w:val="28"/>
        </w:rPr>
        <w:t>ют</w:t>
      </w:r>
      <w:r w:rsidRPr="002D2ED8">
        <w:rPr>
          <w:color w:val="000000" w:themeColor="text1"/>
          <w:sz w:val="28"/>
          <w:szCs w:val="28"/>
        </w:rPr>
        <w:t xml:space="preserve"> адекватно оценивать имеющиеся в банковском секторе риски и корректировать внутренние процессы и процедуры банков в целях их минимизации.</w:t>
      </w:r>
    </w:p>
    <w:p w14:paraId="5BCCCEFB" w14:textId="751F9976" w:rsidR="00E40AA5" w:rsidRPr="002D2ED8" w:rsidRDefault="00E40AA5" w:rsidP="00E40AA5">
      <w:pPr>
        <w:ind w:firstLine="709"/>
        <w:jc w:val="both"/>
        <w:rPr>
          <w:color w:val="000000" w:themeColor="text1"/>
          <w:sz w:val="28"/>
          <w:szCs w:val="28"/>
        </w:rPr>
      </w:pPr>
      <w:r w:rsidRPr="002D2ED8">
        <w:rPr>
          <w:color w:val="000000" w:themeColor="text1"/>
          <w:sz w:val="28"/>
          <w:szCs w:val="28"/>
        </w:rPr>
        <w:t>Для реализации надзорного процесса SREP, регулярного AQR и стресс-тестирования Агентство в целях минимизации нагрузки на банки второго уровня максимально использует имеющиеся источники информации и данные информационных систем и в исключительных случаях направля</w:t>
      </w:r>
      <w:r w:rsidR="00A27FEA" w:rsidRPr="002D2ED8">
        <w:rPr>
          <w:color w:val="000000" w:themeColor="text1"/>
          <w:sz w:val="28"/>
          <w:szCs w:val="28"/>
        </w:rPr>
        <w:t>ет</w:t>
      </w:r>
      <w:r w:rsidRPr="002D2ED8">
        <w:rPr>
          <w:color w:val="000000" w:themeColor="text1"/>
          <w:sz w:val="28"/>
          <w:szCs w:val="28"/>
        </w:rPr>
        <w:t xml:space="preserve"> запросы в банки для уточнения имеющихся сведений.</w:t>
      </w:r>
    </w:p>
    <w:p w14:paraId="777A281C" w14:textId="1046AEE8" w:rsidR="00E40AA5" w:rsidRPr="002D2ED8" w:rsidRDefault="00E40AA5" w:rsidP="00E40AA5">
      <w:pPr>
        <w:tabs>
          <w:tab w:val="left" w:pos="7655"/>
        </w:tabs>
        <w:ind w:firstLine="709"/>
        <w:jc w:val="both"/>
        <w:rPr>
          <w:color w:val="000000" w:themeColor="text1"/>
          <w:sz w:val="28"/>
          <w:szCs w:val="28"/>
        </w:rPr>
      </w:pPr>
      <w:r w:rsidRPr="002D2ED8">
        <w:rPr>
          <w:color w:val="000000" w:themeColor="text1"/>
          <w:sz w:val="28"/>
          <w:szCs w:val="28"/>
        </w:rPr>
        <w:t xml:space="preserve">Со своей стороны Агентство ожидает </w:t>
      </w:r>
      <w:r w:rsidR="00A719D0" w:rsidRPr="002D2ED8">
        <w:rPr>
          <w:color w:val="000000" w:themeColor="text1"/>
          <w:sz w:val="28"/>
          <w:szCs w:val="28"/>
        </w:rPr>
        <w:t xml:space="preserve">проведение банками дальнейшего </w:t>
      </w:r>
      <w:r w:rsidRPr="002D2ED8">
        <w:rPr>
          <w:color w:val="000000" w:themeColor="text1"/>
          <w:sz w:val="28"/>
          <w:szCs w:val="28"/>
        </w:rPr>
        <w:t>качественн</w:t>
      </w:r>
      <w:r w:rsidR="00A719D0" w:rsidRPr="002D2ED8">
        <w:rPr>
          <w:color w:val="000000" w:themeColor="text1"/>
          <w:sz w:val="28"/>
          <w:szCs w:val="28"/>
        </w:rPr>
        <w:t>ого</w:t>
      </w:r>
      <w:r w:rsidRPr="002D2ED8">
        <w:rPr>
          <w:color w:val="000000" w:themeColor="text1"/>
          <w:sz w:val="28"/>
          <w:szCs w:val="28"/>
        </w:rPr>
        <w:t xml:space="preserve"> изменени</w:t>
      </w:r>
      <w:r w:rsidR="00A719D0" w:rsidRPr="002D2ED8">
        <w:rPr>
          <w:color w:val="000000" w:themeColor="text1"/>
          <w:sz w:val="28"/>
          <w:szCs w:val="28"/>
        </w:rPr>
        <w:t>я</w:t>
      </w:r>
      <w:r w:rsidRPr="002D2ED8">
        <w:rPr>
          <w:color w:val="000000" w:themeColor="text1"/>
          <w:sz w:val="28"/>
          <w:szCs w:val="28"/>
        </w:rPr>
        <w:t xml:space="preserve"> своих бизнес процессов и практик, объективной оценки уровня принимаемых рисков, искоренения рисков концентрации, улучшения качества предоставляемых банковских услуг и реализации иных действенных мер для соответствия системы управления рисками и внутреннего контроля в банке мировым стандартам. </w:t>
      </w:r>
    </w:p>
    <w:p w14:paraId="2461C025" w14:textId="77777777" w:rsidR="00E40AA5" w:rsidRPr="002D2ED8" w:rsidRDefault="00E40AA5" w:rsidP="00E40AA5">
      <w:pPr>
        <w:tabs>
          <w:tab w:val="left" w:pos="7655"/>
        </w:tabs>
        <w:ind w:firstLine="709"/>
        <w:jc w:val="both"/>
        <w:rPr>
          <w:rFonts w:eastAsia="Calibri"/>
          <w:color w:val="000000" w:themeColor="text1"/>
          <w:sz w:val="28"/>
          <w:szCs w:val="28"/>
          <w:lang w:eastAsia="en-US"/>
        </w:rPr>
      </w:pPr>
      <w:r w:rsidRPr="002D2ED8">
        <w:rPr>
          <w:color w:val="000000" w:themeColor="text1"/>
          <w:sz w:val="28"/>
          <w:szCs w:val="28"/>
        </w:rPr>
        <w:t xml:space="preserve">Построение устойчивой финансовой системы невозможно без открытого диалога между регулятором и банковским сообществом, без </w:t>
      </w:r>
      <w:r w:rsidRPr="002D2ED8">
        <w:rPr>
          <w:rFonts w:eastAsia="Calibri"/>
          <w:color w:val="000000" w:themeColor="text1"/>
          <w:sz w:val="28"/>
          <w:szCs w:val="28"/>
          <w:lang w:eastAsia="en-US"/>
        </w:rPr>
        <w:t>транспарентности и прозрачности деятельности Агентства для каждого участника финансового рынка.</w:t>
      </w:r>
    </w:p>
    <w:p w14:paraId="1BB1B064" w14:textId="64EC4041" w:rsidR="00CF7256" w:rsidRPr="00C01CE8" w:rsidRDefault="00E40AA5" w:rsidP="00EA708B">
      <w:pPr>
        <w:ind w:firstLine="709"/>
        <w:jc w:val="both"/>
        <w:rPr>
          <w:rFonts w:eastAsia="Calibri"/>
          <w:color w:val="000000" w:themeColor="text1"/>
          <w:sz w:val="28"/>
          <w:szCs w:val="28"/>
          <w:lang w:eastAsia="en-US"/>
        </w:rPr>
      </w:pPr>
      <w:r w:rsidRPr="002D2ED8">
        <w:rPr>
          <w:color w:val="000000" w:themeColor="text1"/>
          <w:sz w:val="28"/>
          <w:szCs w:val="28"/>
        </w:rPr>
        <w:t xml:space="preserve">В данном направлении Агентство проводит регулярные ежеквартальные встречи с представителями финансовых организаций по вопросам регулирования и развития финансового рынка. На встречах рассматриваются приоритеты надзорной политики банковского сектора, реализация риск-ориентированного надзора, кредитование экономики, вопросы </w:t>
      </w:r>
      <w:proofErr w:type="spellStart"/>
      <w:r w:rsidRPr="002D2ED8">
        <w:rPr>
          <w:color w:val="000000" w:themeColor="text1"/>
          <w:sz w:val="28"/>
          <w:szCs w:val="28"/>
        </w:rPr>
        <w:t>пруденциального</w:t>
      </w:r>
      <w:proofErr w:type="spellEnd"/>
      <w:r w:rsidRPr="002D2ED8">
        <w:rPr>
          <w:color w:val="000000" w:themeColor="text1"/>
          <w:sz w:val="28"/>
          <w:szCs w:val="28"/>
        </w:rPr>
        <w:t xml:space="preserve"> регулирования и другие актуальные вопросы развития банковского секто</w:t>
      </w:r>
      <w:r w:rsidR="00BD6B7D" w:rsidRPr="002D2ED8">
        <w:rPr>
          <w:color w:val="000000" w:themeColor="text1"/>
          <w:sz w:val="28"/>
          <w:szCs w:val="28"/>
        </w:rPr>
        <w:t>ра.</w:t>
      </w:r>
    </w:p>
    <w:sectPr w:rsidR="00CF7256" w:rsidRPr="00C01CE8" w:rsidSect="00443138">
      <w:footerReference w:type="default" r:id="rId8"/>
      <w:pgSz w:w="11906" w:h="16838"/>
      <w:pgMar w:top="709" w:right="851" w:bottom="99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A694" w14:textId="77777777" w:rsidR="00305121" w:rsidRDefault="00305121" w:rsidP="00621C06">
      <w:r>
        <w:separator/>
      </w:r>
    </w:p>
  </w:endnote>
  <w:endnote w:type="continuationSeparator" w:id="0">
    <w:p w14:paraId="3DCC549A" w14:textId="77777777" w:rsidR="00305121" w:rsidRDefault="00305121" w:rsidP="0062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C367" w14:textId="7DE7FABD" w:rsidR="00EB737E" w:rsidRDefault="00EB737E">
    <w:pPr>
      <w:pStyle w:val="a7"/>
      <w:jc w:val="center"/>
    </w:pPr>
    <w:r>
      <w:fldChar w:fldCharType="begin"/>
    </w:r>
    <w:r>
      <w:instrText>PAGE   \* MERGEFORMAT</w:instrText>
    </w:r>
    <w:r>
      <w:fldChar w:fldCharType="separate"/>
    </w:r>
    <w:r>
      <w:rPr>
        <w:noProof/>
      </w:rPr>
      <w:t>3</w:t>
    </w:r>
    <w:r>
      <w:fldChar w:fldCharType="end"/>
    </w:r>
  </w:p>
  <w:p w14:paraId="5BE61757" w14:textId="77777777" w:rsidR="00EB737E" w:rsidRDefault="00EB737E">
    <w:pPr>
      <w:pStyle w:val="a7"/>
    </w:pPr>
  </w:p>
  <w:p w14:paraId="0BA9B9EC" w14:textId="77777777" w:rsidR="00EB737E" w:rsidRDefault="00EB737E"/>
  <w:p w14:paraId="7C47D77E" w14:textId="77777777" w:rsidR="00EB737E" w:rsidRDefault="00EB7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A921" w14:textId="77777777" w:rsidR="00305121" w:rsidRDefault="00305121" w:rsidP="00621C06">
      <w:r>
        <w:separator/>
      </w:r>
    </w:p>
  </w:footnote>
  <w:footnote w:type="continuationSeparator" w:id="0">
    <w:p w14:paraId="20B2E9AA" w14:textId="77777777" w:rsidR="00305121" w:rsidRDefault="00305121" w:rsidP="00621C06">
      <w:r>
        <w:continuationSeparator/>
      </w:r>
    </w:p>
  </w:footnote>
  <w:footnote w:id="1">
    <w:p w14:paraId="4EE3EC71" w14:textId="77777777" w:rsidR="00EB737E" w:rsidRPr="00D57405" w:rsidRDefault="00EB737E" w:rsidP="00A93C1D">
      <w:pPr>
        <w:pStyle w:val="af3"/>
      </w:pPr>
      <w:r w:rsidRPr="006866B9">
        <w:rPr>
          <w:rStyle w:val="af5"/>
        </w:rPr>
        <w:footnoteRef/>
      </w:r>
      <w:r w:rsidRPr="00D57405">
        <w:t xml:space="preserve"> </w:t>
      </w:r>
      <w:r w:rsidRPr="006866B9">
        <w:rPr>
          <w:lang w:val="en-US"/>
        </w:rPr>
        <w:t>Specially</w:t>
      </w:r>
      <w:r w:rsidRPr="00D57405">
        <w:t xml:space="preserve"> </w:t>
      </w:r>
      <w:r w:rsidRPr="006866B9">
        <w:rPr>
          <w:lang w:val="en-US"/>
        </w:rPr>
        <w:t>designated</w:t>
      </w:r>
      <w:r w:rsidRPr="00D57405">
        <w:t xml:space="preserve"> </w:t>
      </w:r>
      <w:r w:rsidRPr="006866B9">
        <w:rPr>
          <w:lang w:val="en-US"/>
        </w:rPr>
        <w:t>nationals</w:t>
      </w:r>
    </w:p>
  </w:footnote>
  <w:footnote w:id="2">
    <w:p w14:paraId="3C571B48" w14:textId="2806736A" w:rsidR="00EB737E" w:rsidRPr="00D5392A" w:rsidRDefault="00EB737E" w:rsidP="00D5392A">
      <w:pPr>
        <w:pStyle w:val="af3"/>
        <w:jc w:val="both"/>
      </w:pPr>
      <w:r>
        <w:rPr>
          <w:rStyle w:val="af5"/>
        </w:rPr>
        <w:footnoteRef/>
      </w:r>
      <w:r w:rsidRPr="00D5392A">
        <w:t xml:space="preserve"> Office of Foreign Assets Control </w:t>
      </w:r>
      <w:r>
        <w:t>(</w:t>
      </w:r>
      <w:r w:rsidRPr="00D5392A">
        <w:t xml:space="preserve">Управление по контролю за иностранными активами </w:t>
      </w:r>
      <w:r>
        <w:t>–</w:t>
      </w:r>
      <w:r w:rsidRPr="00D5392A">
        <w:t xml:space="preserve"> подразделение Министерства финансов США)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0AB"/>
    <w:multiLevelType w:val="hybridMultilevel"/>
    <w:tmpl w:val="A06E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F5799"/>
    <w:multiLevelType w:val="multilevel"/>
    <w:tmpl w:val="C988EAD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404494"/>
    <w:multiLevelType w:val="hybridMultilevel"/>
    <w:tmpl w:val="39D4C33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4732171"/>
    <w:multiLevelType w:val="multilevel"/>
    <w:tmpl w:val="11E60F5C"/>
    <w:lvl w:ilvl="0">
      <w:start w:val="1"/>
      <w:numFmt w:val="decimal"/>
      <w:lvlText w:val="%1."/>
      <w:lvlJc w:val="left"/>
      <w:pPr>
        <w:ind w:left="450" w:hanging="450"/>
      </w:pPr>
      <w:rPr>
        <w:rFonts w:hint="default"/>
      </w:rPr>
    </w:lvl>
    <w:lvl w:ilvl="1">
      <w:start w:val="2"/>
      <w:numFmt w:val="decimal"/>
      <w:lvlText w:val="%1.%2."/>
      <w:lvlJc w:val="left"/>
      <w:pPr>
        <w:ind w:left="10076" w:hanging="720"/>
      </w:pPr>
      <w:rPr>
        <w:rFonts w:hint="default"/>
        <w:b/>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1C50674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369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50329C"/>
    <w:multiLevelType w:val="hybridMultilevel"/>
    <w:tmpl w:val="9370BBB6"/>
    <w:lvl w:ilvl="0" w:tplc="04190011">
      <w:start w:val="1"/>
      <w:numFmt w:val="decimal"/>
      <w:lvlText w:val="%1)"/>
      <w:lvlJc w:val="left"/>
      <w:pPr>
        <w:tabs>
          <w:tab w:val="num" w:pos="1212"/>
        </w:tabs>
        <w:ind w:left="1212" w:hanging="360"/>
      </w:pPr>
      <w:rPr>
        <w:rFonts w:hint="default"/>
      </w:rPr>
    </w:lvl>
    <w:lvl w:ilvl="1" w:tplc="99ACDEC4" w:tentative="1">
      <w:start w:val="1"/>
      <w:numFmt w:val="bullet"/>
      <w:lvlText w:val="•"/>
      <w:lvlJc w:val="left"/>
      <w:pPr>
        <w:tabs>
          <w:tab w:val="num" w:pos="1440"/>
        </w:tabs>
        <w:ind w:left="1440" w:hanging="360"/>
      </w:pPr>
      <w:rPr>
        <w:rFonts w:ascii="Arial" w:hAnsi="Arial" w:hint="default"/>
      </w:rPr>
    </w:lvl>
    <w:lvl w:ilvl="2" w:tplc="A4F4A7B8" w:tentative="1">
      <w:start w:val="1"/>
      <w:numFmt w:val="bullet"/>
      <w:lvlText w:val="•"/>
      <w:lvlJc w:val="left"/>
      <w:pPr>
        <w:tabs>
          <w:tab w:val="num" w:pos="2160"/>
        </w:tabs>
        <w:ind w:left="2160" w:hanging="360"/>
      </w:pPr>
      <w:rPr>
        <w:rFonts w:ascii="Arial" w:hAnsi="Arial" w:hint="default"/>
      </w:rPr>
    </w:lvl>
    <w:lvl w:ilvl="3" w:tplc="D396DC44" w:tentative="1">
      <w:start w:val="1"/>
      <w:numFmt w:val="bullet"/>
      <w:lvlText w:val="•"/>
      <w:lvlJc w:val="left"/>
      <w:pPr>
        <w:tabs>
          <w:tab w:val="num" w:pos="2880"/>
        </w:tabs>
        <w:ind w:left="2880" w:hanging="360"/>
      </w:pPr>
      <w:rPr>
        <w:rFonts w:ascii="Arial" w:hAnsi="Arial" w:hint="default"/>
      </w:rPr>
    </w:lvl>
    <w:lvl w:ilvl="4" w:tplc="A89E3E5A" w:tentative="1">
      <w:start w:val="1"/>
      <w:numFmt w:val="bullet"/>
      <w:lvlText w:val="•"/>
      <w:lvlJc w:val="left"/>
      <w:pPr>
        <w:tabs>
          <w:tab w:val="num" w:pos="3600"/>
        </w:tabs>
        <w:ind w:left="3600" w:hanging="360"/>
      </w:pPr>
      <w:rPr>
        <w:rFonts w:ascii="Arial" w:hAnsi="Arial" w:hint="default"/>
      </w:rPr>
    </w:lvl>
    <w:lvl w:ilvl="5" w:tplc="4F282EF0" w:tentative="1">
      <w:start w:val="1"/>
      <w:numFmt w:val="bullet"/>
      <w:lvlText w:val="•"/>
      <w:lvlJc w:val="left"/>
      <w:pPr>
        <w:tabs>
          <w:tab w:val="num" w:pos="4320"/>
        </w:tabs>
        <w:ind w:left="4320" w:hanging="360"/>
      </w:pPr>
      <w:rPr>
        <w:rFonts w:ascii="Arial" w:hAnsi="Arial" w:hint="default"/>
      </w:rPr>
    </w:lvl>
    <w:lvl w:ilvl="6" w:tplc="235CF0FE" w:tentative="1">
      <w:start w:val="1"/>
      <w:numFmt w:val="bullet"/>
      <w:lvlText w:val="•"/>
      <w:lvlJc w:val="left"/>
      <w:pPr>
        <w:tabs>
          <w:tab w:val="num" w:pos="5040"/>
        </w:tabs>
        <w:ind w:left="5040" w:hanging="360"/>
      </w:pPr>
      <w:rPr>
        <w:rFonts w:ascii="Arial" w:hAnsi="Arial" w:hint="default"/>
      </w:rPr>
    </w:lvl>
    <w:lvl w:ilvl="7" w:tplc="FF4CBDE0" w:tentative="1">
      <w:start w:val="1"/>
      <w:numFmt w:val="bullet"/>
      <w:lvlText w:val="•"/>
      <w:lvlJc w:val="left"/>
      <w:pPr>
        <w:tabs>
          <w:tab w:val="num" w:pos="5760"/>
        </w:tabs>
        <w:ind w:left="5760" w:hanging="360"/>
      </w:pPr>
      <w:rPr>
        <w:rFonts w:ascii="Arial" w:hAnsi="Arial" w:hint="default"/>
      </w:rPr>
    </w:lvl>
    <w:lvl w:ilvl="8" w:tplc="C0201D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13A4E"/>
    <w:multiLevelType w:val="hybridMultilevel"/>
    <w:tmpl w:val="E8E88E56"/>
    <w:lvl w:ilvl="0" w:tplc="114C02CA">
      <w:start w:val="1"/>
      <w:numFmt w:val="bullet"/>
      <w:lvlText w:val="‒"/>
      <w:lvlJc w:val="left"/>
      <w:pPr>
        <w:tabs>
          <w:tab w:val="num" w:pos="720"/>
        </w:tabs>
        <w:ind w:left="720" w:hanging="360"/>
      </w:pPr>
      <w:rPr>
        <w:rFonts w:ascii="Calibri" w:hAnsi="Calibri" w:hint="default"/>
      </w:rPr>
    </w:lvl>
    <w:lvl w:ilvl="1" w:tplc="6DA4B4CE" w:tentative="1">
      <w:start w:val="1"/>
      <w:numFmt w:val="bullet"/>
      <w:lvlText w:val="‒"/>
      <w:lvlJc w:val="left"/>
      <w:pPr>
        <w:tabs>
          <w:tab w:val="num" w:pos="1440"/>
        </w:tabs>
        <w:ind w:left="1440" w:hanging="360"/>
      </w:pPr>
      <w:rPr>
        <w:rFonts w:ascii="Calibri" w:hAnsi="Calibri" w:hint="default"/>
      </w:rPr>
    </w:lvl>
    <w:lvl w:ilvl="2" w:tplc="CA54A4AC" w:tentative="1">
      <w:start w:val="1"/>
      <w:numFmt w:val="bullet"/>
      <w:lvlText w:val="‒"/>
      <w:lvlJc w:val="left"/>
      <w:pPr>
        <w:tabs>
          <w:tab w:val="num" w:pos="2160"/>
        </w:tabs>
        <w:ind w:left="2160" w:hanging="360"/>
      </w:pPr>
      <w:rPr>
        <w:rFonts w:ascii="Calibri" w:hAnsi="Calibri" w:hint="default"/>
      </w:rPr>
    </w:lvl>
    <w:lvl w:ilvl="3" w:tplc="D69EEFEA" w:tentative="1">
      <w:start w:val="1"/>
      <w:numFmt w:val="bullet"/>
      <w:lvlText w:val="‒"/>
      <w:lvlJc w:val="left"/>
      <w:pPr>
        <w:tabs>
          <w:tab w:val="num" w:pos="2880"/>
        </w:tabs>
        <w:ind w:left="2880" w:hanging="360"/>
      </w:pPr>
      <w:rPr>
        <w:rFonts w:ascii="Calibri" w:hAnsi="Calibri" w:hint="default"/>
      </w:rPr>
    </w:lvl>
    <w:lvl w:ilvl="4" w:tplc="7278ED0A" w:tentative="1">
      <w:start w:val="1"/>
      <w:numFmt w:val="bullet"/>
      <w:lvlText w:val="‒"/>
      <w:lvlJc w:val="left"/>
      <w:pPr>
        <w:tabs>
          <w:tab w:val="num" w:pos="3600"/>
        </w:tabs>
        <w:ind w:left="3600" w:hanging="360"/>
      </w:pPr>
      <w:rPr>
        <w:rFonts w:ascii="Calibri" w:hAnsi="Calibri" w:hint="default"/>
      </w:rPr>
    </w:lvl>
    <w:lvl w:ilvl="5" w:tplc="43D0121A" w:tentative="1">
      <w:start w:val="1"/>
      <w:numFmt w:val="bullet"/>
      <w:lvlText w:val="‒"/>
      <w:lvlJc w:val="left"/>
      <w:pPr>
        <w:tabs>
          <w:tab w:val="num" w:pos="4320"/>
        </w:tabs>
        <w:ind w:left="4320" w:hanging="360"/>
      </w:pPr>
      <w:rPr>
        <w:rFonts w:ascii="Calibri" w:hAnsi="Calibri" w:hint="default"/>
      </w:rPr>
    </w:lvl>
    <w:lvl w:ilvl="6" w:tplc="DC041716" w:tentative="1">
      <w:start w:val="1"/>
      <w:numFmt w:val="bullet"/>
      <w:lvlText w:val="‒"/>
      <w:lvlJc w:val="left"/>
      <w:pPr>
        <w:tabs>
          <w:tab w:val="num" w:pos="5040"/>
        </w:tabs>
        <w:ind w:left="5040" w:hanging="360"/>
      </w:pPr>
      <w:rPr>
        <w:rFonts w:ascii="Calibri" w:hAnsi="Calibri" w:hint="default"/>
      </w:rPr>
    </w:lvl>
    <w:lvl w:ilvl="7" w:tplc="067ADFE6" w:tentative="1">
      <w:start w:val="1"/>
      <w:numFmt w:val="bullet"/>
      <w:lvlText w:val="‒"/>
      <w:lvlJc w:val="left"/>
      <w:pPr>
        <w:tabs>
          <w:tab w:val="num" w:pos="5760"/>
        </w:tabs>
        <w:ind w:left="5760" w:hanging="360"/>
      </w:pPr>
      <w:rPr>
        <w:rFonts w:ascii="Calibri" w:hAnsi="Calibri" w:hint="default"/>
      </w:rPr>
    </w:lvl>
    <w:lvl w:ilvl="8" w:tplc="05A04D6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2CC6DB7"/>
    <w:multiLevelType w:val="multilevel"/>
    <w:tmpl w:val="C988EAD2"/>
    <w:lvl w:ilvl="0">
      <w:start w:val="2"/>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9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0D7A9A"/>
    <w:multiLevelType w:val="hybridMultilevel"/>
    <w:tmpl w:val="525AB06E"/>
    <w:lvl w:ilvl="0" w:tplc="E452C870">
      <w:start w:val="1"/>
      <w:numFmt w:val="bullet"/>
      <w:lvlText w:val="•"/>
      <w:lvlJc w:val="left"/>
      <w:pPr>
        <w:tabs>
          <w:tab w:val="num" w:pos="720"/>
        </w:tabs>
        <w:ind w:left="720" w:hanging="360"/>
      </w:pPr>
      <w:rPr>
        <w:rFonts w:ascii="Arial" w:hAnsi="Arial" w:hint="default"/>
      </w:rPr>
    </w:lvl>
    <w:lvl w:ilvl="1" w:tplc="EFA428C6" w:tentative="1">
      <w:start w:val="1"/>
      <w:numFmt w:val="bullet"/>
      <w:lvlText w:val="•"/>
      <w:lvlJc w:val="left"/>
      <w:pPr>
        <w:tabs>
          <w:tab w:val="num" w:pos="1440"/>
        </w:tabs>
        <w:ind w:left="1440" w:hanging="360"/>
      </w:pPr>
      <w:rPr>
        <w:rFonts w:ascii="Arial" w:hAnsi="Arial" w:hint="default"/>
      </w:rPr>
    </w:lvl>
    <w:lvl w:ilvl="2" w:tplc="816ED522" w:tentative="1">
      <w:start w:val="1"/>
      <w:numFmt w:val="bullet"/>
      <w:lvlText w:val="•"/>
      <w:lvlJc w:val="left"/>
      <w:pPr>
        <w:tabs>
          <w:tab w:val="num" w:pos="2160"/>
        </w:tabs>
        <w:ind w:left="2160" w:hanging="360"/>
      </w:pPr>
      <w:rPr>
        <w:rFonts w:ascii="Arial" w:hAnsi="Arial" w:hint="default"/>
      </w:rPr>
    </w:lvl>
    <w:lvl w:ilvl="3" w:tplc="0A06D156" w:tentative="1">
      <w:start w:val="1"/>
      <w:numFmt w:val="bullet"/>
      <w:lvlText w:val="•"/>
      <w:lvlJc w:val="left"/>
      <w:pPr>
        <w:tabs>
          <w:tab w:val="num" w:pos="2880"/>
        </w:tabs>
        <w:ind w:left="2880" w:hanging="360"/>
      </w:pPr>
      <w:rPr>
        <w:rFonts w:ascii="Arial" w:hAnsi="Arial" w:hint="default"/>
      </w:rPr>
    </w:lvl>
    <w:lvl w:ilvl="4" w:tplc="50CAE0AC" w:tentative="1">
      <w:start w:val="1"/>
      <w:numFmt w:val="bullet"/>
      <w:lvlText w:val="•"/>
      <w:lvlJc w:val="left"/>
      <w:pPr>
        <w:tabs>
          <w:tab w:val="num" w:pos="3600"/>
        </w:tabs>
        <w:ind w:left="3600" w:hanging="360"/>
      </w:pPr>
      <w:rPr>
        <w:rFonts w:ascii="Arial" w:hAnsi="Arial" w:hint="default"/>
      </w:rPr>
    </w:lvl>
    <w:lvl w:ilvl="5" w:tplc="DE027B2E" w:tentative="1">
      <w:start w:val="1"/>
      <w:numFmt w:val="bullet"/>
      <w:lvlText w:val="•"/>
      <w:lvlJc w:val="left"/>
      <w:pPr>
        <w:tabs>
          <w:tab w:val="num" w:pos="4320"/>
        </w:tabs>
        <w:ind w:left="4320" w:hanging="360"/>
      </w:pPr>
      <w:rPr>
        <w:rFonts w:ascii="Arial" w:hAnsi="Arial" w:hint="default"/>
      </w:rPr>
    </w:lvl>
    <w:lvl w:ilvl="6" w:tplc="FD5ECDA8" w:tentative="1">
      <w:start w:val="1"/>
      <w:numFmt w:val="bullet"/>
      <w:lvlText w:val="•"/>
      <w:lvlJc w:val="left"/>
      <w:pPr>
        <w:tabs>
          <w:tab w:val="num" w:pos="5040"/>
        </w:tabs>
        <w:ind w:left="5040" w:hanging="360"/>
      </w:pPr>
      <w:rPr>
        <w:rFonts w:ascii="Arial" w:hAnsi="Arial" w:hint="default"/>
      </w:rPr>
    </w:lvl>
    <w:lvl w:ilvl="7" w:tplc="2FDA120E" w:tentative="1">
      <w:start w:val="1"/>
      <w:numFmt w:val="bullet"/>
      <w:lvlText w:val="•"/>
      <w:lvlJc w:val="left"/>
      <w:pPr>
        <w:tabs>
          <w:tab w:val="num" w:pos="5760"/>
        </w:tabs>
        <w:ind w:left="5760" w:hanging="360"/>
      </w:pPr>
      <w:rPr>
        <w:rFonts w:ascii="Arial" w:hAnsi="Arial" w:hint="default"/>
      </w:rPr>
    </w:lvl>
    <w:lvl w:ilvl="8" w:tplc="0D2C9A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3D42E9"/>
    <w:multiLevelType w:val="hybridMultilevel"/>
    <w:tmpl w:val="47AE6F68"/>
    <w:lvl w:ilvl="0" w:tplc="08090011">
      <w:start w:val="1"/>
      <w:numFmt w:val="decimal"/>
      <w:lvlText w:val="%1)"/>
      <w:lvlJc w:val="left"/>
      <w:pPr>
        <w:ind w:left="1429" w:hanging="360"/>
      </w:pPr>
    </w:lvl>
    <w:lvl w:ilvl="1" w:tplc="08090011">
      <w:start w:val="1"/>
      <w:numFmt w:val="decimal"/>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4749105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40A94"/>
    <w:multiLevelType w:val="hybridMultilevel"/>
    <w:tmpl w:val="EBD262D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C0437D"/>
    <w:multiLevelType w:val="hybridMultilevel"/>
    <w:tmpl w:val="607849EE"/>
    <w:lvl w:ilvl="0" w:tplc="8278CC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1B1002"/>
    <w:multiLevelType w:val="hybridMultilevel"/>
    <w:tmpl w:val="6F0C77A8"/>
    <w:lvl w:ilvl="0" w:tplc="47145214">
      <w:start w:val="1"/>
      <w:numFmt w:val="decimal"/>
      <w:lvlText w:val="%1."/>
      <w:lvlJc w:val="left"/>
      <w:pPr>
        <w:ind w:left="720" w:hanging="360"/>
      </w:pPr>
      <w:rPr>
        <w:rFonts w:hint="default"/>
        <w:b w:val="0"/>
      </w:rPr>
    </w:lvl>
    <w:lvl w:ilvl="1" w:tplc="096248E8">
      <w:start w:val="1"/>
      <w:numFmt w:val="decimal"/>
      <w:lvlText w:val="%2)"/>
      <w:lvlJc w:val="left"/>
      <w:pPr>
        <w:ind w:left="1695" w:hanging="615"/>
      </w:pPr>
      <w:rPr>
        <w:rFonts w:eastAsiaTheme="minorHAnsi"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243796"/>
    <w:multiLevelType w:val="hybridMultilevel"/>
    <w:tmpl w:val="54B8975C"/>
    <w:lvl w:ilvl="0" w:tplc="243A4F84">
      <w:start w:val="1"/>
      <w:numFmt w:val="bullet"/>
      <w:lvlText w:val="•"/>
      <w:lvlJc w:val="left"/>
      <w:pPr>
        <w:tabs>
          <w:tab w:val="num" w:pos="720"/>
        </w:tabs>
        <w:ind w:left="720" w:hanging="360"/>
      </w:pPr>
      <w:rPr>
        <w:rFonts w:ascii="Times New Roman" w:hAnsi="Times New Roman" w:hint="default"/>
      </w:rPr>
    </w:lvl>
    <w:lvl w:ilvl="1" w:tplc="DB4A6764">
      <w:start w:val="1"/>
      <w:numFmt w:val="bullet"/>
      <w:lvlText w:val="•"/>
      <w:lvlJc w:val="left"/>
      <w:pPr>
        <w:tabs>
          <w:tab w:val="num" w:pos="1440"/>
        </w:tabs>
        <w:ind w:left="1440" w:hanging="360"/>
      </w:pPr>
      <w:rPr>
        <w:rFonts w:ascii="Times New Roman" w:hAnsi="Times New Roman" w:hint="default"/>
      </w:rPr>
    </w:lvl>
    <w:lvl w:ilvl="2" w:tplc="069E2B50" w:tentative="1">
      <w:start w:val="1"/>
      <w:numFmt w:val="bullet"/>
      <w:lvlText w:val="•"/>
      <w:lvlJc w:val="left"/>
      <w:pPr>
        <w:tabs>
          <w:tab w:val="num" w:pos="2160"/>
        </w:tabs>
        <w:ind w:left="2160" w:hanging="360"/>
      </w:pPr>
      <w:rPr>
        <w:rFonts w:ascii="Times New Roman" w:hAnsi="Times New Roman" w:hint="default"/>
      </w:rPr>
    </w:lvl>
    <w:lvl w:ilvl="3" w:tplc="F7143AB2" w:tentative="1">
      <w:start w:val="1"/>
      <w:numFmt w:val="bullet"/>
      <w:lvlText w:val="•"/>
      <w:lvlJc w:val="left"/>
      <w:pPr>
        <w:tabs>
          <w:tab w:val="num" w:pos="2880"/>
        </w:tabs>
        <w:ind w:left="2880" w:hanging="360"/>
      </w:pPr>
      <w:rPr>
        <w:rFonts w:ascii="Times New Roman" w:hAnsi="Times New Roman" w:hint="default"/>
      </w:rPr>
    </w:lvl>
    <w:lvl w:ilvl="4" w:tplc="2AAEB408" w:tentative="1">
      <w:start w:val="1"/>
      <w:numFmt w:val="bullet"/>
      <w:lvlText w:val="•"/>
      <w:lvlJc w:val="left"/>
      <w:pPr>
        <w:tabs>
          <w:tab w:val="num" w:pos="3600"/>
        </w:tabs>
        <w:ind w:left="3600" w:hanging="360"/>
      </w:pPr>
      <w:rPr>
        <w:rFonts w:ascii="Times New Roman" w:hAnsi="Times New Roman" w:hint="default"/>
      </w:rPr>
    </w:lvl>
    <w:lvl w:ilvl="5" w:tplc="34D0805A" w:tentative="1">
      <w:start w:val="1"/>
      <w:numFmt w:val="bullet"/>
      <w:lvlText w:val="•"/>
      <w:lvlJc w:val="left"/>
      <w:pPr>
        <w:tabs>
          <w:tab w:val="num" w:pos="4320"/>
        </w:tabs>
        <w:ind w:left="4320" w:hanging="360"/>
      </w:pPr>
      <w:rPr>
        <w:rFonts w:ascii="Times New Roman" w:hAnsi="Times New Roman" w:hint="default"/>
      </w:rPr>
    </w:lvl>
    <w:lvl w:ilvl="6" w:tplc="A5509614" w:tentative="1">
      <w:start w:val="1"/>
      <w:numFmt w:val="bullet"/>
      <w:lvlText w:val="•"/>
      <w:lvlJc w:val="left"/>
      <w:pPr>
        <w:tabs>
          <w:tab w:val="num" w:pos="5040"/>
        </w:tabs>
        <w:ind w:left="5040" w:hanging="360"/>
      </w:pPr>
      <w:rPr>
        <w:rFonts w:ascii="Times New Roman" w:hAnsi="Times New Roman" w:hint="default"/>
      </w:rPr>
    </w:lvl>
    <w:lvl w:ilvl="7" w:tplc="E610A566" w:tentative="1">
      <w:start w:val="1"/>
      <w:numFmt w:val="bullet"/>
      <w:lvlText w:val="•"/>
      <w:lvlJc w:val="left"/>
      <w:pPr>
        <w:tabs>
          <w:tab w:val="num" w:pos="5760"/>
        </w:tabs>
        <w:ind w:left="5760" w:hanging="360"/>
      </w:pPr>
      <w:rPr>
        <w:rFonts w:ascii="Times New Roman" w:hAnsi="Times New Roman" w:hint="default"/>
      </w:rPr>
    </w:lvl>
    <w:lvl w:ilvl="8" w:tplc="B176B36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1B7ED6"/>
    <w:multiLevelType w:val="hybridMultilevel"/>
    <w:tmpl w:val="D18435C2"/>
    <w:lvl w:ilvl="0" w:tplc="F20EC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192C59"/>
    <w:multiLevelType w:val="hybridMultilevel"/>
    <w:tmpl w:val="FF506564"/>
    <w:lvl w:ilvl="0" w:tplc="48F0B2B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40B3D39"/>
    <w:multiLevelType w:val="hybridMultilevel"/>
    <w:tmpl w:val="03E0EDB0"/>
    <w:lvl w:ilvl="0" w:tplc="48F0B2B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7561918"/>
    <w:multiLevelType w:val="multilevel"/>
    <w:tmpl w:val="4768D5DA"/>
    <w:lvl w:ilvl="0">
      <w:start w:val="1"/>
      <w:numFmt w:val="decimal"/>
      <w:lvlText w:val="%1."/>
      <w:lvlJc w:val="left"/>
      <w:pPr>
        <w:ind w:left="720" w:hanging="360"/>
      </w:pPr>
      <w:rPr>
        <w:rFonts w:hint="default"/>
        <w:b w:val="0"/>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6AD70BF9"/>
    <w:multiLevelType w:val="hybridMultilevel"/>
    <w:tmpl w:val="EE8ABBCE"/>
    <w:lvl w:ilvl="0" w:tplc="7E027204">
      <w:start w:val="1"/>
      <w:numFmt w:val="bullet"/>
      <w:lvlText w:val="‒"/>
      <w:lvlJc w:val="left"/>
      <w:pPr>
        <w:tabs>
          <w:tab w:val="num" w:pos="720"/>
        </w:tabs>
        <w:ind w:left="720" w:hanging="360"/>
      </w:pPr>
      <w:rPr>
        <w:rFonts w:ascii="Calibri" w:hAnsi="Calibri" w:hint="default"/>
      </w:rPr>
    </w:lvl>
    <w:lvl w:ilvl="1" w:tplc="60A4C93A" w:tentative="1">
      <w:start w:val="1"/>
      <w:numFmt w:val="bullet"/>
      <w:lvlText w:val="‒"/>
      <w:lvlJc w:val="left"/>
      <w:pPr>
        <w:tabs>
          <w:tab w:val="num" w:pos="1440"/>
        </w:tabs>
        <w:ind w:left="1440" w:hanging="360"/>
      </w:pPr>
      <w:rPr>
        <w:rFonts w:ascii="Calibri" w:hAnsi="Calibri" w:hint="default"/>
      </w:rPr>
    </w:lvl>
    <w:lvl w:ilvl="2" w:tplc="38C695BE" w:tentative="1">
      <w:start w:val="1"/>
      <w:numFmt w:val="bullet"/>
      <w:lvlText w:val="‒"/>
      <w:lvlJc w:val="left"/>
      <w:pPr>
        <w:tabs>
          <w:tab w:val="num" w:pos="2160"/>
        </w:tabs>
        <w:ind w:left="2160" w:hanging="360"/>
      </w:pPr>
      <w:rPr>
        <w:rFonts w:ascii="Calibri" w:hAnsi="Calibri" w:hint="default"/>
      </w:rPr>
    </w:lvl>
    <w:lvl w:ilvl="3" w:tplc="298C50D0" w:tentative="1">
      <w:start w:val="1"/>
      <w:numFmt w:val="bullet"/>
      <w:lvlText w:val="‒"/>
      <w:lvlJc w:val="left"/>
      <w:pPr>
        <w:tabs>
          <w:tab w:val="num" w:pos="2880"/>
        </w:tabs>
        <w:ind w:left="2880" w:hanging="360"/>
      </w:pPr>
      <w:rPr>
        <w:rFonts w:ascii="Calibri" w:hAnsi="Calibri" w:hint="default"/>
      </w:rPr>
    </w:lvl>
    <w:lvl w:ilvl="4" w:tplc="D51EA238" w:tentative="1">
      <w:start w:val="1"/>
      <w:numFmt w:val="bullet"/>
      <w:lvlText w:val="‒"/>
      <w:lvlJc w:val="left"/>
      <w:pPr>
        <w:tabs>
          <w:tab w:val="num" w:pos="3600"/>
        </w:tabs>
        <w:ind w:left="3600" w:hanging="360"/>
      </w:pPr>
      <w:rPr>
        <w:rFonts w:ascii="Calibri" w:hAnsi="Calibri" w:hint="default"/>
      </w:rPr>
    </w:lvl>
    <w:lvl w:ilvl="5" w:tplc="C416F21A" w:tentative="1">
      <w:start w:val="1"/>
      <w:numFmt w:val="bullet"/>
      <w:lvlText w:val="‒"/>
      <w:lvlJc w:val="left"/>
      <w:pPr>
        <w:tabs>
          <w:tab w:val="num" w:pos="4320"/>
        </w:tabs>
        <w:ind w:left="4320" w:hanging="360"/>
      </w:pPr>
      <w:rPr>
        <w:rFonts w:ascii="Calibri" w:hAnsi="Calibri" w:hint="default"/>
      </w:rPr>
    </w:lvl>
    <w:lvl w:ilvl="6" w:tplc="893C5188" w:tentative="1">
      <w:start w:val="1"/>
      <w:numFmt w:val="bullet"/>
      <w:lvlText w:val="‒"/>
      <w:lvlJc w:val="left"/>
      <w:pPr>
        <w:tabs>
          <w:tab w:val="num" w:pos="5040"/>
        </w:tabs>
        <w:ind w:left="5040" w:hanging="360"/>
      </w:pPr>
      <w:rPr>
        <w:rFonts w:ascii="Calibri" w:hAnsi="Calibri" w:hint="default"/>
      </w:rPr>
    </w:lvl>
    <w:lvl w:ilvl="7" w:tplc="63CE364C" w:tentative="1">
      <w:start w:val="1"/>
      <w:numFmt w:val="bullet"/>
      <w:lvlText w:val="‒"/>
      <w:lvlJc w:val="left"/>
      <w:pPr>
        <w:tabs>
          <w:tab w:val="num" w:pos="5760"/>
        </w:tabs>
        <w:ind w:left="5760" w:hanging="360"/>
      </w:pPr>
      <w:rPr>
        <w:rFonts w:ascii="Calibri" w:hAnsi="Calibri" w:hint="default"/>
      </w:rPr>
    </w:lvl>
    <w:lvl w:ilvl="8" w:tplc="8BA478DE"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F66681A"/>
    <w:multiLevelType w:val="hybridMultilevel"/>
    <w:tmpl w:val="12D27E0C"/>
    <w:lvl w:ilvl="0" w:tplc="11C86484">
      <w:start w:val="1"/>
      <w:numFmt w:val="bullet"/>
      <w:lvlText w:val="‒"/>
      <w:lvlJc w:val="left"/>
      <w:pPr>
        <w:tabs>
          <w:tab w:val="num" w:pos="720"/>
        </w:tabs>
        <w:ind w:left="720" w:hanging="360"/>
      </w:pPr>
      <w:rPr>
        <w:rFonts w:ascii="Calibri" w:hAnsi="Calibri" w:hint="default"/>
      </w:rPr>
    </w:lvl>
    <w:lvl w:ilvl="1" w:tplc="AE16310E" w:tentative="1">
      <w:start w:val="1"/>
      <w:numFmt w:val="bullet"/>
      <w:lvlText w:val="‒"/>
      <w:lvlJc w:val="left"/>
      <w:pPr>
        <w:tabs>
          <w:tab w:val="num" w:pos="1440"/>
        </w:tabs>
        <w:ind w:left="1440" w:hanging="360"/>
      </w:pPr>
      <w:rPr>
        <w:rFonts w:ascii="Calibri" w:hAnsi="Calibri" w:hint="default"/>
      </w:rPr>
    </w:lvl>
    <w:lvl w:ilvl="2" w:tplc="4F5A8C42" w:tentative="1">
      <w:start w:val="1"/>
      <w:numFmt w:val="bullet"/>
      <w:lvlText w:val="‒"/>
      <w:lvlJc w:val="left"/>
      <w:pPr>
        <w:tabs>
          <w:tab w:val="num" w:pos="2160"/>
        </w:tabs>
        <w:ind w:left="2160" w:hanging="360"/>
      </w:pPr>
      <w:rPr>
        <w:rFonts w:ascii="Calibri" w:hAnsi="Calibri" w:hint="default"/>
      </w:rPr>
    </w:lvl>
    <w:lvl w:ilvl="3" w:tplc="3F4A4464" w:tentative="1">
      <w:start w:val="1"/>
      <w:numFmt w:val="bullet"/>
      <w:lvlText w:val="‒"/>
      <w:lvlJc w:val="left"/>
      <w:pPr>
        <w:tabs>
          <w:tab w:val="num" w:pos="2880"/>
        </w:tabs>
        <w:ind w:left="2880" w:hanging="360"/>
      </w:pPr>
      <w:rPr>
        <w:rFonts w:ascii="Calibri" w:hAnsi="Calibri" w:hint="default"/>
      </w:rPr>
    </w:lvl>
    <w:lvl w:ilvl="4" w:tplc="016868A6" w:tentative="1">
      <w:start w:val="1"/>
      <w:numFmt w:val="bullet"/>
      <w:lvlText w:val="‒"/>
      <w:lvlJc w:val="left"/>
      <w:pPr>
        <w:tabs>
          <w:tab w:val="num" w:pos="3600"/>
        </w:tabs>
        <w:ind w:left="3600" w:hanging="360"/>
      </w:pPr>
      <w:rPr>
        <w:rFonts w:ascii="Calibri" w:hAnsi="Calibri" w:hint="default"/>
      </w:rPr>
    </w:lvl>
    <w:lvl w:ilvl="5" w:tplc="09DE0796" w:tentative="1">
      <w:start w:val="1"/>
      <w:numFmt w:val="bullet"/>
      <w:lvlText w:val="‒"/>
      <w:lvlJc w:val="left"/>
      <w:pPr>
        <w:tabs>
          <w:tab w:val="num" w:pos="4320"/>
        </w:tabs>
        <w:ind w:left="4320" w:hanging="360"/>
      </w:pPr>
      <w:rPr>
        <w:rFonts w:ascii="Calibri" w:hAnsi="Calibri" w:hint="default"/>
      </w:rPr>
    </w:lvl>
    <w:lvl w:ilvl="6" w:tplc="54E6547E" w:tentative="1">
      <w:start w:val="1"/>
      <w:numFmt w:val="bullet"/>
      <w:lvlText w:val="‒"/>
      <w:lvlJc w:val="left"/>
      <w:pPr>
        <w:tabs>
          <w:tab w:val="num" w:pos="5040"/>
        </w:tabs>
        <w:ind w:left="5040" w:hanging="360"/>
      </w:pPr>
      <w:rPr>
        <w:rFonts w:ascii="Calibri" w:hAnsi="Calibri" w:hint="default"/>
      </w:rPr>
    </w:lvl>
    <w:lvl w:ilvl="7" w:tplc="F38AA722" w:tentative="1">
      <w:start w:val="1"/>
      <w:numFmt w:val="bullet"/>
      <w:lvlText w:val="‒"/>
      <w:lvlJc w:val="left"/>
      <w:pPr>
        <w:tabs>
          <w:tab w:val="num" w:pos="5760"/>
        </w:tabs>
        <w:ind w:left="5760" w:hanging="360"/>
      </w:pPr>
      <w:rPr>
        <w:rFonts w:ascii="Calibri" w:hAnsi="Calibri" w:hint="default"/>
      </w:rPr>
    </w:lvl>
    <w:lvl w:ilvl="8" w:tplc="6C1E36EA"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FA85BD8"/>
    <w:multiLevelType w:val="hybridMultilevel"/>
    <w:tmpl w:val="7E96D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1732E5"/>
    <w:multiLevelType w:val="multilevel"/>
    <w:tmpl w:val="8CD66AAE"/>
    <w:lvl w:ilvl="0">
      <w:start w:val="3"/>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15:restartNumberingAfterBreak="0">
    <w:nsid w:val="75DF363B"/>
    <w:multiLevelType w:val="hybridMultilevel"/>
    <w:tmpl w:val="7E0C2E2E"/>
    <w:lvl w:ilvl="0" w:tplc="E6D87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7A25E1C"/>
    <w:multiLevelType w:val="hybridMultilevel"/>
    <w:tmpl w:val="F6747EAA"/>
    <w:lvl w:ilvl="0" w:tplc="8278CC3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7E351B3A"/>
    <w:multiLevelType w:val="multilevel"/>
    <w:tmpl w:val="C988EAD2"/>
    <w:lvl w:ilvl="0">
      <w:start w:val="2"/>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9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3"/>
  </w:num>
  <w:num w:numId="3">
    <w:abstractNumId w:val="13"/>
  </w:num>
  <w:num w:numId="4">
    <w:abstractNumId w:val="18"/>
  </w:num>
  <w:num w:numId="5">
    <w:abstractNumId w:val="8"/>
  </w:num>
  <w:num w:numId="6">
    <w:abstractNumId w:val="5"/>
  </w:num>
  <w:num w:numId="7">
    <w:abstractNumId w:val="4"/>
  </w:num>
  <w:num w:numId="8">
    <w:abstractNumId w:val="24"/>
  </w:num>
  <w:num w:numId="9">
    <w:abstractNumId w:val="17"/>
  </w:num>
  <w:num w:numId="10">
    <w:abstractNumId w:val="9"/>
  </w:num>
  <w:num w:numId="11">
    <w:abstractNumId w:val="16"/>
  </w:num>
  <w:num w:numId="12">
    <w:abstractNumId w:val="12"/>
  </w:num>
  <w:num w:numId="13">
    <w:abstractNumId w:val="15"/>
  </w:num>
  <w:num w:numId="14">
    <w:abstractNumId w:val="3"/>
  </w:num>
  <w:num w:numId="15">
    <w:abstractNumId w:val="22"/>
  </w:num>
  <w:num w:numId="16">
    <w:abstractNumId w:val="11"/>
  </w:num>
  <w:num w:numId="17">
    <w:abstractNumId w:val="7"/>
  </w:num>
  <w:num w:numId="18">
    <w:abstractNumId w:val="19"/>
  </w:num>
  <w:num w:numId="19">
    <w:abstractNumId w:val="6"/>
  </w:num>
  <w:num w:numId="20">
    <w:abstractNumId w:val="20"/>
  </w:num>
  <w:num w:numId="21">
    <w:abstractNumId w:val="21"/>
  </w:num>
  <w:num w:numId="22">
    <w:abstractNumId w:val="0"/>
  </w:num>
  <w:num w:numId="23">
    <w:abstractNumId w:val="1"/>
  </w:num>
  <w:num w:numId="24">
    <w:abstractNumId w:val="14"/>
  </w:num>
  <w:num w:numId="25">
    <w:abstractNumId w:val="2"/>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36"/>
    <w:rsid w:val="000008CF"/>
    <w:rsid w:val="00000AB0"/>
    <w:rsid w:val="00001E78"/>
    <w:rsid w:val="000025B9"/>
    <w:rsid w:val="00002F2A"/>
    <w:rsid w:val="0000354E"/>
    <w:rsid w:val="00004C6B"/>
    <w:rsid w:val="0000537D"/>
    <w:rsid w:val="000053A9"/>
    <w:rsid w:val="0000685B"/>
    <w:rsid w:val="000070F6"/>
    <w:rsid w:val="000071C8"/>
    <w:rsid w:val="000072D0"/>
    <w:rsid w:val="00012F0D"/>
    <w:rsid w:val="000131AF"/>
    <w:rsid w:val="000136FA"/>
    <w:rsid w:val="000138C3"/>
    <w:rsid w:val="00013C86"/>
    <w:rsid w:val="00013D0E"/>
    <w:rsid w:val="00014797"/>
    <w:rsid w:val="00014BBE"/>
    <w:rsid w:val="000152F3"/>
    <w:rsid w:val="0001582E"/>
    <w:rsid w:val="0001585F"/>
    <w:rsid w:val="00015E5A"/>
    <w:rsid w:val="000161DC"/>
    <w:rsid w:val="00017004"/>
    <w:rsid w:val="0001758A"/>
    <w:rsid w:val="0001784B"/>
    <w:rsid w:val="000206F0"/>
    <w:rsid w:val="00020E24"/>
    <w:rsid w:val="00020FF4"/>
    <w:rsid w:val="00021B3B"/>
    <w:rsid w:val="000243E6"/>
    <w:rsid w:val="00024417"/>
    <w:rsid w:val="00024A99"/>
    <w:rsid w:val="00024AE1"/>
    <w:rsid w:val="00024B57"/>
    <w:rsid w:val="000252D8"/>
    <w:rsid w:val="00025BEB"/>
    <w:rsid w:val="0002741C"/>
    <w:rsid w:val="000278E0"/>
    <w:rsid w:val="00030E1A"/>
    <w:rsid w:val="00031254"/>
    <w:rsid w:val="00031830"/>
    <w:rsid w:val="00031982"/>
    <w:rsid w:val="00031E14"/>
    <w:rsid w:val="00032F7F"/>
    <w:rsid w:val="00033261"/>
    <w:rsid w:val="00033E7D"/>
    <w:rsid w:val="00034B2F"/>
    <w:rsid w:val="00035958"/>
    <w:rsid w:val="00040206"/>
    <w:rsid w:val="000405B0"/>
    <w:rsid w:val="00040A91"/>
    <w:rsid w:val="00041702"/>
    <w:rsid w:val="00041AE7"/>
    <w:rsid w:val="00044989"/>
    <w:rsid w:val="0004566A"/>
    <w:rsid w:val="0004568F"/>
    <w:rsid w:val="00045743"/>
    <w:rsid w:val="00046432"/>
    <w:rsid w:val="000503BF"/>
    <w:rsid w:val="00050D39"/>
    <w:rsid w:val="00051004"/>
    <w:rsid w:val="00051B5E"/>
    <w:rsid w:val="00051C5E"/>
    <w:rsid w:val="00051EA1"/>
    <w:rsid w:val="000525CC"/>
    <w:rsid w:val="0005261E"/>
    <w:rsid w:val="00052FB5"/>
    <w:rsid w:val="00053863"/>
    <w:rsid w:val="00054E9C"/>
    <w:rsid w:val="00055200"/>
    <w:rsid w:val="00055D50"/>
    <w:rsid w:val="000563EE"/>
    <w:rsid w:val="0005729A"/>
    <w:rsid w:val="000604D8"/>
    <w:rsid w:val="000606E5"/>
    <w:rsid w:val="00064334"/>
    <w:rsid w:val="00064AB7"/>
    <w:rsid w:val="00064CA2"/>
    <w:rsid w:val="00065223"/>
    <w:rsid w:val="000659AD"/>
    <w:rsid w:val="000663EB"/>
    <w:rsid w:val="00067A09"/>
    <w:rsid w:val="0007007B"/>
    <w:rsid w:val="000704C5"/>
    <w:rsid w:val="00071752"/>
    <w:rsid w:val="000722C9"/>
    <w:rsid w:val="000725FC"/>
    <w:rsid w:val="00072865"/>
    <w:rsid w:val="00072CB3"/>
    <w:rsid w:val="00074AF2"/>
    <w:rsid w:val="00076792"/>
    <w:rsid w:val="000774BA"/>
    <w:rsid w:val="00077819"/>
    <w:rsid w:val="000803D6"/>
    <w:rsid w:val="000808DD"/>
    <w:rsid w:val="000809CB"/>
    <w:rsid w:val="0008115F"/>
    <w:rsid w:val="000837DA"/>
    <w:rsid w:val="000843F4"/>
    <w:rsid w:val="000844ED"/>
    <w:rsid w:val="00086A36"/>
    <w:rsid w:val="00087254"/>
    <w:rsid w:val="000877C8"/>
    <w:rsid w:val="0009034C"/>
    <w:rsid w:val="0009053A"/>
    <w:rsid w:val="00090769"/>
    <w:rsid w:val="00090EA4"/>
    <w:rsid w:val="0009154D"/>
    <w:rsid w:val="00091B79"/>
    <w:rsid w:val="000921C0"/>
    <w:rsid w:val="00092E34"/>
    <w:rsid w:val="000934B8"/>
    <w:rsid w:val="00093DB5"/>
    <w:rsid w:val="00093F67"/>
    <w:rsid w:val="0009434A"/>
    <w:rsid w:val="00095274"/>
    <w:rsid w:val="00095BC4"/>
    <w:rsid w:val="000960DC"/>
    <w:rsid w:val="000965C0"/>
    <w:rsid w:val="0009676F"/>
    <w:rsid w:val="00096FCA"/>
    <w:rsid w:val="000A3116"/>
    <w:rsid w:val="000A45F7"/>
    <w:rsid w:val="000A4A06"/>
    <w:rsid w:val="000A58AB"/>
    <w:rsid w:val="000A595F"/>
    <w:rsid w:val="000A6D4E"/>
    <w:rsid w:val="000A79B9"/>
    <w:rsid w:val="000A7C26"/>
    <w:rsid w:val="000A7E37"/>
    <w:rsid w:val="000B0A3F"/>
    <w:rsid w:val="000B0B07"/>
    <w:rsid w:val="000B2DDF"/>
    <w:rsid w:val="000B35A8"/>
    <w:rsid w:val="000B49B8"/>
    <w:rsid w:val="000B519C"/>
    <w:rsid w:val="000B6536"/>
    <w:rsid w:val="000B71EE"/>
    <w:rsid w:val="000B7239"/>
    <w:rsid w:val="000B7414"/>
    <w:rsid w:val="000B7C10"/>
    <w:rsid w:val="000C0836"/>
    <w:rsid w:val="000C0B56"/>
    <w:rsid w:val="000C12A6"/>
    <w:rsid w:val="000C1887"/>
    <w:rsid w:val="000C1B35"/>
    <w:rsid w:val="000C25B8"/>
    <w:rsid w:val="000C4091"/>
    <w:rsid w:val="000C437F"/>
    <w:rsid w:val="000C43C8"/>
    <w:rsid w:val="000C4E9B"/>
    <w:rsid w:val="000C5C0A"/>
    <w:rsid w:val="000C62AF"/>
    <w:rsid w:val="000C6977"/>
    <w:rsid w:val="000C6F6D"/>
    <w:rsid w:val="000C7A5C"/>
    <w:rsid w:val="000C7F2A"/>
    <w:rsid w:val="000D0490"/>
    <w:rsid w:val="000D15A0"/>
    <w:rsid w:val="000D26D1"/>
    <w:rsid w:val="000D2B03"/>
    <w:rsid w:val="000D31F6"/>
    <w:rsid w:val="000D3FE8"/>
    <w:rsid w:val="000D45FB"/>
    <w:rsid w:val="000D4963"/>
    <w:rsid w:val="000D4D4D"/>
    <w:rsid w:val="000D546E"/>
    <w:rsid w:val="000D5DE5"/>
    <w:rsid w:val="000D70C1"/>
    <w:rsid w:val="000D7B50"/>
    <w:rsid w:val="000E0233"/>
    <w:rsid w:val="000E0BB1"/>
    <w:rsid w:val="000E0C71"/>
    <w:rsid w:val="000E0FEA"/>
    <w:rsid w:val="000E230B"/>
    <w:rsid w:val="000E26D9"/>
    <w:rsid w:val="000E2E26"/>
    <w:rsid w:val="000E4569"/>
    <w:rsid w:val="000E4848"/>
    <w:rsid w:val="000E78AF"/>
    <w:rsid w:val="000E7B7E"/>
    <w:rsid w:val="000F024D"/>
    <w:rsid w:val="000F0C89"/>
    <w:rsid w:val="000F1030"/>
    <w:rsid w:val="000F11C1"/>
    <w:rsid w:val="000F11CF"/>
    <w:rsid w:val="000F28FD"/>
    <w:rsid w:val="000F2FA5"/>
    <w:rsid w:val="000F31CB"/>
    <w:rsid w:val="000F40B0"/>
    <w:rsid w:val="000F4599"/>
    <w:rsid w:val="000F5220"/>
    <w:rsid w:val="000F543F"/>
    <w:rsid w:val="000F596E"/>
    <w:rsid w:val="000F5A50"/>
    <w:rsid w:val="000F5FB0"/>
    <w:rsid w:val="000F66DB"/>
    <w:rsid w:val="000F6E7B"/>
    <w:rsid w:val="000F7D08"/>
    <w:rsid w:val="00101A47"/>
    <w:rsid w:val="001027B3"/>
    <w:rsid w:val="00102828"/>
    <w:rsid w:val="00102FDD"/>
    <w:rsid w:val="00103A5D"/>
    <w:rsid w:val="00103C3D"/>
    <w:rsid w:val="00103FD0"/>
    <w:rsid w:val="001048ED"/>
    <w:rsid w:val="001051C0"/>
    <w:rsid w:val="00105678"/>
    <w:rsid w:val="001058C0"/>
    <w:rsid w:val="0010659F"/>
    <w:rsid w:val="00106798"/>
    <w:rsid w:val="001068A2"/>
    <w:rsid w:val="00106DB9"/>
    <w:rsid w:val="00107EEF"/>
    <w:rsid w:val="001106A4"/>
    <w:rsid w:val="001118E4"/>
    <w:rsid w:val="00114138"/>
    <w:rsid w:val="00114A8D"/>
    <w:rsid w:val="001156EA"/>
    <w:rsid w:val="001159BB"/>
    <w:rsid w:val="00120405"/>
    <w:rsid w:val="00120542"/>
    <w:rsid w:val="001223B8"/>
    <w:rsid w:val="00122738"/>
    <w:rsid w:val="0012371D"/>
    <w:rsid w:val="00123DF7"/>
    <w:rsid w:val="00125F26"/>
    <w:rsid w:val="00130C98"/>
    <w:rsid w:val="00132361"/>
    <w:rsid w:val="00132B6A"/>
    <w:rsid w:val="00132DAF"/>
    <w:rsid w:val="00133F79"/>
    <w:rsid w:val="001340F3"/>
    <w:rsid w:val="001345AC"/>
    <w:rsid w:val="00135420"/>
    <w:rsid w:val="00135BC8"/>
    <w:rsid w:val="0013708B"/>
    <w:rsid w:val="00140409"/>
    <w:rsid w:val="001408E6"/>
    <w:rsid w:val="00140A5C"/>
    <w:rsid w:val="00140EC5"/>
    <w:rsid w:val="001413BA"/>
    <w:rsid w:val="00142ACE"/>
    <w:rsid w:val="00143072"/>
    <w:rsid w:val="00143A08"/>
    <w:rsid w:val="00144DCC"/>
    <w:rsid w:val="001454C9"/>
    <w:rsid w:val="00146197"/>
    <w:rsid w:val="001475F0"/>
    <w:rsid w:val="00147E80"/>
    <w:rsid w:val="00150D80"/>
    <w:rsid w:val="001512B7"/>
    <w:rsid w:val="001526F8"/>
    <w:rsid w:val="001538E1"/>
    <w:rsid w:val="00153B4F"/>
    <w:rsid w:val="00154C1A"/>
    <w:rsid w:val="00155A8D"/>
    <w:rsid w:val="001569E9"/>
    <w:rsid w:val="00160B27"/>
    <w:rsid w:val="00161DBB"/>
    <w:rsid w:val="0016396B"/>
    <w:rsid w:val="00163ECA"/>
    <w:rsid w:val="001642D1"/>
    <w:rsid w:val="0016466C"/>
    <w:rsid w:val="00164E5C"/>
    <w:rsid w:val="001666FE"/>
    <w:rsid w:val="00166FFC"/>
    <w:rsid w:val="0016767D"/>
    <w:rsid w:val="00167D8C"/>
    <w:rsid w:val="00167FBC"/>
    <w:rsid w:val="001705F0"/>
    <w:rsid w:val="00170B64"/>
    <w:rsid w:val="0017116D"/>
    <w:rsid w:val="001718DE"/>
    <w:rsid w:val="00171AA4"/>
    <w:rsid w:val="0017268E"/>
    <w:rsid w:val="00173E71"/>
    <w:rsid w:val="00173FCD"/>
    <w:rsid w:val="00174522"/>
    <w:rsid w:val="00176228"/>
    <w:rsid w:val="001767A3"/>
    <w:rsid w:val="001767B3"/>
    <w:rsid w:val="00177177"/>
    <w:rsid w:val="001777C0"/>
    <w:rsid w:val="0017799F"/>
    <w:rsid w:val="00177A86"/>
    <w:rsid w:val="00177B2D"/>
    <w:rsid w:val="00180EFB"/>
    <w:rsid w:val="00181372"/>
    <w:rsid w:val="00181805"/>
    <w:rsid w:val="00181A31"/>
    <w:rsid w:val="00184319"/>
    <w:rsid w:val="00184E25"/>
    <w:rsid w:val="00185335"/>
    <w:rsid w:val="00186895"/>
    <w:rsid w:val="001871DA"/>
    <w:rsid w:val="0019028A"/>
    <w:rsid w:val="00191336"/>
    <w:rsid w:val="00191B3C"/>
    <w:rsid w:val="00192453"/>
    <w:rsid w:val="00192607"/>
    <w:rsid w:val="00192AA4"/>
    <w:rsid w:val="00192B6C"/>
    <w:rsid w:val="00192CED"/>
    <w:rsid w:val="00193381"/>
    <w:rsid w:val="001935C0"/>
    <w:rsid w:val="001941AF"/>
    <w:rsid w:val="00195126"/>
    <w:rsid w:val="0019553F"/>
    <w:rsid w:val="00195B93"/>
    <w:rsid w:val="001977C6"/>
    <w:rsid w:val="001A0054"/>
    <w:rsid w:val="001A0210"/>
    <w:rsid w:val="001A0B97"/>
    <w:rsid w:val="001A22F7"/>
    <w:rsid w:val="001A3753"/>
    <w:rsid w:val="001A440F"/>
    <w:rsid w:val="001A4796"/>
    <w:rsid w:val="001A5374"/>
    <w:rsid w:val="001A5BD8"/>
    <w:rsid w:val="001A5E43"/>
    <w:rsid w:val="001A60E0"/>
    <w:rsid w:val="001A6427"/>
    <w:rsid w:val="001A6B36"/>
    <w:rsid w:val="001A7918"/>
    <w:rsid w:val="001B0BA2"/>
    <w:rsid w:val="001B0DE0"/>
    <w:rsid w:val="001B1BA5"/>
    <w:rsid w:val="001B27CA"/>
    <w:rsid w:val="001B2E29"/>
    <w:rsid w:val="001B3BB6"/>
    <w:rsid w:val="001B3FE2"/>
    <w:rsid w:val="001B532F"/>
    <w:rsid w:val="001B5598"/>
    <w:rsid w:val="001B56C6"/>
    <w:rsid w:val="001B5A81"/>
    <w:rsid w:val="001B6CAD"/>
    <w:rsid w:val="001B6CFF"/>
    <w:rsid w:val="001C0366"/>
    <w:rsid w:val="001C217E"/>
    <w:rsid w:val="001C2261"/>
    <w:rsid w:val="001C2770"/>
    <w:rsid w:val="001C2A73"/>
    <w:rsid w:val="001C3373"/>
    <w:rsid w:val="001C3B8D"/>
    <w:rsid w:val="001C44C0"/>
    <w:rsid w:val="001C4639"/>
    <w:rsid w:val="001C4BF8"/>
    <w:rsid w:val="001C5B56"/>
    <w:rsid w:val="001C61E8"/>
    <w:rsid w:val="001C665F"/>
    <w:rsid w:val="001C75B9"/>
    <w:rsid w:val="001D0383"/>
    <w:rsid w:val="001D10F1"/>
    <w:rsid w:val="001D13FB"/>
    <w:rsid w:val="001D142C"/>
    <w:rsid w:val="001D26AB"/>
    <w:rsid w:val="001D2D88"/>
    <w:rsid w:val="001D30D9"/>
    <w:rsid w:val="001D439B"/>
    <w:rsid w:val="001D5991"/>
    <w:rsid w:val="001D6DD8"/>
    <w:rsid w:val="001D7E07"/>
    <w:rsid w:val="001E0441"/>
    <w:rsid w:val="001E0773"/>
    <w:rsid w:val="001E1220"/>
    <w:rsid w:val="001E17F6"/>
    <w:rsid w:val="001E2191"/>
    <w:rsid w:val="001E6721"/>
    <w:rsid w:val="001E6D4B"/>
    <w:rsid w:val="001F0142"/>
    <w:rsid w:val="001F1E36"/>
    <w:rsid w:val="001F218D"/>
    <w:rsid w:val="001F263C"/>
    <w:rsid w:val="001F33A3"/>
    <w:rsid w:val="001F3AD1"/>
    <w:rsid w:val="001F5341"/>
    <w:rsid w:val="001F58A5"/>
    <w:rsid w:val="001F5AA3"/>
    <w:rsid w:val="001F6645"/>
    <w:rsid w:val="001F6D07"/>
    <w:rsid w:val="001F75CA"/>
    <w:rsid w:val="001F785F"/>
    <w:rsid w:val="001F7A5A"/>
    <w:rsid w:val="001F7F51"/>
    <w:rsid w:val="002000F9"/>
    <w:rsid w:val="00200E7E"/>
    <w:rsid w:val="0020120E"/>
    <w:rsid w:val="002013CC"/>
    <w:rsid w:val="00201A72"/>
    <w:rsid w:val="00201C09"/>
    <w:rsid w:val="00203331"/>
    <w:rsid w:val="00203D6A"/>
    <w:rsid w:val="00204ECD"/>
    <w:rsid w:val="00205510"/>
    <w:rsid w:val="00207276"/>
    <w:rsid w:val="00210937"/>
    <w:rsid w:val="00211260"/>
    <w:rsid w:val="0021152D"/>
    <w:rsid w:val="00212740"/>
    <w:rsid w:val="002128BF"/>
    <w:rsid w:val="00212D40"/>
    <w:rsid w:val="00214AD6"/>
    <w:rsid w:val="00214C1F"/>
    <w:rsid w:val="002151A0"/>
    <w:rsid w:val="00215259"/>
    <w:rsid w:val="00215738"/>
    <w:rsid w:val="002161F8"/>
    <w:rsid w:val="00216300"/>
    <w:rsid w:val="002169FA"/>
    <w:rsid w:val="00216B9F"/>
    <w:rsid w:val="00217101"/>
    <w:rsid w:val="00217925"/>
    <w:rsid w:val="00220C43"/>
    <w:rsid w:val="002212BC"/>
    <w:rsid w:val="00222A7E"/>
    <w:rsid w:val="00222EB0"/>
    <w:rsid w:val="002235C1"/>
    <w:rsid w:val="002244FB"/>
    <w:rsid w:val="00224859"/>
    <w:rsid w:val="00224904"/>
    <w:rsid w:val="00224E0C"/>
    <w:rsid w:val="00225BC5"/>
    <w:rsid w:val="00226F20"/>
    <w:rsid w:val="00227162"/>
    <w:rsid w:val="002277D0"/>
    <w:rsid w:val="002279DF"/>
    <w:rsid w:val="00227C7D"/>
    <w:rsid w:val="00231202"/>
    <w:rsid w:val="00231740"/>
    <w:rsid w:val="00231EBA"/>
    <w:rsid w:val="00232281"/>
    <w:rsid w:val="0023319D"/>
    <w:rsid w:val="00233C66"/>
    <w:rsid w:val="0023403F"/>
    <w:rsid w:val="00234CEE"/>
    <w:rsid w:val="00235EA1"/>
    <w:rsid w:val="00235F23"/>
    <w:rsid w:val="00236920"/>
    <w:rsid w:val="002407C6"/>
    <w:rsid w:val="00241186"/>
    <w:rsid w:val="002414D7"/>
    <w:rsid w:val="00241EF7"/>
    <w:rsid w:val="00242B68"/>
    <w:rsid w:val="00245443"/>
    <w:rsid w:val="002464CE"/>
    <w:rsid w:val="00246855"/>
    <w:rsid w:val="0024727A"/>
    <w:rsid w:val="002474EC"/>
    <w:rsid w:val="00251F04"/>
    <w:rsid w:val="00252FD1"/>
    <w:rsid w:val="002530A9"/>
    <w:rsid w:val="00253241"/>
    <w:rsid w:val="002546DE"/>
    <w:rsid w:val="002547FC"/>
    <w:rsid w:val="00254DFE"/>
    <w:rsid w:val="0025578A"/>
    <w:rsid w:val="00255B1B"/>
    <w:rsid w:val="00255C26"/>
    <w:rsid w:val="00255E7D"/>
    <w:rsid w:val="002564BB"/>
    <w:rsid w:val="0025657C"/>
    <w:rsid w:val="00256AFB"/>
    <w:rsid w:val="00256BAC"/>
    <w:rsid w:val="00257DF2"/>
    <w:rsid w:val="00257F68"/>
    <w:rsid w:val="00260168"/>
    <w:rsid w:val="00260203"/>
    <w:rsid w:val="00262989"/>
    <w:rsid w:val="0026308E"/>
    <w:rsid w:val="002666CD"/>
    <w:rsid w:val="00266811"/>
    <w:rsid w:val="00270C10"/>
    <w:rsid w:val="00270FFD"/>
    <w:rsid w:val="002713FB"/>
    <w:rsid w:val="0027166C"/>
    <w:rsid w:val="00271A85"/>
    <w:rsid w:val="00272A9D"/>
    <w:rsid w:val="00272BA2"/>
    <w:rsid w:val="00272F42"/>
    <w:rsid w:val="002730B5"/>
    <w:rsid w:val="002730E9"/>
    <w:rsid w:val="002731A7"/>
    <w:rsid w:val="00274015"/>
    <w:rsid w:val="002746DA"/>
    <w:rsid w:val="00274D58"/>
    <w:rsid w:val="00275C97"/>
    <w:rsid w:val="00276D52"/>
    <w:rsid w:val="00277013"/>
    <w:rsid w:val="00277254"/>
    <w:rsid w:val="00277305"/>
    <w:rsid w:val="0028124D"/>
    <w:rsid w:val="0028140E"/>
    <w:rsid w:val="0028172E"/>
    <w:rsid w:val="00281BBA"/>
    <w:rsid w:val="00281E51"/>
    <w:rsid w:val="002826A0"/>
    <w:rsid w:val="0028273F"/>
    <w:rsid w:val="00283781"/>
    <w:rsid w:val="0028475C"/>
    <w:rsid w:val="00285AA7"/>
    <w:rsid w:val="00286A62"/>
    <w:rsid w:val="002871B6"/>
    <w:rsid w:val="00287A7D"/>
    <w:rsid w:val="00287D26"/>
    <w:rsid w:val="00287D64"/>
    <w:rsid w:val="00290798"/>
    <w:rsid w:val="00290CB1"/>
    <w:rsid w:val="0029363E"/>
    <w:rsid w:val="00293B24"/>
    <w:rsid w:val="00295CD9"/>
    <w:rsid w:val="00296D65"/>
    <w:rsid w:val="00297285"/>
    <w:rsid w:val="00297954"/>
    <w:rsid w:val="00297CDA"/>
    <w:rsid w:val="002A1A59"/>
    <w:rsid w:val="002A1B6A"/>
    <w:rsid w:val="002A29DA"/>
    <w:rsid w:val="002A3A20"/>
    <w:rsid w:val="002A4B70"/>
    <w:rsid w:val="002A4F79"/>
    <w:rsid w:val="002A4F8B"/>
    <w:rsid w:val="002A502A"/>
    <w:rsid w:val="002A6208"/>
    <w:rsid w:val="002A6304"/>
    <w:rsid w:val="002A68EC"/>
    <w:rsid w:val="002A6B1A"/>
    <w:rsid w:val="002A7206"/>
    <w:rsid w:val="002A7485"/>
    <w:rsid w:val="002A7FF3"/>
    <w:rsid w:val="002B0482"/>
    <w:rsid w:val="002B0A0A"/>
    <w:rsid w:val="002B0E45"/>
    <w:rsid w:val="002B2789"/>
    <w:rsid w:val="002B3566"/>
    <w:rsid w:val="002B414E"/>
    <w:rsid w:val="002B4968"/>
    <w:rsid w:val="002B53EA"/>
    <w:rsid w:val="002B6002"/>
    <w:rsid w:val="002B65FB"/>
    <w:rsid w:val="002B6CE4"/>
    <w:rsid w:val="002B7163"/>
    <w:rsid w:val="002B73FD"/>
    <w:rsid w:val="002C0661"/>
    <w:rsid w:val="002C225C"/>
    <w:rsid w:val="002C280A"/>
    <w:rsid w:val="002C2B22"/>
    <w:rsid w:val="002C2E79"/>
    <w:rsid w:val="002C3233"/>
    <w:rsid w:val="002C3CB1"/>
    <w:rsid w:val="002C40DB"/>
    <w:rsid w:val="002C4EF8"/>
    <w:rsid w:val="002C62EB"/>
    <w:rsid w:val="002C6361"/>
    <w:rsid w:val="002C75D9"/>
    <w:rsid w:val="002C7B3D"/>
    <w:rsid w:val="002D0D37"/>
    <w:rsid w:val="002D13E6"/>
    <w:rsid w:val="002D164E"/>
    <w:rsid w:val="002D1B17"/>
    <w:rsid w:val="002D2A56"/>
    <w:rsid w:val="002D2ED8"/>
    <w:rsid w:val="002D2FBF"/>
    <w:rsid w:val="002D37B5"/>
    <w:rsid w:val="002D3882"/>
    <w:rsid w:val="002D3DD2"/>
    <w:rsid w:val="002D44A8"/>
    <w:rsid w:val="002D4ABC"/>
    <w:rsid w:val="002D4FFF"/>
    <w:rsid w:val="002D5805"/>
    <w:rsid w:val="002D6B56"/>
    <w:rsid w:val="002D7DF2"/>
    <w:rsid w:val="002E07EF"/>
    <w:rsid w:val="002E33F1"/>
    <w:rsid w:val="002E3946"/>
    <w:rsid w:val="002E460D"/>
    <w:rsid w:val="002E49E8"/>
    <w:rsid w:val="002E559E"/>
    <w:rsid w:val="002E5EC9"/>
    <w:rsid w:val="002E68D9"/>
    <w:rsid w:val="002E76D1"/>
    <w:rsid w:val="002F003F"/>
    <w:rsid w:val="002F0E49"/>
    <w:rsid w:val="002F102B"/>
    <w:rsid w:val="002F140E"/>
    <w:rsid w:val="002F2A09"/>
    <w:rsid w:val="002F491D"/>
    <w:rsid w:val="002F7177"/>
    <w:rsid w:val="002F7D29"/>
    <w:rsid w:val="003003B5"/>
    <w:rsid w:val="003005DC"/>
    <w:rsid w:val="0030127D"/>
    <w:rsid w:val="00301842"/>
    <w:rsid w:val="003019A1"/>
    <w:rsid w:val="003019A9"/>
    <w:rsid w:val="00301C52"/>
    <w:rsid w:val="00301D10"/>
    <w:rsid w:val="00301D29"/>
    <w:rsid w:val="0030223B"/>
    <w:rsid w:val="00302334"/>
    <w:rsid w:val="00305121"/>
    <w:rsid w:val="00305CDD"/>
    <w:rsid w:val="00306621"/>
    <w:rsid w:val="003070F2"/>
    <w:rsid w:val="003071FC"/>
    <w:rsid w:val="00307C35"/>
    <w:rsid w:val="00307F94"/>
    <w:rsid w:val="003101D1"/>
    <w:rsid w:val="00310A2F"/>
    <w:rsid w:val="00310A3B"/>
    <w:rsid w:val="00311460"/>
    <w:rsid w:val="00312385"/>
    <w:rsid w:val="0031250B"/>
    <w:rsid w:val="003125EA"/>
    <w:rsid w:val="003130A8"/>
    <w:rsid w:val="003137A7"/>
    <w:rsid w:val="0031602C"/>
    <w:rsid w:val="00316A98"/>
    <w:rsid w:val="003173DA"/>
    <w:rsid w:val="00317416"/>
    <w:rsid w:val="003207BC"/>
    <w:rsid w:val="00321685"/>
    <w:rsid w:val="00321BB9"/>
    <w:rsid w:val="00321D3D"/>
    <w:rsid w:val="00322719"/>
    <w:rsid w:val="003240B5"/>
    <w:rsid w:val="0032490F"/>
    <w:rsid w:val="00324B53"/>
    <w:rsid w:val="003259D0"/>
    <w:rsid w:val="0032677F"/>
    <w:rsid w:val="003268B7"/>
    <w:rsid w:val="00326F10"/>
    <w:rsid w:val="00330654"/>
    <w:rsid w:val="003308F5"/>
    <w:rsid w:val="00332F2F"/>
    <w:rsid w:val="00333040"/>
    <w:rsid w:val="0033323E"/>
    <w:rsid w:val="00333D0F"/>
    <w:rsid w:val="0033463F"/>
    <w:rsid w:val="00334CE6"/>
    <w:rsid w:val="003354A6"/>
    <w:rsid w:val="00335618"/>
    <w:rsid w:val="00337317"/>
    <w:rsid w:val="003377E8"/>
    <w:rsid w:val="003412CF"/>
    <w:rsid w:val="003413CF"/>
    <w:rsid w:val="00341A0E"/>
    <w:rsid w:val="00342335"/>
    <w:rsid w:val="00343959"/>
    <w:rsid w:val="0034493B"/>
    <w:rsid w:val="0034592E"/>
    <w:rsid w:val="003460EB"/>
    <w:rsid w:val="003461B4"/>
    <w:rsid w:val="00346BAC"/>
    <w:rsid w:val="00347E6E"/>
    <w:rsid w:val="00347FDD"/>
    <w:rsid w:val="00350F52"/>
    <w:rsid w:val="003514AE"/>
    <w:rsid w:val="003519F5"/>
    <w:rsid w:val="00351C9C"/>
    <w:rsid w:val="00351F51"/>
    <w:rsid w:val="00352C58"/>
    <w:rsid w:val="0035317B"/>
    <w:rsid w:val="0035351D"/>
    <w:rsid w:val="00353658"/>
    <w:rsid w:val="003546EC"/>
    <w:rsid w:val="0035470A"/>
    <w:rsid w:val="003547BB"/>
    <w:rsid w:val="00354945"/>
    <w:rsid w:val="0035562A"/>
    <w:rsid w:val="00356241"/>
    <w:rsid w:val="00356811"/>
    <w:rsid w:val="00357259"/>
    <w:rsid w:val="00360AA8"/>
    <w:rsid w:val="00360D05"/>
    <w:rsid w:val="00360D40"/>
    <w:rsid w:val="003613D4"/>
    <w:rsid w:val="00361994"/>
    <w:rsid w:val="0036205E"/>
    <w:rsid w:val="00362258"/>
    <w:rsid w:val="00362314"/>
    <w:rsid w:val="00362678"/>
    <w:rsid w:val="0036296B"/>
    <w:rsid w:val="00363F66"/>
    <w:rsid w:val="00364F72"/>
    <w:rsid w:val="00365339"/>
    <w:rsid w:val="00365F1C"/>
    <w:rsid w:val="0036623A"/>
    <w:rsid w:val="00367AE4"/>
    <w:rsid w:val="00367F8D"/>
    <w:rsid w:val="003703D6"/>
    <w:rsid w:val="00370F12"/>
    <w:rsid w:val="0037109A"/>
    <w:rsid w:val="00371889"/>
    <w:rsid w:val="003722AB"/>
    <w:rsid w:val="003725A3"/>
    <w:rsid w:val="003726FC"/>
    <w:rsid w:val="003728F6"/>
    <w:rsid w:val="003731E3"/>
    <w:rsid w:val="00373347"/>
    <w:rsid w:val="00373D4A"/>
    <w:rsid w:val="00375F25"/>
    <w:rsid w:val="00377171"/>
    <w:rsid w:val="003775E9"/>
    <w:rsid w:val="0038035A"/>
    <w:rsid w:val="00381A9A"/>
    <w:rsid w:val="0038390E"/>
    <w:rsid w:val="00383E25"/>
    <w:rsid w:val="00384804"/>
    <w:rsid w:val="00384E45"/>
    <w:rsid w:val="00385280"/>
    <w:rsid w:val="00385BF8"/>
    <w:rsid w:val="0038613B"/>
    <w:rsid w:val="0038707B"/>
    <w:rsid w:val="00387189"/>
    <w:rsid w:val="003913C7"/>
    <w:rsid w:val="00392545"/>
    <w:rsid w:val="003932B0"/>
    <w:rsid w:val="003936EA"/>
    <w:rsid w:val="00393D45"/>
    <w:rsid w:val="00394170"/>
    <w:rsid w:val="00395E5F"/>
    <w:rsid w:val="00396DDD"/>
    <w:rsid w:val="00396DE1"/>
    <w:rsid w:val="0039708F"/>
    <w:rsid w:val="003A041A"/>
    <w:rsid w:val="003A078D"/>
    <w:rsid w:val="003A21EC"/>
    <w:rsid w:val="003A2A33"/>
    <w:rsid w:val="003A447D"/>
    <w:rsid w:val="003A4E6E"/>
    <w:rsid w:val="003A5F44"/>
    <w:rsid w:val="003A6344"/>
    <w:rsid w:val="003A660E"/>
    <w:rsid w:val="003A6733"/>
    <w:rsid w:val="003A72A4"/>
    <w:rsid w:val="003A7E23"/>
    <w:rsid w:val="003A7FF7"/>
    <w:rsid w:val="003B021E"/>
    <w:rsid w:val="003B0423"/>
    <w:rsid w:val="003B0C0C"/>
    <w:rsid w:val="003B0D64"/>
    <w:rsid w:val="003B1B89"/>
    <w:rsid w:val="003B1F3D"/>
    <w:rsid w:val="003B2A7A"/>
    <w:rsid w:val="003B2B7F"/>
    <w:rsid w:val="003B3887"/>
    <w:rsid w:val="003B38C3"/>
    <w:rsid w:val="003B4E88"/>
    <w:rsid w:val="003B5A7E"/>
    <w:rsid w:val="003B5B06"/>
    <w:rsid w:val="003B5EDE"/>
    <w:rsid w:val="003B6D04"/>
    <w:rsid w:val="003B7C62"/>
    <w:rsid w:val="003C0909"/>
    <w:rsid w:val="003C090F"/>
    <w:rsid w:val="003C0B5C"/>
    <w:rsid w:val="003C0BF7"/>
    <w:rsid w:val="003C0E7C"/>
    <w:rsid w:val="003C162A"/>
    <w:rsid w:val="003C1D72"/>
    <w:rsid w:val="003C20D1"/>
    <w:rsid w:val="003C284E"/>
    <w:rsid w:val="003C43C0"/>
    <w:rsid w:val="003C528F"/>
    <w:rsid w:val="003C56EA"/>
    <w:rsid w:val="003C5DAC"/>
    <w:rsid w:val="003C732C"/>
    <w:rsid w:val="003C74B8"/>
    <w:rsid w:val="003C7F6A"/>
    <w:rsid w:val="003D0613"/>
    <w:rsid w:val="003D0841"/>
    <w:rsid w:val="003D0D1A"/>
    <w:rsid w:val="003D15CD"/>
    <w:rsid w:val="003D1B2B"/>
    <w:rsid w:val="003D2507"/>
    <w:rsid w:val="003D2A7E"/>
    <w:rsid w:val="003D3A33"/>
    <w:rsid w:val="003D3AB0"/>
    <w:rsid w:val="003D4772"/>
    <w:rsid w:val="003D47A8"/>
    <w:rsid w:val="003D5124"/>
    <w:rsid w:val="003D5346"/>
    <w:rsid w:val="003D5D37"/>
    <w:rsid w:val="003D6BCD"/>
    <w:rsid w:val="003E00B4"/>
    <w:rsid w:val="003E00DF"/>
    <w:rsid w:val="003E13C7"/>
    <w:rsid w:val="003E1A17"/>
    <w:rsid w:val="003E1FF2"/>
    <w:rsid w:val="003E2695"/>
    <w:rsid w:val="003E2938"/>
    <w:rsid w:val="003E3293"/>
    <w:rsid w:val="003E3D98"/>
    <w:rsid w:val="003E4000"/>
    <w:rsid w:val="003E4F2B"/>
    <w:rsid w:val="003E52BA"/>
    <w:rsid w:val="003E752D"/>
    <w:rsid w:val="003E7A7C"/>
    <w:rsid w:val="003F0AFC"/>
    <w:rsid w:val="003F27FB"/>
    <w:rsid w:val="003F2F80"/>
    <w:rsid w:val="003F30ED"/>
    <w:rsid w:val="003F3264"/>
    <w:rsid w:val="003F474B"/>
    <w:rsid w:val="003F5411"/>
    <w:rsid w:val="003F5F60"/>
    <w:rsid w:val="003F6570"/>
    <w:rsid w:val="003F68D5"/>
    <w:rsid w:val="003F68E0"/>
    <w:rsid w:val="003F72A8"/>
    <w:rsid w:val="003F75EE"/>
    <w:rsid w:val="003F7975"/>
    <w:rsid w:val="004004EF"/>
    <w:rsid w:val="00401065"/>
    <w:rsid w:val="00401E2F"/>
    <w:rsid w:val="00401F67"/>
    <w:rsid w:val="004031D0"/>
    <w:rsid w:val="004033C7"/>
    <w:rsid w:val="00403A98"/>
    <w:rsid w:val="00404E33"/>
    <w:rsid w:val="00405B1C"/>
    <w:rsid w:val="00405C27"/>
    <w:rsid w:val="00406F25"/>
    <w:rsid w:val="00407C98"/>
    <w:rsid w:val="00407FD8"/>
    <w:rsid w:val="00410779"/>
    <w:rsid w:val="00411940"/>
    <w:rsid w:val="00411D58"/>
    <w:rsid w:val="004128D8"/>
    <w:rsid w:val="00413708"/>
    <w:rsid w:val="00414217"/>
    <w:rsid w:val="00414388"/>
    <w:rsid w:val="004143B3"/>
    <w:rsid w:val="004147E3"/>
    <w:rsid w:val="00414A59"/>
    <w:rsid w:val="00414C93"/>
    <w:rsid w:val="00414EA5"/>
    <w:rsid w:val="0041765D"/>
    <w:rsid w:val="00417AC7"/>
    <w:rsid w:val="0042015C"/>
    <w:rsid w:val="004201BB"/>
    <w:rsid w:val="00421D50"/>
    <w:rsid w:val="00422070"/>
    <w:rsid w:val="00422D23"/>
    <w:rsid w:val="00423961"/>
    <w:rsid w:val="00423C31"/>
    <w:rsid w:val="00424BC2"/>
    <w:rsid w:val="00425F82"/>
    <w:rsid w:val="004267D6"/>
    <w:rsid w:val="00430F8E"/>
    <w:rsid w:val="00431BBD"/>
    <w:rsid w:val="00433511"/>
    <w:rsid w:val="00433602"/>
    <w:rsid w:val="004336AD"/>
    <w:rsid w:val="0043397C"/>
    <w:rsid w:val="00434C6B"/>
    <w:rsid w:val="00435149"/>
    <w:rsid w:val="004358FF"/>
    <w:rsid w:val="00436A97"/>
    <w:rsid w:val="00436CA7"/>
    <w:rsid w:val="00436E7E"/>
    <w:rsid w:val="00436EB4"/>
    <w:rsid w:val="00437FFD"/>
    <w:rsid w:val="004402B2"/>
    <w:rsid w:val="004406EE"/>
    <w:rsid w:val="0044097D"/>
    <w:rsid w:val="004410A2"/>
    <w:rsid w:val="00441361"/>
    <w:rsid w:val="00443138"/>
    <w:rsid w:val="004437F3"/>
    <w:rsid w:val="004439BB"/>
    <w:rsid w:val="004440AA"/>
    <w:rsid w:val="0044494A"/>
    <w:rsid w:val="00444A19"/>
    <w:rsid w:val="00444B73"/>
    <w:rsid w:val="00444EAC"/>
    <w:rsid w:val="0044501A"/>
    <w:rsid w:val="00445191"/>
    <w:rsid w:val="00445974"/>
    <w:rsid w:val="00446E01"/>
    <w:rsid w:val="004474A5"/>
    <w:rsid w:val="004506B2"/>
    <w:rsid w:val="0045182E"/>
    <w:rsid w:val="00451B01"/>
    <w:rsid w:val="00451EA9"/>
    <w:rsid w:val="00451FCC"/>
    <w:rsid w:val="0045279B"/>
    <w:rsid w:val="00452894"/>
    <w:rsid w:val="00453078"/>
    <w:rsid w:val="00453263"/>
    <w:rsid w:val="00453CD7"/>
    <w:rsid w:val="00453DF9"/>
    <w:rsid w:val="00454072"/>
    <w:rsid w:val="0045444C"/>
    <w:rsid w:val="00454C17"/>
    <w:rsid w:val="00455270"/>
    <w:rsid w:val="0045529A"/>
    <w:rsid w:val="00455629"/>
    <w:rsid w:val="00455FDB"/>
    <w:rsid w:val="00456F7C"/>
    <w:rsid w:val="004571E1"/>
    <w:rsid w:val="004602CA"/>
    <w:rsid w:val="00460CE8"/>
    <w:rsid w:val="004611F3"/>
    <w:rsid w:val="004615E7"/>
    <w:rsid w:val="00463B27"/>
    <w:rsid w:val="00463D80"/>
    <w:rsid w:val="00463EA0"/>
    <w:rsid w:val="00464196"/>
    <w:rsid w:val="00464452"/>
    <w:rsid w:val="00464B21"/>
    <w:rsid w:val="00464DB4"/>
    <w:rsid w:val="00465299"/>
    <w:rsid w:val="00465626"/>
    <w:rsid w:val="004665F3"/>
    <w:rsid w:val="00466D36"/>
    <w:rsid w:val="00466E06"/>
    <w:rsid w:val="00467200"/>
    <w:rsid w:val="00467BAC"/>
    <w:rsid w:val="0047039D"/>
    <w:rsid w:val="00470408"/>
    <w:rsid w:val="0047173C"/>
    <w:rsid w:val="0047186E"/>
    <w:rsid w:val="0047213E"/>
    <w:rsid w:val="0047309B"/>
    <w:rsid w:val="00473561"/>
    <w:rsid w:val="00473762"/>
    <w:rsid w:val="004740FB"/>
    <w:rsid w:val="004741A5"/>
    <w:rsid w:val="00474524"/>
    <w:rsid w:val="0047469B"/>
    <w:rsid w:val="004746F9"/>
    <w:rsid w:val="004764D6"/>
    <w:rsid w:val="0047687E"/>
    <w:rsid w:val="00477696"/>
    <w:rsid w:val="00477E24"/>
    <w:rsid w:val="00480B64"/>
    <w:rsid w:val="00480D02"/>
    <w:rsid w:val="00481438"/>
    <w:rsid w:val="004849A2"/>
    <w:rsid w:val="00484BE5"/>
    <w:rsid w:val="00484FD4"/>
    <w:rsid w:val="00485FD4"/>
    <w:rsid w:val="0049013F"/>
    <w:rsid w:val="00490AE4"/>
    <w:rsid w:val="00490EE0"/>
    <w:rsid w:val="00491B0A"/>
    <w:rsid w:val="00492345"/>
    <w:rsid w:val="00492840"/>
    <w:rsid w:val="0049309A"/>
    <w:rsid w:val="00493BE0"/>
    <w:rsid w:val="00493E0D"/>
    <w:rsid w:val="00493F33"/>
    <w:rsid w:val="00494C2B"/>
    <w:rsid w:val="00494FC8"/>
    <w:rsid w:val="004952D0"/>
    <w:rsid w:val="00496078"/>
    <w:rsid w:val="004A08F4"/>
    <w:rsid w:val="004A0FD8"/>
    <w:rsid w:val="004A1008"/>
    <w:rsid w:val="004A1404"/>
    <w:rsid w:val="004A1733"/>
    <w:rsid w:val="004A1A13"/>
    <w:rsid w:val="004A1B9F"/>
    <w:rsid w:val="004A25F5"/>
    <w:rsid w:val="004A267E"/>
    <w:rsid w:val="004A26DF"/>
    <w:rsid w:val="004A2F17"/>
    <w:rsid w:val="004A3765"/>
    <w:rsid w:val="004A3FF6"/>
    <w:rsid w:val="004A49A0"/>
    <w:rsid w:val="004A4E74"/>
    <w:rsid w:val="004A50F3"/>
    <w:rsid w:val="004A5D57"/>
    <w:rsid w:val="004A6A5F"/>
    <w:rsid w:val="004A7754"/>
    <w:rsid w:val="004B0946"/>
    <w:rsid w:val="004B0C68"/>
    <w:rsid w:val="004B191C"/>
    <w:rsid w:val="004B2835"/>
    <w:rsid w:val="004B29A9"/>
    <w:rsid w:val="004B4330"/>
    <w:rsid w:val="004B4469"/>
    <w:rsid w:val="004B44AD"/>
    <w:rsid w:val="004B4894"/>
    <w:rsid w:val="004B4E94"/>
    <w:rsid w:val="004B67B5"/>
    <w:rsid w:val="004B69BF"/>
    <w:rsid w:val="004B7B9D"/>
    <w:rsid w:val="004C00D2"/>
    <w:rsid w:val="004C02E9"/>
    <w:rsid w:val="004C0506"/>
    <w:rsid w:val="004C05E4"/>
    <w:rsid w:val="004C15BB"/>
    <w:rsid w:val="004C19A9"/>
    <w:rsid w:val="004C1C90"/>
    <w:rsid w:val="004C1F3E"/>
    <w:rsid w:val="004C2123"/>
    <w:rsid w:val="004C4F60"/>
    <w:rsid w:val="004C5EC5"/>
    <w:rsid w:val="004C6B84"/>
    <w:rsid w:val="004C6D21"/>
    <w:rsid w:val="004C79C7"/>
    <w:rsid w:val="004D0B8D"/>
    <w:rsid w:val="004D14B5"/>
    <w:rsid w:val="004D335D"/>
    <w:rsid w:val="004D4B42"/>
    <w:rsid w:val="004D4CF0"/>
    <w:rsid w:val="004D4FEF"/>
    <w:rsid w:val="004D59EA"/>
    <w:rsid w:val="004D624F"/>
    <w:rsid w:val="004D7090"/>
    <w:rsid w:val="004D73AE"/>
    <w:rsid w:val="004D7F37"/>
    <w:rsid w:val="004E023F"/>
    <w:rsid w:val="004E0768"/>
    <w:rsid w:val="004E07A7"/>
    <w:rsid w:val="004E1BB7"/>
    <w:rsid w:val="004E2E7C"/>
    <w:rsid w:val="004E2E84"/>
    <w:rsid w:val="004E3D70"/>
    <w:rsid w:val="004E3F21"/>
    <w:rsid w:val="004E4708"/>
    <w:rsid w:val="004E4766"/>
    <w:rsid w:val="004E4C90"/>
    <w:rsid w:val="004E54E4"/>
    <w:rsid w:val="004E5ADD"/>
    <w:rsid w:val="004E5F5A"/>
    <w:rsid w:val="004E60EA"/>
    <w:rsid w:val="004E6ABE"/>
    <w:rsid w:val="004E6F13"/>
    <w:rsid w:val="004E7637"/>
    <w:rsid w:val="004F06B6"/>
    <w:rsid w:val="004F0AB5"/>
    <w:rsid w:val="004F0C21"/>
    <w:rsid w:val="004F2409"/>
    <w:rsid w:val="004F242D"/>
    <w:rsid w:val="004F3061"/>
    <w:rsid w:val="004F3675"/>
    <w:rsid w:val="004F5726"/>
    <w:rsid w:val="004F611A"/>
    <w:rsid w:val="004F65BA"/>
    <w:rsid w:val="004F7747"/>
    <w:rsid w:val="004F7B5D"/>
    <w:rsid w:val="005013B3"/>
    <w:rsid w:val="005029B4"/>
    <w:rsid w:val="005031AC"/>
    <w:rsid w:val="0050339E"/>
    <w:rsid w:val="00504357"/>
    <w:rsid w:val="00504A0B"/>
    <w:rsid w:val="00505151"/>
    <w:rsid w:val="00505FC8"/>
    <w:rsid w:val="00507A45"/>
    <w:rsid w:val="00507A55"/>
    <w:rsid w:val="00511EAB"/>
    <w:rsid w:val="00514076"/>
    <w:rsid w:val="00514401"/>
    <w:rsid w:val="0051468D"/>
    <w:rsid w:val="005147F3"/>
    <w:rsid w:val="00515D3B"/>
    <w:rsid w:val="005202DE"/>
    <w:rsid w:val="0052067A"/>
    <w:rsid w:val="00520812"/>
    <w:rsid w:val="00521045"/>
    <w:rsid w:val="00521DDF"/>
    <w:rsid w:val="005221F4"/>
    <w:rsid w:val="005222C7"/>
    <w:rsid w:val="00522D46"/>
    <w:rsid w:val="005231E8"/>
    <w:rsid w:val="00523AF4"/>
    <w:rsid w:val="00523FC9"/>
    <w:rsid w:val="0052489A"/>
    <w:rsid w:val="0052668D"/>
    <w:rsid w:val="00527958"/>
    <w:rsid w:val="0052797E"/>
    <w:rsid w:val="00530E19"/>
    <w:rsid w:val="00530E83"/>
    <w:rsid w:val="0053139E"/>
    <w:rsid w:val="00531899"/>
    <w:rsid w:val="0053298F"/>
    <w:rsid w:val="00533D79"/>
    <w:rsid w:val="00533E56"/>
    <w:rsid w:val="0053544B"/>
    <w:rsid w:val="00535BCA"/>
    <w:rsid w:val="00536C85"/>
    <w:rsid w:val="0053734B"/>
    <w:rsid w:val="00540620"/>
    <w:rsid w:val="00540687"/>
    <w:rsid w:val="00540A76"/>
    <w:rsid w:val="0054124D"/>
    <w:rsid w:val="00541A36"/>
    <w:rsid w:val="00541FB9"/>
    <w:rsid w:val="005425F4"/>
    <w:rsid w:val="00542742"/>
    <w:rsid w:val="00542AE5"/>
    <w:rsid w:val="005431EE"/>
    <w:rsid w:val="0054411D"/>
    <w:rsid w:val="0054491F"/>
    <w:rsid w:val="00544B58"/>
    <w:rsid w:val="005459EE"/>
    <w:rsid w:val="00545FF0"/>
    <w:rsid w:val="0054652E"/>
    <w:rsid w:val="00546727"/>
    <w:rsid w:val="00546B8A"/>
    <w:rsid w:val="00547201"/>
    <w:rsid w:val="005500A9"/>
    <w:rsid w:val="005505C0"/>
    <w:rsid w:val="00550823"/>
    <w:rsid w:val="00550B58"/>
    <w:rsid w:val="0055153C"/>
    <w:rsid w:val="00551E81"/>
    <w:rsid w:val="00552DB8"/>
    <w:rsid w:val="00552F8E"/>
    <w:rsid w:val="00553479"/>
    <w:rsid w:val="00553FEB"/>
    <w:rsid w:val="00554036"/>
    <w:rsid w:val="0055445F"/>
    <w:rsid w:val="0055486F"/>
    <w:rsid w:val="00555671"/>
    <w:rsid w:val="00556955"/>
    <w:rsid w:val="00556B80"/>
    <w:rsid w:val="0055726C"/>
    <w:rsid w:val="00557D2D"/>
    <w:rsid w:val="00560026"/>
    <w:rsid w:val="00560B49"/>
    <w:rsid w:val="00560C84"/>
    <w:rsid w:val="00561682"/>
    <w:rsid w:val="00561E27"/>
    <w:rsid w:val="00561F52"/>
    <w:rsid w:val="00562EDF"/>
    <w:rsid w:val="00564765"/>
    <w:rsid w:val="00565065"/>
    <w:rsid w:val="00565466"/>
    <w:rsid w:val="00565657"/>
    <w:rsid w:val="00565BFD"/>
    <w:rsid w:val="00565D81"/>
    <w:rsid w:val="0056640F"/>
    <w:rsid w:val="005678E3"/>
    <w:rsid w:val="00567A15"/>
    <w:rsid w:val="00570055"/>
    <w:rsid w:val="00570E38"/>
    <w:rsid w:val="00570E8D"/>
    <w:rsid w:val="00571CFD"/>
    <w:rsid w:val="005729A7"/>
    <w:rsid w:val="00573A0D"/>
    <w:rsid w:val="00574737"/>
    <w:rsid w:val="00574942"/>
    <w:rsid w:val="00575957"/>
    <w:rsid w:val="00575C7C"/>
    <w:rsid w:val="00576D6A"/>
    <w:rsid w:val="00580537"/>
    <w:rsid w:val="00581463"/>
    <w:rsid w:val="00582B63"/>
    <w:rsid w:val="00583FEA"/>
    <w:rsid w:val="00584B35"/>
    <w:rsid w:val="00585840"/>
    <w:rsid w:val="00585BFF"/>
    <w:rsid w:val="00586000"/>
    <w:rsid w:val="005869FF"/>
    <w:rsid w:val="00586F3F"/>
    <w:rsid w:val="0058735B"/>
    <w:rsid w:val="00587627"/>
    <w:rsid w:val="00587702"/>
    <w:rsid w:val="00587D24"/>
    <w:rsid w:val="00590093"/>
    <w:rsid w:val="005947C6"/>
    <w:rsid w:val="00594841"/>
    <w:rsid w:val="00594B24"/>
    <w:rsid w:val="00596AEC"/>
    <w:rsid w:val="00596C8D"/>
    <w:rsid w:val="005971CE"/>
    <w:rsid w:val="005974E4"/>
    <w:rsid w:val="00597541"/>
    <w:rsid w:val="00597620"/>
    <w:rsid w:val="005A017E"/>
    <w:rsid w:val="005A03C5"/>
    <w:rsid w:val="005A055D"/>
    <w:rsid w:val="005A2400"/>
    <w:rsid w:val="005A240C"/>
    <w:rsid w:val="005A2B45"/>
    <w:rsid w:val="005A2B72"/>
    <w:rsid w:val="005A2CA0"/>
    <w:rsid w:val="005A2E8A"/>
    <w:rsid w:val="005A3818"/>
    <w:rsid w:val="005A3F9A"/>
    <w:rsid w:val="005A4219"/>
    <w:rsid w:val="005A4A2D"/>
    <w:rsid w:val="005A54DE"/>
    <w:rsid w:val="005A663C"/>
    <w:rsid w:val="005A6F0D"/>
    <w:rsid w:val="005A758A"/>
    <w:rsid w:val="005A7BA6"/>
    <w:rsid w:val="005B08E9"/>
    <w:rsid w:val="005B0935"/>
    <w:rsid w:val="005B0D8C"/>
    <w:rsid w:val="005B1EB4"/>
    <w:rsid w:val="005B361D"/>
    <w:rsid w:val="005B36E3"/>
    <w:rsid w:val="005B374B"/>
    <w:rsid w:val="005B389F"/>
    <w:rsid w:val="005B3987"/>
    <w:rsid w:val="005B3E5F"/>
    <w:rsid w:val="005B4232"/>
    <w:rsid w:val="005B4265"/>
    <w:rsid w:val="005B6D47"/>
    <w:rsid w:val="005B75E9"/>
    <w:rsid w:val="005B77EF"/>
    <w:rsid w:val="005C0570"/>
    <w:rsid w:val="005C0DD6"/>
    <w:rsid w:val="005C135B"/>
    <w:rsid w:val="005C16A7"/>
    <w:rsid w:val="005C1A6D"/>
    <w:rsid w:val="005C211B"/>
    <w:rsid w:val="005C28A9"/>
    <w:rsid w:val="005C2CAF"/>
    <w:rsid w:val="005C340D"/>
    <w:rsid w:val="005C384A"/>
    <w:rsid w:val="005C3D9B"/>
    <w:rsid w:val="005C4D99"/>
    <w:rsid w:val="005C508E"/>
    <w:rsid w:val="005C5926"/>
    <w:rsid w:val="005C6591"/>
    <w:rsid w:val="005C6A73"/>
    <w:rsid w:val="005C6B96"/>
    <w:rsid w:val="005D0D08"/>
    <w:rsid w:val="005D0ED6"/>
    <w:rsid w:val="005D0FF4"/>
    <w:rsid w:val="005D1AD7"/>
    <w:rsid w:val="005D2526"/>
    <w:rsid w:val="005D25A8"/>
    <w:rsid w:val="005D3735"/>
    <w:rsid w:val="005D3AE0"/>
    <w:rsid w:val="005D4CA2"/>
    <w:rsid w:val="005D4E2D"/>
    <w:rsid w:val="005D54D5"/>
    <w:rsid w:val="005D6E05"/>
    <w:rsid w:val="005D7643"/>
    <w:rsid w:val="005E07A1"/>
    <w:rsid w:val="005E1852"/>
    <w:rsid w:val="005E2890"/>
    <w:rsid w:val="005E446E"/>
    <w:rsid w:val="005E4FC9"/>
    <w:rsid w:val="005E542A"/>
    <w:rsid w:val="005E57B3"/>
    <w:rsid w:val="005E5EEC"/>
    <w:rsid w:val="005E6C9E"/>
    <w:rsid w:val="005F1F02"/>
    <w:rsid w:val="005F20EB"/>
    <w:rsid w:val="005F2368"/>
    <w:rsid w:val="005F341D"/>
    <w:rsid w:val="005F39FB"/>
    <w:rsid w:val="005F41ED"/>
    <w:rsid w:val="005F536F"/>
    <w:rsid w:val="005F5B58"/>
    <w:rsid w:val="005F5B76"/>
    <w:rsid w:val="005F6FCD"/>
    <w:rsid w:val="00600BE9"/>
    <w:rsid w:val="00601D1D"/>
    <w:rsid w:val="0060367B"/>
    <w:rsid w:val="006043E1"/>
    <w:rsid w:val="0060608A"/>
    <w:rsid w:val="006070F5"/>
    <w:rsid w:val="0060784A"/>
    <w:rsid w:val="00607D81"/>
    <w:rsid w:val="00611BB9"/>
    <w:rsid w:val="00611FA9"/>
    <w:rsid w:val="0061446B"/>
    <w:rsid w:val="00614C9E"/>
    <w:rsid w:val="00615269"/>
    <w:rsid w:val="00615A78"/>
    <w:rsid w:val="006162AE"/>
    <w:rsid w:val="00617118"/>
    <w:rsid w:val="0061752E"/>
    <w:rsid w:val="00621462"/>
    <w:rsid w:val="006219DF"/>
    <w:rsid w:val="00621C06"/>
    <w:rsid w:val="006229BC"/>
    <w:rsid w:val="006234BC"/>
    <w:rsid w:val="006235A0"/>
    <w:rsid w:val="00623B40"/>
    <w:rsid w:val="00625310"/>
    <w:rsid w:val="00626033"/>
    <w:rsid w:val="006267F9"/>
    <w:rsid w:val="00626B22"/>
    <w:rsid w:val="00627473"/>
    <w:rsid w:val="00627870"/>
    <w:rsid w:val="00627E95"/>
    <w:rsid w:val="006309ED"/>
    <w:rsid w:val="00630A43"/>
    <w:rsid w:val="00630F6C"/>
    <w:rsid w:val="00631211"/>
    <w:rsid w:val="006312AF"/>
    <w:rsid w:val="006313B8"/>
    <w:rsid w:val="00631615"/>
    <w:rsid w:val="00631B2B"/>
    <w:rsid w:val="00631C6B"/>
    <w:rsid w:val="006327ED"/>
    <w:rsid w:val="00632EA7"/>
    <w:rsid w:val="00633849"/>
    <w:rsid w:val="00633AE7"/>
    <w:rsid w:val="00634086"/>
    <w:rsid w:val="00634B5F"/>
    <w:rsid w:val="00635470"/>
    <w:rsid w:val="00635DCD"/>
    <w:rsid w:val="00635F48"/>
    <w:rsid w:val="006360DB"/>
    <w:rsid w:val="00636362"/>
    <w:rsid w:val="00636530"/>
    <w:rsid w:val="00636F4F"/>
    <w:rsid w:val="00637121"/>
    <w:rsid w:val="00637A92"/>
    <w:rsid w:val="00640460"/>
    <w:rsid w:val="006410B1"/>
    <w:rsid w:val="00641450"/>
    <w:rsid w:val="00641700"/>
    <w:rsid w:val="00642013"/>
    <w:rsid w:val="0064263B"/>
    <w:rsid w:val="00643793"/>
    <w:rsid w:val="00643CA1"/>
    <w:rsid w:val="00644C58"/>
    <w:rsid w:val="00644EF7"/>
    <w:rsid w:val="00645E02"/>
    <w:rsid w:val="00645FCB"/>
    <w:rsid w:val="00647599"/>
    <w:rsid w:val="00650235"/>
    <w:rsid w:val="006505B0"/>
    <w:rsid w:val="00650ACA"/>
    <w:rsid w:val="00651430"/>
    <w:rsid w:val="00652DE9"/>
    <w:rsid w:val="00654C64"/>
    <w:rsid w:val="00655274"/>
    <w:rsid w:val="00655B2D"/>
    <w:rsid w:val="006562BD"/>
    <w:rsid w:val="00656C05"/>
    <w:rsid w:val="00657C19"/>
    <w:rsid w:val="006601B6"/>
    <w:rsid w:val="00660318"/>
    <w:rsid w:val="006604D6"/>
    <w:rsid w:val="00660F8F"/>
    <w:rsid w:val="00661B75"/>
    <w:rsid w:val="00661EBC"/>
    <w:rsid w:val="006624C6"/>
    <w:rsid w:val="0066251D"/>
    <w:rsid w:val="006631FB"/>
    <w:rsid w:val="00663970"/>
    <w:rsid w:val="006647F9"/>
    <w:rsid w:val="00665203"/>
    <w:rsid w:val="006657FA"/>
    <w:rsid w:val="00665D49"/>
    <w:rsid w:val="00665F7A"/>
    <w:rsid w:val="006671D7"/>
    <w:rsid w:val="006672A9"/>
    <w:rsid w:val="006672B4"/>
    <w:rsid w:val="00670026"/>
    <w:rsid w:val="00670453"/>
    <w:rsid w:val="00670750"/>
    <w:rsid w:val="006709C9"/>
    <w:rsid w:val="0067135C"/>
    <w:rsid w:val="00673DAA"/>
    <w:rsid w:val="00674BA3"/>
    <w:rsid w:val="0067545D"/>
    <w:rsid w:val="006755FD"/>
    <w:rsid w:val="00675D09"/>
    <w:rsid w:val="00676A33"/>
    <w:rsid w:val="006776E0"/>
    <w:rsid w:val="00677A52"/>
    <w:rsid w:val="0068042E"/>
    <w:rsid w:val="00680738"/>
    <w:rsid w:val="006809B0"/>
    <w:rsid w:val="00680D63"/>
    <w:rsid w:val="0068183E"/>
    <w:rsid w:val="00682AE3"/>
    <w:rsid w:val="0068318D"/>
    <w:rsid w:val="00683744"/>
    <w:rsid w:val="00684600"/>
    <w:rsid w:val="0068462C"/>
    <w:rsid w:val="00685585"/>
    <w:rsid w:val="006855B9"/>
    <w:rsid w:val="006862A9"/>
    <w:rsid w:val="006866B9"/>
    <w:rsid w:val="00687852"/>
    <w:rsid w:val="006914FA"/>
    <w:rsid w:val="00694ECD"/>
    <w:rsid w:val="0069597F"/>
    <w:rsid w:val="00696850"/>
    <w:rsid w:val="00696ADA"/>
    <w:rsid w:val="006970AA"/>
    <w:rsid w:val="006A0727"/>
    <w:rsid w:val="006A1A3C"/>
    <w:rsid w:val="006A2D55"/>
    <w:rsid w:val="006A2D7F"/>
    <w:rsid w:val="006A2EDC"/>
    <w:rsid w:val="006A39B8"/>
    <w:rsid w:val="006A405B"/>
    <w:rsid w:val="006A43D0"/>
    <w:rsid w:val="006A5423"/>
    <w:rsid w:val="006A6658"/>
    <w:rsid w:val="006A6CB6"/>
    <w:rsid w:val="006A7CE2"/>
    <w:rsid w:val="006B019C"/>
    <w:rsid w:val="006B18D0"/>
    <w:rsid w:val="006B1AB8"/>
    <w:rsid w:val="006B1D02"/>
    <w:rsid w:val="006B2A3E"/>
    <w:rsid w:val="006B2BDA"/>
    <w:rsid w:val="006B3120"/>
    <w:rsid w:val="006B399C"/>
    <w:rsid w:val="006B3D46"/>
    <w:rsid w:val="006B3FBD"/>
    <w:rsid w:val="006B4030"/>
    <w:rsid w:val="006B5033"/>
    <w:rsid w:val="006B587D"/>
    <w:rsid w:val="006B5E0A"/>
    <w:rsid w:val="006B640C"/>
    <w:rsid w:val="006B6475"/>
    <w:rsid w:val="006B7577"/>
    <w:rsid w:val="006B7738"/>
    <w:rsid w:val="006C00CA"/>
    <w:rsid w:val="006C0211"/>
    <w:rsid w:val="006C1200"/>
    <w:rsid w:val="006C268F"/>
    <w:rsid w:val="006C2EBC"/>
    <w:rsid w:val="006C4627"/>
    <w:rsid w:val="006C4EC4"/>
    <w:rsid w:val="006C52D5"/>
    <w:rsid w:val="006C6CDC"/>
    <w:rsid w:val="006C714A"/>
    <w:rsid w:val="006C7579"/>
    <w:rsid w:val="006C75E4"/>
    <w:rsid w:val="006C7715"/>
    <w:rsid w:val="006C78BE"/>
    <w:rsid w:val="006C7FC6"/>
    <w:rsid w:val="006D26D4"/>
    <w:rsid w:val="006D296A"/>
    <w:rsid w:val="006D299D"/>
    <w:rsid w:val="006D37E2"/>
    <w:rsid w:val="006D3BF8"/>
    <w:rsid w:val="006D3E70"/>
    <w:rsid w:val="006D3EE2"/>
    <w:rsid w:val="006D3FEE"/>
    <w:rsid w:val="006D4616"/>
    <w:rsid w:val="006D5022"/>
    <w:rsid w:val="006D587C"/>
    <w:rsid w:val="006D5892"/>
    <w:rsid w:val="006D64A7"/>
    <w:rsid w:val="006D67FB"/>
    <w:rsid w:val="006D7C6C"/>
    <w:rsid w:val="006E0C56"/>
    <w:rsid w:val="006E1109"/>
    <w:rsid w:val="006E15E7"/>
    <w:rsid w:val="006E172D"/>
    <w:rsid w:val="006E1957"/>
    <w:rsid w:val="006E28E2"/>
    <w:rsid w:val="006E34C4"/>
    <w:rsid w:val="006E4ADC"/>
    <w:rsid w:val="006E4CF8"/>
    <w:rsid w:val="006E4F40"/>
    <w:rsid w:val="006E5478"/>
    <w:rsid w:val="006E5D38"/>
    <w:rsid w:val="006E70B6"/>
    <w:rsid w:val="006E7128"/>
    <w:rsid w:val="006E7129"/>
    <w:rsid w:val="006F09F0"/>
    <w:rsid w:val="006F0D7C"/>
    <w:rsid w:val="006F0E6C"/>
    <w:rsid w:val="006F0E82"/>
    <w:rsid w:val="006F1CDE"/>
    <w:rsid w:val="006F2EE6"/>
    <w:rsid w:val="006F4AC3"/>
    <w:rsid w:val="006F4C05"/>
    <w:rsid w:val="006F5B1F"/>
    <w:rsid w:val="006F5CCF"/>
    <w:rsid w:val="006F6DB0"/>
    <w:rsid w:val="006F7A41"/>
    <w:rsid w:val="00700C36"/>
    <w:rsid w:val="00701655"/>
    <w:rsid w:val="0070321C"/>
    <w:rsid w:val="0070374F"/>
    <w:rsid w:val="007041FB"/>
    <w:rsid w:val="007044FD"/>
    <w:rsid w:val="00704535"/>
    <w:rsid w:val="007059C6"/>
    <w:rsid w:val="007060AE"/>
    <w:rsid w:val="007069D0"/>
    <w:rsid w:val="00706F7C"/>
    <w:rsid w:val="00711192"/>
    <w:rsid w:val="00711343"/>
    <w:rsid w:val="00711399"/>
    <w:rsid w:val="00712393"/>
    <w:rsid w:val="00712ECE"/>
    <w:rsid w:val="0071377A"/>
    <w:rsid w:val="00714BE0"/>
    <w:rsid w:val="007154C7"/>
    <w:rsid w:val="007157A7"/>
    <w:rsid w:val="00717D68"/>
    <w:rsid w:val="00720995"/>
    <w:rsid w:val="00720B74"/>
    <w:rsid w:val="00723002"/>
    <w:rsid w:val="00723739"/>
    <w:rsid w:val="00723FF2"/>
    <w:rsid w:val="007245BC"/>
    <w:rsid w:val="00724A17"/>
    <w:rsid w:val="00724EE2"/>
    <w:rsid w:val="0072564B"/>
    <w:rsid w:val="0072597E"/>
    <w:rsid w:val="0072714B"/>
    <w:rsid w:val="00727BB5"/>
    <w:rsid w:val="00731A6A"/>
    <w:rsid w:val="00732308"/>
    <w:rsid w:val="00732D96"/>
    <w:rsid w:val="00732DC3"/>
    <w:rsid w:val="00733554"/>
    <w:rsid w:val="00733ED1"/>
    <w:rsid w:val="00734213"/>
    <w:rsid w:val="0073542C"/>
    <w:rsid w:val="007355E7"/>
    <w:rsid w:val="0073570C"/>
    <w:rsid w:val="007361F7"/>
    <w:rsid w:val="00736D1C"/>
    <w:rsid w:val="00737646"/>
    <w:rsid w:val="0073788C"/>
    <w:rsid w:val="00741532"/>
    <w:rsid w:val="00741F74"/>
    <w:rsid w:val="00742EAB"/>
    <w:rsid w:val="00743204"/>
    <w:rsid w:val="0074377A"/>
    <w:rsid w:val="0074380C"/>
    <w:rsid w:val="00745801"/>
    <w:rsid w:val="00745993"/>
    <w:rsid w:val="00745E89"/>
    <w:rsid w:val="007524DC"/>
    <w:rsid w:val="007527BF"/>
    <w:rsid w:val="00753A06"/>
    <w:rsid w:val="00753BC9"/>
    <w:rsid w:val="00753CD4"/>
    <w:rsid w:val="0075480C"/>
    <w:rsid w:val="007548C7"/>
    <w:rsid w:val="007548C9"/>
    <w:rsid w:val="00754EDF"/>
    <w:rsid w:val="00755098"/>
    <w:rsid w:val="007561EA"/>
    <w:rsid w:val="0075663E"/>
    <w:rsid w:val="00756D3C"/>
    <w:rsid w:val="007603E6"/>
    <w:rsid w:val="00760A88"/>
    <w:rsid w:val="00761A31"/>
    <w:rsid w:val="00762700"/>
    <w:rsid w:val="00763224"/>
    <w:rsid w:val="00763567"/>
    <w:rsid w:val="0076447F"/>
    <w:rsid w:val="007644C8"/>
    <w:rsid w:val="00764A7B"/>
    <w:rsid w:val="00764AF6"/>
    <w:rsid w:val="00764E5F"/>
    <w:rsid w:val="007654E0"/>
    <w:rsid w:val="00767020"/>
    <w:rsid w:val="007675D8"/>
    <w:rsid w:val="00767698"/>
    <w:rsid w:val="00767748"/>
    <w:rsid w:val="0076779A"/>
    <w:rsid w:val="00767F04"/>
    <w:rsid w:val="00770A42"/>
    <w:rsid w:val="00772E14"/>
    <w:rsid w:val="00774088"/>
    <w:rsid w:val="00774CCF"/>
    <w:rsid w:val="00774D0A"/>
    <w:rsid w:val="00775916"/>
    <w:rsid w:val="007762EF"/>
    <w:rsid w:val="00776DBE"/>
    <w:rsid w:val="00776E96"/>
    <w:rsid w:val="00776F57"/>
    <w:rsid w:val="007772F5"/>
    <w:rsid w:val="007779B7"/>
    <w:rsid w:val="00777B1E"/>
    <w:rsid w:val="00777FB8"/>
    <w:rsid w:val="00781179"/>
    <w:rsid w:val="00781A44"/>
    <w:rsid w:val="007829D9"/>
    <w:rsid w:val="007833CB"/>
    <w:rsid w:val="00784386"/>
    <w:rsid w:val="00785332"/>
    <w:rsid w:val="0078572D"/>
    <w:rsid w:val="00787008"/>
    <w:rsid w:val="0078768C"/>
    <w:rsid w:val="0079159E"/>
    <w:rsid w:val="007915EF"/>
    <w:rsid w:val="0079161C"/>
    <w:rsid w:val="00791748"/>
    <w:rsid w:val="00791878"/>
    <w:rsid w:val="00793BE3"/>
    <w:rsid w:val="0079436E"/>
    <w:rsid w:val="0079443A"/>
    <w:rsid w:val="00794EE6"/>
    <w:rsid w:val="007950BA"/>
    <w:rsid w:val="007955E8"/>
    <w:rsid w:val="00796D85"/>
    <w:rsid w:val="0079725C"/>
    <w:rsid w:val="00797AFC"/>
    <w:rsid w:val="007A139B"/>
    <w:rsid w:val="007A1BF9"/>
    <w:rsid w:val="007A3400"/>
    <w:rsid w:val="007A39D3"/>
    <w:rsid w:val="007A4028"/>
    <w:rsid w:val="007A4605"/>
    <w:rsid w:val="007A4F6B"/>
    <w:rsid w:val="007B0F5C"/>
    <w:rsid w:val="007B1721"/>
    <w:rsid w:val="007B23B0"/>
    <w:rsid w:val="007B481E"/>
    <w:rsid w:val="007B4CF1"/>
    <w:rsid w:val="007B4E22"/>
    <w:rsid w:val="007B5671"/>
    <w:rsid w:val="007B6817"/>
    <w:rsid w:val="007B6C3A"/>
    <w:rsid w:val="007B6C96"/>
    <w:rsid w:val="007B706A"/>
    <w:rsid w:val="007B7345"/>
    <w:rsid w:val="007B7518"/>
    <w:rsid w:val="007B7574"/>
    <w:rsid w:val="007B79B0"/>
    <w:rsid w:val="007C1669"/>
    <w:rsid w:val="007C1A09"/>
    <w:rsid w:val="007C237D"/>
    <w:rsid w:val="007C33B9"/>
    <w:rsid w:val="007C4585"/>
    <w:rsid w:val="007C4E1D"/>
    <w:rsid w:val="007C6D76"/>
    <w:rsid w:val="007C744B"/>
    <w:rsid w:val="007C7497"/>
    <w:rsid w:val="007C785F"/>
    <w:rsid w:val="007D0464"/>
    <w:rsid w:val="007D0A7C"/>
    <w:rsid w:val="007D1839"/>
    <w:rsid w:val="007D372C"/>
    <w:rsid w:val="007D372E"/>
    <w:rsid w:val="007D3897"/>
    <w:rsid w:val="007D40F1"/>
    <w:rsid w:val="007D4694"/>
    <w:rsid w:val="007D48EE"/>
    <w:rsid w:val="007D55C6"/>
    <w:rsid w:val="007D5661"/>
    <w:rsid w:val="007D5D83"/>
    <w:rsid w:val="007D5F98"/>
    <w:rsid w:val="007D652D"/>
    <w:rsid w:val="007D6BCB"/>
    <w:rsid w:val="007D6EC5"/>
    <w:rsid w:val="007E1366"/>
    <w:rsid w:val="007E4BDF"/>
    <w:rsid w:val="007E4DBC"/>
    <w:rsid w:val="007E55DB"/>
    <w:rsid w:val="007E5B33"/>
    <w:rsid w:val="007E6613"/>
    <w:rsid w:val="007E6BDC"/>
    <w:rsid w:val="007E70FE"/>
    <w:rsid w:val="007E713D"/>
    <w:rsid w:val="007F0150"/>
    <w:rsid w:val="007F0D3A"/>
    <w:rsid w:val="007F1A6F"/>
    <w:rsid w:val="007F2605"/>
    <w:rsid w:val="007F2F5F"/>
    <w:rsid w:val="007F32D3"/>
    <w:rsid w:val="007F4379"/>
    <w:rsid w:val="007F51E3"/>
    <w:rsid w:val="007F61CD"/>
    <w:rsid w:val="007F68CE"/>
    <w:rsid w:val="007F7D3D"/>
    <w:rsid w:val="00800005"/>
    <w:rsid w:val="00800E12"/>
    <w:rsid w:val="00803CED"/>
    <w:rsid w:val="008046EB"/>
    <w:rsid w:val="00805D33"/>
    <w:rsid w:val="00806603"/>
    <w:rsid w:val="00806A55"/>
    <w:rsid w:val="00807BBA"/>
    <w:rsid w:val="00810B19"/>
    <w:rsid w:val="00811449"/>
    <w:rsid w:val="00812502"/>
    <w:rsid w:val="00812E0D"/>
    <w:rsid w:val="00813260"/>
    <w:rsid w:val="008136B1"/>
    <w:rsid w:val="00814FC6"/>
    <w:rsid w:val="00815173"/>
    <w:rsid w:val="00815623"/>
    <w:rsid w:val="00816135"/>
    <w:rsid w:val="0081678C"/>
    <w:rsid w:val="00816900"/>
    <w:rsid w:val="00817F13"/>
    <w:rsid w:val="0082178A"/>
    <w:rsid w:val="00822332"/>
    <w:rsid w:val="0082590A"/>
    <w:rsid w:val="008271C3"/>
    <w:rsid w:val="0082731A"/>
    <w:rsid w:val="00827BC9"/>
    <w:rsid w:val="00830C00"/>
    <w:rsid w:val="00830D97"/>
    <w:rsid w:val="00831143"/>
    <w:rsid w:val="008311C1"/>
    <w:rsid w:val="00831535"/>
    <w:rsid w:val="00832937"/>
    <w:rsid w:val="00832F54"/>
    <w:rsid w:val="00833286"/>
    <w:rsid w:val="00833B7C"/>
    <w:rsid w:val="00833E4A"/>
    <w:rsid w:val="00835D03"/>
    <w:rsid w:val="00835D22"/>
    <w:rsid w:val="008369AB"/>
    <w:rsid w:val="008370F6"/>
    <w:rsid w:val="00837C75"/>
    <w:rsid w:val="00841603"/>
    <w:rsid w:val="00842B34"/>
    <w:rsid w:val="00843078"/>
    <w:rsid w:val="00844EE8"/>
    <w:rsid w:val="00845329"/>
    <w:rsid w:val="00846E40"/>
    <w:rsid w:val="00847000"/>
    <w:rsid w:val="0084766A"/>
    <w:rsid w:val="00850C3A"/>
    <w:rsid w:val="008510F5"/>
    <w:rsid w:val="0085225F"/>
    <w:rsid w:val="00852B11"/>
    <w:rsid w:val="0085395D"/>
    <w:rsid w:val="00853EB8"/>
    <w:rsid w:val="00853F8A"/>
    <w:rsid w:val="00855CDE"/>
    <w:rsid w:val="008560E8"/>
    <w:rsid w:val="0085673C"/>
    <w:rsid w:val="008571EF"/>
    <w:rsid w:val="00857874"/>
    <w:rsid w:val="00857BB1"/>
    <w:rsid w:val="00860788"/>
    <w:rsid w:val="008617BE"/>
    <w:rsid w:val="00862106"/>
    <w:rsid w:val="00862282"/>
    <w:rsid w:val="00862DD6"/>
    <w:rsid w:val="00863652"/>
    <w:rsid w:val="00863E5F"/>
    <w:rsid w:val="008644DB"/>
    <w:rsid w:val="00864813"/>
    <w:rsid w:val="00864DF0"/>
    <w:rsid w:val="00865525"/>
    <w:rsid w:val="00865612"/>
    <w:rsid w:val="0086653D"/>
    <w:rsid w:val="00867984"/>
    <w:rsid w:val="00867ED1"/>
    <w:rsid w:val="00871B63"/>
    <w:rsid w:val="00874596"/>
    <w:rsid w:val="008746DD"/>
    <w:rsid w:val="008750AB"/>
    <w:rsid w:val="0087517D"/>
    <w:rsid w:val="00875671"/>
    <w:rsid w:val="00875E90"/>
    <w:rsid w:val="0087617B"/>
    <w:rsid w:val="00877702"/>
    <w:rsid w:val="008778B5"/>
    <w:rsid w:val="00877C81"/>
    <w:rsid w:val="00877E89"/>
    <w:rsid w:val="0088108A"/>
    <w:rsid w:val="00881183"/>
    <w:rsid w:val="00881402"/>
    <w:rsid w:val="00881B2F"/>
    <w:rsid w:val="00882A34"/>
    <w:rsid w:val="008835AE"/>
    <w:rsid w:val="00885CD4"/>
    <w:rsid w:val="00885E9F"/>
    <w:rsid w:val="0088601D"/>
    <w:rsid w:val="008863D0"/>
    <w:rsid w:val="00887569"/>
    <w:rsid w:val="00887C83"/>
    <w:rsid w:val="0089090A"/>
    <w:rsid w:val="00890A4A"/>
    <w:rsid w:val="00890F19"/>
    <w:rsid w:val="0089187D"/>
    <w:rsid w:val="00891BA0"/>
    <w:rsid w:val="00892E76"/>
    <w:rsid w:val="00894F0A"/>
    <w:rsid w:val="008955F7"/>
    <w:rsid w:val="00896036"/>
    <w:rsid w:val="0089667E"/>
    <w:rsid w:val="008969E2"/>
    <w:rsid w:val="00896C63"/>
    <w:rsid w:val="00896D8A"/>
    <w:rsid w:val="008979DD"/>
    <w:rsid w:val="00897CD9"/>
    <w:rsid w:val="008A0518"/>
    <w:rsid w:val="008A1441"/>
    <w:rsid w:val="008A14E0"/>
    <w:rsid w:val="008A294E"/>
    <w:rsid w:val="008A2AE7"/>
    <w:rsid w:val="008A38C0"/>
    <w:rsid w:val="008A3A44"/>
    <w:rsid w:val="008A3D62"/>
    <w:rsid w:val="008A3E24"/>
    <w:rsid w:val="008A46F4"/>
    <w:rsid w:val="008A486C"/>
    <w:rsid w:val="008A6D2F"/>
    <w:rsid w:val="008A79E1"/>
    <w:rsid w:val="008B02EB"/>
    <w:rsid w:val="008B086F"/>
    <w:rsid w:val="008B1820"/>
    <w:rsid w:val="008B1D9B"/>
    <w:rsid w:val="008B1E27"/>
    <w:rsid w:val="008B58A3"/>
    <w:rsid w:val="008B6B50"/>
    <w:rsid w:val="008B7AD2"/>
    <w:rsid w:val="008B7D11"/>
    <w:rsid w:val="008C02B8"/>
    <w:rsid w:val="008C17F7"/>
    <w:rsid w:val="008C2317"/>
    <w:rsid w:val="008C2684"/>
    <w:rsid w:val="008C438F"/>
    <w:rsid w:val="008C459F"/>
    <w:rsid w:val="008C4682"/>
    <w:rsid w:val="008C4702"/>
    <w:rsid w:val="008C7E0D"/>
    <w:rsid w:val="008C7EAB"/>
    <w:rsid w:val="008D129B"/>
    <w:rsid w:val="008D1B26"/>
    <w:rsid w:val="008D2166"/>
    <w:rsid w:val="008D4067"/>
    <w:rsid w:val="008D47B2"/>
    <w:rsid w:val="008D508B"/>
    <w:rsid w:val="008D559B"/>
    <w:rsid w:val="008D5E03"/>
    <w:rsid w:val="008D7D2D"/>
    <w:rsid w:val="008E1B81"/>
    <w:rsid w:val="008E1CD6"/>
    <w:rsid w:val="008E1D0F"/>
    <w:rsid w:val="008E27FF"/>
    <w:rsid w:val="008E2805"/>
    <w:rsid w:val="008E2D52"/>
    <w:rsid w:val="008E30E3"/>
    <w:rsid w:val="008E34D4"/>
    <w:rsid w:val="008E3810"/>
    <w:rsid w:val="008E551C"/>
    <w:rsid w:val="008E627F"/>
    <w:rsid w:val="008E65E0"/>
    <w:rsid w:val="008E6A8B"/>
    <w:rsid w:val="008E717F"/>
    <w:rsid w:val="008E79EF"/>
    <w:rsid w:val="008F030B"/>
    <w:rsid w:val="008F122C"/>
    <w:rsid w:val="008F141C"/>
    <w:rsid w:val="008F1442"/>
    <w:rsid w:val="008F1B20"/>
    <w:rsid w:val="008F3853"/>
    <w:rsid w:val="008F3E07"/>
    <w:rsid w:val="008F469C"/>
    <w:rsid w:val="008F660B"/>
    <w:rsid w:val="008F6DA1"/>
    <w:rsid w:val="008F7B10"/>
    <w:rsid w:val="008F7F4D"/>
    <w:rsid w:val="009014ED"/>
    <w:rsid w:val="009025EB"/>
    <w:rsid w:val="00902ED2"/>
    <w:rsid w:val="0090310B"/>
    <w:rsid w:val="009034A1"/>
    <w:rsid w:val="0090458C"/>
    <w:rsid w:val="009062E5"/>
    <w:rsid w:val="0090791D"/>
    <w:rsid w:val="0091004D"/>
    <w:rsid w:val="00910F6A"/>
    <w:rsid w:val="0091184F"/>
    <w:rsid w:val="009129C8"/>
    <w:rsid w:val="00912AC4"/>
    <w:rsid w:val="009133C3"/>
    <w:rsid w:val="009135ED"/>
    <w:rsid w:val="00913CEB"/>
    <w:rsid w:val="00913F22"/>
    <w:rsid w:val="00914C72"/>
    <w:rsid w:val="00914CAD"/>
    <w:rsid w:val="0091623A"/>
    <w:rsid w:val="0091641E"/>
    <w:rsid w:val="00920EAD"/>
    <w:rsid w:val="00921820"/>
    <w:rsid w:val="009222D9"/>
    <w:rsid w:val="00922988"/>
    <w:rsid w:val="0092349A"/>
    <w:rsid w:val="0092393E"/>
    <w:rsid w:val="00923FB2"/>
    <w:rsid w:val="009246C3"/>
    <w:rsid w:val="00924988"/>
    <w:rsid w:val="009258EA"/>
    <w:rsid w:val="009305F5"/>
    <w:rsid w:val="00930E67"/>
    <w:rsid w:val="009312FA"/>
    <w:rsid w:val="0093215C"/>
    <w:rsid w:val="0093261C"/>
    <w:rsid w:val="009353B6"/>
    <w:rsid w:val="009357BD"/>
    <w:rsid w:val="00935CC0"/>
    <w:rsid w:val="00937B64"/>
    <w:rsid w:val="0094022E"/>
    <w:rsid w:val="00940F05"/>
    <w:rsid w:val="00941301"/>
    <w:rsid w:val="00941422"/>
    <w:rsid w:val="00941A88"/>
    <w:rsid w:val="00941AAE"/>
    <w:rsid w:val="009423FB"/>
    <w:rsid w:val="00942C67"/>
    <w:rsid w:val="009435D2"/>
    <w:rsid w:val="00943859"/>
    <w:rsid w:val="0094409B"/>
    <w:rsid w:val="0094610D"/>
    <w:rsid w:val="00946544"/>
    <w:rsid w:val="009471AE"/>
    <w:rsid w:val="00947877"/>
    <w:rsid w:val="009508F9"/>
    <w:rsid w:val="00950C49"/>
    <w:rsid w:val="00951FC1"/>
    <w:rsid w:val="00952460"/>
    <w:rsid w:val="009537DD"/>
    <w:rsid w:val="0095416F"/>
    <w:rsid w:val="009556D9"/>
    <w:rsid w:val="00956143"/>
    <w:rsid w:val="00956598"/>
    <w:rsid w:val="0095725B"/>
    <w:rsid w:val="00957B79"/>
    <w:rsid w:val="009612BF"/>
    <w:rsid w:val="009617B0"/>
    <w:rsid w:val="00961D1A"/>
    <w:rsid w:val="009624FD"/>
    <w:rsid w:val="009634B1"/>
    <w:rsid w:val="0096363D"/>
    <w:rsid w:val="00963C41"/>
    <w:rsid w:val="0096550F"/>
    <w:rsid w:val="00967918"/>
    <w:rsid w:val="00967CB5"/>
    <w:rsid w:val="00970180"/>
    <w:rsid w:val="00970220"/>
    <w:rsid w:val="00970824"/>
    <w:rsid w:val="00971197"/>
    <w:rsid w:val="009718D1"/>
    <w:rsid w:val="00972059"/>
    <w:rsid w:val="009723FF"/>
    <w:rsid w:val="00972992"/>
    <w:rsid w:val="00973368"/>
    <w:rsid w:val="009738CC"/>
    <w:rsid w:val="0097503E"/>
    <w:rsid w:val="00975E91"/>
    <w:rsid w:val="009762FC"/>
    <w:rsid w:val="009772BD"/>
    <w:rsid w:val="0097747F"/>
    <w:rsid w:val="00980488"/>
    <w:rsid w:val="00980E7B"/>
    <w:rsid w:val="00981D46"/>
    <w:rsid w:val="00983061"/>
    <w:rsid w:val="00983C93"/>
    <w:rsid w:val="00983DC1"/>
    <w:rsid w:val="0098444F"/>
    <w:rsid w:val="00984C01"/>
    <w:rsid w:val="00985B8E"/>
    <w:rsid w:val="00985D81"/>
    <w:rsid w:val="00985F37"/>
    <w:rsid w:val="00987C74"/>
    <w:rsid w:val="009902B1"/>
    <w:rsid w:val="009903D0"/>
    <w:rsid w:val="009905A4"/>
    <w:rsid w:val="00991252"/>
    <w:rsid w:val="0099244B"/>
    <w:rsid w:val="00992942"/>
    <w:rsid w:val="009930C2"/>
    <w:rsid w:val="0099402B"/>
    <w:rsid w:val="009953DA"/>
    <w:rsid w:val="00995789"/>
    <w:rsid w:val="00995D94"/>
    <w:rsid w:val="00997539"/>
    <w:rsid w:val="009A08B1"/>
    <w:rsid w:val="009A09E8"/>
    <w:rsid w:val="009A10E4"/>
    <w:rsid w:val="009A1AF8"/>
    <w:rsid w:val="009A2054"/>
    <w:rsid w:val="009A2462"/>
    <w:rsid w:val="009A31CD"/>
    <w:rsid w:val="009A32F2"/>
    <w:rsid w:val="009A3901"/>
    <w:rsid w:val="009A4504"/>
    <w:rsid w:val="009A4C32"/>
    <w:rsid w:val="009A50CD"/>
    <w:rsid w:val="009A6DCD"/>
    <w:rsid w:val="009A70C6"/>
    <w:rsid w:val="009A7172"/>
    <w:rsid w:val="009A745B"/>
    <w:rsid w:val="009B0CF9"/>
    <w:rsid w:val="009B113B"/>
    <w:rsid w:val="009B13E4"/>
    <w:rsid w:val="009B28EB"/>
    <w:rsid w:val="009B2A16"/>
    <w:rsid w:val="009B4845"/>
    <w:rsid w:val="009B4B32"/>
    <w:rsid w:val="009B512E"/>
    <w:rsid w:val="009B5347"/>
    <w:rsid w:val="009B5F1F"/>
    <w:rsid w:val="009B62B4"/>
    <w:rsid w:val="009B65B0"/>
    <w:rsid w:val="009B6FA9"/>
    <w:rsid w:val="009B728A"/>
    <w:rsid w:val="009C0749"/>
    <w:rsid w:val="009C0965"/>
    <w:rsid w:val="009C19C6"/>
    <w:rsid w:val="009C21E2"/>
    <w:rsid w:val="009C4845"/>
    <w:rsid w:val="009C5CA8"/>
    <w:rsid w:val="009C5D4D"/>
    <w:rsid w:val="009C6CAA"/>
    <w:rsid w:val="009C79FA"/>
    <w:rsid w:val="009C7A39"/>
    <w:rsid w:val="009C7A92"/>
    <w:rsid w:val="009D0160"/>
    <w:rsid w:val="009D0B63"/>
    <w:rsid w:val="009D0DD3"/>
    <w:rsid w:val="009D1012"/>
    <w:rsid w:val="009D14D1"/>
    <w:rsid w:val="009D196A"/>
    <w:rsid w:val="009D1EEF"/>
    <w:rsid w:val="009D2070"/>
    <w:rsid w:val="009D2DB4"/>
    <w:rsid w:val="009D4022"/>
    <w:rsid w:val="009D406D"/>
    <w:rsid w:val="009D4579"/>
    <w:rsid w:val="009D4A0A"/>
    <w:rsid w:val="009D4CC4"/>
    <w:rsid w:val="009D4F26"/>
    <w:rsid w:val="009D61C2"/>
    <w:rsid w:val="009D74EA"/>
    <w:rsid w:val="009E030C"/>
    <w:rsid w:val="009E0D47"/>
    <w:rsid w:val="009E0F60"/>
    <w:rsid w:val="009E1109"/>
    <w:rsid w:val="009E1EC9"/>
    <w:rsid w:val="009E1ED1"/>
    <w:rsid w:val="009E3260"/>
    <w:rsid w:val="009E3629"/>
    <w:rsid w:val="009E3716"/>
    <w:rsid w:val="009E3848"/>
    <w:rsid w:val="009E38E7"/>
    <w:rsid w:val="009E3B0F"/>
    <w:rsid w:val="009E3D66"/>
    <w:rsid w:val="009E3FF3"/>
    <w:rsid w:val="009E42F0"/>
    <w:rsid w:val="009E4E36"/>
    <w:rsid w:val="009E52F4"/>
    <w:rsid w:val="009E5466"/>
    <w:rsid w:val="009E6380"/>
    <w:rsid w:val="009E7414"/>
    <w:rsid w:val="009F033C"/>
    <w:rsid w:val="009F108C"/>
    <w:rsid w:val="009F11D7"/>
    <w:rsid w:val="009F169E"/>
    <w:rsid w:val="009F2D31"/>
    <w:rsid w:val="009F2F9C"/>
    <w:rsid w:val="009F35B9"/>
    <w:rsid w:val="009F4142"/>
    <w:rsid w:val="009F49CC"/>
    <w:rsid w:val="009F5189"/>
    <w:rsid w:val="009F584C"/>
    <w:rsid w:val="009F6FA2"/>
    <w:rsid w:val="00A001B5"/>
    <w:rsid w:val="00A00F6E"/>
    <w:rsid w:val="00A01306"/>
    <w:rsid w:val="00A02D2C"/>
    <w:rsid w:val="00A03AF2"/>
    <w:rsid w:val="00A041CA"/>
    <w:rsid w:val="00A051BC"/>
    <w:rsid w:val="00A06755"/>
    <w:rsid w:val="00A068C3"/>
    <w:rsid w:val="00A07117"/>
    <w:rsid w:val="00A074CA"/>
    <w:rsid w:val="00A075A6"/>
    <w:rsid w:val="00A07F99"/>
    <w:rsid w:val="00A11246"/>
    <w:rsid w:val="00A11450"/>
    <w:rsid w:val="00A1150F"/>
    <w:rsid w:val="00A12529"/>
    <w:rsid w:val="00A1253E"/>
    <w:rsid w:val="00A13472"/>
    <w:rsid w:val="00A13908"/>
    <w:rsid w:val="00A1430F"/>
    <w:rsid w:val="00A15911"/>
    <w:rsid w:val="00A16561"/>
    <w:rsid w:val="00A16D16"/>
    <w:rsid w:val="00A16F48"/>
    <w:rsid w:val="00A17B11"/>
    <w:rsid w:val="00A20416"/>
    <w:rsid w:val="00A207D3"/>
    <w:rsid w:val="00A20E61"/>
    <w:rsid w:val="00A212FB"/>
    <w:rsid w:val="00A2297F"/>
    <w:rsid w:val="00A22BC6"/>
    <w:rsid w:val="00A22E06"/>
    <w:rsid w:val="00A22FE5"/>
    <w:rsid w:val="00A24A53"/>
    <w:rsid w:val="00A263BB"/>
    <w:rsid w:val="00A26AD7"/>
    <w:rsid w:val="00A26ADF"/>
    <w:rsid w:val="00A2727B"/>
    <w:rsid w:val="00A2734C"/>
    <w:rsid w:val="00A274D4"/>
    <w:rsid w:val="00A27642"/>
    <w:rsid w:val="00A27CC5"/>
    <w:rsid w:val="00A27FEA"/>
    <w:rsid w:val="00A316D1"/>
    <w:rsid w:val="00A31C5C"/>
    <w:rsid w:val="00A31EBF"/>
    <w:rsid w:val="00A31EEF"/>
    <w:rsid w:val="00A31F00"/>
    <w:rsid w:val="00A32E85"/>
    <w:rsid w:val="00A33117"/>
    <w:rsid w:val="00A33BBA"/>
    <w:rsid w:val="00A33E79"/>
    <w:rsid w:val="00A3520C"/>
    <w:rsid w:val="00A35524"/>
    <w:rsid w:val="00A35E53"/>
    <w:rsid w:val="00A3636D"/>
    <w:rsid w:val="00A36F22"/>
    <w:rsid w:val="00A41006"/>
    <w:rsid w:val="00A41187"/>
    <w:rsid w:val="00A41F37"/>
    <w:rsid w:val="00A42160"/>
    <w:rsid w:val="00A42EAC"/>
    <w:rsid w:val="00A430D3"/>
    <w:rsid w:val="00A43505"/>
    <w:rsid w:val="00A43E76"/>
    <w:rsid w:val="00A440DB"/>
    <w:rsid w:val="00A4417A"/>
    <w:rsid w:val="00A4554F"/>
    <w:rsid w:val="00A46A55"/>
    <w:rsid w:val="00A46AFD"/>
    <w:rsid w:val="00A475D1"/>
    <w:rsid w:val="00A478EB"/>
    <w:rsid w:val="00A50D80"/>
    <w:rsid w:val="00A54FFE"/>
    <w:rsid w:val="00A57A20"/>
    <w:rsid w:val="00A57AA2"/>
    <w:rsid w:val="00A57EDC"/>
    <w:rsid w:val="00A60B16"/>
    <w:rsid w:val="00A61D48"/>
    <w:rsid w:val="00A61E13"/>
    <w:rsid w:val="00A63A62"/>
    <w:rsid w:val="00A6543B"/>
    <w:rsid w:val="00A667DE"/>
    <w:rsid w:val="00A66D95"/>
    <w:rsid w:val="00A6727E"/>
    <w:rsid w:val="00A6743D"/>
    <w:rsid w:val="00A678E6"/>
    <w:rsid w:val="00A706AF"/>
    <w:rsid w:val="00A719D0"/>
    <w:rsid w:val="00A728B2"/>
    <w:rsid w:val="00A747CF"/>
    <w:rsid w:val="00A7481A"/>
    <w:rsid w:val="00A74E40"/>
    <w:rsid w:val="00A759DE"/>
    <w:rsid w:val="00A762E4"/>
    <w:rsid w:val="00A76406"/>
    <w:rsid w:val="00A768AB"/>
    <w:rsid w:val="00A778B9"/>
    <w:rsid w:val="00A779ED"/>
    <w:rsid w:val="00A77EDD"/>
    <w:rsid w:val="00A80383"/>
    <w:rsid w:val="00A805CC"/>
    <w:rsid w:val="00A8175B"/>
    <w:rsid w:val="00A820BB"/>
    <w:rsid w:val="00A825ED"/>
    <w:rsid w:val="00A832A7"/>
    <w:rsid w:val="00A83C67"/>
    <w:rsid w:val="00A83D2F"/>
    <w:rsid w:val="00A83EE3"/>
    <w:rsid w:val="00A84414"/>
    <w:rsid w:val="00A852CA"/>
    <w:rsid w:val="00A852FF"/>
    <w:rsid w:val="00A87321"/>
    <w:rsid w:val="00A87AFA"/>
    <w:rsid w:val="00A90ED3"/>
    <w:rsid w:val="00A91185"/>
    <w:rsid w:val="00A91584"/>
    <w:rsid w:val="00A91B1F"/>
    <w:rsid w:val="00A93393"/>
    <w:rsid w:val="00A93C1D"/>
    <w:rsid w:val="00A94F4C"/>
    <w:rsid w:val="00A951A9"/>
    <w:rsid w:val="00A951E1"/>
    <w:rsid w:val="00A95239"/>
    <w:rsid w:val="00A95BA1"/>
    <w:rsid w:val="00A95E45"/>
    <w:rsid w:val="00A963F2"/>
    <w:rsid w:val="00A96513"/>
    <w:rsid w:val="00A96565"/>
    <w:rsid w:val="00A9722A"/>
    <w:rsid w:val="00A97D6E"/>
    <w:rsid w:val="00AA0270"/>
    <w:rsid w:val="00AA0448"/>
    <w:rsid w:val="00AA0B55"/>
    <w:rsid w:val="00AA3D82"/>
    <w:rsid w:val="00AA43AF"/>
    <w:rsid w:val="00AA5240"/>
    <w:rsid w:val="00AA592F"/>
    <w:rsid w:val="00AA5E32"/>
    <w:rsid w:val="00AA645E"/>
    <w:rsid w:val="00AA66BC"/>
    <w:rsid w:val="00AA6A33"/>
    <w:rsid w:val="00AA785F"/>
    <w:rsid w:val="00AA78D8"/>
    <w:rsid w:val="00AA79CC"/>
    <w:rsid w:val="00AB05C7"/>
    <w:rsid w:val="00AB0C60"/>
    <w:rsid w:val="00AB10C5"/>
    <w:rsid w:val="00AB13CF"/>
    <w:rsid w:val="00AB1A4D"/>
    <w:rsid w:val="00AB273E"/>
    <w:rsid w:val="00AB2926"/>
    <w:rsid w:val="00AB5927"/>
    <w:rsid w:val="00AB6F90"/>
    <w:rsid w:val="00AB7C8C"/>
    <w:rsid w:val="00AC0296"/>
    <w:rsid w:val="00AC0DB1"/>
    <w:rsid w:val="00AC0F46"/>
    <w:rsid w:val="00AC22B3"/>
    <w:rsid w:val="00AC2453"/>
    <w:rsid w:val="00AC24B2"/>
    <w:rsid w:val="00AC2D0F"/>
    <w:rsid w:val="00AC3104"/>
    <w:rsid w:val="00AC3D21"/>
    <w:rsid w:val="00AC5804"/>
    <w:rsid w:val="00AC61A2"/>
    <w:rsid w:val="00AC67D3"/>
    <w:rsid w:val="00AD08EA"/>
    <w:rsid w:val="00AD1886"/>
    <w:rsid w:val="00AD3662"/>
    <w:rsid w:val="00AD38EC"/>
    <w:rsid w:val="00AD391E"/>
    <w:rsid w:val="00AD4B02"/>
    <w:rsid w:val="00AD5813"/>
    <w:rsid w:val="00AD583A"/>
    <w:rsid w:val="00AD68BC"/>
    <w:rsid w:val="00AD6B7C"/>
    <w:rsid w:val="00AD6CD9"/>
    <w:rsid w:val="00AD7743"/>
    <w:rsid w:val="00AD7974"/>
    <w:rsid w:val="00AD7B28"/>
    <w:rsid w:val="00AD7B3A"/>
    <w:rsid w:val="00AD7D16"/>
    <w:rsid w:val="00AE0BBF"/>
    <w:rsid w:val="00AE0FFD"/>
    <w:rsid w:val="00AE1206"/>
    <w:rsid w:val="00AE1DBA"/>
    <w:rsid w:val="00AE367B"/>
    <w:rsid w:val="00AE3748"/>
    <w:rsid w:val="00AE39DD"/>
    <w:rsid w:val="00AE4159"/>
    <w:rsid w:val="00AE4166"/>
    <w:rsid w:val="00AE4604"/>
    <w:rsid w:val="00AE5ED3"/>
    <w:rsid w:val="00AE66A2"/>
    <w:rsid w:val="00AE72E6"/>
    <w:rsid w:val="00AE7F30"/>
    <w:rsid w:val="00AF0778"/>
    <w:rsid w:val="00AF09AF"/>
    <w:rsid w:val="00AF09EF"/>
    <w:rsid w:val="00AF0B95"/>
    <w:rsid w:val="00AF0C4F"/>
    <w:rsid w:val="00AF0CCF"/>
    <w:rsid w:val="00AF0F5C"/>
    <w:rsid w:val="00AF1969"/>
    <w:rsid w:val="00AF37F7"/>
    <w:rsid w:val="00AF3954"/>
    <w:rsid w:val="00AF3D76"/>
    <w:rsid w:val="00AF5C4A"/>
    <w:rsid w:val="00AF6390"/>
    <w:rsid w:val="00AF77C7"/>
    <w:rsid w:val="00B03D13"/>
    <w:rsid w:val="00B041C5"/>
    <w:rsid w:val="00B04AAD"/>
    <w:rsid w:val="00B059B9"/>
    <w:rsid w:val="00B076AB"/>
    <w:rsid w:val="00B07A4D"/>
    <w:rsid w:val="00B07A98"/>
    <w:rsid w:val="00B07E37"/>
    <w:rsid w:val="00B10945"/>
    <w:rsid w:val="00B113AB"/>
    <w:rsid w:val="00B123EC"/>
    <w:rsid w:val="00B12B6A"/>
    <w:rsid w:val="00B12C36"/>
    <w:rsid w:val="00B12FC8"/>
    <w:rsid w:val="00B13024"/>
    <w:rsid w:val="00B14036"/>
    <w:rsid w:val="00B1454D"/>
    <w:rsid w:val="00B14CD7"/>
    <w:rsid w:val="00B1516F"/>
    <w:rsid w:val="00B15630"/>
    <w:rsid w:val="00B15FFC"/>
    <w:rsid w:val="00B16847"/>
    <w:rsid w:val="00B1723B"/>
    <w:rsid w:val="00B2007D"/>
    <w:rsid w:val="00B2070D"/>
    <w:rsid w:val="00B207D1"/>
    <w:rsid w:val="00B24B07"/>
    <w:rsid w:val="00B24D73"/>
    <w:rsid w:val="00B2521D"/>
    <w:rsid w:val="00B25255"/>
    <w:rsid w:val="00B25566"/>
    <w:rsid w:val="00B25BF1"/>
    <w:rsid w:val="00B263B3"/>
    <w:rsid w:val="00B2655B"/>
    <w:rsid w:val="00B268F1"/>
    <w:rsid w:val="00B278C9"/>
    <w:rsid w:val="00B32213"/>
    <w:rsid w:val="00B32259"/>
    <w:rsid w:val="00B323ED"/>
    <w:rsid w:val="00B32B34"/>
    <w:rsid w:val="00B3373E"/>
    <w:rsid w:val="00B338F0"/>
    <w:rsid w:val="00B340E4"/>
    <w:rsid w:val="00B34F27"/>
    <w:rsid w:val="00B35114"/>
    <w:rsid w:val="00B413C7"/>
    <w:rsid w:val="00B41FBF"/>
    <w:rsid w:val="00B420B2"/>
    <w:rsid w:val="00B42DE0"/>
    <w:rsid w:val="00B42FC8"/>
    <w:rsid w:val="00B441E5"/>
    <w:rsid w:val="00B44449"/>
    <w:rsid w:val="00B44872"/>
    <w:rsid w:val="00B44B1D"/>
    <w:rsid w:val="00B45109"/>
    <w:rsid w:val="00B4559A"/>
    <w:rsid w:val="00B458F1"/>
    <w:rsid w:val="00B468D4"/>
    <w:rsid w:val="00B471F3"/>
    <w:rsid w:val="00B47A07"/>
    <w:rsid w:val="00B50331"/>
    <w:rsid w:val="00B511CF"/>
    <w:rsid w:val="00B51D80"/>
    <w:rsid w:val="00B52B5C"/>
    <w:rsid w:val="00B5325B"/>
    <w:rsid w:val="00B54F10"/>
    <w:rsid w:val="00B555E0"/>
    <w:rsid w:val="00B55B08"/>
    <w:rsid w:val="00B55F25"/>
    <w:rsid w:val="00B56AF2"/>
    <w:rsid w:val="00B57D28"/>
    <w:rsid w:val="00B60A3E"/>
    <w:rsid w:val="00B60B2C"/>
    <w:rsid w:val="00B6172F"/>
    <w:rsid w:val="00B61D7F"/>
    <w:rsid w:val="00B622E8"/>
    <w:rsid w:val="00B62498"/>
    <w:rsid w:val="00B63CA5"/>
    <w:rsid w:val="00B649F2"/>
    <w:rsid w:val="00B64A39"/>
    <w:rsid w:val="00B6547D"/>
    <w:rsid w:val="00B6574E"/>
    <w:rsid w:val="00B66018"/>
    <w:rsid w:val="00B66C43"/>
    <w:rsid w:val="00B67629"/>
    <w:rsid w:val="00B67BCB"/>
    <w:rsid w:val="00B70507"/>
    <w:rsid w:val="00B7144A"/>
    <w:rsid w:val="00B720C2"/>
    <w:rsid w:val="00B73AA5"/>
    <w:rsid w:val="00B742F1"/>
    <w:rsid w:val="00B74627"/>
    <w:rsid w:val="00B75341"/>
    <w:rsid w:val="00B75C3B"/>
    <w:rsid w:val="00B768F1"/>
    <w:rsid w:val="00B76967"/>
    <w:rsid w:val="00B769F2"/>
    <w:rsid w:val="00B77242"/>
    <w:rsid w:val="00B772D0"/>
    <w:rsid w:val="00B7745C"/>
    <w:rsid w:val="00B811A9"/>
    <w:rsid w:val="00B8369D"/>
    <w:rsid w:val="00B83910"/>
    <w:rsid w:val="00B83FA2"/>
    <w:rsid w:val="00B83FC9"/>
    <w:rsid w:val="00B8458D"/>
    <w:rsid w:val="00B8468B"/>
    <w:rsid w:val="00B84734"/>
    <w:rsid w:val="00B84BA3"/>
    <w:rsid w:val="00B84CB8"/>
    <w:rsid w:val="00B858EF"/>
    <w:rsid w:val="00B85F83"/>
    <w:rsid w:val="00B85FC4"/>
    <w:rsid w:val="00B862BA"/>
    <w:rsid w:val="00B87703"/>
    <w:rsid w:val="00B913C6"/>
    <w:rsid w:val="00B929C5"/>
    <w:rsid w:val="00B93193"/>
    <w:rsid w:val="00B94B47"/>
    <w:rsid w:val="00B94EB7"/>
    <w:rsid w:val="00B95D80"/>
    <w:rsid w:val="00B9636B"/>
    <w:rsid w:val="00BA0096"/>
    <w:rsid w:val="00BA023C"/>
    <w:rsid w:val="00BA180F"/>
    <w:rsid w:val="00BA1AD5"/>
    <w:rsid w:val="00BA25AF"/>
    <w:rsid w:val="00BA2B2B"/>
    <w:rsid w:val="00BA2CDC"/>
    <w:rsid w:val="00BA4A3B"/>
    <w:rsid w:val="00BA5214"/>
    <w:rsid w:val="00BA54D5"/>
    <w:rsid w:val="00BA5E7B"/>
    <w:rsid w:val="00BA6F32"/>
    <w:rsid w:val="00BA7565"/>
    <w:rsid w:val="00BB0F5D"/>
    <w:rsid w:val="00BB14C4"/>
    <w:rsid w:val="00BB1C31"/>
    <w:rsid w:val="00BB2362"/>
    <w:rsid w:val="00BB30FD"/>
    <w:rsid w:val="00BB3363"/>
    <w:rsid w:val="00BB3545"/>
    <w:rsid w:val="00BB44BF"/>
    <w:rsid w:val="00BB63AC"/>
    <w:rsid w:val="00BB7D9B"/>
    <w:rsid w:val="00BC06F0"/>
    <w:rsid w:val="00BC21F2"/>
    <w:rsid w:val="00BC2773"/>
    <w:rsid w:val="00BC2CAB"/>
    <w:rsid w:val="00BC313B"/>
    <w:rsid w:val="00BC3B98"/>
    <w:rsid w:val="00BC41E4"/>
    <w:rsid w:val="00BC4515"/>
    <w:rsid w:val="00BC54ED"/>
    <w:rsid w:val="00BC5F3A"/>
    <w:rsid w:val="00BC6337"/>
    <w:rsid w:val="00BC7BDA"/>
    <w:rsid w:val="00BC7D70"/>
    <w:rsid w:val="00BC7DC2"/>
    <w:rsid w:val="00BD0DD2"/>
    <w:rsid w:val="00BD1861"/>
    <w:rsid w:val="00BD1F1A"/>
    <w:rsid w:val="00BD1FEB"/>
    <w:rsid w:val="00BD2E58"/>
    <w:rsid w:val="00BD3E83"/>
    <w:rsid w:val="00BD40F2"/>
    <w:rsid w:val="00BD433F"/>
    <w:rsid w:val="00BD56FA"/>
    <w:rsid w:val="00BD5B90"/>
    <w:rsid w:val="00BD6042"/>
    <w:rsid w:val="00BD61CA"/>
    <w:rsid w:val="00BD6756"/>
    <w:rsid w:val="00BD6B7D"/>
    <w:rsid w:val="00BD6C80"/>
    <w:rsid w:val="00BD70CD"/>
    <w:rsid w:val="00BD797C"/>
    <w:rsid w:val="00BD7A11"/>
    <w:rsid w:val="00BD7DE2"/>
    <w:rsid w:val="00BE0AA6"/>
    <w:rsid w:val="00BE0FEA"/>
    <w:rsid w:val="00BE342D"/>
    <w:rsid w:val="00BE3B1D"/>
    <w:rsid w:val="00BE3EB3"/>
    <w:rsid w:val="00BE5A08"/>
    <w:rsid w:val="00BE679C"/>
    <w:rsid w:val="00BE7303"/>
    <w:rsid w:val="00BF0578"/>
    <w:rsid w:val="00BF2254"/>
    <w:rsid w:val="00BF3D79"/>
    <w:rsid w:val="00BF4605"/>
    <w:rsid w:val="00BF4EFC"/>
    <w:rsid w:val="00BF5AA1"/>
    <w:rsid w:val="00BF5C4B"/>
    <w:rsid w:val="00BF606F"/>
    <w:rsid w:val="00BF6625"/>
    <w:rsid w:val="00BF750F"/>
    <w:rsid w:val="00BF799B"/>
    <w:rsid w:val="00C00736"/>
    <w:rsid w:val="00C00C8B"/>
    <w:rsid w:val="00C00C8E"/>
    <w:rsid w:val="00C01AB2"/>
    <w:rsid w:val="00C01CE8"/>
    <w:rsid w:val="00C01DCF"/>
    <w:rsid w:val="00C01ED8"/>
    <w:rsid w:val="00C0200F"/>
    <w:rsid w:val="00C02CAF"/>
    <w:rsid w:val="00C03E22"/>
    <w:rsid w:val="00C0423A"/>
    <w:rsid w:val="00C04BC5"/>
    <w:rsid w:val="00C04D28"/>
    <w:rsid w:val="00C05A6E"/>
    <w:rsid w:val="00C05C9B"/>
    <w:rsid w:val="00C06BA7"/>
    <w:rsid w:val="00C075C8"/>
    <w:rsid w:val="00C075FE"/>
    <w:rsid w:val="00C07677"/>
    <w:rsid w:val="00C10404"/>
    <w:rsid w:val="00C1181B"/>
    <w:rsid w:val="00C12794"/>
    <w:rsid w:val="00C12A98"/>
    <w:rsid w:val="00C12F7C"/>
    <w:rsid w:val="00C13376"/>
    <w:rsid w:val="00C135A1"/>
    <w:rsid w:val="00C13FFF"/>
    <w:rsid w:val="00C15978"/>
    <w:rsid w:val="00C16510"/>
    <w:rsid w:val="00C166F5"/>
    <w:rsid w:val="00C1679A"/>
    <w:rsid w:val="00C17445"/>
    <w:rsid w:val="00C206B2"/>
    <w:rsid w:val="00C21577"/>
    <w:rsid w:val="00C218C5"/>
    <w:rsid w:val="00C22782"/>
    <w:rsid w:val="00C233E5"/>
    <w:rsid w:val="00C2446C"/>
    <w:rsid w:val="00C24E4A"/>
    <w:rsid w:val="00C25224"/>
    <w:rsid w:val="00C25AAC"/>
    <w:rsid w:val="00C26611"/>
    <w:rsid w:val="00C272A8"/>
    <w:rsid w:val="00C2753D"/>
    <w:rsid w:val="00C30C5D"/>
    <w:rsid w:val="00C31336"/>
    <w:rsid w:val="00C318D6"/>
    <w:rsid w:val="00C32214"/>
    <w:rsid w:val="00C33426"/>
    <w:rsid w:val="00C33DAB"/>
    <w:rsid w:val="00C344DA"/>
    <w:rsid w:val="00C34715"/>
    <w:rsid w:val="00C34E8E"/>
    <w:rsid w:val="00C3539D"/>
    <w:rsid w:val="00C36B3B"/>
    <w:rsid w:val="00C36BB8"/>
    <w:rsid w:val="00C36CCC"/>
    <w:rsid w:val="00C36D87"/>
    <w:rsid w:val="00C379BE"/>
    <w:rsid w:val="00C37BCE"/>
    <w:rsid w:val="00C37CDE"/>
    <w:rsid w:val="00C41C9A"/>
    <w:rsid w:val="00C41D63"/>
    <w:rsid w:val="00C42DA7"/>
    <w:rsid w:val="00C43E46"/>
    <w:rsid w:val="00C4422F"/>
    <w:rsid w:val="00C458B0"/>
    <w:rsid w:val="00C46059"/>
    <w:rsid w:val="00C4670B"/>
    <w:rsid w:val="00C46C42"/>
    <w:rsid w:val="00C47FA3"/>
    <w:rsid w:val="00C5082F"/>
    <w:rsid w:val="00C50B6D"/>
    <w:rsid w:val="00C50CAF"/>
    <w:rsid w:val="00C51560"/>
    <w:rsid w:val="00C516C8"/>
    <w:rsid w:val="00C51B49"/>
    <w:rsid w:val="00C52966"/>
    <w:rsid w:val="00C5368E"/>
    <w:rsid w:val="00C5382B"/>
    <w:rsid w:val="00C53D27"/>
    <w:rsid w:val="00C54DAE"/>
    <w:rsid w:val="00C550E3"/>
    <w:rsid w:val="00C552EC"/>
    <w:rsid w:val="00C55316"/>
    <w:rsid w:val="00C55AB4"/>
    <w:rsid w:val="00C55C31"/>
    <w:rsid w:val="00C57D08"/>
    <w:rsid w:val="00C61215"/>
    <w:rsid w:val="00C62B7B"/>
    <w:rsid w:val="00C631BE"/>
    <w:rsid w:val="00C637C9"/>
    <w:rsid w:val="00C66093"/>
    <w:rsid w:val="00C66166"/>
    <w:rsid w:val="00C669F6"/>
    <w:rsid w:val="00C675EE"/>
    <w:rsid w:val="00C70457"/>
    <w:rsid w:val="00C71555"/>
    <w:rsid w:val="00C7279B"/>
    <w:rsid w:val="00C72B4F"/>
    <w:rsid w:val="00C72BA5"/>
    <w:rsid w:val="00C736D3"/>
    <w:rsid w:val="00C73DE1"/>
    <w:rsid w:val="00C7468C"/>
    <w:rsid w:val="00C74995"/>
    <w:rsid w:val="00C74BCA"/>
    <w:rsid w:val="00C750F9"/>
    <w:rsid w:val="00C758A8"/>
    <w:rsid w:val="00C770E0"/>
    <w:rsid w:val="00C77BD7"/>
    <w:rsid w:val="00C824E2"/>
    <w:rsid w:val="00C82732"/>
    <w:rsid w:val="00C8356B"/>
    <w:rsid w:val="00C83A1D"/>
    <w:rsid w:val="00C85D06"/>
    <w:rsid w:val="00C85F81"/>
    <w:rsid w:val="00C86109"/>
    <w:rsid w:val="00C86E74"/>
    <w:rsid w:val="00C87466"/>
    <w:rsid w:val="00C87F1D"/>
    <w:rsid w:val="00C9051B"/>
    <w:rsid w:val="00C9067E"/>
    <w:rsid w:val="00C908FC"/>
    <w:rsid w:val="00C9099A"/>
    <w:rsid w:val="00C9175D"/>
    <w:rsid w:val="00C91A00"/>
    <w:rsid w:val="00C9375B"/>
    <w:rsid w:val="00C938EF"/>
    <w:rsid w:val="00C94496"/>
    <w:rsid w:val="00C9502B"/>
    <w:rsid w:val="00C95C6B"/>
    <w:rsid w:val="00C961F8"/>
    <w:rsid w:val="00C96673"/>
    <w:rsid w:val="00C96A40"/>
    <w:rsid w:val="00CA07D8"/>
    <w:rsid w:val="00CA08BC"/>
    <w:rsid w:val="00CA0B52"/>
    <w:rsid w:val="00CA0E98"/>
    <w:rsid w:val="00CA230F"/>
    <w:rsid w:val="00CA24FD"/>
    <w:rsid w:val="00CA2576"/>
    <w:rsid w:val="00CA2981"/>
    <w:rsid w:val="00CA35F3"/>
    <w:rsid w:val="00CA402C"/>
    <w:rsid w:val="00CA5DC6"/>
    <w:rsid w:val="00CA6257"/>
    <w:rsid w:val="00CA674B"/>
    <w:rsid w:val="00CA77A9"/>
    <w:rsid w:val="00CB03B0"/>
    <w:rsid w:val="00CB08B8"/>
    <w:rsid w:val="00CB106C"/>
    <w:rsid w:val="00CB2D4D"/>
    <w:rsid w:val="00CB3450"/>
    <w:rsid w:val="00CB398B"/>
    <w:rsid w:val="00CB54E0"/>
    <w:rsid w:val="00CB60DA"/>
    <w:rsid w:val="00CB6EE0"/>
    <w:rsid w:val="00CB7301"/>
    <w:rsid w:val="00CB7388"/>
    <w:rsid w:val="00CC004D"/>
    <w:rsid w:val="00CC0876"/>
    <w:rsid w:val="00CC1F01"/>
    <w:rsid w:val="00CC2A15"/>
    <w:rsid w:val="00CC45C5"/>
    <w:rsid w:val="00CC522F"/>
    <w:rsid w:val="00CC53AD"/>
    <w:rsid w:val="00CC5538"/>
    <w:rsid w:val="00CC5720"/>
    <w:rsid w:val="00CC628E"/>
    <w:rsid w:val="00CC6418"/>
    <w:rsid w:val="00CC656F"/>
    <w:rsid w:val="00CC6D1A"/>
    <w:rsid w:val="00CC7CAF"/>
    <w:rsid w:val="00CD0BC2"/>
    <w:rsid w:val="00CD223B"/>
    <w:rsid w:val="00CD288C"/>
    <w:rsid w:val="00CD3B47"/>
    <w:rsid w:val="00CD3D83"/>
    <w:rsid w:val="00CD4384"/>
    <w:rsid w:val="00CD46DA"/>
    <w:rsid w:val="00CD536E"/>
    <w:rsid w:val="00CD5386"/>
    <w:rsid w:val="00CD65A4"/>
    <w:rsid w:val="00CD6F32"/>
    <w:rsid w:val="00CE0627"/>
    <w:rsid w:val="00CE101C"/>
    <w:rsid w:val="00CE1341"/>
    <w:rsid w:val="00CE13BE"/>
    <w:rsid w:val="00CE26E8"/>
    <w:rsid w:val="00CE2AB1"/>
    <w:rsid w:val="00CE2C94"/>
    <w:rsid w:val="00CE2FF7"/>
    <w:rsid w:val="00CE56B5"/>
    <w:rsid w:val="00CE6605"/>
    <w:rsid w:val="00CE6C50"/>
    <w:rsid w:val="00CF0355"/>
    <w:rsid w:val="00CF0448"/>
    <w:rsid w:val="00CF0C74"/>
    <w:rsid w:val="00CF1A0F"/>
    <w:rsid w:val="00CF21F8"/>
    <w:rsid w:val="00CF5619"/>
    <w:rsid w:val="00CF5BFC"/>
    <w:rsid w:val="00CF5D46"/>
    <w:rsid w:val="00CF64F6"/>
    <w:rsid w:val="00CF7256"/>
    <w:rsid w:val="00CF766E"/>
    <w:rsid w:val="00CF7994"/>
    <w:rsid w:val="00D012B8"/>
    <w:rsid w:val="00D0209B"/>
    <w:rsid w:val="00D0224D"/>
    <w:rsid w:val="00D02C85"/>
    <w:rsid w:val="00D03C00"/>
    <w:rsid w:val="00D03E3E"/>
    <w:rsid w:val="00D04AEC"/>
    <w:rsid w:val="00D05167"/>
    <w:rsid w:val="00D05584"/>
    <w:rsid w:val="00D05F7E"/>
    <w:rsid w:val="00D06B92"/>
    <w:rsid w:val="00D1155C"/>
    <w:rsid w:val="00D11DF2"/>
    <w:rsid w:val="00D128A5"/>
    <w:rsid w:val="00D13D86"/>
    <w:rsid w:val="00D14467"/>
    <w:rsid w:val="00D148C1"/>
    <w:rsid w:val="00D14A3B"/>
    <w:rsid w:val="00D2071A"/>
    <w:rsid w:val="00D20AB1"/>
    <w:rsid w:val="00D20D43"/>
    <w:rsid w:val="00D21A79"/>
    <w:rsid w:val="00D22283"/>
    <w:rsid w:val="00D2242C"/>
    <w:rsid w:val="00D22DCC"/>
    <w:rsid w:val="00D23675"/>
    <w:rsid w:val="00D236AC"/>
    <w:rsid w:val="00D248B2"/>
    <w:rsid w:val="00D248DF"/>
    <w:rsid w:val="00D24A09"/>
    <w:rsid w:val="00D24B0E"/>
    <w:rsid w:val="00D257B5"/>
    <w:rsid w:val="00D27792"/>
    <w:rsid w:val="00D27B68"/>
    <w:rsid w:val="00D301F1"/>
    <w:rsid w:val="00D30EA9"/>
    <w:rsid w:val="00D31806"/>
    <w:rsid w:val="00D31A88"/>
    <w:rsid w:val="00D31E55"/>
    <w:rsid w:val="00D326D8"/>
    <w:rsid w:val="00D32F66"/>
    <w:rsid w:val="00D345B9"/>
    <w:rsid w:val="00D34A1C"/>
    <w:rsid w:val="00D34D40"/>
    <w:rsid w:val="00D368CF"/>
    <w:rsid w:val="00D36EA9"/>
    <w:rsid w:val="00D37B32"/>
    <w:rsid w:val="00D41092"/>
    <w:rsid w:val="00D422E6"/>
    <w:rsid w:val="00D42392"/>
    <w:rsid w:val="00D44808"/>
    <w:rsid w:val="00D475B5"/>
    <w:rsid w:val="00D47E3F"/>
    <w:rsid w:val="00D516C3"/>
    <w:rsid w:val="00D52B48"/>
    <w:rsid w:val="00D5392A"/>
    <w:rsid w:val="00D56D4A"/>
    <w:rsid w:val="00D57405"/>
    <w:rsid w:val="00D574D3"/>
    <w:rsid w:val="00D577E0"/>
    <w:rsid w:val="00D57A4C"/>
    <w:rsid w:val="00D61C7A"/>
    <w:rsid w:val="00D61CAE"/>
    <w:rsid w:val="00D628F6"/>
    <w:rsid w:val="00D6306D"/>
    <w:rsid w:val="00D64062"/>
    <w:rsid w:val="00D64B58"/>
    <w:rsid w:val="00D64D69"/>
    <w:rsid w:val="00D64EBE"/>
    <w:rsid w:val="00D64EDA"/>
    <w:rsid w:val="00D6513C"/>
    <w:rsid w:val="00D65866"/>
    <w:rsid w:val="00D6692F"/>
    <w:rsid w:val="00D6741B"/>
    <w:rsid w:val="00D6746F"/>
    <w:rsid w:val="00D67DC9"/>
    <w:rsid w:val="00D70108"/>
    <w:rsid w:val="00D70910"/>
    <w:rsid w:val="00D70B94"/>
    <w:rsid w:val="00D725E4"/>
    <w:rsid w:val="00D7280F"/>
    <w:rsid w:val="00D728AC"/>
    <w:rsid w:val="00D72C6B"/>
    <w:rsid w:val="00D774E9"/>
    <w:rsid w:val="00D77BD2"/>
    <w:rsid w:val="00D80476"/>
    <w:rsid w:val="00D81258"/>
    <w:rsid w:val="00D814D8"/>
    <w:rsid w:val="00D82224"/>
    <w:rsid w:val="00D822E2"/>
    <w:rsid w:val="00D82937"/>
    <w:rsid w:val="00D834EE"/>
    <w:rsid w:val="00D83EBE"/>
    <w:rsid w:val="00D84978"/>
    <w:rsid w:val="00D84EE3"/>
    <w:rsid w:val="00D86533"/>
    <w:rsid w:val="00D86E7E"/>
    <w:rsid w:val="00D87DE4"/>
    <w:rsid w:val="00D90891"/>
    <w:rsid w:val="00D91D92"/>
    <w:rsid w:val="00D92C09"/>
    <w:rsid w:val="00D9465E"/>
    <w:rsid w:val="00D94907"/>
    <w:rsid w:val="00D950DD"/>
    <w:rsid w:val="00D96141"/>
    <w:rsid w:val="00D965A1"/>
    <w:rsid w:val="00D971A6"/>
    <w:rsid w:val="00DA0013"/>
    <w:rsid w:val="00DA058C"/>
    <w:rsid w:val="00DA12EC"/>
    <w:rsid w:val="00DA26A0"/>
    <w:rsid w:val="00DA2AD5"/>
    <w:rsid w:val="00DA308B"/>
    <w:rsid w:val="00DA3355"/>
    <w:rsid w:val="00DA3F87"/>
    <w:rsid w:val="00DA5227"/>
    <w:rsid w:val="00DA5499"/>
    <w:rsid w:val="00DA6F96"/>
    <w:rsid w:val="00DA7A3B"/>
    <w:rsid w:val="00DB0B8E"/>
    <w:rsid w:val="00DB10E4"/>
    <w:rsid w:val="00DB1E74"/>
    <w:rsid w:val="00DB2899"/>
    <w:rsid w:val="00DB32C7"/>
    <w:rsid w:val="00DB32CC"/>
    <w:rsid w:val="00DB37F3"/>
    <w:rsid w:val="00DB39CF"/>
    <w:rsid w:val="00DB43CB"/>
    <w:rsid w:val="00DB4E43"/>
    <w:rsid w:val="00DB5D3C"/>
    <w:rsid w:val="00DB5EBD"/>
    <w:rsid w:val="00DC09E7"/>
    <w:rsid w:val="00DC12A1"/>
    <w:rsid w:val="00DC2DC0"/>
    <w:rsid w:val="00DC338B"/>
    <w:rsid w:val="00DC3893"/>
    <w:rsid w:val="00DC38A2"/>
    <w:rsid w:val="00DC507E"/>
    <w:rsid w:val="00DC50C9"/>
    <w:rsid w:val="00DC59A9"/>
    <w:rsid w:val="00DC60F3"/>
    <w:rsid w:val="00DC64C7"/>
    <w:rsid w:val="00DC6676"/>
    <w:rsid w:val="00DC723F"/>
    <w:rsid w:val="00DC7845"/>
    <w:rsid w:val="00DC7D1C"/>
    <w:rsid w:val="00DC7D94"/>
    <w:rsid w:val="00DD0EA1"/>
    <w:rsid w:val="00DD1455"/>
    <w:rsid w:val="00DD17F3"/>
    <w:rsid w:val="00DD2234"/>
    <w:rsid w:val="00DD227B"/>
    <w:rsid w:val="00DD2C0A"/>
    <w:rsid w:val="00DD40B8"/>
    <w:rsid w:val="00DD41B2"/>
    <w:rsid w:val="00DD4C63"/>
    <w:rsid w:val="00DD7789"/>
    <w:rsid w:val="00DD7B72"/>
    <w:rsid w:val="00DE0A32"/>
    <w:rsid w:val="00DE0FFF"/>
    <w:rsid w:val="00DE1311"/>
    <w:rsid w:val="00DE2157"/>
    <w:rsid w:val="00DE4183"/>
    <w:rsid w:val="00DE5182"/>
    <w:rsid w:val="00DE5378"/>
    <w:rsid w:val="00DE5799"/>
    <w:rsid w:val="00DE5EDB"/>
    <w:rsid w:val="00DE5EF3"/>
    <w:rsid w:val="00DE718F"/>
    <w:rsid w:val="00DE7DDC"/>
    <w:rsid w:val="00DF05DD"/>
    <w:rsid w:val="00DF0E62"/>
    <w:rsid w:val="00DF2413"/>
    <w:rsid w:val="00DF3622"/>
    <w:rsid w:val="00DF43E2"/>
    <w:rsid w:val="00DF474F"/>
    <w:rsid w:val="00DF59D7"/>
    <w:rsid w:val="00DF5A7F"/>
    <w:rsid w:val="00DF6DC2"/>
    <w:rsid w:val="00DF6E36"/>
    <w:rsid w:val="00E00255"/>
    <w:rsid w:val="00E02DB7"/>
    <w:rsid w:val="00E03615"/>
    <w:rsid w:val="00E038E3"/>
    <w:rsid w:val="00E03E42"/>
    <w:rsid w:val="00E04CE3"/>
    <w:rsid w:val="00E04FA9"/>
    <w:rsid w:val="00E05412"/>
    <w:rsid w:val="00E05C67"/>
    <w:rsid w:val="00E0643E"/>
    <w:rsid w:val="00E076DB"/>
    <w:rsid w:val="00E07CFE"/>
    <w:rsid w:val="00E07D60"/>
    <w:rsid w:val="00E11CF1"/>
    <w:rsid w:val="00E124AB"/>
    <w:rsid w:val="00E12518"/>
    <w:rsid w:val="00E12668"/>
    <w:rsid w:val="00E13F0E"/>
    <w:rsid w:val="00E14753"/>
    <w:rsid w:val="00E1512F"/>
    <w:rsid w:val="00E153FD"/>
    <w:rsid w:val="00E1641C"/>
    <w:rsid w:val="00E164FE"/>
    <w:rsid w:val="00E167E0"/>
    <w:rsid w:val="00E20275"/>
    <w:rsid w:val="00E2260E"/>
    <w:rsid w:val="00E22A35"/>
    <w:rsid w:val="00E230EA"/>
    <w:rsid w:val="00E233CA"/>
    <w:rsid w:val="00E23D6D"/>
    <w:rsid w:val="00E248FB"/>
    <w:rsid w:val="00E25526"/>
    <w:rsid w:val="00E2576A"/>
    <w:rsid w:val="00E26129"/>
    <w:rsid w:val="00E26522"/>
    <w:rsid w:val="00E2725F"/>
    <w:rsid w:val="00E2797B"/>
    <w:rsid w:val="00E304E8"/>
    <w:rsid w:val="00E30E9C"/>
    <w:rsid w:val="00E3153E"/>
    <w:rsid w:val="00E3195F"/>
    <w:rsid w:val="00E327AC"/>
    <w:rsid w:val="00E327DC"/>
    <w:rsid w:val="00E32EEF"/>
    <w:rsid w:val="00E34E32"/>
    <w:rsid w:val="00E34FE6"/>
    <w:rsid w:val="00E35231"/>
    <w:rsid w:val="00E35D1D"/>
    <w:rsid w:val="00E35F29"/>
    <w:rsid w:val="00E3637A"/>
    <w:rsid w:val="00E36B08"/>
    <w:rsid w:val="00E3786D"/>
    <w:rsid w:val="00E3798F"/>
    <w:rsid w:val="00E37AB1"/>
    <w:rsid w:val="00E401A3"/>
    <w:rsid w:val="00E40AA5"/>
    <w:rsid w:val="00E417CF"/>
    <w:rsid w:val="00E419C4"/>
    <w:rsid w:val="00E42068"/>
    <w:rsid w:val="00E43933"/>
    <w:rsid w:val="00E43BC5"/>
    <w:rsid w:val="00E43CA2"/>
    <w:rsid w:val="00E44BA7"/>
    <w:rsid w:val="00E452FD"/>
    <w:rsid w:val="00E460A6"/>
    <w:rsid w:val="00E463CC"/>
    <w:rsid w:val="00E46B61"/>
    <w:rsid w:val="00E46D85"/>
    <w:rsid w:val="00E47141"/>
    <w:rsid w:val="00E47811"/>
    <w:rsid w:val="00E5115C"/>
    <w:rsid w:val="00E51981"/>
    <w:rsid w:val="00E521BF"/>
    <w:rsid w:val="00E522C9"/>
    <w:rsid w:val="00E524F2"/>
    <w:rsid w:val="00E52679"/>
    <w:rsid w:val="00E52E27"/>
    <w:rsid w:val="00E53130"/>
    <w:rsid w:val="00E54A14"/>
    <w:rsid w:val="00E54D52"/>
    <w:rsid w:val="00E55B70"/>
    <w:rsid w:val="00E568FA"/>
    <w:rsid w:val="00E56A67"/>
    <w:rsid w:val="00E56DA7"/>
    <w:rsid w:val="00E57968"/>
    <w:rsid w:val="00E57BC1"/>
    <w:rsid w:val="00E60737"/>
    <w:rsid w:val="00E609B4"/>
    <w:rsid w:val="00E60F35"/>
    <w:rsid w:val="00E61010"/>
    <w:rsid w:val="00E6101E"/>
    <w:rsid w:val="00E61442"/>
    <w:rsid w:val="00E62CCB"/>
    <w:rsid w:val="00E62F5A"/>
    <w:rsid w:val="00E63197"/>
    <w:rsid w:val="00E632CF"/>
    <w:rsid w:val="00E6334A"/>
    <w:rsid w:val="00E63384"/>
    <w:rsid w:val="00E66CEC"/>
    <w:rsid w:val="00E66E15"/>
    <w:rsid w:val="00E674D7"/>
    <w:rsid w:val="00E678EC"/>
    <w:rsid w:val="00E70CC7"/>
    <w:rsid w:val="00E70D33"/>
    <w:rsid w:val="00E72F2E"/>
    <w:rsid w:val="00E731F3"/>
    <w:rsid w:val="00E7399E"/>
    <w:rsid w:val="00E757E8"/>
    <w:rsid w:val="00E75F0B"/>
    <w:rsid w:val="00E76DD7"/>
    <w:rsid w:val="00E777B9"/>
    <w:rsid w:val="00E80D94"/>
    <w:rsid w:val="00E81F47"/>
    <w:rsid w:val="00E81FF9"/>
    <w:rsid w:val="00E823AA"/>
    <w:rsid w:val="00E83243"/>
    <w:rsid w:val="00E83246"/>
    <w:rsid w:val="00E83C9B"/>
    <w:rsid w:val="00E84110"/>
    <w:rsid w:val="00E84728"/>
    <w:rsid w:val="00E848DA"/>
    <w:rsid w:val="00E863A8"/>
    <w:rsid w:val="00E869D3"/>
    <w:rsid w:val="00E86A5D"/>
    <w:rsid w:val="00E86ADA"/>
    <w:rsid w:val="00E9068F"/>
    <w:rsid w:val="00E91604"/>
    <w:rsid w:val="00E91807"/>
    <w:rsid w:val="00E924B9"/>
    <w:rsid w:val="00E927C6"/>
    <w:rsid w:val="00E934A7"/>
    <w:rsid w:val="00E9387E"/>
    <w:rsid w:val="00E94595"/>
    <w:rsid w:val="00E946C0"/>
    <w:rsid w:val="00E94851"/>
    <w:rsid w:val="00E95324"/>
    <w:rsid w:val="00E95337"/>
    <w:rsid w:val="00E9603E"/>
    <w:rsid w:val="00E960DC"/>
    <w:rsid w:val="00E966A3"/>
    <w:rsid w:val="00E972F1"/>
    <w:rsid w:val="00E973A6"/>
    <w:rsid w:val="00E975E8"/>
    <w:rsid w:val="00EA04FC"/>
    <w:rsid w:val="00EA0FFD"/>
    <w:rsid w:val="00EA1053"/>
    <w:rsid w:val="00EA30BB"/>
    <w:rsid w:val="00EA3ECB"/>
    <w:rsid w:val="00EA4C2C"/>
    <w:rsid w:val="00EA4DD6"/>
    <w:rsid w:val="00EA6400"/>
    <w:rsid w:val="00EA708B"/>
    <w:rsid w:val="00EA7A4E"/>
    <w:rsid w:val="00EA7CE3"/>
    <w:rsid w:val="00EB093C"/>
    <w:rsid w:val="00EB0DB5"/>
    <w:rsid w:val="00EB1D35"/>
    <w:rsid w:val="00EB2B39"/>
    <w:rsid w:val="00EB3528"/>
    <w:rsid w:val="00EB3AAF"/>
    <w:rsid w:val="00EB3E0D"/>
    <w:rsid w:val="00EB4EE1"/>
    <w:rsid w:val="00EB5042"/>
    <w:rsid w:val="00EB55DE"/>
    <w:rsid w:val="00EB5D77"/>
    <w:rsid w:val="00EB5F57"/>
    <w:rsid w:val="00EB60E6"/>
    <w:rsid w:val="00EB621B"/>
    <w:rsid w:val="00EB6D46"/>
    <w:rsid w:val="00EB737E"/>
    <w:rsid w:val="00EB74AD"/>
    <w:rsid w:val="00EB7C6F"/>
    <w:rsid w:val="00EB7FF3"/>
    <w:rsid w:val="00EC01D9"/>
    <w:rsid w:val="00EC0C89"/>
    <w:rsid w:val="00EC15AB"/>
    <w:rsid w:val="00EC1C33"/>
    <w:rsid w:val="00EC1C52"/>
    <w:rsid w:val="00EC1D35"/>
    <w:rsid w:val="00EC33E3"/>
    <w:rsid w:val="00EC3ABF"/>
    <w:rsid w:val="00EC3EB8"/>
    <w:rsid w:val="00EC4AB1"/>
    <w:rsid w:val="00EC5519"/>
    <w:rsid w:val="00EC64EA"/>
    <w:rsid w:val="00EC76EA"/>
    <w:rsid w:val="00EC7F41"/>
    <w:rsid w:val="00ED07D2"/>
    <w:rsid w:val="00ED09A1"/>
    <w:rsid w:val="00ED12A3"/>
    <w:rsid w:val="00ED22D5"/>
    <w:rsid w:val="00ED2423"/>
    <w:rsid w:val="00ED3034"/>
    <w:rsid w:val="00ED4116"/>
    <w:rsid w:val="00ED58F3"/>
    <w:rsid w:val="00ED631A"/>
    <w:rsid w:val="00ED6DF5"/>
    <w:rsid w:val="00EE0489"/>
    <w:rsid w:val="00EE09EC"/>
    <w:rsid w:val="00EE1788"/>
    <w:rsid w:val="00EE1DBF"/>
    <w:rsid w:val="00EE36CF"/>
    <w:rsid w:val="00EE415A"/>
    <w:rsid w:val="00EE426C"/>
    <w:rsid w:val="00EE45BC"/>
    <w:rsid w:val="00EE4926"/>
    <w:rsid w:val="00EE4D9E"/>
    <w:rsid w:val="00EE5BF7"/>
    <w:rsid w:val="00EE6C5A"/>
    <w:rsid w:val="00EE7B42"/>
    <w:rsid w:val="00EF061E"/>
    <w:rsid w:val="00EF0A7B"/>
    <w:rsid w:val="00EF15FA"/>
    <w:rsid w:val="00EF3747"/>
    <w:rsid w:val="00EF4596"/>
    <w:rsid w:val="00EF47BE"/>
    <w:rsid w:val="00EF50BC"/>
    <w:rsid w:val="00EF5379"/>
    <w:rsid w:val="00EF5E38"/>
    <w:rsid w:val="00EF6B88"/>
    <w:rsid w:val="00EF6FC1"/>
    <w:rsid w:val="00EF7F28"/>
    <w:rsid w:val="00F014CA"/>
    <w:rsid w:val="00F03219"/>
    <w:rsid w:val="00F03463"/>
    <w:rsid w:val="00F04CF1"/>
    <w:rsid w:val="00F04D9A"/>
    <w:rsid w:val="00F055D1"/>
    <w:rsid w:val="00F05FBE"/>
    <w:rsid w:val="00F06815"/>
    <w:rsid w:val="00F0691B"/>
    <w:rsid w:val="00F06EDE"/>
    <w:rsid w:val="00F10055"/>
    <w:rsid w:val="00F1044D"/>
    <w:rsid w:val="00F1072E"/>
    <w:rsid w:val="00F11064"/>
    <w:rsid w:val="00F11BF9"/>
    <w:rsid w:val="00F13CC2"/>
    <w:rsid w:val="00F1453D"/>
    <w:rsid w:val="00F14636"/>
    <w:rsid w:val="00F14F8F"/>
    <w:rsid w:val="00F164DC"/>
    <w:rsid w:val="00F172AE"/>
    <w:rsid w:val="00F1743E"/>
    <w:rsid w:val="00F21915"/>
    <w:rsid w:val="00F222EE"/>
    <w:rsid w:val="00F23228"/>
    <w:rsid w:val="00F2332E"/>
    <w:rsid w:val="00F23BDF"/>
    <w:rsid w:val="00F24EFF"/>
    <w:rsid w:val="00F25442"/>
    <w:rsid w:val="00F2631B"/>
    <w:rsid w:val="00F268D5"/>
    <w:rsid w:val="00F2712C"/>
    <w:rsid w:val="00F27DA6"/>
    <w:rsid w:val="00F30692"/>
    <w:rsid w:val="00F31C29"/>
    <w:rsid w:val="00F31FD7"/>
    <w:rsid w:val="00F321B3"/>
    <w:rsid w:val="00F35918"/>
    <w:rsid w:val="00F365A3"/>
    <w:rsid w:val="00F370AA"/>
    <w:rsid w:val="00F40376"/>
    <w:rsid w:val="00F4043B"/>
    <w:rsid w:val="00F41480"/>
    <w:rsid w:val="00F41518"/>
    <w:rsid w:val="00F41F5B"/>
    <w:rsid w:val="00F442F7"/>
    <w:rsid w:val="00F443C4"/>
    <w:rsid w:val="00F46F69"/>
    <w:rsid w:val="00F4711B"/>
    <w:rsid w:val="00F5072E"/>
    <w:rsid w:val="00F51096"/>
    <w:rsid w:val="00F51924"/>
    <w:rsid w:val="00F52015"/>
    <w:rsid w:val="00F52B41"/>
    <w:rsid w:val="00F52DE9"/>
    <w:rsid w:val="00F530E1"/>
    <w:rsid w:val="00F53BF4"/>
    <w:rsid w:val="00F53CE8"/>
    <w:rsid w:val="00F53D09"/>
    <w:rsid w:val="00F5461B"/>
    <w:rsid w:val="00F5469D"/>
    <w:rsid w:val="00F553EF"/>
    <w:rsid w:val="00F569CB"/>
    <w:rsid w:val="00F57648"/>
    <w:rsid w:val="00F5770A"/>
    <w:rsid w:val="00F57A36"/>
    <w:rsid w:val="00F57EA3"/>
    <w:rsid w:val="00F605BE"/>
    <w:rsid w:val="00F60B07"/>
    <w:rsid w:val="00F615F4"/>
    <w:rsid w:val="00F61785"/>
    <w:rsid w:val="00F636CE"/>
    <w:rsid w:val="00F63BF7"/>
    <w:rsid w:val="00F64BB1"/>
    <w:rsid w:val="00F65166"/>
    <w:rsid w:val="00F65F57"/>
    <w:rsid w:val="00F66B2C"/>
    <w:rsid w:val="00F66BC1"/>
    <w:rsid w:val="00F701D4"/>
    <w:rsid w:val="00F71212"/>
    <w:rsid w:val="00F714FE"/>
    <w:rsid w:val="00F72DCF"/>
    <w:rsid w:val="00F730E6"/>
    <w:rsid w:val="00F742C2"/>
    <w:rsid w:val="00F745B7"/>
    <w:rsid w:val="00F749B3"/>
    <w:rsid w:val="00F76560"/>
    <w:rsid w:val="00F77B22"/>
    <w:rsid w:val="00F81D9D"/>
    <w:rsid w:val="00F821CF"/>
    <w:rsid w:val="00F82994"/>
    <w:rsid w:val="00F839B7"/>
    <w:rsid w:val="00F83C42"/>
    <w:rsid w:val="00F83D17"/>
    <w:rsid w:val="00F843E6"/>
    <w:rsid w:val="00F8520B"/>
    <w:rsid w:val="00F852F8"/>
    <w:rsid w:val="00F8598B"/>
    <w:rsid w:val="00F86A81"/>
    <w:rsid w:val="00F86BC3"/>
    <w:rsid w:val="00F86C8D"/>
    <w:rsid w:val="00F86CC9"/>
    <w:rsid w:val="00F87A9E"/>
    <w:rsid w:val="00F90C9B"/>
    <w:rsid w:val="00F9190E"/>
    <w:rsid w:val="00F9225D"/>
    <w:rsid w:val="00F9229A"/>
    <w:rsid w:val="00F9259E"/>
    <w:rsid w:val="00F92781"/>
    <w:rsid w:val="00F92D34"/>
    <w:rsid w:val="00F92EF5"/>
    <w:rsid w:val="00F937BC"/>
    <w:rsid w:val="00F93C20"/>
    <w:rsid w:val="00F93CA7"/>
    <w:rsid w:val="00F93E9F"/>
    <w:rsid w:val="00F940A9"/>
    <w:rsid w:val="00F947A8"/>
    <w:rsid w:val="00F9527A"/>
    <w:rsid w:val="00F96908"/>
    <w:rsid w:val="00F975E4"/>
    <w:rsid w:val="00F975E7"/>
    <w:rsid w:val="00F97A19"/>
    <w:rsid w:val="00F97B62"/>
    <w:rsid w:val="00FA02C6"/>
    <w:rsid w:val="00FA0FB0"/>
    <w:rsid w:val="00FA2048"/>
    <w:rsid w:val="00FA3959"/>
    <w:rsid w:val="00FA3F4A"/>
    <w:rsid w:val="00FA4CB0"/>
    <w:rsid w:val="00FA5364"/>
    <w:rsid w:val="00FA5AF9"/>
    <w:rsid w:val="00FA5E02"/>
    <w:rsid w:val="00FA736B"/>
    <w:rsid w:val="00FA77FC"/>
    <w:rsid w:val="00FA7848"/>
    <w:rsid w:val="00FB00FA"/>
    <w:rsid w:val="00FB092E"/>
    <w:rsid w:val="00FB14C2"/>
    <w:rsid w:val="00FB1B82"/>
    <w:rsid w:val="00FB1FAF"/>
    <w:rsid w:val="00FB486B"/>
    <w:rsid w:val="00FB54EA"/>
    <w:rsid w:val="00FB7DA2"/>
    <w:rsid w:val="00FC087C"/>
    <w:rsid w:val="00FC1FCD"/>
    <w:rsid w:val="00FC2F14"/>
    <w:rsid w:val="00FC3AB1"/>
    <w:rsid w:val="00FC43EA"/>
    <w:rsid w:val="00FC50E9"/>
    <w:rsid w:val="00FC51E7"/>
    <w:rsid w:val="00FC556E"/>
    <w:rsid w:val="00FC663A"/>
    <w:rsid w:val="00FC698A"/>
    <w:rsid w:val="00FC72DE"/>
    <w:rsid w:val="00FC7491"/>
    <w:rsid w:val="00FC7A81"/>
    <w:rsid w:val="00FC7C00"/>
    <w:rsid w:val="00FC7E7D"/>
    <w:rsid w:val="00FD03F5"/>
    <w:rsid w:val="00FD100A"/>
    <w:rsid w:val="00FD1048"/>
    <w:rsid w:val="00FD1DE6"/>
    <w:rsid w:val="00FD20A7"/>
    <w:rsid w:val="00FD2459"/>
    <w:rsid w:val="00FD2F9B"/>
    <w:rsid w:val="00FD3471"/>
    <w:rsid w:val="00FD3872"/>
    <w:rsid w:val="00FD38E8"/>
    <w:rsid w:val="00FD4D28"/>
    <w:rsid w:val="00FD6824"/>
    <w:rsid w:val="00FD708F"/>
    <w:rsid w:val="00FD722B"/>
    <w:rsid w:val="00FE015C"/>
    <w:rsid w:val="00FE0CE7"/>
    <w:rsid w:val="00FE13E7"/>
    <w:rsid w:val="00FE2200"/>
    <w:rsid w:val="00FE369E"/>
    <w:rsid w:val="00FE3979"/>
    <w:rsid w:val="00FE399B"/>
    <w:rsid w:val="00FE3AFD"/>
    <w:rsid w:val="00FE48B6"/>
    <w:rsid w:val="00FE48C9"/>
    <w:rsid w:val="00FE4E03"/>
    <w:rsid w:val="00FE57A7"/>
    <w:rsid w:val="00FE5BC0"/>
    <w:rsid w:val="00FE5CD7"/>
    <w:rsid w:val="00FE6672"/>
    <w:rsid w:val="00FE6769"/>
    <w:rsid w:val="00FE6AA7"/>
    <w:rsid w:val="00FE72D8"/>
    <w:rsid w:val="00FE7E54"/>
    <w:rsid w:val="00FF0348"/>
    <w:rsid w:val="00FF0873"/>
    <w:rsid w:val="00FF0E67"/>
    <w:rsid w:val="00FF2012"/>
    <w:rsid w:val="00FF20F0"/>
    <w:rsid w:val="00FF21DE"/>
    <w:rsid w:val="00FF30BA"/>
    <w:rsid w:val="00FF3EC2"/>
    <w:rsid w:val="00FF4874"/>
    <w:rsid w:val="00FF4ADD"/>
    <w:rsid w:val="00FF5454"/>
    <w:rsid w:val="00FF5471"/>
    <w:rsid w:val="00FF5531"/>
    <w:rsid w:val="00FF5AD1"/>
    <w:rsid w:val="00FF5BF5"/>
    <w:rsid w:val="00FF63FC"/>
    <w:rsid w:val="00FF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3260A"/>
  <w15:chartTrackingRefBased/>
  <w15:docId w15:val="{86E527CA-9E55-47CF-8E6D-15F75C55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4A8D"/>
    <w:rPr>
      <w:sz w:val="24"/>
      <w:szCs w:val="24"/>
      <w:lang w:val="ru-RU" w:eastAsia="ru-RU"/>
    </w:rPr>
  </w:style>
  <w:style w:type="paragraph" w:styleId="1">
    <w:name w:val="heading 1"/>
    <w:basedOn w:val="a"/>
    <w:next w:val="a"/>
    <w:link w:val="10"/>
    <w:qFormat/>
    <w:rsid w:val="004D4B4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140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Знак Char Char"/>
    <w:basedOn w:val="a"/>
    <w:next w:val="2"/>
    <w:autoRedefine/>
    <w:rsid w:val="00B14036"/>
    <w:pPr>
      <w:spacing w:after="160" w:line="240" w:lineRule="exact"/>
      <w:jc w:val="center"/>
    </w:pPr>
    <w:rPr>
      <w:b/>
      <w:i/>
      <w:sz w:val="28"/>
      <w:szCs w:val="28"/>
      <w:lang w:val="en-US" w:eastAsia="en-US"/>
    </w:rPr>
  </w:style>
  <w:style w:type="paragraph" w:styleId="a3">
    <w:name w:val="Balloon Text"/>
    <w:basedOn w:val="a"/>
    <w:semiHidden/>
    <w:rsid w:val="005974E4"/>
    <w:rPr>
      <w:rFonts w:ascii="Tahoma" w:hAnsi="Tahoma" w:cs="Tahoma"/>
      <w:sz w:val="16"/>
      <w:szCs w:val="16"/>
    </w:rPr>
  </w:style>
  <w:style w:type="table" w:styleId="a4">
    <w:name w:val="Table Grid"/>
    <w:basedOn w:val="a1"/>
    <w:uiPriority w:val="39"/>
    <w:rsid w:val="006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1C06"/>
    <w:pPr>
      <w:tabs>
        <w:tab w:val="center" w:pos="4677"/>
        <w:tab w:val="right" w:pos="9355"/>
      </w:tabs>
    </w:pPr>
  </w:style>
  <w:style w:type="character" w:customStyle="1" w:styleId="a6">
    <w:name w:val="Верхний колонтитул Знак"/>
    <w:link w:val="a5"/>
    <w:rsid w:val="00621C06"/>
    <w:rPr>
      <w:sz w:val="24"/>
      <w:szCs w:val="24"/>
    </w:rPr>
  </w:style>
  <w:style w:type="paragraph" w:styleId="a7">
    <w:name w:val="footer"/>
    <w:basedOn w:val="a"/>
    <w:link w:val="a8"/>
    <w:uiPriority w:val="99"/>
    <w:rsid w:val="00621C06"/>
    <w:pPr>
      <w:tabs>
        <w:tab w:val="center" w:pos="4677"/>
        <w:tab w:val="right" w:pos="9355"/>
      </w:tabs>
    </w:pPr>
  </w:style>
  <w:style w:type="character" w:customStyle="1" w:styleId="a8">
    <w:name w:val="Нижний колонтитул Знак"/>
    <w:link w:val="a7"/>
    <w:uiPriority w:val="99"/>
    <w:rsid w:val="00621C06"/>
    <w:rPr>
      <w:sz w:val="24"/>
      <w:szCs w:val="24"/>
    </w:rPr>
  </w:style>
  <w:style w:type="character" w:styleId="a9">
    <w:name w:val="Hyperlink"/>
    <w:uiPriority w:val="99"/>
    <w:unhideWhenUsed/>
    <w:rsid w:val="00850C3A"/>
    <w:rPr>
      <w:color w:val="0000FF"/>
      <w:u w:val="single"/>
    </w:rPr>
  </w:style>
  <w:style w:type="paragraph" w:styleId="aa">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к4"/>
    <w:basedOn w:val="a"/>
    <w:link w:val="ab"/>
    <w:uiPriority w:val="99"/>
    <w:unhideWhenUsed/>
    <w:rsid w:val="00F86A81"/>
    <w:pPr>
      <w:spacing w:before="100" w:beforeAutospacing="1" w:after="100" w:afterAutospacing="1"/>
    </w:pPr>
  </w:style>
  <w:style w:type="paragraph" w:styleId="ac">
    <w:name w:val="List Paragraph"/>
    <w:aliases w:val="Elenco Normale,List1,List11,List111,List1111,без абзаца,List Paragraph,ПАРАГРАФ,маркированный,References,Абзац списка7,Абзац списка71,Абзац списка8,List Paragraph1,Абзац с отступом,List Paragraph (numbered (a)),WB Para,List Square,Абзац"/>
    <w:basedOn w:val="a"/>
    <w:link w:val="ad"/>
    <w:uiPriority w:val="34"/>
    <w:qFormat/>
    <w:rsid w:val="00F86A81"/>
    <w:pPr>
      <w:ind w:left="720"/>
      <w:contextualSpacing/>
    </w:pPr>
  </w:style>
  <w:style w:type="paragraph" w:styleId="HTML">
    <w:name w:val="HTML Preformatted"/>
    <w:basedOn w:val="a"/>
    <w:link w:val="HTML0"/>
    <w:rsid w:val="009F49CC"/>
    <w:rPr>
      <w:rFonts w:ascii="Courier New" w:hAnsi="Courier New" w:cs="Courier New"/>
      <w:sz w:val="20"/>
      <w:szCs w:val="20"/>
    </w:rPr>
  </w:style>
  <w:style w:type="character" w:customStyle="1" w:styleId="HTML0">
    <w:name w:val="Стандартный HTML Знак"/>
    <w:link w:val="HTML"/>
    <w:rsid w:val="009F49CC"/>
    <w:rPr>
      <w:rFonts w:ascii="Courier New" w:hAnsi="Courier New" w:cs="Courier New"/>
    </w:rPr>
  </w:style>
  <w:style w:type="character" w:styleId="ae">
    <w:name w:val="annotation reference"/>
    <w:uiPriority w:val="99"/>
    <w:rsid w:val="004C4F60"/>
    <w:rPr>
      <w:sz w:val="16"/>
      <w:szCs w:val="16"/>
    </w:rPr>
  </w:style>
  <w:style w:type="paragraph" w:styleId="af">
    <w:name w:val="annotation text"/>
    <w:basedOn w:val="a"/>
    <w:link w:val="af0"/>
    <w:uiPriority w:val="99"/>
    <w:rsid w:val="004C4F60"/>
    <w:rPr>
      <w:sz w:val="20"/>
      <w:szCs w:val="20"/>
    </w:rPr>
  </w:style>
  <w:style w:type="character" w:customStyle="1" w:styleId="af0">
    <w:name w:val="Текст примечания Знак"/>
    <w:basedOn w:val="a0"/>
    <w:link w:val="af"/>
    <w:uiPriority w:val="99"/>
    <w:rsid w:val="004C4F60"/>
  </w:style>
  <w:style w:type="paragraph" w:styleId="af1">
    <w:name w:val="annotation subject"/>
    <w:basedOn w:val="af"/>
    <w:next w:val="af"/>
    <w:link w:val="af2"/>
    <w:rsid w:val="004C4F60"/>
    <w:rPr>
      <w:b/>
      <w:bCs/>
    </w:rPr>
  </w:style>
  <w:style w:type="character" w:customStyle="1" w:styleId="af2">
    <w:name w:val="Тема примечания Знак"/>
    <w:link w:val="af1"/>
    <w:rsid w:val="004C4F60"/>
    <w:rPr>
      <w:b/>
      <w:bCs/>
    </w:rPr>
  </w:style>
  <w:style w:type="paragraph" w:styleId="af3">
    <w:name w:val="footnote text"/>
    <w:aliases w:val="Текст сноски-FN,single space,fn,Footnote Text Char Char,Footnote,Fußnote,FSR footnote,lábléc,Char,Testo_note,Testo_note1,Testo_note2,Carattere Carattere Carattere,Carattere Carattere,Footnote Text Char Char Char Char Char Char,FOOTNOTES,Ch"/>
    <w:basedOn w:val="a"/>
    <w:link w:val="af4"/>
    <w:uiPriority w:val="99"/>
    <w:qFormat/>
    <w:rsid w:val="006862A9"/>
    <w:rPr>
      <w:sz w:val="20"/>
      <w:szCs w:val="20"/>
    </w:rPr>
  </w:style>
  <w:style w:type="character" w:customStyle="1" w:styleId="af4">
    <w:name w:val="Текст сноски Знак"/>
    <w:aliases w:val="Текст сноски-FN Знак,single space Знак,fn Знак,Footnote Text Char Char Знак,Footnote Знак,Fußnote Знак,FSR footnote Знак,lábléc Знак,Char Знак,Testo_note Знак,Testo_note1 Знак,Testo_note2 Знак,Carattere Carattere Carattere Знак,Ch Знак"/>
    <w:basedOn w:val="a0"/>
    <w:link w:val="af3"/>
    <w:uiPriority w:val="99"/>
    <w:rsid w:val="006862A9"/>
  </w:style>
  <w:style w:type="character" w:styleId="af5">
    <w:name w:val="footnote reference"/>
    <w:aliases w:val="Footnote Reference Number,Footnote Reference_LVL6,Footnote Reference_LVL61,Footnote Reference_LVL62,Footnote Reference_LVL63,Footnote Reference_LVL64,fr,PIC Footnote Reference,Текст сноски Знак2 Знак Знак"/>
    <w:uiPriority w:val="99"/>
    <w:rsid w:val="006862A9"/>
    <w:rPr>
      <w:vertAlign w:val="superscript"/>
    </w:rPr>
  </w:style>
  <w:style w:type="character" w:customStyle="1" w:styleId="ad">
    <w:name w:val="Абзац списка Знак"/>
    <w:aliases w:val="Elenco Normale Знак,List1 Знак,List11 Знак,List111 Знак,List1111 Знак,без абзаца Знак,List Paragraph Знак,ПАРАГРАФ Знак,маркированный Знак,References Знак,Абзац списка7 Знак,Абзац списка71 Знак,Абзац списка8 Знак,List Paragraph1 Знак"/>
    <w:link w:val="ac"/>
    <w:uiPriority w:val="34"/>
    <w:locked/>
    <w:rsid w:val="006B5E0A"/>
    <w:rPr>
      <w:sz w:val="24"/>
      <w:szCs w:val="24"/>
    </w:rPr>
  </w:style>
  <w:style w:type="character" w:customStyle="1" w:styleId="10">
    <w:name w:val="Заголовок 1 Знак"/>
    <w:link w:val="1"/>
    <w:rsid w:val="004D4B42"/>
    <w:rPr>
      <w:rFonts w:ascii="Cambria" w:eastAsia="Times New Roman" w:hAnsi="Cambria" w:cs="Times New Roman"/>
      <w:b/>
      <w:bCs/>
      <w:kern w:val="32"/>
      <w:sz w:val="32"/>
      <w:szCs w:val="32"/>
    </w:rPr>
  </w:style>
  <w:style w:type="paragraph" w:styleId="af6">
    <w:name w:val="TOC Heading"/>
    <w:basedOn w:val="1"/>
    <w:next w:val="a"/>
    <w:uiPriority w:val="39"/>
    <w:unhideWhenUsed/>
    <w:qFormat/>
    <w:rsid w:val="00FB1B82"/>
    <w:pPr>
      <w:keepLines/>
      <w:spacing w:before="480" w:after="0" w:line="276" w:lineRule="auto"/>
      <w:outlineLvl w:val="9"/>
    </w:pPr>
    <w:rPr>
      <w:color w:val="365F91"/>
      <w:kern w:val="0"/>
      <w:sz w:val="28"/>
      <w:szCs w:val="28"/>
    </w:rPr>
  </w:style>
  <w:style w:type="paragraph" w:styleId="21">
    <w:name w:val="toc 2"/>
    <w:basedOn w:val="a"/>
    <w:next w:val="a"/>
    <w:autoRedefine/>
    <w:uiPriority w:val="39"/>
    <w:unhideWhenUsed/>
    <w:qFormat/>
    <w:rsid w:val="001F75CA"/>
    <w:pPr>
      <w:tabs>
        <w:tab w:val="left" w:pos="567"/>
        <w:tab w:val="left" w:pos="880"/>
        <w:tab w:val="right" w:leader="dot" w:pos="9781"/>
      </w:tabs>
      <w:jc w:val="both"/>
    </w:pPr>
    <w:rPr>
      <w:rFonts w:eastAsia="BatangChe"/>
      <w:noProof/>
      <w:sz w:val="28"/>
      <w:szCs w:val="28"/>
      <w:lang w:val="kk-KZ"/>
    </w:rPr>
  </w:style>
  <w:style w:type="paragraph" w:styleId="11">
    <w:name w:val="toc 1"/>
    <w:basedOn w:val="a"/>
    <w:next w:val="a"/>
    <w:autoRedefine/>
    <w:uiPriority w:val="39"/>
    <w:unhideWhenUsed/>
    <w:qFormat/>
    <w:rsid w:val="00550B58"/>
    <w:pPr>
      <w:tabs>
        <w:tab w:val="right" w:leader="dot" w:pos="9769"/>
      </w:tabs>
    </w:pPr>
    <w:rPr>
      <w:noProof/>
      <w:sz w:val="28"/>
      <w:szCs w:val="28"/>
    </w:rPr>
  </w:style>
  <w:style w:type="paragraph" w:styleId="3">
    <w:name w:val="toc 3"/>
    <w:basedOn w:val="a"/>
    <w:next w:val="a"/>
    <w:autoRedefine/>
    <w:uiPriority w:val="39"/>
    <w:unhideWhenUsed/>
    <w:qFormat/>
    <w:rsid w:val="00FB1B82"/>
    <w:pPr>
      <w:spacing w:after="100" w:line="276" w:lineRule="auto"/>
      <w:ind w:left="440"/>
    </w:pPr>
    <w:rPr>
      <w:rFonts w:ascii="Calibri" w:hAnsi="Calibri"/>
      <w:sz w:val="22"/>
      <w:szCs w:val="22"/>
    </w:rPr>
  </w:style>
  <w:style w:type="character" w:customStyle="1" w:styleId="s0">
    <w:name w:val="s0"/>
    <w:rsid w:val="00B862BA"/>
    <w:rPr>
      <w:color w:val="000000"/>
    </w:rPr>
  </w:style>
  <w:style w:type="character" w:customStyle="1" w:styleId="s2">
    <w:name w:val="s2"/>
    <w:rsid w:val="00B862BA"/>
    <w:rPr>
      <w:color w:val="000080"/>
    </w:rPr>
  </w:style>
  <w:style w:type="paragraph" w:styleId="af7">
    <w:name w:val="Subtitle"/>
    <w:basedOn w:val="a"/>
    <w:next w:val="a"/>
    <w:link w:val="af8"/>
    <w:qFormat/>
    <w:rsid w:val="008D508B"/>
    <w:pPr>
      <w:spacing w:after="60"/>
      <w:jc w:val="center"/>
      <w:outlineLvl w:val="1"/>
    </w:pPr>
    <w:rPr>
      <w:rFonts w:ascii="Cambria" w:hAnsi="Cambria"/>
    </w:rPr>
  </w:style>
  <w:style w:type="character" w:customStyle="1" w:styleId="af8">
    <w:name w:val="Подзаголовок Знак"/>
    <w:link w:val="af7"/>
    <w:rsid w:val="008D508B"/>
    <w:rPr>
      <w:rFonts w:ascii="Cambria" w:eastAsia="Times New Roman" w:hAnsi="Cambria" w:cs="Times New Roman"/>
      <w:sz w:val="24"/>
      <w:szCs w:val="24"/>
    </w:rPr>
  </w:style>
  <w:style w:type="character" w:customStyle="1" w:styleId="ab">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453CD7"/>
    <w:rPr>
      <w:sz w:val="24"/>
      <w:szCs w:val="24"/>
      <w:lang w:val="ru-RU" w:eastAsia="ru-RU"/>
    </w:rPr>
  </w:style>
  <w:style w:type="paragraph" w:customStyle="1" w:styleId="ConsPlusNormal">
    <w:name w:val="ConsPlusNormal"/>
    <w:rsid w:val="00D03C00"/>
    <w:pPr>
      <w:widowControl w:val="0"/>
      <w:autoSpaceDE w:val="0"/>
      <w:autoSpaceDN w:val="0"/>
    </w:pPr>
    <w:rPr>
      <w:rFonts w:ascii="Calibri" w:hAnsi="Calibri" w:cs="Calibri"/>
      <w:sz w:val="22"/>
      <w:lang w:val="ru-RU" w:eastAsia="ru-RU"/>
    </w:rPr>
  </w:style>
  <w:style w:type="character" w:customStyle="1" w:styleId="20">
    <w:name w:val="Заголовок 2 Знак"/>
    <w:basedOn w:val="a0"/>
    <w:link w:val="2"/>
    <w:rsid w:val="00D03C00"/>
    <w:rPr>
      <w:rFonts w:ascii="Arial" w:hAnsi="Arial" w:cs="Arial"/>
      <w:b/>
      <w:bCs/>
      <w:i/>
      <w:iCs/>
      <w:sz w:val="28"/>
      <w:szCs w:val="28"/>
      <w:lang w:val="ru-RU" w:eastAsia="ru-RU"/>
    </w:rPr>
  </w:style>
  <w:style w:type="character" w:styleId="af9">
    <w:name w:val="Strong"/>
    <w:basedOn w:val="a0"/>
    <w:uiPriority w:val="22"/>
    <w:qFormat/>
    <w:rsid w:val="004B67B5"/>
    <w:rPr>
      <w:b/>
      <w:bCs/>
    </w:rPr>
  </w:style>
  <w:style w:type="character" w:styleId="afa">
    <w:name w:val="Emphasis"/>
    <w:basedOn w:val="a0"/>
    <w:qFormat/>
    <w:rsid w:val="00AA0270"/>
    <w:rPr>
      <w:i/>
      <w:iCs/>
    </w:rPr>
  </w:style>
  <w:style w:type="paragraph" w:styleId="afb">
    <w:name w:val="Title"/>
    <w:basedOn w:val="a"/>
    <w:next w:val="a"/>
    <w:link w:val="afc"/>
    <w:qFormat/>
    <w:rsid w:val="00865525"/>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rsid w:val="00865525"/>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1411">
      <w:bodyDiv w:val="1"/>
      <w:marLeft w:val="0"/>
      <w:marRight w:val="0"/>
      <w:marTop w:val="0"/>
      <w:marBottom w:val="0"/>
      <w:divBdr>
        <w:top w:val="none" w:sz="0" w:space="0" w:color="auto"/>
        <w:left w:val="none" w:sz="0" w:space="0" w:color="auto"/>
        <w:bottom w:val="none" w:sz="0" w:space="0" w:color="auto"/>
        <w:right w:val="none" w:sz="0" w:space="0" w:color="auto"/>
      </w:divBdr>
    </w:div>
    <w:div w:id="96104710">
      <w:bodyDiv w:val="1"/>
      <w:marLeft w:val="0"/>
      <w:marRight w:val="0"/>
      <w:marTop w:val="0"/>
      <w:marBottom w:val="0"/>
      <w:divBdr>
        <w:top w:val="none" w:sz="0" w:space="0" w:color="auto"/>
        <w:left w:val="none" w:sz="0" w:space="0" w:color="auto"/>
        <w:bottom w:val="none" w:sz="0" w:space="0" w:color="auto"/>
        <w:right w:val="none" w:sz="0" w:space="0" w:color="auto"/>
      </w:divBdr>
    </w:div>
    <w:div w:id="157232720">
      <w:bodyDiv w:val="1"/>
      <w:marLeft w:val="0"/>
      <w:marRight w:val="0"/>
      <w:marTop w:val="0"/>
      <w:marBottom w:val="0"/>
      <w:divBdr>
        <w:top w:val="none" w:sz="0" w:space="0" w:color="auto"/>
        <w:left w:val="none" w:sz="0" w:space="0" w:color="auto"/>
        <w:bottom w:val="none" w:sz="0" w:space="0" w:color="auto"/>
        <w:right w:val="none" w:sz="0" w:space="0" w:color="auto"/>
      </w:divBdr>
      <w:divsChild>
        <w:div w:id="200217163">
          <w:marLeft w:val="576"/>
          <w:marRight w:val="0"/>
          <w:marTop w:val="0"/>
          <w:marBottom w:val="120"/>
          <w:divBdr>
            <w:top w:val="none" w:sz="0" w:space="0" w:color="auto"/>
            <w:left w:val="none" w:sz="0" w:space="0" w:color="auto"/>
            <w:bottom w:val="none" w:sz="0" w:space="0" w:color="auto"/>
            <w:right w:val="none" w:sz="0" w:space="0" w:color="auto"/>
          </w:divBdr>
        </w:div>
        <w:div w:id="956328637">
          <w:marLeft w:val="576"/>
          <w:marRight w:val="0"/>
          <w:marTop w:val="0"/>
          <w:marBottom w:val="120"/>
          <w:divBdr>
            <w:top w:val="none" w:sz="0" w:space="0" w:color="auto"/>
            <w:left w:val="none" w:sz="0" w:space="0" w:color="auto"/>
            <w:bottom w:val="none" w:sz="0" w:space="0" w:color="auto"/>
            <w:right w:val="none" w:sz="0" w:space="0" w:color="auto"/>
          </w:divBdr>
        </w:div>
        <w:div w:id="1211377175">
          <w:marLeft w:val="576"/>
          <w:marRight w:val="0"/>
          <w:marTop w:val="0"/>
          <w:marBottom w:val="120"/>
          <w:divBdr>
            <w:top w:val="none" w:sz="0" w:space="0" w:color="auto"/>
            <w:left w:val="none" w:sz="0" w:space="0" w:color="auto"/>
            <w:bottom w:val="none" w:sz="0" w:space="0" w:color="auto"/>
            <w:right w:val="none" w:sz="0" w:space="0" w:color="auto"/>
          </w:divBdr>
        </w:div>
        <w:div w:id="1231232717">
          <w:marLeft w:val="576"/>
          <w:marRight w:val="0"/>
          <w:marTop w:val="0"/>
          <w:marBottom w:val="120"/>
          <w:divBdr>
            <w:top w:val="none" w:sz="0" w:space="0" w:color="auto"/>
            <w:left w:val="none" w:sz="0" w:space="0" w:color="auto"/>
            <w:bottom w:val="none" w:sz="0" w:space="0" w:color="auto"/>
            <w:right w:val="none" w:sz="0" w:space="0" w:color="auto"/>
          </w:divBdr>
        </w:div>
        <w:div w:id="1544898932">
          <w:marLeft w:val="576"/>
          <w:marRight w:val="0"/>
          <w:marTop w:val="0"/>
          <w:marBottom w:val="120"/>
          <w:divBdr>
            <w:top w:val="none" w:sz="0" w:space="0" w:color="auto"/>
            <w:left w:val="none" w:sz="0" w:space="0" w:color="auto"/>
            <w:bottom w:val="none" w:sz="0" w:space="0" w:color="auto"/>
            <w:right w:val="none" w:sz="0" w:space="0" w:color="auto"/>
          </w:divBdr>
        </w:div>
        <w:div w:id="1933513165">
          <w:marLeft w:val="576"/>
          <w:marRight w:val="0"/>
          <w:marTop w:val="0"/>
          <w:marBottom w:val="120"/>
          <w:divBdr>
            <w:top w:val="none" w:sz="0" w:space="0" w:color="auto"/>
            <w:left w:val="none" w:sz="0" w:space="0" w:color="auto"/>
            <w:bottom w:val="none" w:sz="0" w:space="0" w:color="auto"/>
            <w:right w:val="none" w:sz="0" w:space="0" w:color="auto"/>
          </w:divBdr>
        </w:div>
        <w:div w:id="2058309459">
          <w:marLeft w:val="576"/>
          <w:marRight w:val="0"/>
          <w:marTop w:val="0"/>
          <w:marBottom w:val="120"/>
          <w:divBdr>
            <w:top w:val="none" w:sz="0" w:space="0" w:color="auto"/>
            <w:left w:val="none" w:sz="0" w:space="0" w:color="auto"/>
            <w:bottom w:val="none" w:sz="0" w:space="0" w:color="auto"/>
            <w:right w:val="none" w:sz="0" w:space="0" w:color="auto"/>
          </w:divBdr>
        </w:div>
      </w:divsChild>
    </w:div>
    <w:div w:id="282929228">
      <w:bodyDiv w:val="1"/>
      <w:marLeft w:val="0"/>
      <w:marRight w:val="0"/>
      <w:marTop w:val="0"/>
      <w:marBottom w:val="0"/>
      <w:divBdr>
        <w:top w:val="none" w:sz="0" w:space="0" w:color="auto"/>
        <w:left w:val="none" w:sz="0" w:space="0" w:color="auto"/>
        <w:bottom w:val="none" w:sz="0" w:space="0" w:color="auto"/>
        <w:right w:val="none" w:sz="0" w:space="0" w:color="auto"/>
      </w:divBdr>
    </w:div>
    <w:div w:id="387608445">
      <w:bodyDiv w:val="1"/>
      <w:marLeft w:val="0"/>
      <w:marRight w:val="0"/>
      <w:marTop w:val="0"/>
      <w:marBottom w:val="0"/>
      <w:divBdr>
        <w:top w:val="none" w:sz="0" w:space="0" w:color="auto"/>
        <w:left w:val="none" w:sz="0" w:space="0" w:color="auto"/>
        <w:bottom w:val="none" w:sz="0" w:space="0" w:color="auto"/>
        <w:right w:val="none" w:sz="0" w:space="0" w:color="auto"/>
      </w:divBdr>
    </w:div>
    <w:div w:id="415513727">
      <w:bodyDiv w:val="1"/>
      <w:marLeft w:val="0"/>
      <w:marRight w:val="0"/>
      <w:marTop w:val="0"/>
      <w:marBottom w:val="0"/>
      <w:divBdr>
        <w:top w:val="none" w:sz="0" w:space="0" w:color="auto"/>
        <w:left w:val="none" w:sz="0" w:space="0" w:color="auto"/>
        <w:bottom w:val="none" w:sz="0" w:space="0" w:color="auto"/>
        <w:right w:val="none" w:sz="0" w:space="0" w:color="auto"/>
      </w:divBdr>
      <w:divsChild>
        <w:div w:id="161510829">
          <w:marLeft w:val="576"/>
          <w:marRight w:val="0"/>
          <w:marTop w:val="0"/>
          <w:marBottom w:val="120"/>
          <w:divBdr>
            <w:top w:val="none" w:sz="0" w:space="0" w:color="auto"/>
            <w:left w:val="none" w:sz="0" w:space="0" w:color="auto"/>
            <w:bottom w:val="none" w:sz="0" w:space="0" w:color="auto"/>
            <w:right w:val="none" w:sz="0" w:space="0" w:color="auto"/>
          </w:divBdr>
        </w:div>
        <w:div w:id="195193252">
          <w:marLeft w:val="576"/>
          <w:marRight w:val="0"/>
          <w:marTop w:val="0"/>
          <w:marBottom w:val="120"/>
          <w:divBdr>
            <w:top w:val="none" w:sz="0" w:space="0" w:color="auto"/>
            <w:left w:val="none" w:sz="0" w:space="0" w:color="auto"/>
            <w:bottom w:val="none" w:sz="0" w:space="0" w:color="auto"/>
            <w:right w:val="none" w:sz="0" w:space="0" w:color="auto"/>
          </w:divBdr>
        </w:div>
      </w:divsChild>
    </w:div>
    <w:div w:id="582573604">
      <w:bodyDiv w:val="1"/>
      <w:marLeft w:val="0"/>
      <w:marRight w:val="0"/>
      <w:marTop w:val="0"/>
      <w:marBottom w:val="0"/>
      <w:divBdr>
        <w:top w:val="none" w:sz="0" w:space="0" w:color="auto"/>
        <w:left w:val="none" w:sz="0" w:space="0" w:color="auto"/>
        <w:bottom w:val="none" w:sz="0" w:space="0" w:color="auto"/>
        <w:right w:val="none" w:sz="0" w:space="0" w:color="auto"/>
      </w:divBdr>
    </w:div>
    <w:div w:id="641884297">
      <w:bodyDiv w:val="1"/>
      <w:marLeft w:val="0"/>
      <w:marRight w:val="0"/>
      <w:marTop w:val="0"/>
      <w:marBottom w:val="0"/>
      <w:divBdr>
        <w:top w:val="none" w:sz="0" w:space="0" w:color="auto"/>
        <w:left w:val="none" w:sz="0" w:space="0" w:color="auto"/>
        <w:bottom w:val="none" w:sz="0" w:space="0" w:color="auto"/>
        <w:right w:val="none" w:sz="0" w:space="0" w:color="auto"/>
      </w:divBdr>
      <w:divsChild>
        <w:div w:id="316807759">
          <w:marLeft w:val="274"/>
          <w:marRight w:val="0"/>
          <w:marTop w:val="0"/>
          <w:marBottom w:val="0"/>
          <w:divBdr>
            <w:top w:val="none" w:sz="0" w:space="0" w:color="auto"/>
            <w:left w:val="none" w:sz="0" w:space="0" w:color="auto"/>
            <w:bottom w:val="none" w:sz="0" w:space="0" w:color="auto"/>
            <w:right w:val="none" w:sz="0" w:space="0" w:color="auto"/>
          </w:divBdr>
        </w:div>
        <w:div w:id="376465684">
          <w:marLeft w:val="274"/>
          <w:marRight w:val="0"/>
          <w:marTop w:val="0"/>
          <w:marBottom w:val="0"/>
          <w:divBdr>
            <w:top w:val="none" w:sz="0" w:space="0" w:color="auto"/>
            <w:left w:val="none" w:sz="0" w:space="0" w:color="auto"/>
            <w:bottom w:val="none" w:sz="0" w:space="0" w:color="auto"/>
            <w:right w:val="none" w:sz="0" w:space="0" w:color="auto"/>
          </w:divBdr>
        </w:div>
        <w:div w:id="683359174">
          <w:marLeft w:val="274"/>
          <w:marRight w:val="0"/>
          <w:marTop w:val="0"/>
          <w:marBottom w:val="0"/>
          <w:divBdr>
            <w:top w:val="none" w:sz="0" w:space="0" w:color="auto"/>
            <w:left w:val="none" w:sz="0" w:space="0" w:color="auto"/>
            <w:bottom w:val="none" w:sz="0" w:space="0" w:color="auto"/>
            <w:right w:val="none" w:sz="0" w:space="0" w:color="auto"/>
          </w:divBdr>
        </w:div>
        <w:div w:id="692416793">
          <w:marLeft w:val="274"/>
          <w:marRight w:val="0"/>
          <w:marTop w:val="0"/>
          <w:marBottom w:val="0"/>
          <w:divBdr>
            <w:top w:val="none" w:sz="0" w:space="0" w:color="auto"/>
            <w:left w:val="none" w:sz="0" w:space="0" w:color="auto"/>
            <w:bottom w:val="none" w:sz="0" w:space="0" w:color="auto"/>
            <w:right w:val="none" w:sz="0" w:space="0" w:color="auto"/>
          </w:divBdr>
        </w:div>
        <w:div w:id="816453938">
          <w:marLeft w:val="274"/>
          <w:marRight w:val="0"/>
          <w:marTop w:val="0"/>
          <w:marBottom w:val="0"/>
          <w:divBdr>
            <w:top w:val="none" w:sz="0" w:space="0" w:color="auto"/>
            <w:left w:val="none" w:sz="0" w:space="0" w:color="auto"/>
            <w:bottom w:val="none" w:sz="0" w:space="0" w:color="auto"/>
            <w:right w:val="none" w:sz="0" w:space="0" w:color="auto"/>
          </w:divBdr>
        </w:div>
        <w:div w:id="1851138805">
          <w:marLeft w:val="274"/>
          <w:marRight w:val="0"/>
          <w:marTop w:val="0"/>
          <w:marBottom w:val="0"/>
          <w:divBdr>
            <w:top w:val="none" w:sz="0" w:space="0" w:color="auto"/>
            <w:left w:val="none" w:sz="0" w:space="0" w:color="auto"/>
            <w:bottom w:val="none" w:sz="0" w:space="0" w:color="auto"/>
            <w:right w:val="none" w:sz="0" w:space="0" w:color="auto"/>
          </w:divBdr>
        </w:div>
        <w:div w:id="1871332343">
          <w:marLeft w:val="274"/>
          <w:marRight w:val="0"/>
          <w:marTop w:val="0"/>
          <w:marBottom w:val="0"/>
          <w:divBdr>
            <w:top w:val="none" w:sz="0" w:space="0" w:color="auto"/>
            <w:left w:val="none" w:sz="0" w:space="0" w:color="auto"/>
            <w:bottom w:val="none" w:sz="0" w:space="0" w:color="auto"/>
            <w:right w:val="none" w:sz="0" w:space="0" w:color="auto"/>
          </w:divBdr>
        </w:div>
        <w:div w:id="2067292904">
          <w:marLeft w:val="274"/>
          <w:marRight w:val="0"/>
          <w:marTop w:val="0"/>
          <w:marBottom w:val="0"/>
          <w:divBdr>
            <w:top w:val="none" w:sz="0" w:space="0" w:color="auto"/>
            <w:left w:val="none" w:sz="0" w:space="0" w:color="auto"/>
            <w:bottom w:val="none" w:sz="0" w:space="0" w:color="auto"/>
            <w:right w:val="none" w:sz="0" w:space="0" w:color="auto"/>
          </w:divBdr>
        </w:div>
      </w:divsChild>
    </w:div>
    <w:div w:id="707147609">
      <w:bodyDiv w:val="1"/>
      <w:marLeft w:val="0"/>
      <w:marRight w:val="0"/>
      <w:marTop w:val="0"/>
      <w:marBottom w:val="0"/>
      <w:divBdr>
        <w:top w:val="none" w:sz="0" w:space="0" w:color="auto"/>
        <w:left w:val="none" w:sz="0" w:space="0" w:color="auto"/>
        <w:bottom w:val="none" w:sz="0" w:space="0" w:color="auto"/>
        <w:right w:val="none" w:sz="0" w:space="0" w:color="auto"/>
      </w:divBdr>
      <w:divsChild>
        <w:div w:id="557402031">
          <w:marLeft w:val="446"/>
          <w:marRight w:val="0"/>
          <w:marTop w:val="120"/>
          <w:marBottom w:val="0"/>
          <w:divBdr>
            <w:top w:val="none" w:sz="0" w:space="0" w:color="auto"/>
            <w:left w:val="none" w:sz="0" w:space="0" w:color="auto"/>
            <w:bottom w:val="none" w:sz="0" w:space="0" w:color="auto"/>
            <w:right w:val="none" w:sz="0" w:space="0" w:color="auto"/>
          </w:divBdr>
        </w:div>
      </w:divsChild>
    </w:div>
    <w:div w:id="714694293">
      <w:bodyDiv w:val="1"/>
      <w:marLeft w:val="0"/>
      <w:marRight w:val="0"/>
      <w:marTop w:val="0"/>
      <w:marBottom w:val="0"/>
      <w:divBdr>
        <w:top w:val="none" w:sz="0" w:space="0" w:color="auto"/>
        <w:left w:val="none" w:sz="0" w:space="0" w:color="auto"/>
        <w:bottom w:val="none" w:sz="0" w:space="0" w:color="auto"/>
        <w:right w:val="none" w:sz="0" w:space="0" w:color="auto"/>
      </w:divBdr>
      <w:divsChild>
        <w:div w:id="183790584">
          <w:marLeft w:val="274"/>
          <w:marRight w:val="0"/>
          <w:marTop w:val="0"/>
          <w:marBottom w:val="0"/>
          <w:divBdr>
            <w:top w:val="none" w:sz="0" w:space="0" w:color="auto"/>
            <w:left w:val="none" w:sz="0" w:space="0" w:color="auto"/>
            <w:bottom w:val="none" w:sz="0" w:space="0" w:color="auto"/>
            <w:right w:val="none" w:sz="0" w:space="0" w:color="auto"/>
          </w:divBdr>
        </w:div>
        <w:div w:id="523136372">
          <w:marLeft w:val="274"/>
          <w:marRight w:val="0"/>
          <w:marTop w:val="0"/>
          <w:marBottom w:val="0"/>
          <w:divBdr>
            <w:top w:val="none" w:sz="0" w:space="0" w:color="auto"/>
            <w:left w:val="none" w:sz="0" w:space="0" w:color="auto"/>
            <w:bottom w:val="none" w:sz="0" w:space="0" w:color="auto"/>
            <w:right w:val="none" w:sz="0" w:space="0" w:color="auto"/>
          </w:divBdr>
        </w:div>
        <w:div w:id="662971624">
          <w:marLeft w:val="590"/>
          <w:marRight w:val="0"/>
          <w:marTop w:val="0"/>
          <w:marBottom w:val="0"/>
          <w:divBdr>
            <w:top w:val="none" w:sz="0" w:space="0" w:color="auto"/>
            <w:left w:val="none" w:sz="0" w:space="0" w:color="auto"/>
            <w:bottom w:val="none" w:sz="0" w:space="0" w:color="auto"/>
            <w:right w:val="none" w:sz="0" w:space="0" w:color="auto"/>
          </w:divBdr>
        </w:div>
        <w:div w:id="972637178">
          <w:marLeft w:val="590"/>
          <w:marRight w:val="0"/>
          <w:marTop w:val="0"/>
          <w:marBottom w:val="0"/>
          <w:divBdr>
            <w:top w:val="none" w:sz="0" w:space="0" w:color="auto"/>
            <w:left w:val="none" w:sz="0" w:space="0" w:color="auto"/>
            <w:bottom w:val="none" w:sz="0" w:space="0" w:color="auto"/>
            <w:right w:val="none" w:sz="0" w:space="0" w:color="auto"/>
          </w:divBdr>
        </w:div>
        <w:div w:id="975841120">
          <w:marLeft w:val="590"/>
          <w:marRight w:val="0"/>
          <w:marTop w:val="0"/>
          <w:marBottom w:val="0"/>
          <w:divBdr>
            <w:top w:val="none" w:sz="0" w:space="0" w:color="auto"/>
            <w:left w:val="none" w:sz="0" w:space="0" w:color="auto"/>
            <w:bottom w:val="none" w:sz="0" w:space="0" w:color="auto"/>
            <w:right w:val="none" w:sz="0" w:space="0" w:color="auto"/>
          </w:divBdr>
        </w:div>
        <w:div w:id="1550874869">
          <w:marLeft w:val="590"/>
          <w:marRight w:val="0"/>
          <w:marTop w:val="0"/>
          <w:marBottom w:val="0"/>
          <w:divBdr>
            <w:top w:val="none" w:sz="0" w:space="0" w:color="auto"/>
            <w:left w:val="none" w:sz="0" w:space="0" w:color="auto"/>
            <w:bottom w:val="none" w:sz="0" w:space="0" w:color="auto"/>
            <w:right w:val="none" w:sz="0" w:space="0" w:color="auto"/>
          </w:divBdr>
        </w:div>
      </w:divsChild>
    </w:div>
    <w:div w:id="719669224">
      <w:bodyDiv w:val="1"/>
      <w:marLeft w:val="0"/>
      <w:marRight w:val="0"/>
      <w:marTop w:val="0"/>
      <w:marBottom w:val="0"/>
      <w:divBdr>
        <w:top w:val="none" w:sz="0" w:space="0" w:color="auto"/>
        <w:left w:val="none" w:sz="0" w:space="0" w:color="auto"/>
        <w:bottom w:val="none" w:sz="0" w:space="0" w:color="auto"/>
        <w:right w:val="none" w:sz="0" w:space="0" w:color="auto"/>
      </w:divBdr>
    </w:div>
    <w:div w:id="751632768">
      <w:bodyDiv w:val="1"/>
      <w:marLeft w:val="0"/>
      <w:marRight w:val="0"/>
      <w:marTop w:val="0"/>
      <w:marBottom w:val="0"/>
      <w:divBdr>
        <w:top w:val="none" w:sz="0" w:space="0" w:color="auto"/>
        <w:left w:val="none" w:sz="0" w:space="0" w:color="auto"/>
        <w:bottom w:val="none" w:sz="0" w:space="0" w:color="auto"/>
        <w:right w:val="none" w:sz="0" w:space="0" w:color="auto"/>
      </w:divBdr>
      <w:divsChild>
        <w:div w:id="556666049">
          <w:marLeft w:val="562"/>
          <w:marRight w:val="0"/>
          <w:marTop w:val="0"/>
          <w:marBottom w:val="120"/>
          <w:divBdr>
            <w:top w:val="none" w:sz="0" w:space="0" w:color="auto"/>
            <w:left w:val="none" w:sz="0" w:space="0" w:color="auto"/>
            <w:bottom w:val="none" w:sz="0" w:space="0" w:color="auto"/>
            <w:right w:val="none" w:sz="0" w:space="0" w:color="auto"/>
          </w:divBdr>
        </w:div>
        <w:div w:id="579950976">
          <w:marLeft w:val="562"/>
          <w:marRight w:val="0"/>
          <w:marTop w:val="0"/>
          <w:marBottom w:val="120"/>
          <w:divBdr>
            <w:top w:val="none" w:sz="0" w:space="0" w:color="auto"/>
            <w:left w:val="none" w:sz="0" w:space="0" w:color="auto"/>
            <w:bottom w:val="none" w:sz="0" w:space="0" w:color="auto"/>
            <w:right w:val="none" w:sz="0" w:space="0" w:color="auto"/>
          </w:divBdr>
        </w:div>
      </w:divsChild>
    </w:div>
    <w:div w:id="792332827">
      <w:bodyDiv w:val="1"/>
      <w:marLeft w:val="0"/>
      <w:marRight w:val="0"/>
      <w:marTop w:val="0"/>
      <w:marBottom w:val="0"/>
      <w:divBdr>
        <w:top w:val="none" w:sz="0" w:space="0" w:color="auto"/>
        <w:left w:val="none" w:sz="0" w:space="0" w:color="auto"/>
        <w:bottom w:val="none" w:sz="0" w:space="0" w:color="auto"/>
        <w:right w:val="none" w:sz="0" w:space="0" w:color="auto"/>
      </w:divBdr>
      <w:divsChild>
        <w:div w:id="40593787">
          <w:marLeft w:val="274"/>
          <w:marRight w:val="0"/>
          <w:marTop w:val="0"/>
          <w:marBottom w:val="120"/>
          <w:divBdr>
            <w:top w:val="none" w:sz="0" w:space="0" w:color="auto"/>
            <w:left w:val="none" w:sz="0" w:space="0" w:color="auto"/>
            <w:bottom w:val="none" w:sz="0" w:space="0" w:color="auto"/>
            <w:right w:val="none" w:sz="0" w:space="0" w:color="auto"/>
          </w:divBdr>
        </w:div>
      </w:divsChild>
    </w:div>
    <w:div w:id="809395465">
      <w:bodyDiv w:val="1"/>
      <w:marLeft w:val="0"/>
      <w:marRight w:val="0"/>
      <w:marTop w:val="0"/>
      <w:marBottom w:val="0"/>
      <w:divBdr>
        <w:top w:val="none" w:sz="0" w:space="0" w:color="auto"/>
        <w:left w:val="none" w:sz="0" w:space="0" w:color="auto"/>
        <w:bottom w:val="none" w:sz="0" w:space="0" w:color="auto"/>
        <w:right w:val="none" w:sz="0" w:space="0" w:color="auto"/>
      </w:divBdr>
      <w:divsChild>
        <w:div w:id="58215097">
          <w:marLeft w:val="274"/>
          <w:marRight w:val="0"/>
          <w:marTop w:val="0"/>
          <w:marBottom w:val="0"/>
          <w:divBdr>
            <w:top w:val="none" w:sz="0" w:space="0" w:color="auto"/>
            <w:left w:val="none" w:sz="0" w:space="0" w:color="auto"/>
            <w:bottom w:val="none" w:sz="0" w:space="0" w:color="auto"/>
            <w:right w:val="none" w:sz="0" w:space="0" w:color="auto"/>
          </w:divBdr>
        </w:div>
        <w:div w:id="188951836">
          <w:marLeft w:val="274"/>
          <w:marRight w:val="0"/>
          <w:marTop w:val="0"/>
          <w:marBottom w:val="0"/>
          <w:divBdr>
            <w:top w:val="none" w:sz="0" w:space="0" w:color="auto"/>
            <w:left w:val="none" w:sz="0" w:space="0" w:color="auto"/>
            <w:bottom w:val="none" w:sz="0" w:space="0" w:color="auto"/>
            <w:right w:val="none" w:sz="0" w:space="0" w:color="auto"/>
          </w:divBdr>
        </w:div>
        <w:div w:id="1019048070">
          <w:marLeft w:val="274"/>
          <w:marRight w:val="0"/>
          <w:marTop w:val="0"/>
          <w:marBottom w:val="0"/>
          <w:divBdr>
            <w:top w:val="none" w:sz="0" w:space="0" w:color="auto"/>
            <w:left w:val="none" w:sz="0" w:space="0" w:color="auto"/>
            <w:bottom w:val="none" w:sz="0" w:space="0" w:color="auto"/>
            <w:right w:val="none" w:sz="0" w:space="0" w:color="auto"/>
          </w:divBdr>
        </w:div>
        <w:div w:id="1492522421">
          <w:marLeft w:val="274"/>
          <w:marRight w:val="0"/>
          <w:marTop w:val="0"/>
          <w:marBottom w:val="0"/>
          <w:divBdr>
            <w:top w:val="none" w:sz="0" w:space="0" w:color="auto"/>
            <w:left w:val="none" w:sz="0" w:space="0" w:color="auto"/>
            <w:bottom w:val="none" w:sz="0" w:space="0" w:color="auto"/>
            <w:right w:val="none" w:sz="0" w:space="0" w:color="auto"/>
          </w:divBdr>
        </w:div>
        <w:div w:id="1493062282">
          <w:marLeft w:val="274"/>
          <w:marRight w:val="0"/>
          <w:marTop w:val="0"/>
          <w:marBottom w:val="0"/>
          <w:divBdr>
            <w:top w:val="none" w:sz="0" w:space="0" w:color="auto"/>
            <w:left w:val="none" w:sz="0" w:space="0" w:color="auto"/>
            <w:bottom w:val="none" w:sz="0" w:space="0" w:color="auto"/>
            <w:right w:val="none" w:sz="0" w:space="0" w:color="auto"/>
          </w:divBdr>
        </w:div>
        <w:div w:id="1915584463">
          <w:marLeft w:val="274"/>
          <w:marRight w:val="0"/>
          <w:marTop w:val="0"/>
          <w:marBottom w:val="0"/>
          <w:divBdr>
            <w:top w:val="none" w:sz="0" w:space="0" w:color="auto"/>
            <w:left w:val="none" w:sz="0" w:space="0" w:color="auto"/>
            <w:bottom w:val="none" w:sz="0" w:space="0" w:color="auto"/>
            <w:right w:val="none" w:sz="0" w:space="0" w:color="auto"/>
          </w:divBdr>
        </w:div>
      </w:divsChild>
    </w:div>
    <w:div w:id="848641124">
      <w:bodyDiv w:val="1"/>
      <w:marLeft w:val="0"/>
      <w:marRight w:val="0"/>
      <w:marTop w:val="0"/>
      <w:marBottom w:val="0"/>
      <w:divBdr>
        <w:top w:val="none" w:sz="0" w:space="0" w:color="auto"/>
        <w:left w:val="none" w:sz="0" w:space="0" w:color="auto"/>
        <w:bottom w:val="none" w:sz="0" w:space="0" w:color="auto"/>
        <w:right w:val="none" w:sz="0" w:space="0" w:color="auto"/>
      </w:divBdr>
    </w:div>
    <w:div w:id="891842955">
      <w:bodyDiv w:val="1"/>
      <w:marLeft w:val="0"/>
      <w:marRight w:val="0"/>
      <w:marTop w:val="0"/>
      <w:marBottom w:val="0"/>
      <w:divBdr>
        <w:top w:val="none" w:sz="0" w:space="0" w:color="auto"/>
        <w:left w:val="none" w:sz="0" w:space="0" w:color="auto"/>
        <w:bottom w:val="none" w:sz="0" w:space="0" w:color="auto"/>
        <w:right w:val="none" w:sz="0" w:space="0" w:color="auto"/>
      </w:divBdr>
    </w:div>
    <w:div w:id="987629461">
      <w:bodyDiv w:val="1"/>
      <w:marLeft w:val="0"/>
      <w:marRight w:val="0"/>
      <w:marTop w:val="0"/>
      <w:marBottom w:val="0"/>
      <w:divBdr>
        <w:top w:val="none" w:sz="0" w:space="0" w:color="auto"/>
        <w:left w:val="none" w:sz="0" w:space="0" w:color="auto"/>
        <w:bottom w:val="none" w:sz="0" w:space="0" w:color="auto"/>
        <w:right w:val="none" w:sz="0" w:space="0" w:color="auto"/>
      </w:divBdr>
      <w:divsChild>
        <w:div w:id="321157358">
          <w:marLeft w:val="576"/>
          <w:marRight w:val="0"/>
          <w:marTop w:val="0"/>
          <w:marBottom w:val="120"/>
          <w:divBdr>
            <w:top w:val="none" w:sz="0" w:space="0" w:color="auto"/>
            <w:left w:val="none" w:sz="0" w:space="0" w:color="auto"/>
            <w:bottom w:val="none" w:sz="0" w:space="0" w:color="auto"/>
            <w:right w:val="none" w:sz="0" w:space="0" w:color="auto"/>
          </w:divBdr>
        </w:div>
        <w:div w:id="1947149863">
          <w:marLeft w:val="576"/>
          <w:marRight w:val="0"/>
          <w:marTop w:val="0"/>
          <w:marBottom w:val="120"/>
          <w:divBdr>
            <w:top w:val="none" w:sz="0" w:space="0" w:color="auto"/>
            <w:left w:val="none" w:sz="0" w:space="0" w:color="auto"/>
            <w:bottom w:val="none" w:sz="0" w:space="0" w:color="auto"/>
            <w:right w:val="none" w:sz="0" w:space="0" w:color="auto"/>
          </w:divBdr>
        </w:div>
      </w:divsChild>
    </w:div>
    <w:div w:id="998003990">
      <w:bodyDiv w:val="1"/>
      <w:marLeft w:val="0"/>
      <w:marRight w:val="0"/>
      <w:marTop w:val="0"/>
      <w:marBottom w:val="0"/>
      <w:divBdr>
        <w:top w:val="none" w:sz="0" w:space="0" w:color="auto"/>
        <w:left w:val="none" w:sz="0" w:space="0" w:color="auto"/>
        <w:bottom w:val="none" w:sz="0" w:space="0" w:color="auto"/>
        <w:right w:val="none" w:sz="0" w:space="0" w:color="auto"/>
      </w:divBdr>
      <w:divsChild>
        <w:div w:id="980771154">
          <w:marLeft w:val="288"/>
          <w:marRight w:val="0"/>
          <w:marTop w:val="0"/>
          <w:marBottom w:val="0"/>
          <w:divBdr>
            <w:top w:val="none" w:sz="0" w:space="0" w:color="auto"/>
            <w:left w:val="none" w:sz="0" w:space="0" w:color="auto"/>
            <w:bottom w:val="none" w:sz="0" w:space="0" w:color="auto"/>
            <w:right w:val="none" w:sz="0" w:space="0" w:color="auto"/>
          </w:divBdr>
        </w:div>
        <w:div w:id="1461679510">
          <w:marLeft w:val="274"/>
          <w:marRight w:val="0"/>
          <w:marTop w:val="0"/>
          <w:marBottom w:val="0"/>
          <w:divBdr>
            <w:top w:val="none" w:sz="0" w:space="0" w:color="auto"/>
            <w:left w:val="none" w:sz="0" w:space="0" w:color="auto"/>
            <w:bottom w:val="none" w:sz="0" w:space="0" w:color="auto"/>
            <w:right w:val="none" w:sz="0" w:space="0" w:color="auto"/>
          </w:divBdr>
        </w:div>
      </w:divsChild>
    </w:div>
    <w:div w:id="1073969783">
      <w:bodyDiv w:val="1"/>
      <w:marLeft w:val="0"/>
      <w:marRight w:val="0"/>
      <w:marTop w:val="0"/>
      <w:marBottom w:val="0"/>
      <w:divBdr>
        <w:top w:val="none" w:sz="0" w:space="0" w:color="auto"/>
        <w:left w:val="none" w:sz="0" w:space="0" w:color="auto"/>
        <w:bottom w:val="none" w:sz="0" w:space="0" w:color="auto"/>
        <w:right w:val="none" w:sz="0" w:space="0" w:color="auto"/>
      </w:divBdr>
    </w:div>
    <w:div w:id="1176503431">
      <w:bodyDiv w:val="1"/>
      <w:marLeft w:val="0"/>
      <w:marRight w:val="0"/>
      <w:marTop w:val="0"/>
      <w:marBottom w:val="0"/>
      <w:divBdr>
        <w:top w:val="none" w:sz="0" w:space="0" w:color="auto"/>
        <w:left w:val="none" w:sz="0" w:space="0" w:color="auto"/>
        <w:bottom w:val="none" w:sz="0" w:space="0" w:color="auto"/>
        <w:right w:val="none" w:sz="0" w:space="0" w:color="auto"/>
      </w:divBdr>
    </w:div>
    <w:div w:id="1304308978">
      <w:bodyDiv w:val="1"/>
      <w:marLeft w:val="0"/>
      <w:marRight w:val="0"/>
      <w:marTop w:val="0"/>
      <w:marBottom w:val="0"/>
      <w:divBdr>
        <w:top w:val="none" w:sz="0" w:space="0" w:color="auto"/>
        <w:left w:val="none" w:sz="0" w:space="0" w:color="auto"/>
        <w:bottom w:val="none" w:sz="0" w:space="0" w:color="auto"/>
        <w:right w:val="none" w:sz="0" w:space="0" w:color="auto"/>
      </w:divBdr>
    </w:div>
    <w:div w:id="1346710332">
      <w:bodyDiv w:val="1"/>
      <w:marLeft w:val="0"/>
      <w:marRight w:val="0"/>
      <w:marTop w:val="0"/>
      <w:marBottom w:val="0"/>
      <w:divBdr>
        <w:top w:val="none" w:sz="0" w:space="0" w:color="auto"/>
        <w:left w:val="none" w:sz="0" w:space="0" w:color="auto"/>
        <w:bottom w:val="none" w:sz="0" w:space="0" w:color="auto"/>
        <w:right w:val="none" w:sz="0" w:space="0" w:color="auto"/>
      </w:divBdr>
    </w:div>
    <w:div w:id="1474061764">
      <w:bodyDiv w:val="1"/>
      <w:marLeft w:val="0"/>
      <w:marRight w:val="0"/>
      <w:marTop w:val="0"/>
      <w:marBottom w:val="0"/>
      <w:divBdr>
        <w:top w:val="none" w:sz="0" w:space="0" w:color="auto"/>
        <w:left w:val="none" w:sz="0" w:space="0" w:color="auto"/>
        <w:bottom w:val="none" w:sz="0" w:space="0" w:color="auto"/>
        <w:right w:val="none" w:sz="0" w:space="0" w:color="auto"/>
      </w:divBdr>
    </w:div>
    <w:div w:id="1491872020">
      <w:bodyDiv w:val="1"/>
      <w:marLeft w:val="0"/>
      <w:marRight w:val="0"/>
      <w:marTop w:val="0"/>
      <w:marBottom w:val="0"/>
      <w:divBdr>
        <w:top w:val="none" w:sz="0" w:space="0" w:color="auto"/>
        <w:left w:val="none" w:sz="0" w:space="0" w:color="auto"/>
        <w:bottom w:val="none" w:sz="0" w:space="0" w:color="auto"/>
        <w:right w:val="none" w:sz="0" w:space="0" w:color="auto"/>
      </w:divBdr>
    </w:div>
    <w:div w:id="1502700495">
      <w:bodyDiv w:val="1"/>
      <w:marLeft w:val="0"/>
      <w:marRight w:val="0"/>
      <w:marTop w:val="0"/>
      <w:marBottom w:val="0"/>
      <w:divBdr>
        <w:top w:val="none" w:sz="0" w:space="0" w:color="auto"/>
        <w:left w:val="none" w:sz="0" w:space="0" w:color="auto"/>
        <w:bottom w:val="none" w:sz="0" w:space="0" w:color="auto"/>
        <w:right w:val="none" w:sz="0" w:space="0" w:color="auto"/>
      </w:divBdr>
      <w:divsChild>
        <w:div w:id="292834241">
          <w:marLeft w:val="576"/>
          <w:marRight w:val="0"/>
          <w:marTop w:val="0"/>
          <w:marBottom w:val="120"/>
          <w:divBdr>
            <w:top w:val="none" w:sz="0" w:space="0" w:color="auto"/>
            <w:left w:val="none" w:sz="0" w:space="0" w:color="auto"/>
            <w:bottom w:val="none" w:sz="0" w:space="0" w:color="auto"/>
            <w:right w:val="none" w:sz="0" w:space="0" w:color="auto"/>
          </w:divBdr>
        </w:div>
        <w:div w:id="1016734649">
          <w:marLeft w:val="576"/>
          <w:marRight w:val="0"/>
          <w:marTop w:val="0"/>
          <w:marBottom w:val="120"/>
          <w:divBdr>
            <w:top w:val="none" w:sz="0" w:space="0" w:color="auto"/>
            <w:left w:val="none" w:sz="0" w:space="0" w:color="auto"/>
            <w:bottom w:val="none" w:sz="0" w:space="0" w:color="auto"/>
            <w:right w:val="none" w:sz="0" w:space="0" w:color="auto"/>
          </w:divBdr>
        </w:div>
      </w:divsChild>
    </w:div>
    <w:div w:id="1515343369">
      <w:bodyDiv w:val="1"/>
      <w:marLeft w:val="0"/>
      <w:marRight w:val="0"/>
      <w:marTop w:val="0"/>
      <w:marBottom w:val="0"/>
      <w:divBdr>
        <w:top w:val="none" w:sz="0" w:space="0" w:color="auto"/>
        <w:left w:val="none" w:sz="0" w:space="0" w:color="auto"/>
        <w:bottom w:val="none" w:sz="0" w:space="0" w:color="auto"/>
        <w:right w:val="none" w:sz="0" w:space="0" w:color="auto"/>
      </w:divBdr>
    </w:div>
    <w:div w:id="1574469013">
      <w:bodyDiv w:val="1"/>
      <w:marLeft w:val="0"/>
      <w:marRight w:val="0"/>
      <w:marTop w:val="0"/>
      <w:marBottom w:val="0"/>
      <w:divBdr>
        <w:top w:val="none" w:sz="0" w:space="0" w:color="auto"/>
        <w:left w:val="none" w:sz="0" w:space="0" w:color="auto"/>
        <w:bottom w:val="none" w:sz="0" w:space="0" w:color="auto"/>
        <w:right w:val="none" w:sz="0" w:space="0" w:color="auto"/>
      </w:divBdr>
    </w:div>
    <w:div w:id="1598518223">
      <w:bodyDiv w:val="1"/>
      <w:marLeft w:val="0"/>
      <w:marRight w:val="0"/>
      <w:marTop w:val="0"/>
      <w:marBottom w:val="0"/>
      <w:divBdr>
        <w:top w:val="none" w:sz="0" w:space="0" w:color="auto"/>
        <w:left w:val="none" w:sz="0" w:space="0" w:color="auto"/>
        <w:bottom w:val="none" w:sz="0" w:space="0" w:color="auto"/>
        <w:right w:val="none" w:sz="0" w:space="0" w:color="auto"/>
      </w:divBdr>
      <w:divsChild>
        <w:div w:id="794983542">
          <w:marLeft w:val="576"/>
          <w:marRight w:val="0"/>
          <w:marTop w:val="0"/>
          <w:marBottom w:val="120"/>
          <w:divBdr>
            <w:top w:val="none" w:sz="0" w:space="0" w:color="auto"/>
            <w:left w:val="none" w:sz="0" w:space="0" w:color="auto"/>
            <w:bottom w:val="none" w:sz="0" w:space="0" w:color="auto"/>
            <w:right w:val="none" w:sz="0" w:space="0" w:color="auto"/>
          </w:divBdr>
        </w:div>
        <w:div w:id="1916865269">
          <w:marLeft w:val="576"/>
          <w:marRight w:val="0"/>
          <w:marTop w:val="0"/>
          <w:marBottom w:val="120"/>
          <w:divBdr>
            <w:top w:val="none" w:sz="0" w:space="0" w:color="auto"/>
            <w:left w:val="none" w:sz="0" w:space="0" w:color="auto"/>
            <w:bottom w:val="none" w:sz="0" w:space="0" w:color="auto"/>
            <w:right w:val="none" w:sz="0" w:space="0" w:color="auto"/>
          </w:divBdr>
        </w:div>
      </w:divsChild>
    </w:div>
    <w:div w:id="1624844417">
      <w:bodyDiv w:val="1"/>
      <w:marLeft w:val="0"/>
      <w:marRight w:val="0"/>
      <w:marTop w:val="0"/>
      <w:marBottom w:val="0"/>
      <w:divBdr>
        <w:top w:val="none" w:sz="0" w:space="0" w:color="auto"/>
        <w:left w:val="none" w:sz="0" w:space="0" w:color="auto"/>
        <w:bottom w:val="none" w:sz="0" w:space="0" w:color="auto"/>
        <w:right w:val="none" w:sz="0" w:space="0" w:color="auto"/>
      </w:divBdr>
      <w:divsChild>
        <w:div w:id="342165614">
          <w:marLeft w:val="576"/>
          <w:marRight w:val="0"/>
          <w:marTop w:val="0"/>
          <w:marBottom w:val="120"/>
          <w:divBdr>
            <w:top w:val="none" w:sz="0" w:space="0" w:color="auto"/>
            <w:left w:val="none" w:sz="0" w:space="0" w:color="auto"/>
            <w:bottom w:val="none" w:sz="0" w:space="0" w:color="auto"/>
            <w:right w:val="none" w:sz="0" w:space="0" w:color="auto"/>
          </w:divBdr>
        </w:div>
        <w:div w:id="622544820">
          <w:marLeft w:val="576"/>
          <w:marRight w:val="0"/>
          <w:marTop w:val="0"/>
          <w:marBottom w:val="120"/>
          <w:divBdr>
            <w:top w:val="none" w:sz="0" w:space="0" w:color="auto"/>
            <w:left w:val="none" w:sz="0" w:space="0" w:color="auto"/>
            <w:bottom w:val="none" w:sz="0" w:space="0" w:color="auto"/>
            <w:right w:val="none" w:sz="0" w:space="0" w:color="auto"/>
          </w:divBdr>
        </w:div>
        <w:div w:id="961225648">
          <w:marLeft w:val="576"/>
          <w:marRight w:val="0"/>
          <w:marTop w:val="0"/>
          <w:marBottom w:val="120"/>
          <w:divBdr>
            <w:top w:val="none" w:sz="0" w:space="0" w:color="auto"/>
            <w:left w:val="none" w:sz="0" w:space="0" w:color="auto"/>
            <w:bottom w:val="none" w:sz="0" w:space="0" w:color="auto"/>
            <w:right w:val="none" w:sz="0" w:space="0" w:color="auto"/>
          </w:divBdr>
        </w:div>
      </w:divsChild>
    </w:div>
    <w:div w:id="1672415303">
      <w:bodyDiv w:val="1"/>
      <w:marLeft w:val="0"/>
      <w:marRight w:val="0"/>
      <w:marTop w:val="0"/>
      <w:marBottom w:val="0"/>
      <w:divBdr>
        <w:top w:val="none" w:sz="0" w:space="0" w:color="auto"/>
        <w:left w:val="none" w:sz="0" w:space="0" w:color="auto"/>
        <w:bottom w:val="none" w:sz="0" w:space="0" w:color="auto"/>
        <w:right w:val="none" w:sz="0" w:space="0" w:color="auto"/>
      </w:divBdr>
      <w:divsChild>
        <w:div w:id="824055650">
          <w:marLeft w:val="274"/>
          <w:marRight w:val="0"/>
          <w:marTop w:val="0"/>
          <w:marBottom w:val="0"/>
          <w:divBdr>
            <w:top w:val="none" w:sz="0" w:space="0" w:color="auto"/>
            <w:left w:val="none" w:sz="0" w:space="0" w:color="auto"/>
            <w:bottom w:val="none" w:sz="0" w:space="0" w:color="auto"/>
            <w:right w:val="none" w:sz="0" w:space="0" w:color="auto"/>
          </w:divBdr>
        </w:div>
        <w:div w:id="1038894106">
          <w:marLeft w:val="274"/>
          <w:marRight w:val="0"/>
          <w:marTop w:val="0"/>
          <w:marBottom w:val="0"/>
          <w:divBdr>
            <w:top w:val="none" w:sz="0" w:space="0" w:color="auto"/>
            <w:left w:val="none" w:sz="0" w:space="0" w:color="auto"/>
            <w:bottom w:val="none" w:sz="0" w:space="0" w:color="auto"/>
            <w:right w:val="none" w:sz="0" w:space="0" w:color="auto"/>
          </w:divBdr>
        </w:div>
        <w:div w:id="1093165993">
          <w:marLeft w:val="274"/>
          <w:marRight w:val="0"/>
          <w:marTop w:val="0"/>
          <w:marBottom w:val="0"/>
          <w:divBdr>
            <w:top w:val="none" w:sz="0" w:space="0" w:color="auto"/>
            <w:left w:val="none" w:sz="0" w:space="0" w:color="auto"/>
            <w:bottom w:val="none" w:sz="0" w:space="0" w:color="auto"/>
            <w:right w:val="none" w:sz="0" w:space="0" w:color="auto"/>
          </w:divBdr>
        </w:div>
        <w:div w:id="1742292234">
          <w:marLeft w:val="274"/>
          <w:marRight w:val="0"/>
          <w:marTop w:val="0"/>
          <w:marBottom w:val="0"/>
          <w:divBdr>
            <w:top w:val="none" w:sz="0" w:space="0" w:color="auto"/>
            <w:left w:val="none" w:sz="0" w:space="0" w:color="auto"/>
            <w:bottom w:val="none" w:sz="0" w:space="0" w:color="auto"/>
            <w:right w:val="none" w:sz="0" w:space="0" w:color="auto"/>
          </w:divBdr>
        </w:div>
      </w:divsChild>
    </w:div>
    <w:div w:id="1687362169">
      <w:bodyDiv w:val="1"/>
      <w:marLeft w:val="0"/>
      <w:marRight w:val="0"/>
      <w:marTop w:val="0"/>
      <w:marBottom w:val="0"/>
      <w:divBdr>
        <w:top w:val="none" w:sz="0" w:space="0" w:color="auto"/>
        <w:left w:val="none" w:sz="0" w:space="0" w:color="auto"/>
        <w:bottom w:val="none" w:sz="0" w:space="0" w:color="auto"/>
        <w:right w:val="none" w:sz="0" w:space="0" w:color="auto"/>
      </w:divBdr>
    </w:div>
    <w:div w:id="1835563462">
      <w:bodyDiv w:val="1"/>
      <w:marLeft w:val="0"/>
      <w:marRight w:val="0"/>
      <w:marTop w:val="0"/>
      <w:marBottom w:val="0"/>
      <w:divBdr>
        <w:top w:val="none" w:sz="0" w:space="0" w:color="auto"/>
        <w:left w:val="none" w:sz="0" w:space="0" w:color="auto"/>
        <w:bottom w:val="none" w:sz="0" w:space="0" w:color="auto"/>
        <w:right w:val="none" w:sz="0" w:space="0" w:color="auto"/>
      </w:divBdr>
      <w:divsChild>
        <w:div w:id="651493816">
          <w:marLeft w:val="288"/>
          <w:marRight w:val="0"/>
          <w:marTop w:val="0"/>
          <w:marBottom w:val="120"/>
          <w:divBdr>
            <w:top w:val="none" w:sz="0" w:space="0" w:color="auto"/>
            <w:left w:val="none" w:sz="0" w:space="0" w:color="auto"/>
            <w:bottom w:val="none" w:sz="0" w:space="0" w:color="auto"/>
            <w:right w:val="none" w:sz="0" w:space="0" w:color="auto"/>
          </w:divBdr>
        </w:div>
        <w:div w:id="1859738655">
          <w:marLeft w:val="288"/>
          <w:marRight w:val="0"/>
          <w:marTop w:val="0"/>
          <w:marBottom w:val="120"/>
          <w:divBdr>
            <w:top w:val="none" w:sz="0" w:space="0" w:color="auto"/>
            <w:left w:val="none" w:sz="0" w:space="0" w:color="auto"/>
            <w:bottom w:val="none" w:sz="0" w:space="0" w:color="auto"/>
            <w:right w:val="none" w:sz="0" w:space="0" w:color="auto"/>
          </w:divBdr>
        </w:div>
      </w:divsChild>
    </w:div>
    <w:div w:id="1882352616">
      <w:bodyDiv w:val="1"/>
      <w:marLeft w:val="0"/>
      <w:marRight w:val="0"/>
      <w:marTop w:val="0"/>
      <w:marBottom w:val="0"/>
      <w:divBdr>
        <w:top w:val="none" w:sz="0" w:space="0" w:color="auto"/>
        <w:left w:val="none" w:sz="0" w:space="0" w:color="auto"/>
        <w:bottom w:val="none" w:sz="0" w:space="0" w:color="auto"/>
        <w:right w:val="none" w:sz="0" w:space="0" w:color="auto"/>
      </w:divBdr>
      <w:divsChild>
        <w:div w:id="1261647288">
          <w:marLeft w:val="562"/>
          <w:marRight w:val="0"/>
          <w:marTop w:val="0"/>
          <w:marBottom w:val="120"/>
          <w:divBdr>
            <w:top w:val="none" w:sz="0" w:space="0" w:color="auto"/>
            <w:left w:val="none" w:sz="0" w:space="0" w:color="auto"/>
            <w:bottom w:val="none" w:sz="0" w:space="0" w:color="auto"/>
            <w:right w:val="none" w:sz="0" w:space="0" w:color="auto"/>
          </w:divBdr>
        </w:div>
        <w:div w:id="1282880777">
          <w:marLeft w:val="562"/>
          <w:marRight w:val="0"/>
          <w:marTop w:val="0"/>
          <w:marBottom w:val="120"/>
          <w:divBdr>
            <w:top w:val="none" w:sz="0" w:space="0" w:color="auto"/>
            <w:left w:val="none" w:sz="0" w:space="0" w:color="auto"/>
            <w:bottom w:val="none" w:sz="0" w:space="0" w:color="auto"/>
            <w:right w:val="none" w:sz="0" w:space="0" w:color="auto"/>
          </w:divBdr>
        </w:div>
      </w:divsChild>
    </w:div>
    <w:div w:id="1903371451">
      <w:bodyDiv w:val="1"/>
      <w:marLeft w:val="0"/>
      <w:marRight w:val="0"/>
      <w:marTop w:val="0"/>
      <w:marBottom w:val="0"/>
      <w:divBdr>
        <w:top w:val="none" w:sz="0" w:space="0" w:color="auto"/>
        <w:left w:val="none" w:sz="0" w:space="0" w:color="auto"/>
        <w:bottom w:val="none" w:sz="0" w:space="0" w:color="auto"/>
        <w:right w:val="none" w:sz="0" w:space="0" w:color="auto"/>
      </w:divBdr>
    </w:div>
    <w:div w:id="1951011960">
      <w:bodyDiv w:val="1"/>
      <w:marLeft w:val="0"/>
      <w:marRight w:val="0"/>
      <w:marTop w:val="0"/>
      <w:marBottom w:val="0"/>
      <w:divBdr>
        <w:top w:val="none" w:sz="0" w:space="0" w:color="auto"/>
        <w:left w:val="none" w:sz="0" w:space="0" w:color="auto"/>
        <w:bottom w:val="none" w:sz="0" w:space="0" w:color="auto"/>
        <w:right w:val="none" w:sz="0" w:space="0" w:color="auto"/>
      </w:divBdr>
    </w:div>
    <w:div w:id="2006277833">
      <w:bodyDiv w:val="1"/>
      <w:marLeft w:val="0"/>
      <w:marRight w:val="0"/>
      <w:marTop w:val="0"/>
      <w:marBottom w:val="0"/>
      <w:divBdr>
        <w:top w:val="none" w:sz="0" w:space="0" w:color="auto"/>
        <w:left w:val="none" w:sz="0" w:space="0" w:color="auto"/>
        <w:bottom w:val="none" w:sz="0" w:space="0" w:color="auto"/>
        <w:right w:val="none" w:sz="0" w:space="0" w:color="auto"/>
      </w:divBdr>
    </w:div>
    <w:div w:id="2033335132">
      <w:bodyDiv w:val="1"/>
      <w:marLeft w:val="0"/>
      <w:marRight w:val="0"/>
      <w:marTop w:val="0"/>
      <w:marBottom w:val="0"/>
      <w:divBdr>
        <w:top w:val="none" w:sz="0" w:space="0" w:color="auto"/>
        <w:left w:val="none" w:sz="0" w:space="0" w:color="auto"/>
        <w:bottom w:val="none" w:sz="0" w:space="0" w:color="auto"/>
        <w:right w:val="none" w:sz="0" w:space="0" w:color="auto"/>
      </w:divBdr>
    </w:div>
    <w:div w:id="2098014875">
      <w:bodyDiv w:val="1"/>
      <w:marLeft w:val="0"/>
      <w:marRight w:val="0"/>
      <w:marTop w:val="0"/>
      <w:marBottom w:val="0"/>
      <w:divBdr>
        <w:top w:val="none" w:sz="0" w:space="0" w:color="auto"/>
        <w:left w:val="none" w:sz="0" w:space="0" w:color="auto"/>
        <w:bottom w:val="none" w:sz="0" w:space="0" w:color="auto"/>
        <w:right w:val="none" w:sz="0" w:space="0" w:color="auto"/>
      </w:divBdr>
      <w:divsChild>
        <w:div w:id="684022518">
          <w:marLeft w:val="274"/>
          <w:marRight w:val="0"/>
          <w:marTop w:val="0"/>
          <w:marBottom w:val="0"/>
          <w:divBdr>
            <w:top w:val="none" w:sz="0" w:space="0" w:color="auto"/>
            <w:left w:val="none" w:sz="0" w:space="0" w:color="auto"/>
            <w:bottom w:val="none" w:sz="0" w:space="0" w:color="auto"/>
            <w:right w:val="none" w:sz="0" w:space="0" w:color="auto"/>
          </w:divBdr>
        </w:div>
        <w:div w:id="1434086714">
          <w:marLeft w:val="274"/>
          <w:marRight w:val="0"/>
          <w:marTop w:val="0"/>
          <w:marBottom w:val="0"/>
          <w:divBdr>
            <w:top w:val="none" w:sz="0" w:space="0" w:color="auto"/>
            <w:left w:val="none" w:sz="0" w:space="0" w:color="auto"/>
            <w:bottom w:val="none" w:sz="0" w:space="0" w:color="auto"/>
            <w:right w:val="none" w:sz="0" w:space="0" w:color="auto"/>
          </w:divBdr>
        </w:div>
        <w:div w:id="2066096658">
          <w:marLeft w:val="274"/>
          <w:marRight w:val="0"/>
          <w:marTop w:val="0"/>
          <w:marBottom w:val="0"/>
          <w:divBdr>
            <w:top w:val="none" w:sz="0" w:space="0" w:color="auto"/>
            <w:left w:val="none" w:sz="0" w:space="0" w:color="auto"/>
            <w:bottom w:val="none" w:sz="0" w:space="0" w:color="auto"/>
            <w:right w:val="none" w:sz="0" w:space="0" w:color="auto"/>
          </w:divBdr>
        </w:div>
      </w:divsChild>
    </w:div>
    <w:div w:id="2137211837">
      <w:bodyDiv w:val="1"/>
      <w:marLeft w:val="0"/>
      <w:marRight w:val="0"/>
      <w:marTop w:val="0"/>
      <w:marBottom w:val="0"/>
      <w:divBdr>
        <w:top w:val="none" w:sz="0" w:space="0" w:color="auto"/>
        <w:left w:val="none" w:sz="0" w:space="0" w:color="auto"/>
        <w:bottom w:val="none" w:sz="0" w:space="0" w:color="auto"/>
        <w:right w:val="none" w:sz="0" w:space="0" w:color="auto"/>
      </w:divBdr>
      <w:divsChild>
        <w:div w:id="115371433">
          <w:marLeft w:val="274"/>
          <w:marRight w:val="0"/>
          <w:marTop w:val="0"/>
          <w:marBottom w:val="0"/>
          <w:divBdr>
            <w:top w:val="none" w:sz="0" w:space="0" w:color="auto"/>
            <w:left w:val="none" w:sz="0" w:space="0" w:color="auto"/>
            <w:bottom w:val="none" w:sz="0" w:space="0" w:color="auto"/>
            <w:right w:val="none" w:sz="0" w:space="0" w:color="auto"/>
          </w:divBdr>
        </w:div>
        <w:div w:id="972708203">
          <w:marLeft w:val="274"/>
          <w:marRight w:val="0"/>
          <w:marTop w:val="0"/>
          <w:marBottom w:val="0"/>
          <w:divBdr>
            <w:top w:val="none" w:sz="0" w:space="0" w:color="auto"/>
            <w:left w:val="none" w:sz="0" w:space="0" w:color="auto"/>
            <w:bottom w:val="none" w:sz="0" w:space="0" w:color="auto"/>
            <w:right w:val="none" w:sz="0" w:space="0" w:color="auto"/>
          </w:divBdr>
        </w:div>
        <w:div w:id="1137409306">
          <w:marLeft w:val="274"/>
          <w:marRight w:val="0"/>
          <w:marTop w:val="0"/>
          <w:marBottom w:val="0"/>
          <w:divBdr>
            <w:top w:val="none" w:sz="0" w:space="0" w:color="auto"/>
            <w:left w:val="none" w:sz="0" w:space="0" w:color="auto"/>
            <w:bottom w:val="none" w:sz="0" w:space="0" w:color="auto"/>
            <w:right w:val="none" w:sz="0" w:space="0" w:color="auto"/>
          </w:divBdr>
        </w:div>
        <w:div w:id="13370785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0020-55F5-4DBB-9294-4222EEF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30</Pages>
  <Words>11110</Words>
  <Characters>63329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74291</CharactersWithSpaces>
  <SharedDoc>false</SharedDoc>
  <HLinks>
    <vt:vector size="150" baseType="variant">
      <vt:variant>
        <vt:i4>1441845</vt:i4>
      </vt:variant>
      <vt:variant>
        <vt:i4>146</vt:i4>
      </vt:variant>
      <vt:variant>
        <vt:i4>0</vt:i4>
      </vt:variant>
      <vt:variant>
        <vt:i4>5</vt:i4>
      </vt:variant>
      <vt:variant>
        <vt:lpwstr/>
      </vt:variant>
      <vt:variant>
        <vt:lpwstr>_Toc65077546</vt:lpwstr>
      </vt:variant>
      <vt:variant>
        <vt:i4>1376309</vt:i4>
      </vt:variant>
      <vt:variant>
        <vt:i4>140</vt:i4>
      </vt:variant>
      <vt:variant>
        <vt:i4>0</vt:i4>
      </vt:variant>
      <vt:variant>
        <vt:i4>5</vt:i4>
      </vt:variant>
      <vt:variant>
        <vt:lpwstr/>
      </vt:variant>
      <vt:variant>
        <vt:lpwstr>_Toc65077545</vt:lpwstr>
      </vt:variant>
      <vt:variant>
        <vt:i4>1310773</vt:i4>
      </vt:variant>
      <vt:variant>
        <vt:i4>134</vt:i4>
      </vt:variant>
      <vt:variant>
        <vt:i4>0</vt:i4>
      </vt:variant>
      <vt:variant>
        <vt:i4>5</vt:i4>
      </vt:variant>
      <vt:variant>
        <vt:lpwstr/>
      </vt:variant>
      <vt:variant>
        <vt:lpwstr>_Toc65077544</vt:lpwstr>
      </vt:variant>
      <vt:variant>
        <vt:i4>1245237</vt:i4>
      </vt:variant>
      <vt:variant>
        <vt:i4>128</vt:i4>
      </vt:variant>
      <vt:variant>
        <vt:i4>0</vt:i4>
      </vt:variant>
      <vt:variant>
        <vt:i4>5</vt:i4>
      </vt:variant>
      <vt:variant>
        <vt:lpwstr/>
      </vt:variant>
      <vt:variant>
        <vt:lpwstr>_Toc65077543</vt:lpwstr>
      </vt:variant>
      <vt:variant>
        <vt:i4>1179701</vt:i4>
      </vt:variant>
      <vt:variant>
        <vt:i4>122</vt:i4>
      </vt:variant>
      <vt:variant>
        <vt:i4>0</vt:i4>
      </vt:variant>
      <vt:variant>
        <vt:i4>5</vt:i4>
      </vt:variant>
      <vt:variant>
        <vt:lpwstr/>
      </vt:variant>
      <vt:variant>
        <vt:lpwstr>_Toc65077542</vt:lpwstr>
      </vt:variant>
      <vt:variant>
        <vt:i4>1114165</vt:i4>
      </vt:variant>
      <vt:variant>
        <vt:i4>116</vt:i4>
      </vt:variant>
      <vt:variant>
        <vt:i4>0</vt:i4>
      </vt:variant>
      <vt:variant>
        <vt:i4>5</vt:i4>
      </vt:variant>
      <vt:variant>
        <vt:lpwstr/>
      </vt:variant>
      <vt:variant>
        <vt:lpwstr>_Toc65077541</vt:lpwstr>
      </vt:variant>
      <vt:variant>
        <vt:i4>1048629</vt:i4>
      </vt:variant>
      <vt:variant>
        <vt:i4>110</vt:i4>
      </vt:variant>
      <vt:variant>
        <vt:i4>0</vt:i4>
      </vt:variant>
      <vt:variant>
        <vt:i4>5</vt:i4>
      </vt:variant>
      <vt:variant>
        <vt:lpwstr/>
      </vt:variant>
      <vt:variant>
        <vt:lpwstr>_Toc65077540</vt:lpwstr>
      </vt:variant>
      <vt:variant>
        <vt:i4>1638450</vt:i4>
      </vt:variant>
      <vt:variant>
        <vt:i4>104</vt:i4>
      </vt:variant>
      <vt:variant>
        <vt:i4>0</vt:i4>
      </vt:variant>
      <vt:variant>
        <vt:i4>5</vt:i4>
      </vt:variant>
      <vt:variant>
        <vt:lpwstr/>
      </vt:variant>
      <vt:variant>
        <vt:lpwstr>_Toc65077539</vt:lpwstr>
      </vt:variant>
      <vt:variant>
        <vt:i4>1572914</vt:i4>
      </vt:variant>
      <vt:variant>
        <vt:i4>98</vt:i4>
      </vt:variant>
      <vt:variant>
        <vt:i4>0</vt:i4>
      </vt:variant>
      <vt:variant>
        <vt:i4>5</vt:i4>
      </vt:variant>
      <vt:variant>
        <vt:lpwstr/>
      </vt:variant>
      <vt:variant>
        <vt:lpwstr>_Toc65077538</vt:lpwstr>
      </vt:variant>
      <vt:variant>
        <vt:i4>1507378</vt:i4>
      </vt:variant>
      <vt:variant>
        <vt:i4>92</vt:i4>
      </vt:variant>
      <vt:variant>
        <vt:i4>0</vt:i4>
      </vt:variant>
      <vt:variant>
        <vt:i4>5</vt:i4>
      </vt:variant>
      <vt:variant>
        <vt:lpwstr/>
      </vt:variant>
      <vt:variant>
        <vt:lpwstr>_Toc65077537</vt:lpwstr>
      </vt:variant>
      <vt:variant>
        <vt:i4>1441842</vt:i4>
      </vt:variant>
      <vt:variant>
        <vt:i4>86</vt:i4>
      </vt:variant>
      <vt:variant>
        <vt:i4>0</vt:i4>
      </vt:variant>
      <vt:variant>
        <vt:i4>5</vt:i4>
      </vt:variant>
      <vt:variant>
        <vt:lpwstr/>
      </vt:variant>
      <vt:variant>
        <vt:lpwstr>_Toc65077536</vt:lpwstr>
      </vt:variant>
      <vt:variant>
        <vt:i4>1376306</vt:i4>
      </vt:variant>
      <vt:variant>
        <vt:i4>80</vt:i4>
      </vt:variant>
      <vt:variant>
        <vt:i4>0</vt:i4>
      </vt:variant>
      <vt:variant>
        <vt:i4>5</vt:i4>
      </vt:variant>
      <vt:variant>
        <vt:lpwstr/>
      </vt:variant>
      <vt:variant>
        <vt:lpwstr>_Toc65077535</vt:lpwstr>
      </vt:variant>
      <vt:variant>
        <vt:i4>1310770</vt:i4>
      </vt:variant>
      <vt:variant>
        <vt:i4>74</vt:i4>
      </vt:variant>
      <vt:variant>
        <vt:i4>0</vt:i4>
      </vt:variant>
      <vt:variant>
        <vt:i4>5</vt:i4>
      </vt:variant>
      <vt:variant>
        <vt:lpwstr/>
      </vt:variant>
      <vt:variant>
        <vt:lpwstr>_Toc65077534</vt:lpwstr>
      </vt:variant>
      <vt:variant>
        <vt:i4>1245234</vt:i4>
      </vt:variant>
      <vt:variant>
        <vt:i4>68</vt:i4>
      </vt:variant>
      <vt:variant>
        <vt:i4>0</vt:i4>
      </vt:variant>
      <vt:variant>
        <vt:i4>5</vt:i4>
      </vt:variant>
      <vt:variant>
        <vt:lpwstr/>
      </vt:variant>
      <vt:variant>
        <vt:lpwstr>_Toc65077533</vt:lpwstr>
      </vt:variant>
      <vt:variant>
        <vt:i4>1179698</vt:i4>
      </vt:variant>
      <vt:variant>
        <vt:i4>62</vt:i4>
      </vt:variant>
      <vt:variant>
        <vt:i4>0</vt:i4>
      </vt:variant>
      <vt:variant>
        <vt:i4>5</vt:i4>
      </vt:variant>
      <vt:variant>
        <vt:lpwstr/>
      </vt:variant>
      <vt:variant>
        <vt:lpwstr>_Toc65077532</vt:lpwstr>
      </vt:variant>
      <vt:variant>
        <vt:i4>1114162</vt:i4>
      </vt:variant>
      <vt:variant>
        <vt:i4>56</vt:i4>
      </vt:variant>
      <vt:variant>
        <vt:i4>0</vt:i4>
      </vt:variant>
      <vt:variant>
        <vt:i4>5</vt:i4>
      </vt:variant>
      <vt:variant>
        <vt:lpwstr/>
      </vt:variant>
      <vt:variant>
        <vt:lpwstr>_Toc65077531</vt:lpwstr>
      </vt:variant>
      <vt:variant>
        <vt:i4>1048626</vt:i4>
      </vt:variant>
      <vt:variant>
        <vt:i4>50</vt:i4>
      </vt:variant>
      <vt:variant>
        <vt:i4>0</vt:i4>
      </vt:variant>
      <vt:variant>
        <vt:i4>5</vt:i4>
      </vt:variant>
      <vt:variant>
        <vt:lpwstr/>
      </vt:variant>
      <vt:variant>
        <vt:lpwstr>_Toc65077530</vt:lpwstr>
      </vt:variant>
      <vt:variant>
        <vt:i4>1638451</vt:i4>
      </vt:variant>
      <vt:variant>
        <vt:i4>44</vt:i4>
      </vt:variant>
      <vt:variant>
        <vt:i4>0</vt:i4>
      </vt:variant>
      <vt:variant>
        <vt:i4>5</vt:i4>
      </vt:variant>
      <vt:variant>
        <vt:lpwstr/>
      </vt:variant>
      <vt:variant>
        <vt:lpwstr>_Toc65077529</vt:lpwstr>
      </vt:variant>
      <vt:variant>
        <vt:i4>1572915</vt:i4>
      </vt:variant>
      <vt:variant>
        <vt:i4>38</vt:i4>
      </vt:variant>
      <vt:variant>
        <vt:i4>0</vt:i4>
      </vt:variant>
      <vt:variant>
        <vt:i4>5</vt:i4>
      </vt:variant>
      <vt:variant>
        <vt:lpwstr/>
      </vt:variant>
      <vt:variant>
        <vt:lpwstr>_Toc65077528</vt:lpwstr>
      </vt:variant>
      <vt:variant>
        <vt:i4>1507379</vt:i4>
      </vt:variant>
      <vt:variant>
        <vt:i4>32</vt:i4>
      </vt:variant>
      <vt:variant>
        <vt:i4>0</vt:i4>
      </vt:variant>
      <vt:variant>
        <vt:i4>5</vt:i4>
      </vt:variant>
      <vt:variant>
        <vt:lpwstr/>
      </vt:variant>
      <vt:variant>
        <vt:lpwstr>_Toc65077527</vt:lpwstr>
      </vt:variant>
      <vt:variant>
        <vt:i4>1441843</vt:i4>
      </vt:variant>
      <vt:variant>
        <vt:i4>26</vt:i4>
      </vt:variant>
      <vt:variant>
        <vt:i4>0</vt:i4>
      </vt:variant>
      <vt:variant>
        <vt:i4>5</vt:i4>
      </vt:variant>
      <vt:variant>
        <vt:lpwstr/>
      </vt:variant>
      <vt:variant>
        <vt:lpwstr>_Toc65077526</vt:lpwstr>
      </vt:variant>
      <vt:variant>
        <vt:i4>1376307</vt:i4>
      </vt:variant>
      <vt:variant>
        <vt:i4>20</vt:i4>
      </vt:variant>
      <vt:variant>
        <vt:i4>0</vt:i4>
      </vt:variant>
      <vt:variant>
        <vt:i4>5</vt:i4>
      </vt:variant>
      <vt:variant>
        <vt:lpwstr/>
      </vt:variant>
      <vt:variant>
        <vt:lpwstr>_Toc65077525</vt:lpwstr>
      </vt:variant>
      <vt:variant>
        <vt:i4>1310771</vt:i4>
      </vt:variant>
      <vt:variant>
        <vt:i4>14</vt:i4>
      </vt:variant>
      <vt:variant>
        <vt:i4>0</vt:i4>
      </vt:variant>
      <vt:variant>
        <vt:i4>5</vt:i4>
      </vt:variant>
      <vt:variant>
        <vt:lpwstr/>
      </vt:variant>
      <vt:variant>
        <vt:lpwstr>_Toc65077524</vt:lpwstr>
      </vt:variant>
      <vt:variant>
        <vt:i4>1245235</vt:i4>
      </vt:variant>
      <vt:variant>
        <vt:i4>8</vt:i4>
      </vt:variant>
      <vt:variant>
        <vt:i4>0</vt:i4>
      </vt:variant>
      <vt:variant>
        <vt:i4>5</vt:i4>
      </vt:variant>
      <vt:variant>
        <vt:lpwstr/>
      </vt:variant>
      <vt:variant>
        <vt:lpwstr>_Toc65077523</vt:lpwstr>
      </vt:variant>
      <vt:variant>
        <vt:i4>1179699</vt:i4>
      </vt:variant>
      <vt:variant>
        <vt:i4>2</vt:i4>
      </vt:variant>
      <vt:variant>
        <vt:i4>0</vt:i4>
      </vt:variant>
      <vt:variant>
        <vt:i4>5</vt:i4>
      </vt:variant>
      <vt:variant>
        <vt:lpwstr/>
      </vt:variant>
      <vt:variant>
        <vt:lpwstr>_Toc65077522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Akbilek_B</dc:creator>
  <cp:keywords/>
  <cp:lastModifiedBy>Сакен Жуманали</cp:lastModifiedBy>
  <cp:revision>34</cp:revision>
  <cp:lastPrinted>2023-03-30T09:40:00Z</cp:lastPrinted>
  <dcterms:created xsi:type="dcterms:W3CDTF">2023-02-22T05:15:00Z</dcterms:created>
  <dcterms:modified xsi:type="dcterms:W3CDTF">2023-03-30T09:45:00Z</dcterms:modified>
</cp:coreProperties>
</file>