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240F" w14:textId="62003908" w:rsidR="003F4249" w:rsidRPr="009F37CF" w:rsidRDefault="00654090" w:rsidP="00985C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7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249" w:rsidRPr="00475B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31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3F4249" w:rsidRPr="00475B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249" w:rsidRPr="009F3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облысы Ішкі саясат </w:t>
      </w:r>
    </w:p>
    <w:p w14:paraId="19F43B14" w14:textId="2BCF67BF" w:rsidR="003F4249" w:rsidRPr="009F37CF" w:rsidRDefault="003F4249" w:rsidP="00985CE2">
      <w:pPr>
        <w:spacing w:after="0"/>
        <w:ind w:left="106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басқармасының</w:t>
      </w:r>
    </w:p>
    <w:p w14:paraId="498B29C2" w14:textId="3C3CEFD2" w:rsidR="003F4249" w:rsidRPr="009F37CF" w:rsidRDefault="003F4249" w:rsidP="00985CE2">
      <w:pPr>
        <w:spacing w:after="0"/>
        <w:ind w:left="106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жылғы __________</w:t>
      </w:r>
    </w:p>
    <w:p w14:paraId="7ACDD9DB" w14:textId="34323AAA" w:rsidR="003F4249" w:rsidRPr="009F37CF" w:rsidRDefault="003F4249" w:rsidP="00985CE2">
      <w:pPr>
        <w:spacing w:after="0"/>
        <w:ind w:left="106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№____ бұйрығына қосымша</w:t>
      </w:r>
    </w:p>
    <w:p w14:paraId="462B935B" w14:textId="77777777" w:rsidR="003F4249" w:rsidRPr="00420E5C" w:rsidRDefault="003F4249" w:rsidP="003F4249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0DA03" w14:textId="77777777" w:rsidR="00611CD0" w:rsidRDefault="00FB0C61" w:rsidP="003F4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4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Үкіметтік емес ұйымдарға арналған мемлекеттік гранттардың 2023 жылға арналған басым бағыттарының </w:t>
      </w:r>
    </w:p>
    <w:p w14:paraId="5178514C" w14:textId="77777777" w:rsidR="00FB0C61" w:rsidRDefault="00FB0C61" w:rsidP="003F4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4F2">
        <w:rPr>
          <w:rFonts w:ascii="Times New Roman" w:hAnsi="Times New Roman" w:cs="Times New Roman"/>
          <w:b/>
          <w:sz w:val="28"/>
          <w:szCs w:val="28"/>
          <w:lang w:val="kk-KZ"/>
        </w:rPr>
        <w:t>тізбесі</w:t>
      </w:r>
    </w:p>
    <w:tbl>
      <w:tblPr>
        <w:tblW w:w="16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276"/>
        <w:gridCol w:w="1417"/>
        <w:gridCol w:w="5103"/>
        <w:gridCol w:w="1134"/>
        <w:gridCol w:w="850"/>
        <w:gridCol w:w="3969"/>
        <w:gridCol w:w="1984"/>
      </w:tblGrid>
      <w:tr w:rsidR="00893665" w:rsidRPr="00236296" w14:paraId="7D21E4E4" w14:textId="77777777" w:rsidTr="0085661D">
        <w:trPr>
          <w:trHeight w:val="8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7360454" w14:textId="77777777" w:rsidR="00893665" w:rsidRPr="00970CC4" w:rsidRDefault="00893665" w:rsidP="00970CC4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E50DAC3" w14:textId="77777777" w:rsidR="00893665" w:rsidRPr="00970CC4" w:rsidRDefault="00893665" w:rsidP="0085661D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 xml:space="preserve">Заңның 5-бабының </w:t>
            </w:r>
            <w:r w:rsidRPr="00970CC4">
              <w:rPr>
                <w:rFonts w:asciiTheme="majorBidi" w:hAnsiTheme="majorBidi" w:cstheme="majorBidi"/>
                <w:b/>
                <w:lang w:val="kk-KZ"/>
              </w:rPr>
              <w:br/>
              <w:t>1-тармағына сәйкес мемлекеттік грант саласы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EE55948" w14:textId="77777777" w:rsidR="00893665" w:rsidRPr="00970CC4" w:rsidRDefault="00893665" w:rsidP="0085661D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>Мемлекеттік гранттың басым бағыты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F9F1578" w14:textId="77777777" w:rsidR="00893665" w:rsidRPr="00970CC4" w:rsidRDefault="00893665" w:rsidP="00970CC4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>Мәселенің қысқаша сипаттамасы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5076F3D" w14:textId="77777777" w:rsidR="00893665" w:rsidRPr="00970CC4" w:rsidRDefault="00893665" w:rsidP="0085661D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>Қаржыландыру көлемі (мың теңге)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9435E6A" w14:textId="77777777" w:rsidR="00893665" w:rsidRPr="00970CC4" w:rsidRDefault="00893665" w:rsidP="0085661D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>Грант түрі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889C786" w14:textId="77777777" w:rsidR="00893665" w:rsidRPr="00970CC4" w:rsidRDefault="00893665" w:rsidP="0085661D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lang w:val="kk-KZ"/>
              </w:rPr>
              <w:t>Нысаналы индикатор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8B8304D" w14:textId="77777777" w:rsidR="00893665" w:rsidRPr="00970CC4" w:rsidRDefault="00893665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Материалдық-техникалық базаға қойылатын талаптар</w:t>
            </w:r>
            <w:r w:rsidRPr="00970CC4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br/>
              <w:t>(ұзақ мерзімді гранттарды іске асыру кезінде ғана белгіленеді)</w:t>
            </w:r>
          </w:p>
        </w:tc>
      </w:tr>
      <w:tr w:rsidR="00A131F5" w:rsidRPr="00236296" w14:paraId="2C97C6B3" w14:textId="77777777" w:rsidTr="0085661D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06C0" w14:textId="77777777" w:rsidR="00A131F5" w:rsidRPr="00970CC4" w:rsidRDefault="00A131F5" w:rsidP="00970CC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BA68" w14:textId="77777777" w:rsidR="00A131F5" w:rsidRPr="00970CC4" w:rsidRDefault="00A131F5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CA2" w14:textId="550A475A" w:rsidR="00A131F5" w:rsidRPr="00970CC4" w:rsidRDefault="00A131F5" w:rsidP="00856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Отбасы институтын нығайту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F6D" w14:textId="77777777" w:rsidR="003E4E3D" w:rsidRPr="00970CC4" w:rsidRDefault="003E4E3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bookmarkStart w:id="0" w:name="z43"/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      Отбасыларды қолдау, нығайту және қорғау, отбасылар мен олардың мүшелерінің физикалық, зияткерлік, рухани, адамгершілік дамуына ықпал ететін қажетті жағдайлар жасау, ананы, әкені және баланы қорғау мемлекеттік отбасылық саясаттың мақсаттары болып табылады.</w:t>
            </w:r>
          </w:p>
          <w:p w14:paraId="564603B7" w14:textId="77777777" w:rsidR="003E4E3D" w:rsidRPr="00970CC4" w:rsidRDefault="003E4E3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       Отбасын жоспарлаудың болмауы және ата-ана болуға саналы түрде қарамау болашақта отбасы мен оның мүшелері үшін жағымсыз салдарға алып келуі мүмкін. </w:t>
            </w:r>
          </w:p>
          <w:p w14:paraId="57096962" w14:textId="127AA802" w:rsidR="009F37CF" w:rsidRPr="0085661D" w:rsidRDefault="009F37CF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2022 ж. 2850 арыз түскен, 1199 арыз қанағаттандырылған. Неке</w:t>
            </w:r>
            <w:r w:rsidR="00420E5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ге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тұрған</w:t>
            </w:r>
            <w:r w:rsidR="00420E5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дардың саны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5153. Ажырасу</w:t>
            </w:r>
            <w:r w:rsidR="00A15A87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ың үлес салмағы 23%.</w:t>
            </w:r>
          </w:p>
          <w:p w14:paraId="1F1CAFA4" w14:textId="4679952C" w:rsidR="009F37CF" w:rsidRPr="0085661D" w:rsidRDefault="009F37CF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2021 жылы 2630 арыз түскен оның 1242 арызы қанағаттандырылған. Некеге тұру 5215. 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Ажырасу 24%, </w:t>
            </w:r>
            <w:r w:rsidR="00420E5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ң көп ажырасу Атырау қаласында.</w:t>
            </w:r>
          </w:p>
          <w:p w14:paraId="2A8AF4A8" w14:textId="77777777" w:rsidR="003E4E3D" w:rsidRPr="00970CC4" w:rsidRDefault="003E4E3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1" w:name="z68"/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      Ажырасулардың өсу үрдісі байқалады, бұл ретте балалардың болуы, әдетте, қазақстандықтардың ажырасуы үшін тежеуші фактор болып табылмайды.</w:t>
            </w:r>
          </w:p>
          <w:p w14:paraId="199BA5DC" w14:textId="063AA24C" w:rsidR="0081290B" w:rsidRPr="00970CC4" w:rsidRDefault="0081290B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bookmarkStart w:id="2" w:name="z67"/>
            <w:bookmarkEnd w:id="0"/>
            <w:bookmarkEnd w:id="1"/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    Ажырасуға шешім қабылдаған отбасылармен «Психолог» кабинетінің жұмыс жүргізу, неке куәлігін алған жас отбасылардың  </w:t>
            </w:r>
            <w:r w:rsidR="00A15A8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ү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лгілі </w:t>
            </w:r>
            <w:r w:rsidRPr="00970CC4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«Күміс той», «Алтын той», «Гаухар той» иелерімен кездесу шараларын өткізу арқылы </w:t>
            </w:r>
          </w:p>
          <w:bookmarkEnd w:id="2"/>
          <w:p w14:paraId="0C5B4543" w14:textId="6E0CA419" w:rsidR="00BB70EB" w:rsidRPr="00970CC4" w:rsidRDefault="0081290B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аж</w:t>
            </w:r>
            <w:r w:rsidR="00933421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ырасу мен оның салдарын  зерделеу, шешу </w:t>
            </w:r>
            <w:r w:rsidR="00AC4567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</w:t>
            </w:r>
            <w:r w:rsidR="00933421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олдарына ұсыным 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9C2" w14:textId="2CAACB59" w:rsidR="00A131F5" w:rsidRPr="00970CC4" w:rsidRDefault="00A131F5" w:rsidP="00FE1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5 000</w:t>
            </w:r>
          </w:p>
          <w:p w14:paraId="64BAA6B7" w14:textId="77777777" w:rsidR="00A131F5" w:rsidRPr="00970CC4" w:rsidRDefault="00A131F5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E1B" w14:textId="77777777" w:rsidR="00236296" w:rsidRDefault="00236296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</w:t>
            </w:r>
          </w:p>
          <w:p w14:paraId="679AA002" w14:textId="35CA3BE7" w:rsidR="00A131F5" w:rsidRPr="00970CC4" w:rsidRDefault="0002088A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i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қысқа мерзімді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B4A" w14:textId="77777777" w:rsidR="003E4E3D" w:rsidRPr="00970CC4" w:rsidRDefault="003E4E3D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Нысаналы индикатор:</w:t>
            </w:r>
          </w:p>
          <w:p w14:paraId="6D8360D4" w14:textId="7C8607F1" w:rsidR="00236296" w:rsidRDefault="00236296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Жоба аясында 2 білікті психологты тарта отырып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«Психолог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кабинеті» жұмысы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 ұйымдастыру арқылы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F477CC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Атырау қаласы бойынша а</w:t>
            </w:r>
            <w:r w:rsidR="0081290B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жырасуға арыз берген  о</w:t>
            </w:r>
            <w:r w:rsidR="003E4E3D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тбасы</w:t>
            </w:r>
            <w:r w:rsidR="0081290B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ның кемінде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 пайызын қамту.</w:t>
            </w:r>
          </w:p>
          <w:p w14:paraId="43CA1233" w14:textId="7A59510A" w:rsidR="003E4E3D" w:rsidRPr="00970CC4" w:rsidRDefault="00236296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</w:t>
            </w:r>
            <w:r w:rsidR="0081290B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оба аясында кемінде улгілі 10 отбасы туралы әлеуметтік желілілерге посттар,</w:t>
            </w:r>
            <w:r w:rsidR="00F477CC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отбасыны жоспарлау және ата-ана болудың жауапкершілігі туралы 1 (бір) бейнеролик дайындау және әлеуметтік желілерге жариялау</w:t>
            </w:r>
            <w:r w:rsidR="00E173B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</w:p>
          <w:p w14:paraId="6451C09B" w14:textId="532C5547" w:rsidR="0085661D" w:rsidRPr="00985CE2" w:rsidRDefault="0060098F" w:rsidP="00985C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отбасы мен некенің жағымды бейнесін және  отбасы институтын </w:t>
            </w: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нығайту маңыздылығы туралы 3 мақаланың жарықтандыруы</w:t>
            </w:r>
            <w:r w:rsidR="00985CE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14:paraId="27AAE3FB" w14:textId="3019AEC0" w:rsidR="00775861" w:rsidRPr="00970CC4" w:rsidRDefault="003E4E3D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Күтілетін нәтиже:</w:t>
            </w:r>
          </w:p>
          <w:p w14:paraId="0C704254" w14:textId="50CEDF2A" w:rsidR="0081290B" w:rsidRPr="00970CC4" w:rsidRDefault="0081290B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Тіркелген некелердің жалпы санына қарағанда бұзылған некелердің үлесі  2023 жылы – 2</w:t>
            </w:r>
            <w:r w:rsidR="00236296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3</w:t>
            </w: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%-ды төмендету</w:t>
            </w:r>
            <w:r w:rsidR="00F477C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, арыз санының аза</w:t>
            </w:r>
            <w:r w:rsidR="00A15A87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ю</w:t>
            </w:r>
            <w:r w:rsidR="00F477C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ы, ажырасудың басты мәселел</w:t>
            </w:r>
            <w:r w:rsidR="00775861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е</w:t>
            </w:r>
            <w:r w:rsidR="00F477C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рі және оны ш</w:t>
            </w:r>
            <w:r w:rsidR="001746D9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е</w:t>
            </w:r>
            <w:r w:rsidR="00F477C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шу бағытында ұсынымдар қалыптасу</w:t>
            </w:r>
            <w:r w:rsidR="0060098F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ы</w:t>
            </w:r>
          </w:p>
          <w:p w14:paraId="49AD3C59" w14:textId="4433DEBF" w:rsidR="00236298" w:rsidRPr="00970CC4" w:rsidRDefault="00236298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36E" w14:textId="41EC0538" w:rsidR="00D13439" w:rsidRPr="00970CC4" w:rsidRDefault="00D13439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 w:rsidR="001746D9" w:rsidRPr="00236296" w14:paraId="0ABFF183" w14:textId="77777777" w:rsidTr="0085661D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7C4B" w14:textId="77777777" w:rsidR="001746D9" w:rsidRPr="00970CC4" w:rsidRDefault="001746D9" w:rsidP="00970CC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3D16" w14:textId="77777777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47CA" w14:textId="06601806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Тұрмыстық зорлық-зомбылықтың алдын-алу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7BC" w14:textId="2D713BA3" w:rsidR="00C10B85" w:rsidRPr="00970CC4" w:rsidRDefault="002103E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3" w:name="z121"/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       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Атырау </w:t>
            </w:r>
            <w:r w:rsidR="00615C87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облыстық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615C87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шкі істер басқармасына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отбасылық-тұрмыстық салада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2021 жылы 6915, 2022 жылы 7564 хабарлама 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жасалған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15EC434B" w14:textId="7FD2E275" w:rsidR="00C10B85" w:rsidRPr="00970CC4" w:rsidRDefault="002103E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       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Тұрмыстық зорлық зомбылыққа ұшыраған әйелдерге көмек көрсету бөлімшесін 2021 жылы 22 әйел, 67 бала барлығы 89 адам, 2022 жылы 35 әйел, 70 бала барлығы 105 адам паналады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="00C10B8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Оның ішінде, 2021 жылы 3, 2022 жылы 2  әйел қайта</w:t>
            </w:r>
            <w:r w:rsidR="003E3451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лап түскендер.</w:t>
            </w:r>
          </w:p>
          <w:p w14:paraId="27A5BAB4" w14:textId="257E724D" w:rsidR="001746D9" w:rsidRPr="00970CC4" w:rsidRDefault="00C10B85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    Тұрмыстық зорлық-зомбылыққа ықпал ететін факторлар алкогольге немесе есірткі заттарға әуестік, психикалық және психологиялық аурулар, шамадан тыс агрессивтілік және т.б. сияқты бастапқы себептер жатады. </w:t>
            </w:r>
            <w:r w:rsidR="008C64F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Бұл</w:t>
            </w:r>
            <w:bookmarkEnd w:id="3"/>
            <w:r w:rsidR="000F339F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</w:t>
            </w:r>
            <w:r w:rsidR="001746D9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ажырасу салдары</w:t>
            </w:r>
            <w:r w:rsidR="002C5E15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 әкеледі.</w:t>
            </w:r>
            <w:r w:rsidR="008C64FC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611A878" w14:textId="62DA284E" w:rsidR="009E4BA8" w:rsidRPr="00FE1F25" w:rsidRDefault="000F339F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  <w:r w:rsidR="001746D9" w:rsidRPr="00970CC4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Көбінесе жәбірленушілер бірнеше себептерге байланысты құқық қорғау органдарына көмек сұрамайды: олардың құқықтары мен көмек алу тәсілдері туралы жеткіліксіз </w:t>
            </w:r>
            <w:r w:rsidR="003E3451" w:rsidRPr="00970CC4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="001746D9" w:rsidRPr="00970CC4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агрессордан қорқу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3E3451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болып </w:t>
            </w:r>
            <w:r w:rsidR="003E3451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табылады. Осыған орай, </w:t>
            </w:r>
            <w:r w:rsidR="003E3451" w:rsidRPr="00FE1F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агрессорлармен жұмыс жүргізу және жәбірленушінің құқықтары туралы кеңінен ақпараттандыру қажет</w:t>
            </w:r>
            <w:r w:rsidR="00442808" w:rsidRPr="00FE1F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14:paraId="0EC435FF" w14:textId="315A294A" w:rsidR="009E4BA8" w:rsidRPr="00970CC4" w:rsidRDefault="009E4BA8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20A0" w14:textId="77777777" w:rsidR="001746D9" w:rsidRPr="00970CC4" w:rsidRDefault="001746D9" w:rsidP="00FE1F25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lang w:val="kk-KZ"/>
              </w:rPr>
              <w:lastRenderedPageBreak/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5B51" w14:textId="595BF8AE" w:rsidR="001746D9" w:rsidRPr="00970CC4" w:rsidRDefault="00236296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1 </w:t>
            </w:r>
            <w:r w:rsidR="001746D9" w:rsidRPr="00970CC4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қысқа мерзімді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6717" w14:textId="62C2D4C3" w:rsidR="00852F53" w:rsidRPr="00970CC4" w:rsidRDefault="001746D9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Нысаналы индикатор:</w:t>
            </w:r>
          </w:p>
          <w:p w14:paraId="5C9DE4C3" w14:textId="76D204CD" w:rsidR="00615C87" w:rsidRPr="00970CC4" w:rsidRDefault="00FE1F25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Атырау облысы бойынша </w:t>
            </w:r>
            <w:r w:rsidR="00852F53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615C87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тбасылық тұрмыстық салада жасалған құқық бұзушылық бойынша  агрессорлар</w:t>
            </w:r>
            <w:r w:rsidR="00852F53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дың </w:t>
            </w:r>
            <w:r w:rsidR="00615C87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 пайызын қамту,</w:t>
            </w:r>
          </w:p>
          <w:p w14:paraId="06B26741" w14:textId="67691BC6" w:rsidR="00615C87" w:rsidRPr="00970CC4" w:rsidRDefault="00852F53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-агрессорлармен жұмыс жүргізу жөнінде  10 инспекторларға тренингттер ұйымдастыру;</w:t>
            </w:r>
          </w:p>
          <w:p w14:paraId="7803E6F3" w14:textId="0FF1E6BB" w:rsidR="001746D9" w:rsidRPr="00970CC4" w:rsidRDefault="00852F53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-тұрмыстық зорлық зомбылыққа ұшыраған жәбірленушілерге арналған құқытық, ақпараттық 3 бейнеролик дайындау;</w:t>
            </w:r>
          </w:p>
          <w:p w14:paraId="48838C52" w14:textId="77777777" w:rsidR="00615C87" w:rsidRPr="00970CC4" w:rsidRDefault="00615C87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8BFDEC7" w14:textId="2B898EEE" w:rsidR="001746D9" w:rsidRPr="00970CC4" w:rsidRDefault="001746D9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Күілетін нәтиже:</w:t>
            </w:r>
          </w:p>
          <w:p w14:paraId="03D264B8" w14:textId="56034F23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Тұрмыстық зорлық-зомбылыққа ұшырағандар азаяды. Құқықтық сауаттылық артады. </w:t>
            </w:r>
            <w:r w:rsidR="00A73651"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Жәбірленушілердің </w:t>
            </w: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өзіне деген сенімділігінің артуы,</w:t>
            </w:r>
          </w:p>
          <w:p w14:paraId="396E93F4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отбасының барлық мүшелеріне қатысты, оның ішінде кәмелеттік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жасқа толмаған балалары бар отбасыларды құқықтық қорғау жүйесін жетілдіру,</w:t>
            </w:r>
          </w:p>
          <w:p w14:paraId="622EB874" w14:textId="77777777" w:rsidR="001746D9" w:rsidRPr="00970CC4" w:rsidRDefault="001746D9" w:rsidP="00856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қоғамда тұрмыстық зорлық-зомбылықтың барлық түрлеріне төзбеушілікті қалыптастыру</w:t>
            </w:r>
          </w:p>
          <w:p w14:paraId="4F25ADF7" w14:textId="465B5A17" w:rsidR="002D5F1F" w:rsidRPr="00970CC4" w:rsidRDefault="00852F53" w:rsidP="00856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облыс бойынша агрессорларға түсінік жұмыстарын жүрг</w:t>
            </w:r>
            <w:r w:rsidR="00A73651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іетін 10 </w:t>
            </w:r>
            <w:r w:rsidR="00A73651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маманның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тізімін қалыптасыру</w:t>
            </w:r>
          </w:p>
          <w:p w14:paraId="0F5E3467" w14:textId="58AE3E60" w:rsidR="002D5F1F" w:rsidRPr="00970CC4" w:rsidRDefault="002D5F1F" w:rsidP="0085661D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Тіркелген факторге қарап отбасындағы зорлық-зомбылықты </w:t>
            </w:r>
            <w:r w:rsidR="00236296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1</w:t>
            </w:r>
            <w:r w:rsidRPr="0085661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0 пайызға төмендеу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685" w14:textId="77777777" w:rsidR="001746D9" w:rsidRPr="00970CC4" w:rsidRDefault="001746D9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 w:rsidR="001746D9" w:rsidRPr="00970CC4" w14:paraId="0955812C" w14:textId="77777777" w:rsidTr="0085661D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63A" w14:textId="77777777" w:rsidR="001746D9" w:rsidRPr="00970CC4" w:rsidRDefault="005C7BAF" w:rsidP="00970CC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B50F" w14:textId="77777777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Азаматтық қоғамды дамытуға, оның ішінде үкіметтік емес ұйымдар қызметінің тиімділігін арттыруға жәрдемдесу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DDCF" w14:textId="2F8646DE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Жергілікті  өзін-өзі  басқару негіздері бойынша ақпараттық-түсіндіру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FF1" w14:textId="70C5BE12" w:rsidR="001746D9" w:rsidRPr="00970CC4" w:rsidRDefault="0085661D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     </w:t>
            </w:r>
            <w:r w:rsidR="001746D9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Қазақстан Республикасында 2030 жылға дейін жергілікті өзін-өзі басқаруды дамыту тұжырымдамасы негізінде халықтың азаматтық құқықтық санасы мен құқықтық сауаттылығы деңгейін арттыру  талап етіледі. Үкіметтік емес ұйымдарды белсенді тарту есебінен өкілеттіктердің кеңеюіне байланысты, бірінші кезекте, жергілікті өзін-өзі басқару органдарының мүшелері үшін жергілікті өзін-өзі басқару негіздеріне оқыту бойынша ақпараттық-түсіндіру іс-шаралары ұйымдастыру қажет.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033" w14:textId="399BF20F" w:rsidR="001746D9" w:rsidRPr="00970CC4" w:rsidRDefault="001746D9" w:rsidP="00FE1F25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1197" w14:textId="04C640F3" w:rsidR="001746D9" w:rsidRPr="00970CC4" w:rsidRDefault="00236296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1 </w:t>
            </w:r>
            <w:r w:rsidR="001746D9" w:rsidRPr="00970CC4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қысқа мерзімді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9843" w14:textId="77777777" w:rsidR="001746D9" w:rsidRPr="00970CC4" w:rsidRDefault="001746D9" w:rsidP="0085661D">
            <w:pPr>
              <w:tabs>
                <w:tab w:val="left" w:pos="0"/>
                <w:tab w:val="left" w:pos="34"/>
                <w:tab w:val="left" w:pos="175"/>
                <w:tab w:val="left" w:pos="514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  <w:t>Нысаналы индикатор:</w:t>
            </w:r>
          </w:p>
          <w:p w14:paraId="2A9803FB" w14:textId="11CDF839" w:rsidR="001746D9" w:rsidRPr="00970CC4" w:rsidRDefault="00236296" w:rsidP="0085661D">
            <w:pPr>
              <w:tabs>
                <w:tab w:val="left" w:pos="0"/>
                <w:tab w:val="left" w:pos="34"/>
                <w:tab w:val="left" w:pos="175"/>
                <w:tab w:val="left" w:pos="514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Атырау облысында к</w:t>
            </w:r>
            <w:r w:rsidR="001746D9" w:rsidRPr="00970CC4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емінде 5 (бес) Қаржылық сауаттылық және азаматтардың жергілікті бюджеттерді басқару процесіне қатысу мүмкіндігі бойынша халыққа арналған тақырыптық қолданбалы курстар циклін ұйымдастыру және өткізу;</w:t>
            </w:r>
          </w:p>
          <w:p w14:paraId="24DD6C28" w14:textId="77777777" w:rsidR="001746D9" w:rsidRPr="00970CC4" w:rsidRDefault="001746D9" w:rsidP="0085661D">
            <w:pPr>
              <w:tabs>
                <w:tab w:val="left" w:pos="0"/>
                <w:tab w:val="left" w:pos="34"/>
                <w:tab w:val="left" w:pos="175"/>
                <w:tab w:val="left" w:pos="514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  <w:r w:rsidRPr="00970C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Азаматтардың жергілікті қоғамдастықтың мәселелерін шешуге қатысу тетіктері туралы хабардарлығын арттыру;</w:t>
            </w:r>
          </w:p>
          <w:p w14:paraId="5D8B084E" w14:textId="36567356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Күтілетін нәтиже:</w:t>
            </w:r>
          </w:p>
          <w:p w14:paraId="39CA8701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Халықтың қаржылық және құқықтық сауаттылығын арттыруға бағытталған кемінде 6 семинар-тренинг өткізу, қалалық-ауылдық жергілікті қоғамдастық үшін оқыту курстарын ұйымдастыру</w:t>
            </w:r>
          </w:p>
          <w:p w14:paraId="29AA1612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Пікір алмасу, кері байланыс жинау, өңірлеріндегі азаматтық қоғам арасындағы өзара іс-қимыл үшін 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ұсынымдар мен ең тиімді құралдарды әзірлеу үшін азаматтық институттардың өкілдерімен кемінде 3 пікірталас алаңын (онлайн/офлайн) ұйымдастыру.</w:t>
            </w:r>
          </w:p>
          <w:p w14:paraId="7D1D68CF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Жобаны кең көлемде ақпараттандыру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B6D9" w14:textId="77777777" w:rsidR="001746D9" w:rsidRPr="00970CC4" w:rsidRDefault="001746D9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</w:pPr>
          </w:p>
        </w:tc>
      </w:tr>
      <w:tr w:rsidR="001746D9" w:rsidRPr="00236296" w14:paraId="19951C41" w14:textId="77777777" w:rsidTr="0085661D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1C79" w14:textId="77777777" w:rsidR="001746D9" w:rsidRPr="00970CC4" w:rsidRDefault="005C7BAF" w:rsidP="00970CC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D3A" w14:textId="77777777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Азаматтар мен ұйымдардың құқықтарын, заңды мүдделерін қорғау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104" w14:textId="77777777" w:rsidR="001746D9" w:rsidRPr="00970CC4" w:rsidRDefault="001746D9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Халықтың құқықтық мәдениетінің деңгейін арттыруға бағытталған іс-шаралар өткізу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58A" w14:textId="266B5365" w:rsidR="001746D9" w:rsidRPr="00970CC4" w:rsidRDefault="00970CC4" w:rsidP="00970CC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      </w:t>
            </w:r>
            <w:r w:rsidR="001746D9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Құқықтық сауаттылықтың жеткіліксіз деңгейі азаматтардың құқықтарының бұзылуына әкеп соғады, ал жазасыздық сезімі тәртіпсіздікке және заңнаманың бұзылуына және өзге де заңсыз әрекеттерге әкеп соғады. </w:t>
            </w:r>
          </w:p>
          <w:p w14:paraId="309215DE" w14:textId="49004BF9" w:rsidR="001746D9" w:rsidRPr="00970CC4" w:rsidRDefault="00970CC4" w:rsidP="00970CC4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t xml:space="preserve">       </w:t>
            </w:r>
            <w:r w:rsidR="001746D9" w:rsidRPr="00970C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t>Азаматтық қоғамды дамытудың 2021-2025 жылдарға арналған тұжырымдамасында демократия жағдайында азаматтық қоғамды толыққанды қалыптастыру мен дамыту шарттарының бірі азаматтардың өз құқықтары мен бостандықтарын қамтамасыз ету, сақтау және қорғау мүмкіндіктері мен тетіктерінің болуы, сондай-ақ мемлекеттің адам мен азаматтың құқықтарын жоғары құндылық ретінде тануы және қорғауы болып табылатыны атапөтіледі. Мемлекет пен азаматтық қоғам арасында құқықтық ағарту саласында тиімді ынтымақтастық тетігі құрылады.</w:t>
            </w:r>
          </w:p>
          <w:p w14:paraId="6F5DAB1B" w14:textId="7EEFA34B" w:rsidR="001746D9" w:rsidRPr="00970CC4" w:rsidRDefault="001746D9" w:rsidP="00970C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Осыған байланысты «Бәсекеге қабілетті» қағидаттын толыққанды енгізу үшін облыс 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халқының құқықтық сауаттылығы деңгейін арттыру, құқықтық мәдениетін қалыптастыру 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жөнінде кешенді жұмыс жүргізу қажет, бұл -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Атырау облысында 2022-2024 жылдар кезеңіне «Құқықтық мәдениет» арнайы жобасының тұжырымдамасын жүзеге асыру бойынша іс-шаралар жоспарын іске асыру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үшін келесі бағыттарда </w:t>
            </w:r>
            <w:r w:rsidRPr="00970CC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  <w:t>іс-шаралар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қажет</w:t>
            </w:r>
            <w:r w:rsidR="000B27D4"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.</w:t>
            </w:r>
          </w:p>
          <w:p w14:paraId="3BF3FB9F" w14:textId="6C5C49D6" w:rsidR="001746D9" w:rsidRPr="00970CC4" w:rsidRDefault="00FE1F25" w:rsidP="00970CC4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        </w:t>
            </w:r>
            <w:r w:rsidR="001746D9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Өңірлік консультанттарды дайындау үшін тренингтер ұйымдастыру, өткізу, оларды бағдарламамен және жоба бойынша одан әрі қызметпен таныстыру.</w:t>
            </w:r>
          </w:p>
          <w:p w14:paraId="1A08E033" w14:textId="77777777" w:rsidR="001746D9" w:rsidRPr="00970CC4" w:rsidRDefault="001746D9" w:rsidP="00970CC4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Тәжірибелі құқықтанушылар мен теоретиктердің қатарынан озық деңгейдегі сарапшылар пулын </w:t>
            </w:r>
            <w:r w:rsidRPr="00970CC4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(20 адамнан кем емес)</w:t>
            </w: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қалыптастыру.</w:t>
            </w:r>
          </w:p>
          <w:p w14:paraId="618DCB68" w14:textId="77777777" w:rsidR="001746D9" w:rsidRPr="00970CC4" w:rsidRDefault="001746D9" w:rsidP="00970C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  <w:p w14:paraId="00BAC024" w14:textId="22703C4C" w:rsidR="001746D9" w:rsidRPr="00970CC4" w:rsidRDefault="001746D9" w:rsidP="0085661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329" w14:textId="2EA1EACA" w:rsidR="001746D9" w:rsidRPr="00970CC4" w:rsidRDefault="001746D9" w:rsidP="00FE1F25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lastRenderedPageBreak/>
              <w:t>6 507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6F3" w14:textId="77777777" w:rsidR="00236296" w:rsidRDefault="00236296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</w:t>
            </w:r>
          </w:p>
          <w:p w14:paraId="51D69A92" w14:textId="2DA3A5AB" w:rsidR="001746D9" w:rsidRPr="00970CC4" w:rsidRDefault="001746D9" w:rsidP="00985CE2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қысқа мерзімді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DBE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Нысаналы индикатор:</w:t>
            </w:r>
          </w:p>
          <w:p w14:paraId="3A8921B4" w14:textId="79490EB8" w:rsidR="00321825" w:rsidRPr="00970CC4" w:rsidRDefault="00FE1F25" w:rsidP="00856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Атырау облысында қ</w:t>
            </w:r>
            <w:r w:rsidR="00321825"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ұқықтық білім беру негіздерін танымал ету бойынша кең ақпараттық науқан өткізу.</w:t>
            </w:r>
          </w:p>
          <w:p w14:paraId="347132E6" w14:textId="7217603B" w:rsidR="00321825" w:rsidRPr="00970CC4" w:rsidRDefault="000B27D4" w:rsidP="00856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Еңбек ұжымдарында құқықтың түрлі аспектілері бойынша 5 оқыту дәрістерін ұйымдастыру және өткізу.</w:t>
            </w:r>
          </w:p>
          <w:p w14:paraId="6B5FA963" w14:textId="51A44BA5" w:rsidR="000B27D4" w:rsidRPr="00970CC4" w:rsidRDefault="00E53E58" w:rsidP="00856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Т</w:t>
            </w:r>
            <w:r w:rsidR="000B27D4"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анымал адамдарды, қоғамдық пікір көшбасшыларын, заңгерлерді, блогерлерді  тарта отырып, қ</w:t>
            </w:r>
            <w:r w:rsidR="000B27D4"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ұқықтың түрлі салалары бойынша білім беру және тәжірибелік-бағытталған 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5 </w:t>
            </w:r>
            <w:r w:rsidR="000B27D4"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іс-шаралар кешенін жүргізу.</w:t>
            </w:r>
          </w:p>
          <w:p w14:paraId="26004B9B" w14:textId="77777777" w:rsidR="0085661D" w:rsidRPr="00970CC4" w:rsidRDefault="0085661D" w:rsidP="0085661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Танымал әлеуметтік желілерде, паблик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тарда,  кемінде 20 қ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ұқық бұзылған жағдайда қабылдануы қажет іс-әрекеттер бойынша бейне мастер-класстар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,</w:t>
            </w:r>
            <w:r w:rsidRPr="00970CC4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құқықтық  кеңестердің жа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рияланымдар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дың шығуы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;</w:t>
            </w:r>
          </w:p>
          <w:p w14:paraId="7169015D" w14:textId="77777777" w:rsidR="00E53E58" w:rsidRPr="00970CC4" w:rsidRDefault="00E53E58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Күтілетін нәтиже:</w:t>
            </w:r>
          </w:p>
          <w:p w14:paraId="35BA13F6" w14:textId="30D63B91" w:rsidR="001746D9" w:rsidRPr="00970CC4" w:rsidRDefault="0085661D" w:rsidP="00856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Тұрғындарының </w:t>
            </w:r>
            <w:r w:rsidR="001746D9"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сапалы құқықтық мәлімет алуы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</w:p>
          <w:p w14:paraId="3E9C9836" w14:textId="74615073" w:rsidR="001746D9" w:rsidRPr="00970CC4" w:rsidRDefault="001746D9" w:rsidP="00856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Азаматтардың құқықтарын қорғау саласындағы үздік жұмыс істейтін </w:t>
            </w:r>
            <w:r w:rsidRPr="00970C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lastRenderedPageBreak/>
              <w:t>модельдерді масштабтауға дайындау</w:t>
            </w:r>
            <w:r w:rsidR="008566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44ABAA6A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Өз құқықтары туралы ақпараттандырылған азаматтар санын арттыру.</w:t>
            </w:r>
          </w:p>
          <w:p w14:paraId="08B57D74" w14:textId="77777777" w:rsidR="001746D9" w:rsidRPr="00970CC4" w:rsidRDefault="001746D9" w:rsidP="0085661D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Өз құқықтық мәселелерін шешкен адамдардың санын арттыру.</w:t>
            </w:r>
          </w:p>
          <w:p w14:paraId="359A6F8F" w14:textId="77777777" w:rsidR="001746D9" w:rsidRPr="00970CC4" w:rsidRDefault="001746D9" w:rsidP="0085661D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Ұсақ құқық бұзушылық деңгейін төмендету.</w:t>
            </w:r>
          </w:p>
          <w:p w14:paraId="00B67F12" w14:textId="14B909D9" w:rsidR="001746D9" w:rsidRPr="00970CC4" w:rsidRDefault="001746D9" w:rsidP="0085661D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Құқықтық мәселелер бойынша консультанттардың санын арттыру.</w:t>
            </w:r>
          </w:p>
          <w:p w14:paraId="426C2BEE" w14:textId="17FE3286" w:rsidR="001746D9" w:rsidRPr="00970CC4" w:rsidRDefault="0085661D" w:rsidP="0085661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обаны іске асыру шеңберінде қамтылған халық саны </w:t>
            </w:r>
            <w:r w:rsidR="00A15A8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5</w:t>
            </w:r>
            <w:r w:rsidRPr="00970CC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000-нан астам адам.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223" w14:textId="77777777" w:rsidR="001746D9" w:rsidRPr="00970CC4" w:rsidRDefault="001746D9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936390A" w14:textId="77777777" w:rsidR="001746D9" w:rsidRPr="00970CC4" w:rsidRDefault="001746D9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  <w:p w14:paraId="403703AF" w14:textId="77777777" w:rsidR="001746D9" w:rsidRPr="00970CC4" w:rsidRDefault="001746D9" w:rsidP="0085661D">
            <w:pPr>
              <w:pStyle w:val="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 w:rsidR="0085661D" w:rsidRPr="00970CC4" w14:paraId="3FB0B3A3" w14:textId="77777777" w:rsidTr="0022065E">
        <w:trPr>
          <w:trHeight w:val="548"/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EC4" w14:textId="02E56B6A" w:rsidR="0085661D" w:rsidRPr="00970CC4" w:rsidRDefault="0085661D" w:rsidP="008566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959" w14:textId="19BB81BB" w:rsidR="0085661D" w:rsidRPr="00970CC4" w:rsidRDefault="0085661D" w:rsidP="0085661D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Cs w:val="0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Cs w:val="0"/>
                <w:sz w:val="24"/>
                <w:szCs w:val="24"/>
                <w:lang w:val="kk-KZ"/>
              </w:rPr>
              <w:t>19 507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9480" w14:textId="77777777" w:rsidR="0085661D" w:rsidRPr="00970CC4" w:rsidRDefault="0085661D" w:rsidP="0085661D">
            <w:pPr>
              <w:pStyle w:val="3"/>
              <w:spacing w:before="0" w:beforeAutospacing="0" w:after="0" w:afterAutospacing="0"/>
              <w:ind w:hanging="108"/>
              <w:jc w:val="both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ABD2" w14:textId="77777777" w:rsidR="0085661D" w:rsidRPr="00970CC4" w:rsidRDefault="0085661D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6F69" w14:textId="77777777" w:rsidR="0085661D" w:rsidRPr="00970CC4" w:rsidRDefault="0085661D" w:rsidP="008566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78E8394C" w14:textId="77777777" w:rsidR="003F4249" w:rsidRDefault="003F4249" w:rsidP="003E4E3D">
      <w:pPr>
        <w:rPr>
          <w:lang w:val="kk-KZ"/>
        </w:rPr>
      </w:pPr>
    </w:p>
    <w:p w14:paraId="7FEB100B" w14:textId="77777777" w:rsidR="00E15673" w:rsidRDefault="00E15673" w:rsidP="003E4E3D">
      <w:pPr>
        <w:rPr>
          <w:lang w:val="kk-KZ"/>
        </w:rPr>
      </w:pPr>
    </w:p>
    <w:sectPr w:rsidR="00E15673" w:rsidSect="00611CD0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A864" w14:textId="77777777" w:rsidR="00946AE6" w:rsidRDefault="00946AE6" w:rsidP="003731E6">
      <w:pPr>
        <w:spacing w:after="0" w:line="240" w:lineRule="auto"/>
      </w:pPr>
      <w:r>
        <w:separator/>
      </w:r>
    </w:p>
  </w:endnote>
  <w:endnote w:type="continuationSeparator" w:id="0">
    <w:p w14:paraId="251D418A" w14:textId="77777777" w:rsidR="00946AE6" w:rsidRDefault="00946AE6" w:rsidP="0037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DD8F" w14:textId="77777777" w:rsidR="00946AE6" w:rsidRDefault="00946AE6" w:rsidP="003731E6">
      <w:pPr>
        <w:spacing w:after="0" w:line="240" w:lineRule="auto"/>
      </w:pPr>
      <w:r>
        <w:separator/>
      </w:r>
    </w:p>
  </w:footnote>
  <w:footnote w:type="continuationSeparator" w:id="0">
    <w:p w14:paraId="52538A3B" w14:textId="77777777" w:rsidR="00946AE6" w:rsidRDefault="00946AE6" w:rsidP="0037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324532"/>
      <w:docPartObj>
        <w:docPartGallery w:val="Page Numbers (Top of Page)"/>
        <w:docPartUnique/>
      </w:docPartObj>
    </w:sdtPr>
    <w:sdtEndPr/>
    <w:sdtContent>
      <w:p w14:paraId="71FDF37D" w14:textId="73D9628F" w:rsidR="003731E6" w:rsidRDefault="003731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114F2" w14:textId="77777777" w:rsidR="003731E6" w:rsidRDefault="00373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460"/>
    <w:multiLevelType w:val="hybridMultilevel"/>
    <w:tmpl w:val="E514E1D2"/>
    <w:lvl w:ilvl="0" w:tplc="06B4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803D8"/>
    <w:multiLevelType w:val="hybridMultilevel"/>
    <w:tmpl w:val="3842A320"/>
    <w:lvl w:ilvl="0" w:tplc="0409000F">
      <w:start w:val="1"/>
      <w:numFmt w:val="decimal"/>
      <w:lvlText w:val="%1."/>
      <w:lvlJc w:val="left"/>
      <w:pPr>
        <w:ind w:left="442" w:hanging="360"/>
      </w:pPr>
    </w:lvl>
    <w:lvl w:ilvl="1" w:tplc="04090019">
      <w:start w:val="1"/>
      <w:numFmt w:val="lowerLetter"/>
      <w:lvlText w:val="%2."/>
      <w:lvlJc w:val="left"/>
      <w:pPr>
        <w:ind w:left="1162" w:hanging="360"/>
      </w:pPr>
    </w:lvl>
    <w:lvl w:ilvl="2" w:tplc="0409001B">
      <w:start w:val="1"/>
      <w:numFmt w:val="lowerRoman"/>
      <w:lvlText w:val="%3."/>
      <w:lvlJc w:val="right"/>
      <w:pPr>
        <w:ind w:left="1882" w:hanging="180"/>
      </w:pPr>
    </w:lvl>
    <w:lvl w:ilvl="3" w:tplc="0409000F">
      <w:start w:val="1"/>
      <w:numFmt w:val="decimal"/>
      <w:lvlText w:val="%4."/>
      <w:lvlJc w:val="left"/>
      <w:pPr>
        <w:ind w:left="2602" w:hanging="360"/>
      </w:pPr>
    </w:lvl>
    <w:lvl w:ilvl="4" w:tplc="04090019">
      <w:start w:val="1"/>
      <w:numFmt w:val="lowerLetter"/>
      <w:lvlText w:val="%5."/>
      <w:lvlJc w:val="left"/>
      <w:pPr>
        <w:ind w:left="3322" w:hanging="360"/>
      </w:pPr>
    </w:lvl>
    <w:lvl w:ilvl="5" w:tplc="0409001B">
      <w:start w:val="1"/>
      <w:numFmt w:val="lowerRoman"/>
      <w:lvlText w:val="%6."/>
      <w:lvlJc w:val="right"/>
      <w:pPr>
        <w:ind w:left="4042" w:hanging="180"/>
      </w:pPr>
    </w:lvl>
    <w:lvl w:ilvl="6" w:tplc="0409000F">
      <w:start w:val="1"/>
      <w:numFmt w:val="decimal"/>
      <w:lvlText w:val="%7."/>
      <w:lvlJc w:val="left"/>
      <w:pPr>
        <w:ind w:left="4762" w:hanging="360"/>
      </w:pPr>
    </w:lvl>
    <w:lvl w:ilvl="7" w:tplc="04090019">
      <w:start w:val="1"/>
      <w:numFmt w:val="lowerLetter"/>
      <w:lvlText w:val="%8."/>
      <w:lvlJc w:val="left"/>
      <w:pPr>
        <w:ind w:left="5482" w:hanging="360"/>
      </w:pPr>
    </w:lvl>
    <w:lvl w:ilvl="8" w:tplc="0409001B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2B506C"/>
    <w:multiLevelType w:val="hybridMultilevel"/>
    <w:tmpl w:val="4ABA551E"/>
    <w:lvl w:ilvl="0" w:tplc="CE6C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37344"/>
    <w:multiLevelType w:val="hybridMultilevel"/>
    <w:tmpl w:val="83943A0E"/>
    <w:lvl w:ilvl="0" w:tplc="0409000F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40A0"/>
    <w:multiLevelType w:val="hybridMultilevel"/>
    <w:tmpl w:val="037C2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F46D7"/>
    <w:multiLevelType w:val="hybridMultilevel"/>
    <w:tmpl w:val="C1148F7A"/>
    <w:lvl w:ilvl="0" w:tplc="AA3AE0C2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55891"/>
    <w:multiLevelType w:val="hybridMultilevel"/>
    <w:tmpl w:val="656A02E4"/>
    <w:lvl w:ilvl="0" w:tplc="DFD0BF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67D02"/>
    <w:multiLevelType w:val="hybridMultilevel"/>
    <w:tmpl w:val="FB26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82E42"/>
    <w:multiLevelType w:val="hybridMultilevel"/>
    <w:tmpl w:val="CD1AED52"/>
    <w:lvl w:ilvl="0" w:tplc="8E32B3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6521A"/>
    <w:multiLevelType w:val="hybridMultilevel"/>
    <w:tmpl w:val="9906F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99"/>
    <w:rsid w:val="0002088A"/>
    <w:rsid w:val="00052F16"/>
    <w:rsid w:val="00087FD3"/>
    <w:rsid w:val="000B27D4"/>
    <w:rsid w:val="000B3978"/>
    <w:rsid w:val="000B3BFD"/>
    <w:rsid w:val="000F339F"/>
    <w:rsid w:val="00114B6F"/>
    <w:rsid w:val="00141D1E"/>
    <w:rsid w:val="001744F6"/>
    <w:rsid w:val="001746D9"/>
    <w:rsid w:val="001A3195"/>
    <w:rsid w:val="001A3BB3"/>
    <w:rsid w:val="001B2A1B"/>
    <w:rsid w:val="001C7F2D"/>
    <w:rsid w:val="001D5BD6"/>
    <w:rsid w:val="001D6744"/>
    <w:rsid w:val="001F4383"/>
    <w:rsid w:val="00203598"/>
    <w:rsid w:val="0020616F"/>
    <w:rsid w:val="002103ED"/>
    <w:rsid w:val="002307BD"/>
    <w:rsid w:val="00236296"/>
    <w:rsid w:val="00236298"/>
    <w:rsid w:val="00265564"/>
    <w:rsid w:val="002B38AE"/>
    <w:rsid w:val="002C5E15"/>
    <w:rsid w:val="002D5F1F"/>
    <w:rsid w:val="00321825"/>
    <w:rsid w:val="0034544C"/>
    <w:rsid w:val="003731E6"/>
    <w:rsid w:val="003C1383"/>
    <w:rsid w:val="003E3451"/>
    <w:rsid w:val="003E4E3D"/>
    <w:rsid w:val="003F4249"/>
    <w:rsid w:val="00420E5C"/>
    <w:rsid w:val="004371CE"/>
    <w:rsid w:val="00442808"/>
    <w:rsid w:val="00451266"/>
    <w:rsid w:val="004635A1"/>
    <w:rsid w:val="00482108"/>
    <w:rsid w:val="0057189B"/>
    <w:rsid w:val="005855E4"/>
    <w:rsid w:val="005A110D"/>
    <w:rsid w:val="005C7BAF"/>
    <w:rsid w:val="0060098F"/>
    <w:rsid w:val="006104FA"/>
    <w:rsid w:val="00611CD0"/>
    <w:rsid w:val="00615C87"/>
    <w:rsid w:val="00623E39"/>
    <w:rsid w:val="006435BE"/>
    <w:rsid w:val="00654090"/>
    <w:rsid w:val="0066647A"/>
    <w:rsid w:val="00696DF8"/>
    <w:rsid w:val="006D49A8"/>
    <w:rsid w:val="006D54A1"/>
    <w:rsid w:val="006F3D42"/>
    <w:rsid w:val="00730660"/>
    <w:rsid w:val="007560AB"/>
    <w:rsid w:val="00767245"/>
    <w:rsid w:val="007705E5"/>
    <w:rsid w:val="00775861"/>
    <w:rsid w:val="007D546D"/>
    <w:rsid w:val="007E76A3"/>
    <w:rsid w:val="008047F4"/>
    <w:rsid w:val="0081290B"/>
    <w:rsid w:val="008330CA"/>
    <w:rsid w:val="00852F53"/>
    <w:rsid w:val="0085661D"/>
    <w:rsid w:val="00883A6C"/>
    <w:rsid w:val="00893665"/>
    <w:rsid w:val="008C64FC"/>
    <w:rsid w:val="008F5B24"/>
    <w:rsid w:val="00921899"/>
    <w:rsid w:val="009222F8"/>
    <w:rsid w:val="00933421"/>
    <w:rsid w:val="0093668A"/>
    <w:rsid w:val="00946AE6"/>
    <w:rsid w:val="00970CC4"/>
    <w:rsid w:val="00975B47"/>
    <w:rsid w:val="00985CE2"/>
    <w:rsid w:val="00991914"/>
    <w:rsid w:val="009E4BA8"/>
    <w:rsid w:val="009E52D7"/>
    <w:rsid w:val="009E5F49"/>
    <w:rsid w:val="009F19C0"/>
    <w:rsid w:val="009F37CF"/>
    <w:rsid w:val="00A0351C"/>
    <w:rsid w:val="00A03CCC"/>
    <w:rsid w:val="00A07251"/>
    <w:rsid w:val="00A131F5"/>
    <w:rsid w:val="00A15A87"/>
    <w:rsid w:val="00A403BB"/>
    <w:rsid w:val="00A73651"/>
    <w:rsid w:val="00A774F2"/>
    <w:rsid w:val="00AB0515"/>
    <w:rsid w:val="00AC4567"/>
    <w:rsid w:val="00AD12B0"/>
    <w:rsid w:val="00B20523"/>
    <w:rsid w:val="00B261B1"/>
    <w:rsid w:val="00B575A6"/>
    <w:rsid w:val="00B90066"/>
    <w:rsid w:val="00BB70EB"/>
    <w:rsid w:val="00BE3BCB"/>
    <w:rsid w:val="00C10B85"/>
    <w:rsid w:val="00C521A3"/>
    <w:rsid w:val="00CC2E80"/>
    <w:rsid w:val="00CE2813"/>
    <w:rsid w:val="00D11B99"/>
    <w:rsid w:val="00D12055"/>
    <w:rsid w:val="00D13439"/>
    <w:rsid w:val="00D16E25"/>
    <w:rsid w:val="00D5266B"/>
    <w:rsid w:val="00E15673"/>
    <w:rsid w:val="00E173BF"/>
    <w:rsid w:val="00E53E58"/>
    <w:rsid w:val="00E85428"/>
    <w:rsid w:val="00EA0823"/>
    <w:rsid w:val="00EA2FB5"/>
    <w:rsid w:val="00EE331B"/>
    <w:rsid w:val="00EE634F"/>
    <w:rsid w:val="00F0744E"/>
    <w:rsid w:val="00F27181"/>
    <w:rsid w:val="00F477CC"/>
    <w:rsid w:val="00F80CEE"/>
    <w:rsid w:val="00F9629A"/>
    <w:rsid w:val="00FB0C61"/>
    <w:rsid w:val="00FE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D533"/>
  <w15:docId w15:val="{656A00F1-33CF-41CC-B11F-3668AF4F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EE"/>
  </w:style>
  <w:style w:type="paragraph" w:styleId="3">
    <w:name w:val="heading 3"/>
    <w:basedOn w:val="a"/>
    <w:link w:val="30"/>
    <w:uiPriority w:val="9"/>
    <w:unhideWhenUsed/>
    <w:qFormat/>
    <w:rsid w:val="00893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66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89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F42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маркированный,Абзац списка11,References,List Paragraph (numbered (a)),Bullets,NUMBERED PARAGRAPH,List Paragraph 1,List_Paragraph,Multilevel para_II,Akapit z listą BS,IBL List Paragraph,List Paragraph nowy,Numbered List Paragraph,Bullet1"/>
    <w:basedOn w:val="a"/>
    <w:link w:val="a7"/>
    <w:uiPriority w:val="1"/>
    <w:qFormat/>
    <w:rsid w:val="0099191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7">
    <w:name w:val="Абзац списка Знак"/>
    <w:aliases w:val="маркированный Знак,Абзац списка11 Знак,References Знак,List Paragraph (numbered (a)) Знак,Bullets Знак,NUMBERED PARAGRAPH Знак,List Paragraph 1 Знак,List_Paragraph Знак,Multilevel para_II Знак,Akapit z listą BS Знак,Bullet1 Знак"/>
    <w:link w:val="a6"/>
    <w:uiPriority w:val="1"/>
    <w:locked/>
    <w:rsid w:val="00991914"/>
    <w:rPr>
      <w:rFonts w:ascii="Calibri" w:eastAsia="Calibri" w:hAnsi="Calibri" w:cs="Calibri"/>
      <w:lang w:val="ru-RU"/>
    </w:rPr>
  </w:style>
  <w:style w:type="paragraph" w:styleId="a8">
    <w:name w:val="header"/>
    <w:basedOn w:val="a"/>
    <w:link w:val="a9"/>
    <w:uiPriority w:val="99"/>
    <w:unhideWhenUsed/>
    <w:rsid w:val="0037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1E6"/>
  </w:style>
  <w:style w:type="paragraph" w:styleId="aa">
    <w:name w:val="footer"/>
    <w:basedOn w:val="a"/>
    <w:link w:val="ab"/>
    <w:uiPriority w:val="99"/>
    <w:unhideWhenUsed/>
    <w:rsid w:val="0037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A918-1A52-4455-A9F6-7581295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Gulbarshyn Mendakulova</dc:creator>
  <cp:keywords/>
  <dc:description/>
  <cp:lastModifiedBy>Gulbarshyn Mendakulova</cp:lastModifiedBy>
  <cp:revision>14</cp:revision>
  <cp:lastPrinted>2023-03-10T09:54:00Z</cp:lastPrinted>
  <dcterms:created xsi:type="dcterms:W3CDTF">2023-03-01T10:19:00Z</dcterms:created>
  <dcterms:modified xsi:type="dcterms:W3CDTF">2023-03-16T05:48:00Z</dcterms:modified>
</cp:coreProperties>
</file>