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20" w:rsidRPr="00D91D16" w:rsidRDefault="00D91D16" w:rsidP="00D91D16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91D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«БЕКІТЕМІН»</w:t>
      </w:r>
    </w:p>
    <w:p w:rsidR="00D91D16" w:rsidRPr="00F81D77" w:rsidRDefault="00D91D16" w:rsidP="00D91D16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Батыс Қазақстан облысы</w:t>
      </w:r>
    </w:p>
    <w:p w:rsidR="00D91D16" w:rsidRPr="00F81D77" w:rsidRDefault="00D91D16" w:rsidP="00D91D16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Қоғамдық даму басқармасының басшысы</w:t>
      </w:r>
    </w:p>
    <w:p w:rsidR="00BB569C" w:rsidRPr="00F81D77" w:rsidRDefault="00BB569C" w:rsidP="00D91D16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_________________</w:t>
      </w:r>
      <w:r w:rsidR="00B15DEE"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Е.Галиев</w:t>
      </w:r>
    </w:p>
    <w:p w:rsidR="00D91D16" w:rsidRPr="00F81D77" w:rsidRDefault="00BB569C" w:rsidP="00D91D16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«_____»</w:t>
      </w:r>
      <w:r w:rsidR="00D91D16"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_______________</w:t>
      </w:r>
      <w:r w:rsidR="00D91D16" w:rsidRPr="00F81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2023 жыл</w:t>
      </w:r>
    </w:p>
    <w:p w:rsidR="00D91D16" w:rsidRPr="00D91D16" w:rsidRDefault="00D91D16" w:rsidP="00D91D16">
      <w:pPr>
        <w:ind w:left="708"/>
        <w:rPr>
          <w:sz w:val="24"/>
          <w:szCs w:val="24"/>
          <w:lang w:val="kk-KZ"/>
        </w:rPr>
      </w:pPr>
    </w:p>
    <w:p w:rsidR="00D91D16" w:rsidRPr="00D91D16" w:rsidRDefault="00D91D16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Батыс Қазақстан облысы бойынша ү</w:t>
      </w:r>
      <w:r w:rsidRPr="00D91D16">
        <w:rPr>
          <w:rFonts w:ascii="Times New Roman" w:hAnsi="Times New Roman" w:cs="Times New Roman"/>
          <w:b/>
          <w:sz w:val="24"/>
          <w:szCs w:val="24"/>
          <w:lang w:val="kk-KZ"/>
        </w:rPr>
        <w:t>кіметтік емес ұйымдар үшін 2023 жылға арналған мемлекеттік гранттардың тізбесі</w:t>
      </w:r>
    </w:p>
    <w:p w:rsidR="00D91D16" w:rsidRDefault="00D91D16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1889"/>
        <w:gridCol w:w="3260"/>
        <w:gridCol w:w="1701"/>
        <w:gridCol w:w="1595"/>
        <w:gridCol w:w="3686"/>
        <w:gridCol w:w="1988"/>
      </w:tblGrid>
      <w:tr w:rsidR="00D91D16" w:rsidRPr="00387936" w:rsidTr="003F1ED0">
        <w:trPr>
          <w:trHeight w:val="896"/>
          <w:jc w:val="center"/>
        </w:trPr>
        <w:tc>
          <w:tcPr>
            <w:tcW w:w="1690" w:type="dxa"/>
            <w:shd w:val="clear" w:color="auto" w:fill="FFFFFF" w:themeFill="background1"/>
          </w:tcPr>
          <w:p w:rsidR="00D91D16" w:rsidRPr="00D91D16" w:rsidRDefault="00D91D16" w:rsidP="00D91D1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D91D16">
              <w:rPr>
                <w:b/>
                <w:sz w:val="20"/>
                <w:szCs w:val="20"/>
                <w:lang w:val="kk-KZ"/>
              </w:rPr>
              <w:t xml:space="preserve">Заңның 5-бабының </w:t>
            </w:r>
            <w:r w:rsidRPr="00D91D16">
              <w:rPr>
                <w:b/>
                <w:sz w:val="20"/>
                <w:szCs w:val="20"/>
                <w:lang w:val="kk-KZ"/>
              </w:rPr>
              <w:br/>
              <w:t>1-тармағына сәйкес мемлекеттік грант саласы</w:t>
            </w:r>
          </w:p>
        </w:tc>
        <w:tc>
          <w:tcPr>
            <w:tcW w:w="1889" w:type="dxa"/>
            <w:shd w:val="clear" w:color="auto" w:fill="FFFFFF" w:themeFill="background1"/>
          </w:tcPr>
          <w:p w:rsidR="00D91D16" w:rsidRPr="00D91D16" w:rsidRDefault="00D91D16" w:rsidP="00D91D1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D91D16">
              <w:rPr>
                <w:b/>
                <w:sz w:val="20"/>
                <w:szCs w:val="20"/>
                <w:lang w:val="kk-KZ"/>
              </w:rPr>
              <w:t>Мемлекеттік гранттың басым бағыты</w:t>
            </w:r>
          </w:p>
        </w:tc>
        <w:tc>
          <w:tcPr>
            <w:tcW w:w="3260" w:type="dxa"/>
            <w:shd w:val="clear" w:color="auto" w:fill="FFFFFF" w:themeFill="background1"/>
          </w:tcPr>
          <w:p w:rsidR="00D91D16" w:rsidRPr="00D91D16" w:rsidRDefault="00D91D16" w:rsidP="00D91D1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D91D16">
              <w:rPr>
                <w:b/>
                <w:sz w:val="20"/>
                <w:szCs w:val="20"/>
                <w:lang w:val="kk-KZ"/>
              </w:rPr>
              <w:t>Мәселенің қысқаша сипаттамасы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D91D16" w:rsidRPr="00D91D16" w:rsidRDefault="00D91D16" w:rsidP="00D91D1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D91D16">
              <w:rPr>
                <w:b/>
                <w:sz w:val="20"/>
                <w:szCs w:val="20"/>
                <w:lang w:val="kk-KZ"/>
              </w:rPr>
              <w:t>Қаржыландыру көлемі (мың теңге)</w:t>
            </w:r>
          </w:p>
        </w:tc>
        <w:tc>
          <w:tcPr>
            <w:tcW w:w="1595" w:type="dxa"/>
            <w:shd w:val="clear" w:color="auto" w:fill="FFFFFF" w:themeFill="background1"/>
          </w:tcPr>
          <w:p w:rsidR="00D91D16" w:rsidRPr="00D91D16" w:rsidRDefault="00D91D16" w:rsidP="00D91D1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D91D16">
              <w:rPr>
                <w:b/>
                <w:sz w:val="20"/>
                <w:szCs w:val="20"/>
                <w:lang w:val="kk-KZ"/>
              </w:rPr>
              <w:t>Грант түрі</w:t>
            </w:r>
          </w:p>
        </w:tc>
        <w:tc>
          <w:tcPr>
            <w:tcW w:w="3686" w:type="dxa"/>
            <w:shd w:val="clear" w:color="auto" w:fill="FFFFFF" w:themeFill="background1"/>
          </w:tcPr>
          <w:p w:rsidR="00D91D16" w:rsidRPr="00D91D16" w:rsidRDefault="00D91D16" w:rsidP="00D91D1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D91D16">
              <w:rPr>
                <w:b/>
                <w:sz w:val="20"/>
                <w:szCs w:val="20"/>
                <w:lang w:val="kk-KZ"/>
              </w:rPr>
              <w:t>Нысаналы индикатор</w:t>
            </w:r>
          </w:p>
        </w:tc>
        <w:tc>
          <w:tcPr>
            <w:tcW w:w="1988" w:type="dxa"/>
            <w:shd w:val="clear" w:color="auto" w:fill="FFFFFF" w:themeFill="background1"/>
          </w:tcPr>
          <w:p w:rsidR="00D91D16" w:rsidRPr="00D91D16" w:rsidRDefault="00D91D16" w:rsidP="00D91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Материалдық-техникалық базаға қойылатын талаптар</w:t>
            </w:r>
            <w:r w:rsidRPr="00D91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>(ұзақ мерзімді гранттарды іске асыру кезінде ғана белгіленеді)</w:t>
            </w:r>
          </w:p>
        </w:tc>
      </w:tr>
      <w:tr w:rsidR="00D91D16" w:rsidRPr="00D91D16" w:rsidTr="003F1ED0">
        <w:trPr>
          <w:trHeight w:val="409"/>
          <w:jc w:val="center"/>
        </w:trPr>
        <w:tc>
          <w:tcPr>
            <w:tcW w:w="15809" w:type="dxa"/>
            <w:gridSpan w:val="7"/>
            <w:shd w:val="clear" w:color="auto" w:fill="FFFFFF" w:themeFill="background1"/>
            <w:vAlign w:val="center"/>
          </w:tcPr>
          <w:p w:rsidR="00D91D16" w:rsidRPr="00D91D16" w:rsidRDefault="00D91D16" w:rsidP="0078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БҚО Қоғамдық даму басқармасы</w:t>
            </w:r>
          </w:p>
        </w:tc>
      </w:tr>
      <w:tr w:rsidR="00D91D16" w:rsidRPr="00D91D16" w:rsidTr="003F1ED0">
        <w:trPr>
          <w:trHeight w:val="1262"/>
          <w:jc w:val="center"/>
        </w:trPr>
        <w:tc>
          <w:tcPr>
            <w:tcW w:w="1690" w:type="dxa"/>
          </w:tcPr>
          <w:p w:rsidR="00D91D16" w:rsidRPr="00D91D16" w:rsidRDefault="00D91D16" w:rsidP="0051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Азаматтар мен ұйымдардың құқықтарын, заңды мүдделерін қорғау</w:t>
            </w:r>
          </w:p>
        </w:tc>
        <w:tc>
          <w:tcPr>
            <w:tcW w:w="1889" w:type="dxa"/>
          </w:tcPr>
          <w:p w:rsidR="00D91D16" w:rsidRPr="00D91D16" w:rsidRDefault="002664FF" w:rsidP="0026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Батыс Қазақстан облысында </w:t>
            </w:r>
            <w:r w:rsidR="00D91D16"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сыбайлас жемқорлыққа қарсы мәдениетті қалыптастыру</w:t>
            </w:r>
          </w:p>
        </w:tc>
        <w:tc>
          <w:tcPr>
            <w:tcW w:w="3260" w:type="dxa"/>
          </w:tcPr>
          <w:p w:rsidR="00D91D16" w:rsidRPr="00C344C5" w:rsidRDefault="0071435C" w:rsidP="005F2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Өңірде т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ұрғындар арасында сыбайлас жемқорлыққа қарсы мәдениет пен құқықтық сауаттылық деңгейін</w:t>
            </w:r>
            <w:r w:rsidR="00277D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төмендігі байқалады.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 ұрпақты</w:t>
            </w:r>
            <w:r w:rsidR="00277D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еліміздің болашақ мұрагерлері ретінде сыбайлас жемқорлыққа қарсы саясатты қалыптастыруға </w:t>
            </w:r>
            <w:r w:rsidR="007B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деген ұмтылыстарының аздығы білінеді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5F27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блыста</w:t>
            </w:r>
            <w:r w:rsid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үзеге асырылып жатқан сыбайлас жемқорлыққа қарсы саясатты таныстыру арқылы кез келген бұзушылықтарды, әсіресе сыбайлас жемқорлықты қабылдамайтын қоғамды дамыту бойынша жастардың ұсыныстары мен көзқарастарын жина</w:t>
            </w:r>
            <w:r w:rsidR="007A3B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 және 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  <w:r w:rsidR="007A3B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қажеттігі туындауда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Сондықтан </w:t>
            </w:r>
            <w:r w:rsid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лы тұлғалардың еңбектері арқылы өскелең ұрпаққа 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әділеттілік, парасаттылық құндылықтарын сіңіру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қызметшілерді мемлекет пен халыққа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адал қызмет етудің оң мысалдарын жетілдіру жұмыстарын жүргізу арқылы қ</w:t>
            </w:r>
            <w:r w:rsidR="00C344C5"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оғамда сыбайлас жемқорлық құқық бұзушылықтарына төзбеушілік қағидаттарын нығайту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қажет.</w:t>
            </w:r>
          </w:p>
        </w:tc>
        <w:tc>
          <w:tcPr>
            <w:tcW w:w="1701" w:type="dxa"/>
          </w:tcPr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91D16">
              <w:rPr>
                <w:b w:val="0"/>
                <w:sz w:val="20"/>
                <w:szCs w:val="20"/>
                <w:lang w:val="kk-KZ"/>
              </w:rPr>
              <w:lastRenderedPageBreak/>
              <w:t>грант сомасы –</w:t>
            </w:r>
          </w:p>
          <w:p w:rsidR="00D91D16" w:rsidRPr="00D91D16" w:rsidRDefault="00775165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8</w:t>
            </w:r>
            <w:r w:rsidR="00D91D16" w:rsidRPr="00D91D16">
              <w:rPr>
                <w:b w:val="0"/>
                <w:color w:val="000000"/>
                <w:sz w:val="20"/>
                <w:szCs w:val="20"/>
                <w:lang w:val="kk-KZ"/>
              </w:rPr>
              <w:t> 000,0</w:t>
            </w: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мың тг.</w:t>
            </w: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</w:tcPr>
          <w:p w:rsidR="00D91D16" w:rsidRPr="00D91D16" w:rsidRDefault="009F74E8" w:rsidP="00404ABF">
            <w:pPr>
              <w:pStyle w:val="3"/>
              <w:spacing w:before="0" w:beforeAutospacing="0" w:after="0" w:afterAutospacing="0"/>
              <w:ind w:right="-91"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 қ</w:t>
            </w:r>
            <w:r w:rsidR="00902C50">
              <w:rPr>
                <w:b w:val="0"/>
                <w:sz w:val="20"/>
                <w:szCs w:val="20"/>
                <w:lang w:val="kk-KZ"/>
              </w:rPr>
              <w:t>ысқа мерзімді</w:t>
            </w:r>
            <w:r>
              <w:rPr>
                <w:b w:val="0"/>
                <w:sz w:val="20"/>
                <w:szCs w:val="20"/>
                <w:lang w:val="kk-KZ"/>
              </w:rPr>
              <w:t xml:space="preserve"> грант</w:t>
            </w: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D91D16" w:rsidRPr="00D91D16" w:rsidRDefault="00D91D16" w:rsidP="00D91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Нысаналы индикатор</w:t>
            </w:r>
            <w:r w:rsidRPr="00D91D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D91D16" w:rsidRPr="00D91D16" w:rsidRDefault="009F74E8" w:rsidP="00D91D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</w:t>
            </w:r>
            <w:r w:rsidR="00D91D16" w:rsidRPr="00D91D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обаны іске асыру шеңберінде </w:t>
            </w:r>
            <w:r w:rsidR="00D91D16"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азаматтарды сыбайлас жемқорлыққа қарсы іс-қимылдың қолданыстағы шаралары, сыбайлас жемқорлыққа қарсы саясатты іске асыру жөніндегі бағдарламалық құжаттар (</w:t>
            </w:r>
            <w:r w:rsidR="00D91D16" w:rsidRPr="00D91D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жоспарлар, баяндамалар, жол карталары және басқалар)</w:t>
            </w:r>
            <w:r w:rsidR="00D91D16"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сыбайлас жемқорлыққа қарсы заңнаманың, әлеуметтік зерттеулердің нәтижелері, сыбайлас жемқорлық қылмыстар бойынша статистиканы ұсыну, ашықтықты және қолжетімділікті қамтамасыз ету тетіктері туралы хабардар ету.</w:t>
            </w:r>
          </w:p>
          <w:p w:rsidR="00D91D16" w:rsidRPr="00D91D16" w:rsidRDefault="00D91D16" w:rsidP="00D91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Күтілетін нәтиже:</w:t>
            </w:r>
          </w:p>
          <w:p w:rsidR="00D91D16" w:rsidRPr="00D91D16" w:rsidRDefault="00D91D16" w:rsidP="00D91D16">
            <w:pPr>
              <w:pStyle w:val="a3"/>
              <w:numPr>
                <w:ilvl w:val="0"/>
                <w:numId w:val="1"/>
              </w:numPr>
              <w:tabs>
                <w:tab w:val="left" w:pos="408"/>
              </w:tabs>
              <w:ind w:left="0" w:firstLine="33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91D16">
              <w:rPr>
                <w:color w:val="000000" w:themeColor="text1"/>
                <w:sz w:val="20"/>
                <w:szCs w:val="20"/>
                <w:lang w:val="kk-KZ"/>
              </w:rPr>
              <w:t>Сыбайлас жемқорлыққа қарсы мәдениет</w:t>
            </w:r>
            <w:r w:rsidR="00387936">
              <w:rPr>
                <w:color w:val="000000" w:themeColor="text1"/>
                <w:sz w:val="20"/>
                <w:szCs w:val="20"/>
                <w:lang w:val="kk-KZ"/>
              </w:rPr>
              <w:t>ті қалыптастыру мақсатында ұзақ</w:t>
            </w:r>
            <w:r w:rsidRPr="00D91D16">
              <w:rPr>
                <w:color w:val="000000" w:themeColor="text1"/>
                <w:sz w:val="20"/>
                <w:szCs w:val="20"/>
                <w:lang w:val="kk-KZ"/>
              </w:rPr>
              <w:t xml:space="preserve">тығы кемінде 2 минут болатын 10 тақырыптық бейнеролик </w:t>
            </w:r>
            <w:r w:rsidR="001A3046">
              <w:rPr>
                <w:color w:val="000000" w:themeColor="text1"/>
                <w:sz w:val="20"/>
                <w:szCs w:val="20"/>
                <w:lang w:val="kk-KZ"/>
              </w:rPr>
              <w:t>әзірленеді</w:t>
            </w:r>
            <w:r w:rsidRPr="00D91D16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D91D16" w:rsidRPr="001A3046" w:rsidRDefault="002664FF" w:rsidP="00387936">
            <w:pPr>
              <w:pStyle w:val="a3"/>
              <w:numPr>
                <w:ilvl w:val="0"/>
                <w:numId w:val="1"/>
              </w:numPr>
              <w:tabs>
                <w:tab w:val="left" w:pos="408"/>
              </w:tabs>
              <w:ind w:left="0" w:firstLine="33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Батыс Қазақстан облысының 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t xml:space="preserve">12 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аудан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нын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87936">
              <w:rPr>
                <w:i/>
                <w:color w:val="000000" w:themeColor="text1"/>
                <w:sz w:val="20"/>
                <w:szCs w:val="20"/>
                <w:lang w:val="kk-KZ"/>
              </w:rPr>
              <w:t>(Ақжайық, Бәйтерек, Бөкей ордасы, Бөрлі, Жаңақала, Жәнібек, Казталов, Қаратөбе, Сырым, Тасқала, Теректі, Шыңғырлау)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t xml:space="preserve">қамти отырып,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30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ға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t xml:space="preserve"> жуық оқыту-түсіндірмелік сипаттағы шаралар </w:t>
            </w:r>
            <w:r w:rsidR="001A3046">
              <w:rPr>
                <w:color w:val="000000" w:themeColor="text1"/>
                <w:sz w:val="20"/>
                <w:szCs w:val="20"/>
                <w:lang w:val="kk-KZ"/>
              </w:rPr>
              <w:t>ұйымдастырылады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t>, оның ішінде  республикалық деңгейдегі тренерлерді</w:t>
            </w:r>
            <w:r w:rsidR="001A3046">
              <w:rPr>
                <w:color w:val="000000" w:themeColor="text1"/>
                <w:sz w:val="20"/>
                <w:szCs w:val="20"/>
                <w:lang w:val="kk-KZ"/>
              </w:rPr>
              <w:t xml:space="preserve"> тарта отырып 2 семинар өткізіледі</w:t>
            </w:r>
            <w:r w:rsidR="00D91D16" w:rsidRPr="00D91D1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1988" w:type="dxa"/>
          </w:tcPr>
          <w:p w:rsidR="00D91D16" w:rsidRPr="00D91D16" w:rsidRDefault="00D91D16" w:rsidP="00277D79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91D16">
              <w:rPr>
                <w:b w:val="0"/>
                <w:sz w:val="20"/>
                <w:szCs w:val="20"/>
                <w:lang w:val="kk-KZ"/>
              </w:rPr>
              <w:lastRenderedPageBreak/>
              <w:t>-</w:t>
            </w:r>
          </w:p>
        </w:tc>
      </w:tr>
      <w:tr w:rsidR="00D91D16" w:rsidRPr="00D91D16" w:rsidTr="003F1ED0">
        <w:trPr>
          <w:trHeight w:val="1835"/>
          <w:jc w:val="center"/>
        </w:trPr>
        <w:tc>
          <w:tcPr>
            <w:tcW w:w="1690" w:type="dxa"/>
          </w:tcPr>
          <w:p w:rsidR="00D91D16" w:rsidRPr="00D91D16" w:rsidRDefault="00D91D16" w:rsidP="0051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Азаматтық қоғамды дамытуға, оның ішінде үкіметтік емес ұйымдар қызметінің тиімділігін арттыруға жәрдемдесу</w:t>
            </w:r>
          </w:p>
        </w:tc>
        <w:tc>
          <w:tcPr>
            <w:tcW w:w="1889" w:type="dxa"/>
          </w:tcPr>
          <w:p w:rsidR="00D91D16" w:rsidRPr="00D91D16" w:rsidRDefault="00D91D16" w:rsidP="00D9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облысында жергілікті өзін-өзі басқаруды дамыту бойынша іс-шаралар ұйымдастыру және өткізу</w:t>
            </w:r>
          </w:p>
        </w:tc>
        <w:tc>
          <w:tcPr>
            <w:tcW w:w="3260" w:type="dxa"/>
          </w:tcPr>
          <w:p w:rsidR="00D91D16" w:rsidRPr="00D91D16" w:rsidRDefault="005B34CD" w:rsidP="009C4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Облыста мемлекеттік органдар, оның ішінде жергілікті өзін-өзі басқару органдары халықпен кері байланыстың қазіргі заманғы құралдарын</w:t>
            </w:r>
            <w:r w:rsidR="009F74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тиімді пайдаланудың төменгі дең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гейі байқалады. Халықтың шешімдер қабылдауға араласуы басқару сапасын өзгертуге, азаматтық белсенділікті арттыруға, мемлекеттік органдар мен жергілікті өзін-өзі басқару органдарының қызметін ашық етуде олқылықтар кездеседі. </w:t>
            </w:r>
            <w:r w:rsidR="009C46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9C4676"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блыстағы жергілікті өзін-өзі басқару деңгейі мен дамуы және жергілікті өзін-өзі басқаруды дамыту жөніндегі жұмыстарды жетілдіру бойынша мемлекеттік органдарға </w:t>
            </w:r>
            <w:r w:rsidR="009C46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ұсыныстар қажет.</w:t>
            </w:r>
          </w:p>
        </w:tc>
        <w:tc>
          <w:tcPr>
            <w:tcW w:w="1701" w:type="dxa"/>
          </w:tcPr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91D16">
              <w:rPr>
                <w:b w:val="0"/>
                <w:sz w:val="20"/>
                <w:szCs w:val="20"/>
                <w:lang w:val="kk-KZ"/>
              </w:rPr>
              <w:t>грант сомасы –</w:t>
            </w: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10 000,0</w:t>
            </w: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мың тг.</w:t>
            </w: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</w:tcPr>
          <w:p w:rsidR="00902C50" w:rsidRPr="00D91D16" w:rsidRDefault="009F74E8" w:rsidP="00404ABF">
            <w:pPr>
              <w:pStyle w:val="3"/>
              <w:spacing w:before="0" w:beforeAutospacing="0" w:after="0" w:afterAutospacing="0"/>
              <w:ind w:right="-91"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 қ</w:t>
            </w:r>
            <w:r w:rsidR="00902C50">
              <w:rPr>
                <w:b w:val="0"/>
                <w:sz w:val="20"/>
                <w:szCs w:val="20"/>
                <w:lang w:val="kk-KZ"/>
              </w:rPr>
              <w:t>ысқа мерзімді</w:t>
            </w:r>
            <w:r>
              <w:rPr>
                <w:b w:val="0"/>
                <w:sz w:val="20"/>
                <w:szCs w:val="20"/>
                <w:lang w:val="kk-KZ"/>
              </w:rPr>
              <w:t xml:space="preserve"> грант</w:t>
            </w:r>
          </w:p>
          <w:p w:rsidR="00D91D16" w:rsidRPr="00D91D16" w:rsidRDefault="00D91D16" w:rsidP="00D91D1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D91D16" w:rsidRPr="00D91D16" w:rsidRDefault="00D91D16" w:rsidP="00D91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Нысаналы индикатор</w:t>
            </w:r>
            <w:r w:rsidRPr="00D91D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9C4676" w:rsidRPr="00D91D16" w:rsidRDefault="00D91D16" w:rsidP="009C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өзін-өзі басқарудың даму деңгейін және азаматтардың жергілікті өзін-өзі басқару органдарының шешім қабы</w:t>
            </w:r>
            <w:r w:rsidR="007E5F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лдау процесіне қатысуын анықтау</w:t>
            </w:r>
            <w:r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C4676" w:rsidRPr="00D91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91D16" w:rsidRPr="00D91D16" w:rsidRDefault="00D91D16" w:rsidP="00D9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1D16" w:rsidRPr="00D91D16" w:rsidRDefault="00D91D16" w:rsidP="00D91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Күтілетін нәтиже:</w:t>
            </w:r>
          </w:p>
          <w:p w:rsidR="00D91D16" w:rsidRPr="00D91D16" w:rsidRDefault="00D91D16" w:rsidP="00D91D1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D91D16">
              <w:rPr>
                <w:sz w:val="20"/>
                <w:szCs w:val="20"/>
                <w:lang w:val="kk-KZ"/>
              </w:rPr>
              <w:t>Жергілікті өзін-өзі басқару</w:t>
            </w:r>
            <w:r>
              <w:rPr>
                <w:sz w:val="20"/>
                <w:szCs w:val="20"/>
                <w:lang w:val="kk-KZ"/>
              </w:rPr>
              <w:t xml:space="preserve"> органдары жұмысының тиімділігі</w:t>
            </w:r>
            <w:r w:rsidRPr="00D91D16">
              <w:rPr>
                <w:sz w:val="20"/>
                <w:szCs w:val="20"/>
                <w:lang w:val="kk-KZ"/>
              </w:rPr>
              <w:t xml:space="preserve"> бағаланады;</w:t>
            </w:r>
          </w:p>
          <w:p w:rsidR="00D91D16" w:rsidRPr="00D91D16" w:rsidRDefault="00D91D16" w:rsidP="00D91D1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D91D16">
              <w:rPr>
                <w:sz w:val="20"/>
                <w:szCs w:val="20"/>
                <w:lang w:val="kk-KZ"/>
              </w:rPr>
              <w:t>Жергілікті қоғамдастық мүшелерінің проблемалық мәселелері анықталады;</w:t>
            </w:r>
          </w:p>
          <w:p w:rsidR="00D91D16" w:rsidRPr="00D91D16" w:rsidRDefault="00D91D16" w:rsidP="00D91D1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D91D16">
              <w:rPr>
                <w:sz w:val="20"/>
                <w:szCs w:val="20"/>
                <w:lang w:val="kk-KZ"/>
              </w:rPr>
              <w:t>Облыс бойынша ауылдық округтердің жергілікті қоғамдастық мүшелерімен 30 кездесу өткізіліп, жергілікті өзін-өзі басқаруды дамытудың өзекті мәселелері талқыланады.</w:t>
            </w:r>
          </w:p>
          <w:p w:rsidR="00D91D16" w:rsidRPr="00D91D16" w:rsidRDefault="00B66D85" w:rsidP="00D91D1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D91D16" w:rsidRPr="00D91D16">
              <w:rPr>
                <w:sz w:val="20"/>
                <w:szCs w:val="20"/>
                <w:lang w:val="kk-KZ"/>
              </w:rPr>
              <w:t>ергілікті қоғамдастық арасында беделді көшбасшылар даярланады</w:t>
            </w:r>
          </w:p>
          <w:p w:rsidR="00D91D16" w:rsidRPr="00D91D16" w:rsidRDefault="00387936" w:rsidP="00D91D1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Спикерлер пулы</w:t>
            </w:r>
            <w:r w:rsidR="00D91D16" w:rsidRPr="00D91D16">
              <w:rPr>
                <w:sz w:val="20"/>
                <w:szCs w:val="20"/>
                <w:lang w:val="kk-KZ"/>
              </w:rPr>
              <w:t xml:space="preserve"> әзірленеді</w:t>
            </w:r>
          </w:p>
        </w:tc>
        <w:tc>
          <w:tcPr>
            <w:tcW w:w="1988" w:type="dxa"/>
          </w:tcPr>
          <w:p w:rsidR="00D91D16" w:rsidRPr="00D91D16" w:rsidRDefault="00D91D16" w:rsidP="00D91D1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91D16">
              <w:rPr>
                <w:b w:val="0"/>
                <w:sz w:val="20"/>
                <w:szCs w:val="20"/>
                <w:lang w:val="kk-KZ"/>
              </w:rPr>
              <w:t>-</w:t>
            </w:r>
          </w:p>
        </w:tc>
      </w:tr>
      <w:tr w:rsidR="00531A51" w:rsidRPr="003F1ED0" w:rsidTr="003F1ED0">
        <w:trPr>
          <w:trHeight w:val="1835"/>
          <w:jc w:val="center"/>
        </w:trPr>
        <w:tc>
          <w:tcPr>
            <w:tcW w:w="1690" w:type="dxa"/>
          </w:tcPr>
          <w:p w:rsidR="00531A51" w:rsidRPr="00935984" w:rsidRDefault="00935984" w:rsidP="0051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Жастар саясаты мен балалар бастамаларын қолдау</w:t>
            </w:r>
          </w:p>
        </w:tc>
        <w:tc>
          <w:tcPr>
            <w:tcW w:w="1889" w:type="dxa"/>
          </w:tcPr>
          <w:p w:rsidR="00531A51" w:rsidRPr="00663093" w:rsidRDefault="002664FF" w:rsidP="00D9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Батыс Қазақстан облысында а</w:t>
            </w:r>
            <w:r w:rsidR="00531A51" w:rsidRPr="006630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уыл жастарын қолдауға арналған іс-шаралар кешенін ұйымдастыру және өткізу.</w:t>
            </w:r>
          </w:p>
        </w:tc>
        <w:tc>
          <w:tcPr>
            <w:tcW w:w="3260" w:type="dxa"/>
          </w:tcPr>
          <w:p w:rsidR="00ED390D" w:rsidRPr="00307637" w:rsidRDefault="00ED390D" w:rsidP="00ED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Өңірдегі жастардың негізгі проблемалары – жастардың жұмыссыздығы, өмір сүру деңгейін жақсартуға бағытталған әлеуметтік нысандар мен инфрақұрылымдардың, бос уақытын ұйымдастыру мәдени, спорттық нысандардың аздығы болып отыр. Сонымен қатар, ауыл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жастары арасында ақпаратпен қамтылу деңгейінің, құқықтық, қаржылық </w:t>
            </w:r>
            <w:r w:rsidRPr="00C34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 деңгейін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ің, денсаулығының жағдайының төмендігі байқалады. Бұл бағытта ауыл жастарына мемлекеттік бағдарламалар, жаңа жобалар мен  мүмкіндіктер бойынша ақпартаттық-түсіндіру жұмыстарын жүргізу және өз ісін ашу бойынша семинар-тренингтер мен шеберлік сағаттарын өткізу арқылы өмірге қажет дағдыларды үйрету мәселесі бар.</w:t>
            </w:r>
          </w:p>
          <w:p w:rsidR="00531A51" w:rsidRPr="00D91D16" w:rsidRDefault="00ED390D" w:rsidP="00ED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Ауылдық жерлерде дарынды, креативті жә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зияткер жастарды анықтау, қолдау көрсету, іс-шаралар мен </w:t>
            </w:r>
            <w:r w:rsidRPr="007A0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концерттік бағдарламалар арқылы өз ауылының артықшылықтарын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көрсетіп, басқа да жастарға жаңа ақпараттар жеткізу қажеттілігі туындап отыр.</w:t>
            </w:r>
          </w:p>
        </w:tc>
        <w:tc>
          <w:tcPr>
            <w:tcW w:w="1701" w:type="dxa"/>
          </w:tcPr>
          <w:p w:rsidR="00531A51" w:rsidRPr="00D91D16" w:rsidRDefault="00531A51" w:rsidP="00B8384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91D16">
              <w:rPr>
                <w:b w:val="0"/>
                <w:sz w:val="20"/>
                <w:szCs w:val="20"/>
                <w:lang w:val="kk-KZ"/>
              </w:rPr>
              <w:lastRenderedPageBreak/>
              <w:t>грант сомасы –</w:t>
            </w:r>
          </w:p>
          <w:p w:rsidR="00531A51" w:rsidRPr="00D91D16" w:rsidRDefault="00531A51" w:rsidP="00B8384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7</w:t>
            </w: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 000,0</w:t>
            </w:r>
          </w:p>
          <w:p w:rsidR="00531A51" w:rsidRPr="00D91D16" w:rsidRDefault="00531A51" w:rsidP="00B8384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мың тг.</w:t>
            </w:r>
          </w:p>
          <w:p w:rsidR="00531A51" w:rsidRPr="00D91D16" w:rsidRDefault="00531A51" w:rsidP="00B8384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  <w:p w:rsidR="00531A51" w:rsidRPr="00D91D16" w:rsidRDefault="00531A51" w:rsidP="00B8384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</w:tcPr>
          <w:p w:rsidR="00531A51" w:rsidRPr="00D91D16" w:rsidRDefault="009F74E8" w:rsidP="00404ABF">
            <w:pPr>
              <w:pStyle w:val="3"/>
              <w:spacing w:before="0" w:beforeAutospacing="0" w:after="0" w:afterAutospacing="0"/>
              <w:ind w:right="-91"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 қ</w:t>
            </w:r>
            <w:r w:rsidR="00531A51">
              <w:rPr>
                <w:b w:val="0"/>
                <w:sz w:val="20"/>
                <w:szCs w:val="20"/>
                <w:lang w:val="kk-KZ"/>
              </w:rPr>
              <w:t>ысқа мерзімді</w:t>
            </w:r>
            <w:r>
              <w:rPr>
                <w:b w:val="0"/>
                <w:sz w:val="20"/>
                <w:szCs w:val="20"/>
                <w:lang w:val="kk-KZ"/>
              </w:rPr>
              <w:t xml:space="preserve"> грант</w:t>
            </w:r>
          </w:p>
          <w:p w:rsidR="00531A51" w:rsidRPr="00D91D16" w:rsidRDefault="00531A51" w:rsidP="00B8384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  <w:p w:rsidR="00531A51" w:rsidRPr="00D91D16" w:rsidRDefault="00531A51" w:rsidP="00B8384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7A0DAD" w:rsidRDefault="007A0DAD" w:rsidP="007A0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Нысаналы индикатор</w:t>
            </w:r>
            <w:r w:rsidRPr="00D91D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31A51" w:rsidRDefault="007C7C33" w:rsidP="007C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Батыс Қазақстан облысы бойынша ауыл жастарына арналған ақпараттық-түсіндіру жұмыстарын жүргізетін ақпараттық топтар құру. </w:t>
            </w:r>
            <w:r w:rsidR="007A0DAD" w:rsidRPr="007A0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Облыстың барлық 12 ауданында ауылдық елді мекендерде топ мүшелерінің жастармен ке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здесуін және шығуын ұйымдастыру.</w:t>
            </w:r>
          </w:p>
          <w:p w:rsidR="007A0DAD" w:rsidRDefault="007A0DAD" w:rsidP="007A0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7A0D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Күтілетін нәтиже:</w:t>
            </w:r>
          </w:p>
          <w:p w:rsidR="001D5024" w:rsidRDefault="00513C77" w:rsidP="00404ABF">
            <w:pPr>
              <w:pStyle w:val="a3"/>
              <w:ind w:left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   </w:t>
            </w:r>
            <w:r w:rsidR="001D502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D5024" w:rsidRPr="001D5024">
              <w:rPr>
                <w:color w:val="000000" w:themeColor="text1"/>
                <w:sz w:val="20"/>
                <w:szCs w:val="20"/>
                <w:lang w:val="kk-KZ"/>
              </w:rPr>
              <w:t>Жастар ақпараттық тобының құрамына, әр түрлі санаттағы (денсаулық сақтау, білі</w:t>
            </w:r>
            <w:r w:rsidR="00C930F8">
              <w:rPr>
                <w:color w:val="000000" w:themeColor="text1"/>
                <w:sz w:val="20"/>
                <w:szCs w:val="20"/>
                <w:lang w:val="kk-KZ"/>
              </w:rPr>
              <w:t>м беру, мәдениет, спорт және т.</w:t>
            </w:r>
            <w:r w:rsidR="001D5024" w:rsidRPr="001D5024">
              <w:rPr>
                <w:color w:val="000000" w:themeColor="text1"/>
                <w:sz w:val="20"/>
                <w:szCs w:val="20"/>
                <w:lang w:val="kk-KZ"/>
              </w:rPr>
              <w:t>б.) саланың</w:t>
            </w:r>
            <w:r w:rsidR="003F1ED0">
              <w:rPr>
                <w:color w:val="000000" w:themeColor="text1"/>
                <w:sz w:val="20"/>
                <w:szCs w:val="20"/>
                <w:lang w:val="kk-KZ"/>
              </w:rPr>
              <w:t xml:space="preserve"> жас мамандар</w:t>
            </w:r>
            <w:r w:rsidR="001D5024" w:rsidRPr="001D5024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3F1ED0">
              <w:rPr>
                <w:color w:val="000000" w:themeColor="text1"/>
                <w:sz w:val="20"/>
                <w:szCs w:val="20"/>
                <w:lang w:val="kk-KZ"/>
              </w:rPr>
              <w:t>ны</w:t>
            </w:r>
            <w:r w:rsidR="001D5024" w:rsidRPr="001D5024">
              <w:rPr>
                <w:color w:val="000000" w:themeColor="text1"/>
                <w:sz w:val="20"/>
                <w:szCs w:val="20"/>
                <w:lang w:val="kk-KZ"/>
              </w:rPr>
              <w:t>ң қатысуы қамтамасыз етіледі.</w:t>
            </w:r>
          </w:p>
          <w:p w:rsidR="001D5024" w:rsidRDefault="001D5024" w:rsidP="00404ABF">
            <w:pPr>
              <w:pStyle w:val="a3"/>
              <w:ind w:left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 2. </w:t>
            </w:r>
            <w:r w:rsidRPr="001D5024">
              <w:rPr>
                <w:color w:val="000000" w:themeColor="text1"/>
                <w:sz w:val="20"/>
                <w:szCs w:val="20"/>
                <w:lang w:val="kk-KZ"/>
              </w:rPr>
              <w:t xml:space="preserve">Облыстың барлық 12 ауданының  </w:t>
            </w:r>
            <w:r w:rsidR="003F1ED0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1D5024">
              <w:rPr>
                <w:color w:val="000000" w:themeColor="text1"/>
                <w:sz w:val="20"/>
                <w:szCs w:val="20"/>
                <w:lang w:val="kk-KZ"/>
              </w:rPr>
              <w:t>ауылдық елді мекендерде топ мүшелерінің жастармен кездесуі және ауыл жастарымен диалог алаңдары ұйымдастырылады.</w:t>
            </w:r>
          </w:p>
          <w:p w:rsidR="001D5024" w:rsidRPr="001D5024" w:rsidRDefault="001D5024" w:rsidP="00404ABF">
            <w:pPr>
              <w:pStyle w:val="a3"/>
              <w:ind w:left="16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 3. </w:t>
            </w:r>
            <w:r w:rsidRPr="001D5024">
              <w:rPr>
                <w:color w:val="000000" w:themeColor="text1"/>
                <w:sz w:val="20"/>
                <w:szCs w:val="20"/>
                <w:lang w:val="kk-KZ"/>
              </w:rPr>
              <w:t xml:space="preserve">Жоба аясында жас </w:t>
            </w:r>
            <w:r w:rsidR="003F1ED0">
              <w:rPr>
                <w:color w:val="000000" w:themeColor="text1"/>
                <w:sz w:val="20"/>
                <w:szCs w:val="20"/>
                <w:lang w:val="kk-KZ"/>
              </w:rPr>
              <w:t>таланттардың</w:t>
            </w:r>
            <w:r w:rsidR="00C930F8">
              <w:rPr>
                <w:color w:val="000000" w:themeColor="text1"/>
                <w:sz w:val="20"/>
                <w:szCs w:val="20"/>
                <w:lang w:val="kk-KZ"/>
              </w:rPr>
              <w:t>, КТК командаларының және т.</w:t>
            </w:r>
            <w:r w:rsidRPr="001D5024">
              <w:rPr>
                <w:color w:val="000000" w:themeColor="text1"/>
                <w:sz w:val="20"/>
                <w:szCs w:val="20"/>
                <w:lang w:val="kk-KZ"/>
              </w:rPr>
              <w:t>б. қатысуымен концерттік бағдарламалар өтеді.</w:t>
            </w:r>
          </w:p>
          <w:p w:rsidR="007A0DAD" w:rsidRPr="00513C77" w:rsidRDefault="003F1ED0" w:rsidP="00404ABF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4. А</w:t>
            </w:r>
            <w:r w:rsidR="0051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уылдық жерлерде мемлекеттік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жаста</w:t>
            </w:r>
            <w:r w:rsidR="0051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 саясаты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ның жүзеге асырылуы және ауыл жастарының</w:t>
            </w:r>
            <w:r w:rsidR="0051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өзекті мәселелері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 шешу бойынша ұсынымдар әзірленеді.</w:t>
            </w:r>
          </w:p>
        </w:tc>
        <w:tc>
          <w:tcPr>
            <w:tcW w:w="1988" w:type="dxa"/>
          </w:tcPr>
          <w:p w:rsidR="00531A51" w:rsidRPr="00D91D16" w:rsidRDefault="00531A51" w:rsidP="00D91D1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lastRenderedPageBreak/>
              <w:t>-</w:t>
            </w:r>
          </w:p>
        </w:tc>
      </w:tr>
      <w:tr w:rsidR="00531A51" w:rsidRPr="00D91D16" w:rsidTr="003F1ED0">
        <w:trPr>
          <w:trHeight w:val="419"/>
          <w:jc w:val="center"/>
        </w:trPr>
        <w:tc>
          <w:tcPr>
            <w:tcW w:w="15809" w:type="dxa"/>
            <w:gridSpan w:val="7"/>
            <w:shd w:val="clear" w:color="auto" w:fill="FFFFFF" w:themeFill="background1"/>
          </w:tcPr>
          <w:p w:rsidR="00531A51" w:rsidRPr="00D91D16" w:rsidRDefault="00531A51" w:rsidP="00387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2023 жылға БАРЛЫҒЫ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2</w:t>
            </w:r>
            <w:r w:rsidR="003879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D91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000,0</w:t>
            </w:r>
          </w:p>
        </w:tc>
      </w:tr>
    </w:tbl>
    <w:p w:rsidR="00D91D16" w:rsidRDefault="00D91D16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267" w:rsidRPr="002C430E" w:rsidRDefault="004C2267" w:rsidP="004C2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государственных грантов по Западно-Казахстанской области на 2023 год для неправительственных</w:t>
      </w:r>
      <w:r w:rsidR="00A235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</w:p>
    <w:p w:rsidR="004C2267" w:rsidRDefault="004C2267" w:rsidP="004C2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6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1889"/>
        <w:gridCol w:w="3137"/>
        <w:gridCol w:w="1842"/>
        <w:gridCol w:w="1577"/>
        <w:gridCol w:w="3686"/>
        <w:gridCol w:w="2224"/>
      </w:tblGrid>
      <w:tr w:rsidR="004C2267" w:rsidRPr="002C430E" w:rsidTr="0038274B">
        <w:trPr>
          <w:trHeight w:val="896"/>
          <w:jc w:val="center"/>
        </w:trPr>
        <w:tc>
          <w:tcPr>
            <w:tcW w:w="1690" w:type="dxa"/>
            <w:shd w:val="clear" w:color="auto" w:fill="FFFFFF" w:themeFill="background1"/>
          </w:tcPr>
          <w:p w:rsidR="004C2267" w:rsidRPr="00BB0FD6" w:rsidRDefault="004C2267" w:rsidP="0038274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Согласно 1-пункту 5-статьи закона о грантовой сферы  </w:t>
            </w:r>
          </w:p>
        </w:tc>
        <w:tc>
          <w:tcPr>
            <w:tcW w:w="1889" w:type="dxa"/>
            <w:shd w:val="clear" w:color="auto" w:fill="FFFFFF" w:themeFill="background1"/>
          </w:tcPr>
          <w:p w:rsidR="004C2267" w:rsidRPr="00D91D16" w:rsidRDefault="004C2267" w:rsidP="0038274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Приоритетное направление государственного гранта</w:t>
            </w:r>
          </w:p>
        </w:tc>
        <w:tc>
          <w:tcPr>
            <w:tcW w:w="3137" w:type="dxa"/>
            <w:shd w:val="clear" w:color="auto" w:fill="FFFFFF" w:themeFill="background1"/>
          </w:tcPr>
          <w:p w:rsidR="004C2267" w:rsidRPr="00D91D16" w:rsidRDefault="004C2267" w:rsidP="0038274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Краткое описание </w:t>
            </w:r>
          </w:p>
        </w:tc>
        <w:tc>
          <w:tcPr>
            <w:tcW w:w="1842" w:type="dxa"/>
            <w:shd w:val="clear" w:color="auto" w:fill="FFFFFF" w:themeFill="background1"/>
          </w:tcPr>
          <w:p w:rsidR="004C2267" w:rsidRPr="00D91D16" w:rsidRDefault="004C2267" w:rsidP="0038274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Размер финансирования </w:t>
            </w:r>
            <w:r w:rsidRPr="00D91D16">
              <w:rPr>
                <w:b/>
                <w:sz w:val="20"/>
                <w:szCs w:val="20"/>
                <w:lang w:val="kk-KZ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тыс. тен</w:t>
            </w:r>
            <w:r w:rsidRPr="00D91D16">
              <w:rPr>
                <w:b/>
                <w:sz w:val="20"/>
                <w:szCs w:val="20"/>
                <w:lang w:val="kk-KZ"/>
              </w:rPr>
              <w:t>ге)</w:t>
            </w:r>
          </w:p>
        </w:tc>
        <w:tc>
          <w:tcPr>
            <w:tcW w:w="1577" w:type="dxa"/>
            <w:shd w:val="clear" w:color="auto" w:fill="FFFFFF" w:themeFill="background1"/>
          </w:tcPr>
          <w:p w:rsidR="004C2267" w:rsidRPr="00D91D16" w:rsidRDefault="004C2267" w:rsidP="0038274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Вид г</w:t>
            </w:r>
            <w:r w:rsidRPr="00D91D16">
              <w:rPr>
                <w:b/>
                <w:sz w:val="20"/>
                <w:szCs w:val="20"/>
                <w:lang w:val="kk-KZ"/>
              </w:rPr>
              <w:t>рант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  <w:r w:rsidRPr="00D91D1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:rsidR="004C2267" w:rsidRPr="00D91D16" w:rsidRDefault="004C2267" w:rsidP="0038274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И</w:t>
            </w:r>
            <w:r w:rsidRPr="00D91D16">
              <w:rPr>
                <w:b/>
                <w:sz w:val="20"/>
                <w:szCs w:val="20"/>
                <w:lang w:val="kk-KZ"/>
              </w:rPr>
              <w:t>ндикатор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2224" w:type="dxa"/>
            <w:shd w:val="clear" w:color="auto" w:fill="FFFFFF" w:themeFill="background1"/>
          </w:tcPr>
          <w:p w:rsidR="004C2267" w:rsidRPr="002C430E" w:rsidRDefault="004C2267" w:rsidP="0038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Требование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материально-технической базе </w:t>
            </w:r>
          </w:p>
          <w:p w:rsidR="004C2267" w:rsidRPr="00D91D16" w:rsidRDefault="004C2267" w:rsidP="0038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91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отмичается только во время долгосрочных грантов</w:t>
            </w:r>
            <w:r w:rsidRPr="00D91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4C2267" w:rsidRPr="00D91D16" w:rsidTr="0038274B">
        <w:trPr>
          <w:trHeight w:val="409"/>
          <w:jc w:val="center"/>
        </w:trPr>
        <w:tc>
          <w:tcPr>
            <w:tcW w:w="16045" w:type="dxa"/>
            <w:gridSpan w:val="7"/>
            <w:shd w:val="clear" w:color="auto" w:fill="FFFFFF" w:themeFill="background1"/>
            <w:vAlign w:val="center"/>
          </w:tcPr>
          <w:p w:rsidR="004C2267" w:rsidRPr="00D91D16" w:rsidRDefault="004C2267" w:rsidP="0038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Управление общественного развитие ЗКО</w:t>
            </w:r>
          </w:p>
        </w:tc>
      </w:tr>
      <w:tr w:rsidR="004C2267" w:rsidRPr="00D91D16" w:rsidTr="004C2267">
        <w:trPr>
          <w:trHeight w:val="270"/>
          <w:jc w:val="center"/>
        </w:trPr>
        <w:tc>
          <w:tcPr>
            <w:tcW w:w="1690" w:type="dxa"/>
          </w:tcPr>
          <w:p w:rsidR="004C2267" w:rsidRPr="00BB0FD6" w:rsidRDefault="004C2267" w:rsidP="003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прав и законных интересов граждан и организации  </w:t>
            </w:r>
          </w:p>
        </w:tc>
        <w:tc>
          <w:tcPr>
            <w:tcW w:w="1889" w:type="dxa"/>
          </w:tcPr>
          <w:p w:rsidR="004C2267" w:rsidRPr="00A752C3" w:rsidRDefault="004C2267" w:rsidP="0038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752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антикоррупционной культуры в Западно-Казахстанской области</w:t>
            </w:r>
          </w:p>
        </w:tc>
        <w:tc>
          <w:tcPr>
            <w:tcW w:w="3137" w:type="dxa"/>
          </w:tcPr>
          <w:p w:rsidR="004C2267" w:rsidRPr="00C344C5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043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 регионе отмечается низкий уровень антикоррупционной культуры и правовой грамотности среди населения. У молодого поколения, как у будущих наследников страны, мало стремлений к формированию антикоррупционной политики. возникает необходимость сбора и обсуждения предложений и взглядов молодежи по развитию общества, отвергающего любые нарушения, особенно коррупцию, путем презентации реализуемой в области антикоррупционной политики.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F043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Поэтому необходимо укреплять принципы нетерпимости к коррупционным правонарушениям в обществе через труды великих людей, прививая подрастающему поколению ценности справедливости,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добропорядочности, </w:t>
            </w:r>
            <w:r w:rsidRPr="00BF043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совершенствуя позитивные примеры добросовестного служения государству и народу государственных служащих.</w:t>
            </w:r>
          </w:p>
        </w:tc>
        <w:tc>
          <w:tcPr>
            <w:tcW w:w="1842" w:type="dxa"/>
          </w:tcPr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Сумма гранта</w:t>
            </w:r>
            <w:r w:rsidRPr="00D91D16">
              <w:rPr>
                <w:b w:val="0"/>
                <w:sz w:val="20"/>
                <w:szCs w:val="20"/>
                <w:lang w:val="kk-KZ"/>
              </w:rPr>
              <w:t xml:space="preserve"> –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8</w:t>
            </w: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 000,0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тыс.</w:t>
            </w: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 xml:space="preserve"> тг.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77" w:type="dxa"/>
          </w:tcPr>
          <w:p w:rsidR="004C2267" w:rsidRPr="00D91D16" w:rsidRDefault="004C2267" w:rsidP="004C2267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 краткосрочный грант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C2267" w:rsidRPr="00C338F4" w:rsidRDefault="004C2267" w:rsidP="0038274B">
            <w:pPr>
              <w:pStyle w:val="a3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C338F4">
              <w:rPr>
                <w:b/>
                <w:sz w:val="20"/>
                <w:szCs w:val="20"/>
                <w:lang w:val="kk-KZ"/>
              </w:rPr>
              <w:t>Целевой индикатор</w:t>
            </w:r>
            <w:r w:rsidRPr="00C338F4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4C2267" w:rsidRPr="00BF0439" w:rsidRDefault="004C2267" w:rsidP="0038274B">
            <w:pPr>
              <w:pStyle w:val="a3"/>
              <w:ind w:left="-7"/>
              <w:jc w:val="both"/>
              <w:rPr>
                <w:sz w:val="20"/>
                <w:szCs w:val="20"/>
                <w:lang w:val="kk-KZ"/>
              </w:rPr>
            </w:pPr>
            <w:r w:rsidRPr="00BF0439">
              <w:rPr>
                <w:sz w:val="20"/>
                <w:szCs w:val="20"/>
                <w:lang w:val="kk-KZ"/>
              </w:rPr>
              <w:t>в рамках реализации проекта информировать граждан о действующих мерах противодействия коррупции, программных документах по реализации антикоррупционной политики (планы, доклады, дорожные карты и другие), результатах антикоррупционного законодательства, социологических исследований, представлении статистики по коррупционным преступлениям, механизмах обеспечения прозрачности и доступности.</w:t>
            </w:r>
          </w:p>
          <w:p w:rsidR="004C2267" w:rsidRPr="00C338F4" w:rsidRDefault="004C2267" w:rsidP="0038274B">
            <w:pPr>
              <w:pStyle w:val="a3"/>
              <w:ind w:left="-7"/>
              <w:jc w:val="both"/>
              <w:rPr>
                <w:b/>
                <w:sz w:val="20"/>
                <w:szCs w:val="20"/>
                <w:lang w:val="kk-KZ"/>
              </w:rPr>
            </w:pPr>
            <w:r w:rsidRPr="00C338F4">
              <w:rPr>
                <w:b/>
                <w:sz w:val="20"/>
                <w:szCs w:val="20"/>
                <w:lang w:val="kk-KZ"/>
              </w:rPr>
              <w:t>Ожидаемый результат:</w:t>
            </w:r>
          </w:p>
          <w:p w:rsidR="004C2267" w:rsidRPr="00D91D16" w:rsidRDefault="004C2267" w:rsidP="004C2267">
            <w:pPr>
              <w:pStyle w:val="a3"/>
              <w:numPr>
                <w:ilvl w:val="0"/>
                <w:numId w:val="5"/>
              </w:numPr>
              <w:tabs>
                <w:tab w:val="left" w:pos="408"/>
              </w:tabs>
              <w:ind w:left="-7" w:firstLine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0439">
              <w:rPr>
                <w:sz w:val="20"/>
                <w:szCs w:val="20"/>
                <w:lang w:val="kk-KZ"/>
              </w:rPr>
              <w:t>в целях формирования антикоррупционной культуры разрабатываются 10 тематических видеороликов продолжительностью не менее 2 минут</w:t>
            </w:r>
            <w:r w:rsidRPr="00D91D16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4C2267" w:rsidRPr="001A3046" w:rsidRDefault="004C2267" w:rsidP="00387936">
            <w:pPr>
              <w:pStyle w:val="a3"/>
              <w:tabs>
                <w:tab w:val="left" w:pos="408"/>
              </w:tabs>
              <w:ind w:left="-7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0439">
              <w:rPr>
                <w:sz w:val="20"/>
                <w:szCs w:val="20"/>
                <w:lang w:val="kk-KZ"/>
              </w:rPr>
              <w:t xml:space="preserve">2) </w:t>
            </w:r>
            <w:r>
              <w:rPr>
                <w:sz w:val="20"/>
                <w:szCs w:val="20"/>
                <w:lang w:val="kk-KZ"/>
              </w:rPr>
              <w:t>С</w:t>
            </w:r>
            <w:r w:rsidRPr="00BF0439">
              <w:rPr>
                <w:sz w:val="20"/>
                <w:szCs w:val="20"/>
                <w:lang w:val="kk-KZ"/>
              </w:rPr>
              <w:t xml:space="preserve"> охватом 12 районов Западно-Казахстанской области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87936">
              <w:rPr>
                <w:i/>
                <w:sz w:val="20"/>
                <w:szCs w:val="20"/>
                <w:lang w:val="kk-KZ"/>
              </w:rPr>
              <w:t>(Акжа</w:t>
            </w:r>
            <w:r w:rsidR="00387936">
              <w:rPr>
                <w:i/>
                <w:sz w:val="20"/>
                <w:szCs w:val="20"/>
                <w:lang w:val="kk-KZ"/>
              </w:rPr>
              <w:t>и</w:t>
            </w:r>
            <w:r w:rsidRPr="00387936">
              <w:rPr>
                <w:i/>
                <w:sz w:val="20"/>
                <w:szCs w:val="20"/>
                <w:lang w:val="kk-KZ"/>
              </w:rPr>
              <w:t>кский, Байтерек, Бокейординский, Бурлинский, Жангалинский, Жанибекский, Казталовский, Каратюбинский, Сырымский, Таскалинский, Теректинский, Чингирлауский)</w:t>
            </w:r>
            <w:r w:rsidRPr="00BF0439">
              <w:rPr>
                <w:sz w:val="20"/>
                <w:szCs w:val="20"/>
                <w:lang w:val="kk-KZ"/>
              </w:rPr>
              <w:t xml:space="preserve"> будет организовано около 30 мероприятий учебно-разъяснительного характера, в том числе 2 семинара с привлечением </w:t>
            </w:r>
            <w:r w:rsidRPr="00BF0439">
              <w:rPr>
                <w:sz w:val="20"/>
                <w:szCs w:val="20"/>
                <w:lang w:val="kk-KZ"/>
              </w:rPr>
              <w:lastRenderedPageBreak/>
              <w:t>тренеров республиканского уровня.</w:t>
            </w:r>
          </w:p>
        </w:tc>
        <w:tc>
          <w:tcPr>
            <w:tcW w:w="2224" w:type="dxa"/>
          </w:tcPr>
          <w:p w:rsidR="004C2267" w:rsidRPr="00D91D16" w:rsidRDefault="004C2267" w:rsidP="0038274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91D16">
              <w:rPr>
                <w:b w:val="0"/>
                <w:sz w:val="20"/>
                <w:szCs w:val="20"/>
                <w:lang w:val="kk-KZ"/>
              </w:rPr>
              <w:lastRenderedPageBreak/>
              <w:t>-</w:t>
            </w:r>
          </w:p>
        </w:tc>
      </w:tr>
      <w:tr w:rsidR="004C2267" w:rsidRPr="00D91D16" w:rsidTr="0038274B">
        <w:trPr>
          <w:trHeight w:val="1835"/>
          <w:jc w:val="center"/>
        </w:trPr>
        <w:tc>
          <w:tcPr>
            <w:tcW w:w="1690" w:type="dxa"/>
          </w:tcPr>
          <w:p w:rsidR="004C2267" w:rsidRPr="00D91D16" w:rsidRDefault="004C2267" w:rsidP="003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043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889" w:type="dxa"/>
          </w:tcPr>
          <w:p w:rsidR="004C2267" w:rsidRPr="00D91D16" w:rsidRDefault="004C2267" w:rsidP="003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4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и проведение мероприятий по развитию местного самоуправления в Западно-Казахстанской области</w:t>
            </w:r>
          </w:p>
        </w:tc>
        <w:tc>
          <w:tcPr>
            <w:tcW w:w="3137" w:type="dxa"/>
          </w:tcPr>
          <w:p w:rsidR="004C2267" w:rsidRPr="00D91D16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77A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Разработка предложений государственным органам по совершенствованию работы по развитию и уровню местного самоуправления в области и развитию местного самоуправления через результаты социологического исследования.</w:t>
            </w:r>
          </w:p>
        </w:tc>
        <w:tc>
          <w:tcPr>
            <w:tcW w:w="1842" w:type="dxa"/>
          </w:tcPr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Сумма гранта</w:t>
            </w:r>
            <w:r w:rsidRPr="00D91D16">
              <w:rPr>
                <w:b w:val="0"/>
                <w:sz w:val="20"/>
                <w:szCs w:val="20"/>
                <w:lang w:val="kk-KZ"/>
              </w:rPr>
              <w:t xml:space="preserve"> –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10 000,0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тыс.</w:t>
            </w: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 xml:space="preserve"> тг.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77" w:type="dxa"/>
          </w:tcPr>
          <w:p w:rsidR="004C2267" w:rsidRPr="00D91D16" w:rsidRDefault="004C2267" w:rsidP="004C2267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 краткосрочный грант</w:t>
            </w:r>
          </w:p>
          <w:p w:rsidR="004C2267" w:rsidRPr="00D91D16" w:rsidRDefault="004C2267" w:rsidP="0038274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C2267" w:rsidRPr="00BF0439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F04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Целевой индикатор:</w:t>
            </w:r>
          </w:p>
          <w:p w:rsidR="004C2267" w:rsidRPr="00C338F4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Определение уровня развития местного самоуправления и участия граждан в процессе принятия решений органами местного самоуправления.</w:t>
            </w:r>
          </w:p>
          <w:p w:rsidR="004C2267" w:rsidRPr="00BF0439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F04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Ожидаемый результат:</w:t>
            </w:r>
          </w:p>
          <w:p w:rsidR="004C2267" w:rsidRPr="00C338F4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1) оценивается эффективность работы органов местного самоуправления;</w:t>
            </w:r>
          </w:p>
          <w:p w:rsidR="004C2267" w:rsidRPr="00C338F4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2) определяются проблемные вопросы членов местного сообщества;</w:t>
            </w:r>
          </w:p>
          <w:p w:rsidR="004C2267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3) по области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будет </w:t>
            </w: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проведено 30 встреч с членами местного сообщества сельских округов, обсуждены актуальные вопросы развития местного самоуправления.</w:t>
            </w:r>
          </w:p>
          <w:p w:rsidR="004C2267" w:rsidRDefault="004C2267" w:rsidP="00382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4) будут </w:t>
            </w: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готовят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ся авторитетные лидеры</w:t>
            </w: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среди местного сообщества</w:t>
            </w:r>
          </w:p>
          <w:p w:rsidR="004C2267" w:rsidRPr="00C338F4" w:rsidRDefault="004C2267" w:rsidP="00387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33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5) </w:t>
            </w:r>
            <w:r w:rsidR="00387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</w:t>
            </w:r>
            <w:r w:rsidR="00387936" w:rsidRPr="00387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удет разработан пул спикеров</w:t>
            </w:r>
          </w:p>
        </w:tc>
        <w:tc>
          <w:tcPr>
            <w:tcW w:w="2224" w:type="dxa"/>
          </w:tcPr>
          <w:p w:rsidR="004C2267" w:rsidRPr="00D91D16" w:rsidRDefault="004C2267" w:rsidP="0038274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91D16">
              <w:rPr>
                <w:b w:val="0"/>
                <w:sz w:val="20"/>
                <w:szCs w:val="20"/>
                <w:lang w:val="kk-KZ"/>
              </w:rPr>
              <w:t>-</w:t>
            </w:r>
          </w:p>
        </w:tc>
      </w:tr>
      <w:tr w:rsidR="004C2267" w:rsidRPr="00D91D16" w:rsidTr="0038274B">
        <w:trPr>
          <w:trHeight w:val="1835"/>
          <w:jc w:val="center"/>
        </w:trPr>
        <w:tc>
          <w:tcPr>
            <w:tcW w:w="1690" w:type="dxa"/>
          </w:tcPr>
          <w:p w:rsidR="004C2267" w:rsidRDefault="004C2267" w:rsidP="003C2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Поддержка молодежных и детских</w:t>
            </w:r>
          </w:p>
          <w:p w:rsidR="004C2267" w:rsidRPr="00E53C9B" w:rsidRDefault="004C2267" w:rsidP="003C2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инициатив </w:t>
            </w:r>
          </w:p>
        </w:tc>
        <w:tc>
          <w:tcPr>
            <w:tcW w:w="1889" w:type="dxa"/>
          </w:tcPr>
          <w:p w:rsidR="004C2267" w:rsidRPr="00E53C9B" w:rsidRDefault="004C2267" w:rsidP="003C2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53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и проведение комплекса мероприятий в поддержку сельской молодежи.</w:t>
            </w:r>
          </w:p>
          <w:p w:rsidR="004C2267" w:rsidRPr="00E53C9B" w:rsidRDefault="004C2267" w:rsidP="003C2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C2267" w:rsidRPr="00E53C9B" w:rsidRDefault="004C2267" w:rsidP="003C2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C2267" w:rsidRPr="00E53C9B" w:rsidRDefault="004C2267" w:rsidP="003C2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7" w:type="dxa"/>
          </w:tcPr>
          <w:p w:rsidR="004C2267" w:rsidRPr="005F61F9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проблемы молодежи региона – молодежная безработица, нехватка количества  социальных объектов, культурных и спортивных инфраструктур для улучшения уровня жизни и организация досуга молодежи на сельской местности.</w:t>
            </w:r>
          </w:p>
          <w:p w:rsidR="004C2267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также имеется проблема  низкого уровня здоровья, общей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информативности,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правовой и финансовой грамотности сельской молодежи.</w:t>
            </w:r>
          </w:p>
          <w:p w:rsidR="004C2267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этом направлении остро стоит вопрос об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информационно-разъяснительных работ по государственным программам поддержки и возможностях для молодежи, также организации семинар-тренингов, мастер-классов по открытию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собственного дела, обучения жизненных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навыков  среди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сельской молодежи.</w:t>
            </w:r>
          </w:p>
          <w:p w:rsidR="004C2267" w:rsidRPr="0039455F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момент есть необходимость организация различных мероприятии, концертных программ по выявлению и поддержки талантливой, креативной и интеллектуальной молодежи на селе.</w:t>
            </w:r>
          </w:p>
          <w:p w:rsidR="004C2267" w:rsidRPr="00E53C9B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4C2267" w:rsidRPr="00D91D16" w:rsidRDefault="004C2267" w:rsidP="003C28B9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lastRenderedPageBreak/>
              <w:t>сумма гранта</w:t>
            </w:r>
            <w:r w:rsidRPr="00D91D16">
              <w:rPr>
                <w:b w:val="0"/>
                <w:sz w:val="20"/>
                <w:szCs w:val="20"/>
                <w:lang w:val="kk-KZ"/>
              </w:rPr>
              <w:t xml:space="preserve"> –</w:t>
            </w:r>
          </w:p>
          <w:p w:rsidR="004C2267" w:rsidRPr="00D91D16" w:rsidRDefault="004C2267" w:rsidP="003C28B9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7</w:t>
            </w: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> 000,0</w:t>
            </w:r>
          </w:p>
          <w:p w:rsidR="004C2267" w:rsidRPr="00D91D16" w:rsidRDefault="004C2267" w:rsidP="003C28B9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тыс.</w:t>
            </w:r>
            <w:r w:rsidRPr="00D91D16">
              <w:rPr>
                <w:b w:val="0"/>
                <w:color w:val="000000"/>
                <w:sz w:val="20"/>
                <w:szCs w:val="20"/>
                <w:lang w:val="kk-KZ"/>
              </w:rPr>
              <w:t xml:space="preserve"> тг.</w:t>
            </w:r>
          </w:p>
          <w:p w:rsidR="004C2267" w:rsidRPr="00D91D16" w:rsidRDefault="004C2267" w:rsidP="003C28B9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  <w:p w:rsidR="004C2267" w:rsidRPr="00D91D16" w:rsidRDefault="004C2267" w:rsidP="003C28B9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77" w:type="dxa"/>
          </w:tcPr>
          <w:p w:rsidR="004C2267" w:rsidRPr="00D91D16" w:rsidRDefault="004C2267" w:rsidP="003C28B9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 краткосрочный грант</w:t>
            </w:r>
          </w:p>
          <w:p w:rsidR="004C2267" w:rsidRPr="00D91D16" w:rsidRDefault="004C2267" w:rsidP="003C28B9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  <w:p w:rsidR="004C2267" w:rsidRPr="00D91D16" w:rsidRDefault="004C2267" w:rsidP="003C28B9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C2267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Целевой индикатор</w:t>
            </w:r>
            <w:r w:rsidRPr="00D91D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D91D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4C2267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информационных групп для проведения информационно-разъяснительных работ среди сельской молодежи по Западно-Казахстанской области. </w:t>
            </w:r>
          </w:p>
          <w:p w:rsidR="004C2267" w:rsidRPr="00E53C9B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поездки и встреч информационных групп с молодежью во всех 12 районах области.</w:t>
            </w:r>
          </w:p>
          <w:p w:rsidR="004C2267" w:rsidRPr="00907A86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7A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результат:</w:t>
            </w:r>
          </w:p>
          <w:p w:rsidR="004C2267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В составе информационных групп будут включены молодые специалисты из разных сфер деятельности (здравоохранение, образование, культура, спорт и др.)</w:t>
            </w:r>
          </w:p>
          <w:p w:rsidR="004C2267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Организация встреч  и диалоговых площадок информационных групп с молодежью во всех  сельских округах 12 районах области.</w:t>
            </w:r>
          </w:p>
          <w:p w:rsidR="004C2267" w:rsidRPr="00E53C9B" w:rsidRDefault="004C2267" w:rsidP="003C2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3.В рамках проекта будут организованы концертные программы с участием молодых талантов, команд КВН и др.</w:t>
            </w:r>
          </w:p>
          <w:p w:rsidR="004C2267" w:rsidRPr="005F61F9" w:rsidRDefault="004C2267" w:rsidP="003C28B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По итогам проекта  ожидается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разработка рекомендации по решению актуальных проблем сельской молодежи и  реализации государственной молодежной политики в сельских местностях.</w:t>
            </w:r>
          </w:p>
        </w:tc>
        <w:tc>
          <w:tcPr>
            <w:tcW w:w="2224" w:type="dxa"/>
          </w:tcPr>
          <w:p w:rsidR="004C2267" w:rsidRPr="00E53C9B" w:rsidRDefault="004C2267" w:rsidP="003C28B9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lastRenderedPageBreak/>
              <w:t>-</w:t>
            </w:r>
          </w:p>
        </w:tc>
      </w:tr>
      <w:tr w:rsidR="004C2267" w:rsidRPr="003F1ED0" w:rsidTr="004C2267">
        <w:trPr>
          <w:trHeight w:val="195"/>
          <w:jc w:val="center"/>
        </w:trPr>
        <w:tc>
          <w:tcPr>
            <w:tcW w:w="16045" w:type="dxa"/>
            <w:gridSpan w:val="7"/>
          </w:tcPr>
          <w:p w:rsidR="004C2267" w:rsidRPr="00E53C9B" w:rsidRDefault="004C2267" w:rsidP="00387936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ВСЕГО на 2023 год                                                                                                     2</w:t>
            </w:r>
            <w:r w:rsidR="00387936">
              <w:rPr>
                <w:sz w:val="20"/>
                <w:szCs w:val="20"/>
                <w:lang w:val="kk-KZ"/>
              </w:rPr>
              <w:t>5</w:t>
            </w:r>
            <w:r w:rsidRPr="00D91D16">
              <w:rPr>
                <w:sz w:val="20"/>
                <w:szCs w:val="20"/>
                <w:lang w:val="kk-KZ"/>
              </w:rPr>
              <w:t> 000,0</w:t>
            </w:r>
          </w:p>
        </w:tc>
      </w:tr>
    </w:tbl>
    <w:p w:rsidR="004C2267" w:rsidRDefault="004C2267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900" w:rsidRDefault="00CA1900" w:rsidP="00D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CA1900" w:rsidSect="00BB569C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7AD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2B506C"/>
    <w:multiLevelType w:val="hybridMultilevel"/>
    <w:tmpl w:val="4ABA551E"/>
    <w:lvl w:ilvl="0" w:tplc="CE6CA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382EF4"/>
    <w:multiLevelType w:val="hybridMultilevel"/>
    <w:tmpl w:val="1BC6F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A7DB7"/>
    <w:multiLevelType w:val="hybridMultilevel"/>
    <w:tmpl w:val="38187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7B"/>
    <w:rsid w:val="00004EAF"/>
    <w:rsid w:val="00034DB0"/>
    <w:rsid w:val="001A3046"/>
    <w:rsid w:val="001D5024"/>
    <w:rsid w:val="002664FF"/>
    <w:rsid w:val="00277D79"/>
    <w:rsid w:val="00384588"/>
    <w:rsid w:val="00387936"/>
    <w:rsid w:val="003D29AE"/>
    <w:rsid w:val="003F1ED0"/>
    <w:rsid w:val="00404ABF"/>
    <w:rsid w:val="00480420"/>
    <w:rsid w:val="00483E27"/>
    <w:rsid w:val="004C2267"/>
    <w:rsid w:val="0050730A"/>
    <w:rsid w:val="00513C77"/>
    <w:rsid w:val="00531A51"/>
    <w:rsid w:val="00532327"/>
    <w:rsid w:val="005B34CD"/>
    <w:rsid w:val="005F27B9"/>
    <w:rsid w:val="00663093"/>
    <w:rsid w:val="0071435C"/>
    <w:rsid w:val="00775165"/>
    <w:rsid w:val="007A0DAD"/>
    <w:rsid w:val="007A3B92"/>
    <w:rsid w:val="007B091C"/>
    <w:rsid w:val="007C7C33"/>
    <w:rsid w:val="007E5FDB"/>
    <w:rsid w:val="00902C50"/>
    <w:rsid w:val="00935984"/>
    <w:rsid w:val="00993F74"/>
    <w:rsid w:val="009C4676"/>
    <w:rsid w:val="009F74E8"/>
    <w:rsid w:val="00A235B9"/>
    <w:rsid w:val="00A64A26"/>
    <w:rsid w:val="00B15DEE"/>
    <w:rsid w:val="00B66D85"/>
    <w:rsid w:val="00B947A6"/>
    <w:rsid w:val="00BB569C"/>
    <w:rsid w:val="00C344C5"/>
    <w:rsid w:val="00C930F8"/>
    <w:rsid w:val="00CA1900"/>
    <w:rsid w:val="00D76A1C"/>
    <w:rsid w:val="00D91D16"/>
    <w:rsid w:val="00E24FF9"/>
    <w:rsid w:val="00ED390D"/>
    <w:rsid w:val="00EF2B9A"/>
    <w:rsid w:val="00F81D77"/>
    <w:rsid w:val="00F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72C3"/>
  <w15:docId w15:val="{AD90F33A-840E-4DC4-B351-1DBF8D0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D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91D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1D1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Maxal</dc:creator>
  <cp:lastModifiedBy>user</cp:lastModifiedBy>
  <cp:revision>11</cp:revision>
  <cp:lastPrinted>2023-02-07T06:34:00Z</cp:lastPrinted>
  <dcterms:created xsi:type="dcterms:W3CDTF">2023-02-03T08:18:00Z</dcterms:created>
  <dcterms:modified xsi:type="dcterms:W3CDTF">2023-02-07T06:34:00Z</dcterms:modified>
</cp:coreProperties>
</file>