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A2010" w14:textId="0D4CE0B4" w:rsidR="00990D3B" w:rsidRPr="009E4591" w:rsidRDefault="00990D3B" w:rsidP="009E4591">
      <w:pPr>
        <w:tabs>
          <w:tab w:val="left" w:pos="4238"/>
        </w:tabs>
        <w:jc w:val="center"/>
        <w:rPr>
          <w:sz w:val="28"/>
          <w:szCs w:val="28"/>
        </w:rPr>
      </w:pPr>
    </w:p>
    <w:p w14:paraId="7222F989" w14:textId="77777777" w:rsidR="00CB7A66" w:rsidRPr="009E4591" w:rsidRDefault="00CB7A66" w:rsidP="009E4591">
      <w:pPr>
        <w:tabs>
          <w:tab w:val="left" w:pos="4253"/>
        </w:tabs>
        <w:ind w:firstLine="709"/>
        <w:jc w:val="center"/>
        <w:rPr>
          <w:color w:val="000000"/>
          <w:sz w:val="28"/>
          <w:szCs w:val="22"/>
          <w:lang w:eastAsia="en-US"/>
        </w:rPr>
      </w:pPr>
    </w:p>
    <w:p w14:paraId="1D32855C" w14:textId="719EBF6F" w:rsidR="00CB7A66" w:rsidRPr="005B19D2" w:rsidRDefault="00CB7A66" w:rsidP="00CB7A66">
      <w:pPr>
        <w:ind w:firstLine="709"/>
        <w:jc w:val="center"/>
        <w:rPr>
          <w:b/>
          <w:color w:val="000000"/>
          <w:sz w:val="28"/>
          <w:szCs w:val="22"/>
          <w:lang w:eastAsia="en-US"/>
        </w:rPr>
      </w:pPr>
      <w:r w:rsidRPr="005B19D2">
        <w:rPr>
          <w:b/>
          <w:color w:val="000000"/>
          <w:sz w:val="28"/>
          <w:szCs w:val="22"/>
          <w:lang w:eastAsia="en-US"/>
        </w:rPr>
        <w:t xml:space="preserve">Об утверждении Правил проведения </w:t>
      </w:r>
      <w:r w:rsidRPr="005B19D2">
        <w:rPr>
          <w:b/>
          <w:sz w:val="28"/>
          <w:szCs w:val="22"/>
          <w:lang w:eastAsia="en-US"/>
        </w:rPr>
        <w:t>секторального</w:t>
      </w:r>
      <w:r w:rsidRPr="005B19D2">
        <w:rPr>
          <w:b/>
          <w:color w:val="000000"/>
          <w:sz w:val="28"/>
          <w:szCs w:val="22"/>
          <w:lang w:eastAsia="en-US"/>
        </w:rPr>
        <w:t xml:space="preserve"> анализа с целью установления целесообразности присутствия государства в предпринимательской среде </w:t>
      </w:r>
    </w:p>
    <w:p w14:paraId="3632DCF6" w14:textId="77777777" w:rsidR="00CB7A66" w:rsidRPr="005B19D2" w:rsidRDefault="00CB7A66" w:rsidP="00CB7A66">
      <w:pPr>
        <w:ind w:firstLine="709"/>
        <w:jc w:val="both"/>
        <w:rPr>
          <w:sz w:val="28"/>
          <w:szCs w:val="22"/>
          <w:lang w:eastAsia="en-US"/>
        </w:rPr>
      </w:pPr>
      <w:bookmarkStart w:id="0" w:name="z3"/>
    </w:p>
    <w:p w14:paraId="5853883B" w14:textId="77777777" w:rsidR="00CB7A66" w:rsidRPr="005B19D2" w:rsidRDefault="00CB7A66" w:rsidP="00CB7A66">
      <w:pPr>
        <w:ind w:firstLine="709"/>
        <w:jc w:val="both"/>
        <w:rPr>
          <w:sz w:val="22"/>
          <w:szCs w:val="22"/>
          <w:lang w:eastAsia="en-US"/>
        </w:rPr>
      </w:pPr>
      <w:r w:rsidRPr="005B19D2">
        <w:rPr>
          <w:color w:val="000000"/>
          <w:sz w:val="28"/>
          <w:szCs w:val="22"/>
          <w:lang w:eastAsia="en-US"/>
        </w:rPr>
        <w:t xml:space="preserve">В соответствии с пунктом 7 и подпунктом 2) пункта 19 Положения об Агентстве по защите и развитию конкуренции Республики Казахстан (далее – Агентство) </w:t>
      </w:r>
      <w:r w:rsidRPr="005B19D2">
        <w:rPr>
          <w:b/>
          <w:color w:val="000000"/>
          <w:sz w:val="28"/>
          <w:szCs w:val="22"/>
          <w:lang w:eastAsia="en-US"/>
        </w:rPr>
        <w:t>ПРИКАЗЫВАЮ</w:t>
      </w:r>
      <w:r w:rsidRPr="005B19D2">
        <w:rPr>
          <w:color w:val="000000"/>
          <w:sz w:val="28"/>
          <w:szCs w:val="22"/>
          <w:lang w:eastAsia="en-US"/>
        </w:rPr>
        <w:t>:</w:t>
      </w:r>
    </w:p>
    <w:p w14:paraId="179E287C" w14:textId="77777777" w:rsidR="00CB7A66" w:rsidRPr="005B19D2" w:rsidRDefault="00CB7A66" w:rsidP="00CB7A66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1" w:name="z4"/>
      <w:bookmarkEnd w:id="0"/>
      <w:r w:rsidRPr="005B19D2">
        <w:rPr>
          <w:color w:val="000000"/>
          <w:sz w:val="28"/>
          <w:szCs w:val="22"/>
          <w:lang w:eastAsia="en-US"/>
        </w:rPr>
        <w:t xml:space="preserve">1. Утвердить прилагаемые Правила проведения </w:t>
      </w:r>
      <w:r w:rsidRPr="005B19D2">
        <w:rPr>
          <w:sz w:val="28"/>
          <w:szCs w:val="22"/>
          <w:lang w:eastAsia="en-US"/>
        </w:rPr>
        <w:t>секторального</w:t>
      </w:r>
      <w:r w:rsidRPr="005B19D2">
        <w:rPr>
          <w:color w:val="000000"/>
          <w:sz w:val="28"/>
          <w:szCs w:val="22"/>
          <w:lang w:eastAsia="en-US"/>
        </w:rPr>
        <w:t xml:space="preserve"> анализа с целью установления целесообразности присутствия государства в предпринимательской среде. </w:t>
      </w:r>
      <w:bookmarkStart w:id="2" w:name="z5"/>
      <w:bookmarkEnd w:id="1"/>
    </w:p>
    <w:p w14:paraId="2983E9DA" w14:textId="77777777" w:rsidR="00CB7A66" w:rsidRPr="005B19D2" w:rsidRDefault="00CB7A66" w:rsidP="00CB7A66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5B19D2">
        <w:rPr>
          <w:color w:val="000000"/>
          <w:sz w:val="28"/>
          <w:szCs w:val="22"/>
          <w:lang w:eastAsia="en-US"/>
        </w:rPr>
        <w:t>2. Департаменту экономической концентрации и контроля государственных предприятий Агентства в установленном законодательством порядке обеспечить размещение настоящего приказа на интернет-ресурсе Агентства.</w:t>
      </w:r>
    </w:p>
    <w:p w14:paraId="44AF0AA4" w14:textId="77777777" w:rsidR="00CB7A66" w:rsidRPr="005B19D2" w:rsidRDefault="00CB7A66" w:rsidP="00CB7A66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3" w:name="z10"/>
      <w:bookmarkEnd w:id="2"/>
      <w:r w:rsidRPr="005B19D2">
        <w:rPr>
          <w:color w:val="000000"/>
          <w:sz w:val="28"/>
          <w:szCs w:val="22"/>
          <w:lang w:eastAsia="en-US"/>
        </w:rPr>
        <w:t>3. Контроль за исполнением настоящего приказа возложить на курирующего заместителя Председателя Агентства.</w:t>
      </w:r>
      <w:bookmarkEnd w:id="3"/>
    </w:p>
    <w:p w14:paraId="0A380322" w14:textId="77777777" w:rsidR="00CB7A66" w:rsidRPr="005B19D2" w:rsidRDefault="00CB7A66" w:rsidP="00CB7A66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5B19D2">
        <w:rPr>
          <w:color w:val="000000"/>
          <w:sz w:val="28"/>
          <w:szCs w:val="22"/>
          <w:lang w:eastAsia="en-US"/>
        </w:rPr>
        <w:t>4. Настоящий приказ вступает в силу со дня его подписания.</w:t>
      </w:r>
    </w:p>
    <w:p w14:paraId="003974B4" w14:textId="1F99F640" w:rsidR="00990D3B" w:rsidRPr="005B19D2" w:rsidRDefault="00990D3B" w:rsidP="00990D3B">
      <w:pPr>
        <w:tabs>
          <w:tab w:val="left" w:pos="4238"/>
        </w:tabs>
        <w:rPr>
          <w:b/>
          <w:sz w:val="28"/>
          <w:szCs w:val="28"/>
        </w:rPr>
      </w:pPr>
    </w:p>
    <w:p w14:paraId="7088C57F" w14:textId="4A0D8795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tbl>
      <w:tblPr>
        <w:tblW w:w="10484" w:type="dxa"/>
        <w:tblCellSpacing w:w="0" w:type="auto"/>
        <w:tblLook w:val="04A0" w:firstRow="1" w:lastRow="0" w:firstColumn="1" w:lastColumn="0" w:noHBand="0" w:noVBand="1"/>
      </w:tblPr>
      <w:tblGrid>
        <w:gridCol w:w="9777"/>
        <w:gridCol w:w="707"/>
      </w:tblGrid>
      <w:tr w:rsidR="00CB7A66" w:rsidRPr="005B19D2" w14:paraId="61C6C978" w14:textId="77777777" w:rsidTr="007C02E5">
        <w:trPr>
          <w:trHeight w:val="30"/>
          <w:tblCellSpacing w:w="0" w:type="auto"/>
        </w:trPr>
        <w:tc>
          <w:tcPr>
            <w:tcW w:w="9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12"/>
              <w:tblW w:w="8930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2887"/>
              <w:gridCol w:w="2391"/>
            </w:tblGrid>
            <w:tr w:rsidR="00CB7A66" w:rsidRPr="005B19D2" w14:paraId="6254AB48" w14:textId="77777777" w:rsidTr="007C02E5">
              <w:tc>
                <w:tcPr>
                  <w:tcW w:w="3652" w:type="dxa"/>
                  <w:hideMark/>
                </w:tcPr>
                <w:p w14:paraId="10875307" w14:textId="77777777" w:rsidR="00CB7A66" w:rsidRPr="005B19D2" w:rsidRDefault="00CB7A66" w:rsidP="007C02E5">
                  <w:pPr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</w:pPr>
                  <w:r w:rsidRPr="005B19D2">
                    <w:rPr>
                      <w:rFonts w:eastAsia="Calibri"/>
                      <w:b/>
                      <w:sz w:val="28"/>
                      <w:szCs w:val="28"/>
                      <w:lang w:val="ru-RU"/>
                    </w:rPr>
                    <w:t xml:space="preserve">Председатель </w:t>
                  </w:r>
                </w:p>
              </w:tc>
              <w:tc>
                <w:tcPr>
                  <w:tcW w:w="2887" w:type="dxa"/>
                </w:tcPr>
                <w:p w14:paraId="3288E3F3" w14:textId="77777777" w:rsidR="00CB7A66" w:rsidRPr="005B19D2" w:rsidRDefault="00CB7A66" w:rsidP="007C02E5">
                  <w:pPr>
                    <w:rPr>
                      <w:rFonts w:eastAsia="Calibri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91" w:type="dxa"/>
                  <w:hideMark/>
                </w:tcPr>
                <w:p w14:paraId="489DA1CA" w14:textId="77777777" w:rsidR="00CB7A66" w:rsidRPr="005B19D2" w:rsidRDefault="00CB7A66" w:rsidP="007C02E5">
                  <w:pPr>
                    <w:rPr>
                      <w:rFonts w:eastAsia="Calibri"/>
                      <w:b/>
                      <w:sz w:val="28"/>
                      <w:szCs w:val="28"/>
                      <w:lang w:val="kk-KZ"/>
                    </w:rPr>
                  </w:pPr>
                  <w:r w:rsidRPr="005B19D2">
                    <w:rPr>
                      <w:rFonts w:eastAsia="Calibri"/>
                      <w:b/>
                      <w:sz w:val="28"/>
                      <w:szCs w:val="28"/>
                      <w:lang w:val="kk-KZ"/>
                    </w:rPr>
                    <w:t>С. Жумангарин</w:t>
                  </w:r>
                </w:p>
              </w:tc>
            </w:tr>
          </w:tbl>
          <w:p w14:paraId="653BCE62" w14:textId="77777777" w:rsidR="00CB7A66" w:rsidRPr="005B19D2" w:rsidRDefault="00CB7A66" w:rsidP="007C02E5">
            <w:pPr>
              <w:ind w:firstLine="709"/>
              <w:jc w:val="both"/>
            </w:pPr>
          </w:p>
        </w:tc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6EA7" w14:textId="77777777" w:rsidR="00CB7A66" w:rsidRPr="005B19D2" w:rsidRDefault="00CB7A66" w:rsidP="007C02E5">
            <w:pPr>
              <w:ind w:firstLine="709"/>
              <w:jc w:val="center"/>
            </w:pPr>
          </w:p>
        </w:tc>
      </w:tr>
    </w:tbl>
    <w:p w14:paraId="04172F15" w14:textId="3DEC78DC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33E55AA0" w14:textId="00D289A4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27F70011" w14:textId="49CA5B73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732336DC" w14:textId="28FC839E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7A521B3D" w14:textId="3AEBE101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0623C84C" w14:textId="25C7B26D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7914B684" w14:textId="2AAAEBA0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7A1E34C2" w14:textId="73DAFC4C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330DD956" w14:textId="3557771C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77812FDB" w14:textId="3215D7B9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0B01B518" w14:textId="5B8D07E0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4C73F205" w14:textId="171874E6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20494F2F" w14:textId="376F7752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4A4155F0" w14:textId="478AA729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2D3BBAF8" w14:textId="67808539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4883C056" w14:textId="01767AEA" w:rsidR="00CB7A66" w:rsidRPr="005B19D2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p w14:paraId="49A390D2" w14:textId="77777777" w:rsidR="00CB7A66" w:rsidRPr="005B19D2" w:rsidRDefault="00CB7A66" w:rsidP="00CB7A66">
      <w:pPr>
        <w:ind w:left="4536"/>
        <w:jc w:val="center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lastRenderedPageBreak/>
        <w:t>Утверждены</w:t>
      </w:r>
    </w:p>
    <w:p w14:paraId="22F7964B" w14:textId="77777777" w:rsidR="00CB7A66" w:rsidRPr="005B19D2" w:rsidRDefault="00CB7A66" w:rsidP="00CB7A66">
      <w:pPr>
        <w:ind w:left="4536"/>
        <w:jc w:val="center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приказом Председателя Агентства</w:t>
      </w:r>
    </w:p>
    <w:p w14:paraId="0F4D7219" w14:textId="77777777" w:rsidR="00CB7A66" w:rsidRPr="005B19D2" w:rsidRDefault="00CB7A66" w:rsidP="00CB7A66">
      <w:pPr>
        <w:ind w:left="4536"/>
        <w:jc w:val="center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по защите и развитию конкуренции</w:t>
      </w:r>
    </w:p>
    <w:p w14:paraId="291EDB10" w14:textId="77777777" w:rsidR="00CB7A66" w:rsidRPr="005B19D2" w:rsidRDefault="00CB7A66" w:rsidP="00CB7A66">
      <w:pPr>
        <w:ind w:left="4536"/>
        <w:jc w:val="center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Республики Казахстан</w:t>
      </w:r>
    </w:p>
    <w:p w14:paraId="1FC6AE36" w14:textId="5AD2F5DB" w:rsidR="00CB7A66" w:rsidRPr="005B19D2" w:rsidRDefault="009E4591" w:rsidP="00CB7A66">
      <w:pPr>
        <w:ind w:left="4536"/>
        <w:jc w:val="center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 xml:space="preserve">от                  </w:t>
      </w:r>
      <w:r w:rsidR="00CB7A66" w:rsidRPr="005B19D2">
        <w:rPr>
          <w:rFonts w:eastAsia="Calibri"/>
          <w:sz w:val="28"/>
          <w:szCs w:val="28"/>
        </w:rPr>
        <w:t>2022 года</w:t>
      </w:r>
    </w:p>
    <w:p w14:paraId="24160657" w14:textId="77777777" w:rsidR="00CB7A66" w:rsidRPr="005B19D2" w:rsidRDefault="00CB7A66" w:rsidP="00CB7A66">
      <w:pPr>
        <w:ind w:left="4536"/>
        <w:jc w:val="center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№</w:t>
      </w:r>
    </w:p>
    <w:p w14:paraId="7BFDFE56" w14:textId="77777777" w:rsidR="00CB7A66" w:rsidRPr="005B19D2" w:rsidRDefault="00CB7A66" w:rsidP="00CB7A66">
      <w:pPr>
        <w:jc w:val="center"/>
        <w:rPr>
          <w:rFonts w:eastAsia="Calibri"/>
          <w:sz w:val="28"/>
          <w:szCs w:val="28"/>
        </w:rPr>
      </w:pPr>
    </w:p>
    <w:p w14:paraId="5A131510" w14:textId="77777777" w:rsidR="00CB7A66" w:rsidRPr="005B19D2" w:rsidRDefault="00CB7A66" w:rsidP="00CB7A66">
      <w:pPr>
        <w:jc w:val="center"/>
        <w:rPr>
          <w:rFonts w:eastAsia="Calibri"/>
          <w:sz w:val="28"/>
          <w:szCs w:val="28"/>
        </w:rPr>
      </w:pPr>
    </w:p>
    <w:p w14:paraId="291BEF57" w14:textId="77777777" w:rsidR="00CB7A66" w:rsidRPr="005B19D2" w:rsidRDefault="00CB7A66" w:rsidP="00CB7A66">
      <w:pPr>
        <w:ind w:firstLine="709"/>
        <w:jc w:val="center"/>
        <w:rPr>
          <w:b/>
          <w:strike/>
          <w:sz w:val="28"/>
        </w:rPr>
      </w:pPr>
      <w:r w:rsidRPr="005B19D2">
        <w:rPr>
          <w:b/>
          <w:color w:val="000000"/>
          <w:sz w:val="28"/>
        </w:rPr>
        <w:t>Правил</w:t>
      </w:r>
      <w:r w:rsidRPr="005B19D2">
        <w:rPr>
          <w:b/>
          <w:color w:val="000000"/>
          <w:sz w:val="28"/>
          <w:lang w:val="kk-KZ"/>
        </w:rPr>
        <w:t>а</w:t>
      </w:r>
      <w:r w:rsidRPr="005B19D2">
        <w:rPr>
          <w:b/>
          <w:color w:val="000000"/>
          <w:sz w:val="28"/>
        </w:rPr>
        <w:t xml:space="preserve"> проведения </w:t>
      </w:r>
      <w:r w:rsidRPr="005B19D2">
        <w:rPr>
          <w:b/>
          <w:sz w:val="28"/>
        </w:rPr>
        <w:t>секторального</w:t>
      </w:r>
      <w:r w:rsidRPr="005B19D2">
        <w:rPr>
          <w:b/>
          <w:color w:val="000000"/>
          <w:sz w:val="28"/>
        </w:rPr>
        <w:t xml:space="preserve"> анализа состояния с целью установления </w:t>
      </w:r>
      <w:r w:rsidRPr="005B19D2">
        <w:rPr>
          <w:b/>
          <w:sz w:val="28"/>
        </w:rPr>
        <w:t xml:space="preserve">целесообразности присутствия государства в предпринимательской среде </w:t>
      </w:r>
    </w:p>
    <w:p w14:paraId="2FB99EFE" w14:textId="77777777" w:rsidR="00CB7A66" w:rsidRPr="005B19D2" w:rsidRDefault="00CB7A66" w:rsidP="00CB7A66">
      <w:pPr>
        <w:ind w:firstLine="709"/>
        <w:jc w:val="both"/>
        <w:rPr>
          <w:b/>
        </w:rPr>
      </w:pPr>
    </w:p>
    <w:p w14:paraId="7F154D90" w14:textId="77777777" w:rsidR="00CB7A66" w:rsidRPr="005B19D2" w:rsidRDefault="00CB7A66" w:rsidP="00CB7A66">
      <w:pPr>
        <w:ind w:firstLine="709"/>
        <w:contextualSpacing/>
        <w:jc w:val="center"/>
        <w:rPr>
          <w:rFonts w:eastAsia="Calibri"/>
          <w:b/>
          <w:bCs/>
          <w:sz w:val="28"/>
          <w:szCs w:val="28"/>
          <w:lang w:val="kk-KZ"/>
        </w:rPr>
      </w:pPr>
      <w:bookmarkStart w:id="4" w:name="z90"/>
      <w:r w:rsidRPr="005B19D2">
        <w:rPr>
          <w:rFonts w:eastAsia="Calibri"/>
          <w:b/>
          <w:bCs/>
          <w:sz w:val="28"/>
          <w:szCs w:val="28"/>
          <w:lang w:val="kk-KZ"/>
        </w:rPr>
        <w:t>Глава 1. Общие положения</w:t>
      </w:r>
    </w:p>
    <w:p w14:paraId="6F4D7E9A" w14:textId="77777777" w:rsidR="00CB7A66" w:rsidRPr="005B19D2" w:rsidRDefault="00CB7A66" w:rsidP="00CB7A66">
      <w:pPr>
        <w:ind w:firstLine="709"/>
        <w:contextualSpacing/>
        <w:jc w:val="center"/>
        <w:rPr>
          <w:rFonts w:eastAsia="Calibri"/>
          <w:b/>
          <w:bCs/>
          <w:sz w:val="28"/>
          <w:szCs w:val="28"/>
          <w:lang w:val="kk-KZ"/>
        </w:rPr>
      </w:pPr>
    </w:p>
    <w:p w14:paraId="0AFECC5D" w14:textId="77777777" w:rsidR="00CB7A66" w:rsidRPr="005B19D2" w:rsidRDefault="00CB7A66" w:rsidP="009E4591">
      <w:pPr>
        <w:tabs>
          <w:tab w:val="left" w:pos="709"/>
          <w:tab w:val="left" w:pos="851"/>
          <w:tab w:val="left" w:pos="1134"/>
        </w:tabs>
        <w:contextualSpacing/>
        <w:jc w:val="both"/>
        <w:rPr>
          <w:bCs/>
          <w:iCs/>
          <w:sz w:val="28"/>
          <w:szCs w:val="28"/>
        </w:rPr>
      </w:pPr>
      <w:r w:rsidRPr="005B19D2">
        <w:rPr>
          <w:bCs/>
          <w:iCs/>
          <w:sz w:val="28"/>
          <w:szCs w:val="28"/>
          <w:lang w:val="kk-KZ"/>
        </w:rPr>
        <w:tab/>
      </w:r>
      <w:r w:rsidRPr="005B19D2">
        <w:rPr>
          <w:bCs/>
          <w:iCs/>
          <w:sz w:val="28"/>
          <w:szCs w:val="28"/>
        </w:rPr>
        <w:t xml:space="preserve">1. Правила проведения секторального анализа с целью установления целесообразности присутствия государства в предпринимательской среде разработаны в соответствии с пунктом 7 и подпунктом 2) пункта 19 Положения об Агентстве </w:t>
      </w:r>
      <w:r w:rsidRPr="005B19D2">
        <w:rPr>
          <w:bCs/>
          <w:iCs/>
          <w:sz w:val="28"/>
        </w:rPr>
        <w:t xml:space="preserve">и применяются при </w:t>
      </w:r>
      <w:r w:rsidRPr="005B19D2">
        <w:rPr>
          <w:bCs/>
          <w:iCs/>
          <w:sz w:val="28"/>
          <w:szCs w:val="28"/>
        </w:rPr>
        <w:t xml:space="preserve">проведении </w:t>
      </w:r>
      <w:r w:rsidRPr="005B19D2">
        <w:rPr>
          <w:sz w:val="28"/>
        </w:rPr>
        <w:t>секторального</w:t>
      </w:r>
      <w:r w:rsidRPr="005B19D2">
        <w:rPr>
          <w:bCs/>
          <w:iCs/>
          <w:sz w:val="28"/>
          <w:szCs w:val="28"/>
        </w:rPr>
        <w:t xml:space="preserve"> анализа с целью установления целесообразности присутствия государства в предпринимательской среде (далее – секторальный анализ).</w:t>
      </w:r>
    </w:p>
    <w:p w14:paraId="6BF2CD58" w14:textId="537D0FAF" w:rsidR="00CB7A66" w:rsidRPr="005B19D2" w:rsidRDefault="00CB7A66" w:rsidP="009E4591">
      <w:pPr>
        <w:tabs>
          <w:tab w:val="left" w:pos="709"/>
        </w:tabs>
        <w:contextualSpacing/>
        <w:jc w:val="both"/>
        <w:rPr>
          <w:bCs/>
          <w:iCs/>
          <w:spacing w:val="2"/>
          <w:sz w:val="28"/>
          <w:szCs w:val="28"/>
          <w:shd w:val="clear" w:color="auto" w:fill="FFFFFF"/>
        </w:rPr>
      </w:pPr>
      <w:r w:rsidRPr="005B19D2">
        <w:rPr>
          <w:bCs/>
          <w:iCs/>
          <w:sz w:val="28"/>
          <w:szCs w:val="28"/>
        </w:rPr>
        <w:tab/>
        <w:t xml:space="preserve">2. </w:t>
      </w:r>
      <w:r w:rsidRPr="005B19D2">
        <w:rPr>
          <w:bCs/>
          <w:iCs/>
          <w:sz w:val="28"/>
          <w:szCs w:val="28"/>
          <w:lang w:val="kk-KZ"/>
        </w:rPr>
        <w:t xml:space="preserve">В </w:t>
      </w:r>
      <w:r w:rsidRPr="005B19D2">
        <w:rPr>
          <w:bCs/>
          <w:iCs/>
          <w:sz w:val="28"/>
          <w:szCs w:val="28"/>
        </w:rPr>
        <w:t xml:space="preserve">настоящих Правилах используются </w:t>
      </w:r>
      <w:r w:rsidRPr="005B19D2">
        <w:rPr>
          <w:bCs/>
          <w:iCs/>
          <w:spacing w:val="2"/>
          <w:sz w:val="28"/>
          <w:szCs w:val="28"/>
          <w:shd w:val="clear" w:color="auto" w:fill="FFFFFF"/>
        </w:rPr>
        <w:t>следующие понятия:</w:t>
      </w:r>
    </w:p>
    <w:p w14:paraId="5CBCA6B2" w14:textId="77777777" w:rsidR="00CB7A66" w:rsidRPr="005B19D2" w:rsidRDefault="00CB7A66" w:rsidP="009E4591">
      <w:pPr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bCs/>
          <w:iCs/>
          <w:color w:val="000000"/>
          <w:spacing w:val="2"/>
          <w:sz w:val="28"/>
          <w:szCs w:val="28"/>
          <w:shd w:val="clear" w:color="auto" w:fill="FFFFFF"/>
        </w:rPr>
      </w:pPr>
      <w:r w:rsidRPr="005B19D2">
        <w:rPr>
          <w:bCs/>
          <w:iCs/>
          <w:spacing w:val="2"/>
          <w:sz w:val="28"/>
          <w:szCs w:val="28"/>
          <w:shd w:val="clear" w:color="auto" w:fill="FFFFFF"/>
        </w:rPr>
        <w:t xml:space="preserve">КАТО – классификатор административно-территориальных </w:t>
      </w:r>
      <w:r w:rsidRPr="005B19D2">
        <w:rPr>
          <w:bCs/>
          <w:iCs/>
          <w:color w:val="000000"/>
          <w:spacing w:val="2"/>
          <w:sz w:val="28"/>
          <w:szCs w:val="28"/>
          <w:shd w:val="clear" w:color="auto" w:fill="FFFFFF"/>
        </w:rPr>
        <w:t>объектов;</w:t>
      </w:r>
    </w:p>
    <w:p w14:paraId="4C53F313" w14:textId="77777777" w:rsidR="00CB7A66" w:rsidRPr="005B19D2" w:rsidRDefault="00CB7A66" w:rsidP="009E4591">
      <w:pPr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bCs/>
          <w:iCs/>
          <w:color w:val="000000"/>
          <w:spacing w:val="2"/>
          <w:sz w:val="28"/>
          <w:szCs w:val="28"/>
          <w:shd w:val="clear" w:color="auto" w:fill="FFFFFF"/>
        </w:rPr>
      </w:pPr>
      <w:r w:rsidRPr="005B19D2">
        <w:rPr>
          <w:bCs/>
          <w:iCs/>
          <w:color w:val="000000"/>
          <w:spacing w:val="2"/>
          <w:sz w:val="28"/>
          <w:szCs w:val="28"/>
          <w:shd w:val="clear" w:color="auto" w:fill="FFFFFF"/>
        </w:rPr>
        <w:t xml:space="preserve">ОКЭД </w:t>
      </w:r>
      <w:r w:rsidRPr="005B19D2">
        <w:rPr>
          <w:bCs/>
          <w:iCs/>
          <w:color w:val="000000"/>
          <w:spacing w:val="2"/>
          <w:sz w:val="28"/>
          <w:szCs w:val="28"/>
          <w:shd w:val="clear" w:color="auto" w:fill="FFFFFF"/>
          <w:lang w:val="kk-KZ"/>
        </w:rPr>
        <w:t>–</w:t>
      </w:r>
      <w:r w:rsidRPr="005B19D2">
        <w:rPr>
          <w:bCs/>
          <w:iCs/>
          <w:color w:val="000000"/>
          <w:spacing w:val="2"/>
          <w:sz w:val="28"/>
          <w:szCs w:val="28"/>
          <w:shd w:val="clear" w:color="auto" w:fill="FFFFFF"/>
        </w:rPr>
        <w:t xml:space="preserve"> общий классификатор видов экономической деятельности;</w:t>
      </w:r>
    </w:p>
    <w:p w14:paraId="4BA0F5C5" w14:textId="77777777" w:rsidR="00CB7A66" w:rsidRPr="005B19D2" w:rsidRDefault="00CB7A66" w:rsidP="009E4591">
      <w:pPr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5B19D2">
        <w:rPr>
          <w:bCs/>
          <w:iCs/>
          <w:color w:val="000000"/>
          <w:spacing w:val="2"/>
          <w:sz w:val="28"/>
          <w:szCs w:val="28"/>
          <w:shd w:val="clear" w:color="auto" w:fill="FFFFFF"/>
        </w:rPr>
        <w:t xml:space="preserve">индекс </w:t>
      </w:r>
      <w:r w:rsidRPr="005B19D2">
        <w:rPr>
          <w:bCs/>
          <w:iCs/>
          <w:sz w:val="28"/>
          <w:szCs w:val="28"/>
          <w:lang w:val="kk-KZ"/>
        </w:rPr>
        <w:t>Г</w:t>
      </w:r>
      <w:proofErr w:type="spellStart"/>
      <w:r w:rsidRPr="005B19D2">
        <w:rPr>
          <w:bCs/>
          <w:iCs/>
          <w:sz w:val="28"/>
          <w:szCs w:val="28"/>
        </w:rPr>
        <w:t>ерфиндаля</w:t>
      </w:r>
      <w:proofErr w:type="spellEnd"/>
      <w:r w:rsidRPr="005B19D2">
        <w:rPr>
          <w:bCs/>
          <w:iCs/>
          <w:sz w:val="28"/>
          <w:szCs w:val="28"/>
        </w:rPr>
        <w:t>-</w:t>
      </w:r>
      <w:r w:rsidRPr="005B19D2">
        <w:rPr>
          <w:bCs/>
          <w:iCs/>
          <w:sz w:val="28"/>
          <w:szCs w:val="28"/>
          <w:lang w:val="kk-KZ"/>
        </w:rPr>
        <w:t>Г</w:t>
      </w:r>
      <w:proofErr w:type="spellStart"/>
      <w:r w:rsidRPr="005B19D2">
        <w:rPr>
          <w:bCs/>
          <w:iCs/>
          <w:sz w:val="28"/>
          <w:szCs w:val="28"/>
        </w:rPr>
        <w:t>иршмана</w:t>
      </w:r>
      <w:proofErr w:type="spellEnd"/>
      <w:r w:rsidRPr="005B19D2">
        <w:rPr>
          <w:bCs/>
          <w:iCs/>
          <w:sz w:val="28"/>
          <w:szCs w:val="28"/>
        </w:rPr>
        <w:t xml:space="preserve"> – </w:t>
      </w:r>
      <w:r w:rsidRPr="005B19D2">
        <w:rPr>
          <w:bCs/>
          <w:iCs/>
          <w:color w:val="000000"/>
          <w:sz w:val="28"/>
          <w:szCs w:val="28"/>
          <w:shd w:val="clear" w:color="auto" w:fill="FFFFFF"/>
        </w:rPr>
        <w:t>индекс оценки степени монополизации рынка.</w:t>
      </w:r>
    </w:p>
    <w:p w14:paraId="7901668C" w14:textId="77777777" w:rsidR="00CB7A66" w:rsidRPr="005B19D2" w:rsidRDefault="00CB7A66" w:rsidP="009E4591">
      <w:pPr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bCs/>
          <w:iCs/>
          <w:sz w:val="28"/>
          <w:szCs w:val="28"/>
        </w:rPr>
      </w:pPr>
      <w:r w:rsidRPr="005B19D2">
        <w:rPr>
          <w:bCs/>
          <w:iCs/>
          <w:sz w:val="28"/>
          <w:szCs w:val="28"/>
        </w:rPr>
        <w:t>предприятие – государственное предприятие, товарищество с ограниченной ответственностью, акционерное общество, в том числе национальный управляющий холдинг, национальный холдинг, национальная компания, учредителем, участником или акционером которого является государство, а также дочернее, зависимое и иное юридическое лицо, являющиеся аффилированным с ними в соответствии с законодательными актами Республики Казахстан;</w:t>
      </w:r>
    </w:p>
    <w:p w14:paraId="45C7FCD9" w14:textId="77777777" w:rsidR="00CB7A66" w:rsidRPr="005B19D2" w:rsidRDefault="00CB7A66" w:rsidP="009E4591">
      <w:pPr>
        <w:pStyle w:val="ac"/>
        <w:numPr>
          <w:ilvl w:val="0"/>
          <w:numId w:val="12"/>
        </w:numPr>
        <w:tabs>
          <w:tab w:val="left" w:pos="709"/>
          <w:tab w:val="left" w:pos="1140"/>
        </w:tabs>
        <w:ind w:left="1418" w:hanging="709"/>
        <w:jc w:val="both"/>
        <w:rPr>
          <w:bCs/>
          <w:iCs/>
          <w:sz w:val="28"/>
          <w:szCs w:val="28"/>
        </w:rPr>
      </w:pPr>
      <w:r w:rsidRPr="005B19D2">
        <w:rPr>
          <w:bCs/>
          <w:iCs/>
          <w:sz w:val="28"/>
          <w:szCs w:val="28"/>
        </w:rPr>
        <w:t xml:space="preserve">В настоящих Правилах принимаются следующие допущения: </w:t>
      </w:r>
    </w:p>
    <w:p w14:paraId="243BF191" w14:textId="77777777" w:rsidR="00CB7A66" w:rsidRPr="005B19D2" w:rsidRDefault="00CB7A66" w:rsidP="009E4591">
      <w:pPr>
        <w:numPr>
          <w:ilvl w:val="0"/>
          <w:numId w:val="10"/>
        </w:numPr>
        <w:tabs>
          <w:tab w:val="left" w:pos="709"/>
          <w:tab w:val="left" w:pos="1134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секторальный анализ проводится на основе четырехзначных кодов ОКЭД 4;</w:t>
      </w:r>
    </w:p>
    <w:p w14:paraId="2AAF0E43" w14:textId="77777777" w:rsidR="00CB7A66" w:rsidRPr="005B19D2" w:rsidRDefault="00CB7A66" w:rsidP="009E4591">
      <w:pPr>
        <w:numPr>
          <w:ilvl w:val="0"/>
          <w:numId w:val="10"/>
        </w:numPr>
        <w:tabs>
          <w:tab w:val="left" w:pos="709"/>
          <w:tab w:val="left" w:pos="1134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предприятия анализируются на основе привязки к населенному пункту, в котором локализовано предприятие отрасли, согласно коду по КАТО;</w:t>
      </w:r>
    </w:p>
    <w:p w14:paraId="18C2D7DD" w14:textId="77777777" w:rsidR="00CB7A66" w:rsidRPr="005B19D2" w:rsidRDefault="00CB7A66" w:rsidP="009E4591">
      <w:pPr>
        <w:numPr>
          <w:ilvl w:val="0"/>
          <w:numId w:val="10"/>
        </w:numPr>
        <w:tabs>
          <w:tab w:val="left" w:pos="709"/>
          <w:tab w:val="left" w:pos="1134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bCs/>
          <w:iCs/>
          <w:sz w:val="28"/>
          <w:szCs w:val="28"/>
        </w:rPr>
        <w:t>расчёт индекса Герфиндаля-Гиршмана проводится косвенным методом согласно данным по уплаченным налогам из налоговой базы по юридическим лицам.</w:t>
      </w:r>
    </w:p>
    <w:p w14:paraId="05E0039E" w14:textId="77777777" w:rsidR="00CB7A66" w:rsidRPr="005B19D2" w:rsidRDefault="00CB7A66" w:rsidP="009E4591">
      <w:pPr>
        <w:tabs>
          <w:tab w:val="left" w:pos="709"/>
        </w:tabs>
        <w:contextualSpacing/>
        <w:jc w:val="both"/>
        <w:rPr>
          <w:iCs/>
          <w:sz w:val="28"/>
          <w:szCs w:val="28"/>
          <w:lang w:val="kk-KZ"/>
        </w:rPr>
      </w:pPr>
      <w:r w:rsidRPr="005B19D2">
        <w:rPr>
          <w:iCs/>
          <w:sz w:val="28"/>
          <w:szCs w:val="28"/>
        </w:rPr>
        <w:tab/>
        <w:t xml:space="preserve">4. </w:t>
      </w:r>
      <w:r w:rsidRPr="005B19D2">
        <w:rPr>
          <w:bCs/>
          <w:iCs/>
          <w:sz w:val="28"/>
          <w:szCs w:val="28"/>
        </w:rPr>
        <w:t>Секторальный анализ проводится для приоритезации секторов (отраслей) экономики для дальнейшей приватизации предприятий</w:t>
      </w:r>
      <w:r w:rsidRPr="005B19D2">
        <w:rPr>
          <w:bCs/>
          <w:iCs/>
          <w:sz w:val="28"/>
          <w:szCs w:val="28"/>
          <w:lang w:val="kk-KZ"/>
        </w:rPr>
        <w:t>.</w:t>
      </w:r>
    </w:p>
    <w:p w14:paraId="7DF77F10" w14:textId="77777777" w:rsidR="00CB7A66" w:rsidRPr="005B19D2" w:rsidRDefault="00CB7A66" w:rsidP="009E4591">
      <w:pPr>
        <w:tabs>
          <w:tab w:val="left" w:pos="709"/>
        </w:tabs>
        <w:ind w:hanging="709"/>
        <w:contextualSpacing/>
        <w:jc w:val="both"/>
        <w:rPr>
          <w:bCs/>
          <w:iCs/>
          <w:sz w:val="28"/>
          <w:szCs w:val="28"/>
        </w:rPr>
      </w:pPr>
      <w:r w:rsidRPr="005B19D2">
        <w:rPr>
          <w:bCs/>
          <w:iCs/>
          <w:sz w:val="28"/>
          <w:szCs w:val="28"/>
        </w:rPr>
        <w:tab/>
      </w:r>
      <w:r w:rsidRPr="005B19D2">
        <w:rPr>
          <w:bCs/>
          <w:iCs/>
          <w:sz w:val="28"/>
          <w:szCs w:val="28"/>
        </w:rPr>
        <w:tab/>
        <w:t>При проведении секторального анализа в качестве исходной информации используются данные из:</w:t>
      </w:r>
    </w:p>
    <w:p w14:paraId="1AD291A2" w14:textId="77777777" w:rsidR="00CB7A66" w:rsidRPr="005B19D2" w:rsidRDefault="00CB7A66" w:rsidP="009E4591">
      <w:pPr>
        <w:tabs>
          <w:tab w:val="left" w:pos="709"/>
        </w:tabs>
        <w:ind w:hanging="709"/>
        <w:contextualSpacing/>
        <w:jc w:val="both"/>
        <w:rPr>
          <w:bCs/>
          <w:iCs/>
          <w:sz w:val="28"/>
          <w:szCs w:val="28"/>
        </w:rPr>
      </w:pPr>
      <w:r w:rsidRPr="005B19D2">
        <w:rPr>
          <w:bCs/>
          <w:iCs/>
          <w:sz w:val="28"/>
          <w:szCs w:val="28"/>
        </w:rPr>
        <w:tab/>
      </w:r>
      <w:r w:rsidRPr="005B19D2">
        <w:rPr>
          <w:bCs/>
          <w:iCs/>
          <w:sz w:val="28"/>
          <w:szCs w:val="28"/>
        </w:rPr>
        <w:tab/>
        <w:t>1) реестра государственного имущества;</w:t>
      </w:r>
    </w:p>
    <w:p w14:paraId="1B29C168" w14:textId="77777777" w:rsidR="00CB7A66" w:rsidRPr="005B19D2" w:rsidRDefault="00CB7A66" w:rsidP="009E4591">
      <w:pPr>
        <w:tabs>
          <w:tab w:val="left" w:pos="709"/>
        </w:tabs>
        <w:ind w:hanging="709"/>
        <w:contextualSpacing/>
        <w:jc w:val="both"/>
        <w:rPr>
          <w:bCs/>
          <w:iCs/>
          <w:sz w:val="28"/>
          <w:szCs w:val="28"/>
        </w:rPr>
      </w:pPr>
      <w:r w:rsidRPr="005B19D2">
        <w:rPr>
          <w:bCs/>
          <w:iCs/>
          <w:sz w:val="28"/>
          <w:szCs w:val="28"/>
        </w:rPr>
        <w:tab/>
      </w:r>
      <w:r w:rsidRPr="005B19D2">
        <w:rPr>
          <w:bCs/>
          <w:iCs/>
          <w:sz w:val="28"/>
          <w:szCs w:val="28"/>
        </w:rPr>
        <w:tab/>
        <w:t>2) статистического бизнес-регистра;</w:t>
      </w:r>
    </w:p>
    <w:p w14:paraId="2BED662F" w14:textId="77777777" w:rsidR="00CB7A66" w:rsidRPr="005B19D2" w:rsidRDefault="00CB7A66" w:rsidP="009E4591">
      <w:pPr>
        <w:tabs>
          <w:tab w:val="left" w:pos="709"/>
        </w:tabs>
        <w:ind w:hanging="709"/>
        <w:contextualSpacing/>
        <w:jc w:val="both"/>
        <w:rPr>
          <w:bCs/>
          <w:iCs/>
          <w:sz w:val="28"/>
          <w:szCs w:val="28"/>
        </w:rPr>
      </w:pPr>
      <w:r w:rsidRPr="005B19D2">
        <w:rPr>
          <w:bCs/>
          <w:iCs/>
          <w:sz w:val="28"/>
          <w:szCs w:val="28"/>
        </w:rPr>
        <w:lastRenderedPageBreak/>
        <w:tab/>
      </w:r>
      <w:r w:rsidRPr="005B19D2">
        <w:rPr>
          <w:bCs/>
          <w:iCs/>
          <w:sz w:val="28"/>
          <w:szCs w:val="28"/>
        </w:rPr>
        <w:tab/>
        <w:t>3) налоговой базы по юридическим лицам.</w:t>
      </w:r>
    </w:p>
    <w:p w14:paraId="4D75E3C7" w14:textId="77777777" w:rsidR="00CB7A66" w:rsidRPr="005B19D2" w:rsidRDefault="00CB7A66" w:rsidP="009E4591">
      <w:pPr>
        <w:tabs>
          <w:tab w:val="left" w:pos="709"/>
        </w:tabs>
        <w:contextualSpacing/>
        <w:jc w:val="both"/>
        <w:rPr>
          <w:bCs/>
          <w:iCs/>
          <w:sz w:val="28"/>
          <w:szCs w:val="28"/>
        </w:rPr>
      </w:pPr>
    </w:p>
    <w:p w14:paraId="3EB026CE" w14:textId="77777777" w:rsidR="00CB7A66" w:rsidRPr="005B19D2" w:rsidRDefault="00CB7A66" w:rsidP="009E4591">
      <w:pPr>
        <w:tabs>
          <w:tab w:val="left" w:pos="709"/>
        </w:tabs>
        <w:contextualSpacing/>
        <w:jc w:val="both"/>
        <w:rPr>
          <w:iCs/>
          <w:sz w:val="28"/>
          <w:szCs w:val="28"/>
        </w:rPr>
      </w:pPr>
    </w:p>
    <w:p w14:paraId="06CD7AB1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center"/>
        <w:rPr>
          <w:rFonts w:eastAsia="Calibri"/>
          <w:b/>
          <w:bCs/>
          <w:sz w:val="28"/>
          <w:szCs w:val="28"/>
        </w:rPr>
      </w:pPr>
      <w:r w:rsidRPr="005B19D2">
        <w:rPr>
          <w:rFonts w:eastAsia="Calibri"/>
          <w:b/>
          <w:bCs/>
          <w:sz w:val="28"/>
          <w:szCs w:val="28"/>
        </w:rPr>
        <w:t>Глава 2. Порядок проведения секторального анализа</w:t>
      </w:r>
    </w:p>
    <w:p w14:paraId="13E88137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center"/>
        <w:rPr>
          <w:rFonts w:eastAsia="Calibri"/>
          <w:b/>
          <w:bCs/>
          <w:sz w:val="28"/>
          <w:szCs w:val="28"/>
        </w:rPr>
      </w:pPr>
    </w:p>
    <w:p w14:paraId="59B1D533" w14:textId="77777777" w:rsidR="00CB7A66" w:rsidRPr="005B19D2" w:rsidRDefault="00CB7A66" w:rsidP="009E4591">
      <w:pPr>
        <w:tabs>
          <w:tab w:val="left" w:pos="709"/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5B19D2">
        <w:rPr>
          <w:bCs/>
          <w:iCs/>
          <w:sz w:val="28"/>
          <w:szCs w:val="28"/>
        </w:rPr>
        <w:t xml:space="preserve">5. Проведение </w:t>
      </w:r>
      <w:r w:rsidRPr="005B19D2">
        <w:rPr>
          <w:bCs/>
          <w:iCs/>
          <w:sz w:val="28"/>
          <w:szCs w:val="28"/>
          <w:lang w:val="kk-KZ"/>
        </w:rPr>
        <w:t>секторального</w:t>
      </w:r>
      <w:r w:rsidRPr="005B19D2">
        <w:rPr>
          <w:bCs/>
          <w:iCs/>
          <w:color w:val="FF0000"/>
          <w:sz w:val="28"/>
          <w:szCs w:val="28"/>
          <w:lang w:val="kk-KZ"/>
        </w:rPr>
        <w:t xml:space="preserve"> </w:t>
      </w:r>
      <w:r w:rsidRPr="005B19D2">
        <w:rPr>
          <w:bCs/>
          <w:iCs/>
          <w:sz w:val="28"/>
          <w:szCs w:val="28"/>
        </w:rPr>
        <w:t xml:space="preserve">анализа </w:t>
      </w:r>
      <w:r w:rsidRPr="005B19D2">
        <w:rPr>
          <w:bCs/>
          <w:iCs/>
          <w:sz w:val="28"/>
          <w:szCs w:val="28"/>
          <w:lang w:val="kk-KZ"/>
        </w:rPr>
        <w:t xml:space="preserve">включает следующие </w:t>
      </w:r>
      <w:r w:rsidRPr="005B19D2">
        <w:rPr>
          <w:bCs/>
          <w:iCs/>
          <w:sz w:val="28"/>
          <w:szCs w:val="28"/>
        </w:rPr>
        <w:t>этапы:</w:t>
      </w:r>
    </w:p>
    <w:p w14:paraId="164CE48A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1) объединение наблюдений по предприятиям в связке «КАТО-ОКЭД4» для привязки к населенному пункту, в котором локализовано предприятие отрасли.</w:t>
      </w:r>
    </w:p>
    <w:p w14:paraId="1EE841E6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Например, связка «населенный пункт-отрасль» по отрасли «передача электрической энергии» в городе Алматы кодируется следующим образом: </w:t>
      </w:r>
    </w:p>
    <w:p w14:paraId="4F34DE22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«750000000-3512» </w:t>
      </w:r>
    </w:p>
    <w:p w14:paraId="3A3AA66D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где: </w:t>
      </w:r>
    </w:p>
    <w:p w14:paraId="770F88E6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750000000 – КАТО г. Алматы; </w:t>
      </w:r>
    </w:p>
    <w:p w14:paraId="2A03CF93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3512 – ОКЭД отрасли.</w:t>
      </w:r>
    </w:p>
    <w:p w14:paraId="6F3F0328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B19D2">
        <w:rPr>
          <w:rFonts w:eastAsia="Calibri"/>
          <w:iCs/>
          <w:sz w:val="28"/>
          <w:szCs w:val="28"/>
        </w:rPr>
        <w:t>2) проведение расчетов основны</w:t>
      </w:r>
      <w:r w:rsidRPr="005B19D2">
        <w:rPr>
          <w:rFonts w:eastAsia="Calibri"/>
          <w:sz w:val="28"/>
          <w:szCs w:val="28"/>
        </w:rPr>
        <w:t>х показателей:</w:t>
      </w:r>
    </w:p>
    <w:p w14:paraId="5F68FDAE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ascii="Calibri" w:eastAsia="Calibri" w:hAnsi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доля государственного участия в налогах сектора в отдельном населенном пункте</w:t>
      </w:r>
    </w:p>
    <w:p w14:paraId="59D8E8A2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налоги предприятия*доля государственного  участия в предприятии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сумма налогов отрасли в населенном пункте</m:t>
              </m:r>
            </m:den>
          </m:f>
        </m:oMath>
      </m:oMathPara>
    </w:p>
    <w:p w14:paraId="71616252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</w:p>
    <w:p w14:paraId="4005CAF7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степень монополизации сектора в населенном пункте.</w:t>
      </w:r>
    </w:p>
    <w:p w14:paraId="39484437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 xml:space="preserve">Для расчета концентрации предприятий в отраслях экономики используется индекс Герфиндаля-Гиршмана, который </w:t>
      </w:r>
      <w:bookmarkStart w:id="5" w:name="_Hlk91724026"/>
      <w:r w:rsidRPr="005B19D2">
        <w:rPr>
          <w:rFonts w:eastAsia="Calibri"/>
          <w:sz w:val="28"/>
          <w:szCs w:val="28"/>
        </w:rPr>
        <w:t xml:space="preserve">рассчитывается как сумма квадратов долей на товарном рынке всех хозяйствующих субъектов: </w:t>
      </w:r>
    </w:p>
    <w:p w14:paraId="246DCDB2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2378E5BB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hhi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eastAsia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</m:oMath>
      </m:oMathPara>
    </w:p>
    <w:p w14:paraId="7011F605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где: </w:t>
      </w:r>
    </w:p>
    <w:p w14:paraId="7C181BC4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proofErr w:type="spellStart"/>
      <w:r w:rsidRPr="005B19D2">
        <w:rPr>
          <w:iCs/>
          <w:sz w:val="28"/>
          <w:szCs w:val="28"/>
        </w:rPr>
        <w:t>D</w:t>
      </w:r>
      <w:r w:rsidRPr="005B19D2">
        <w:rPr>
          <w:iCs/>
          <w:sz w:val="28"/>
          <w:szCs w:val="28"/>
          <w:vertAlign w:val="subscript"/>
        </w:rPr>
        <w:t>i</w:t>
      </w:r>
      <w:proofErr w:type="spellEnd"/>
      <w:r w:rsidRPr="005B19D2">
        <w:rPr>
          <w:iCs/>
          <w:sz w:val="28"/>
          <w:szCs w:val="28"/>
        </w:rPr>
        <w:t xml:space="preserve"> – выраженная в процентах доля i-</w:t>
      </w:r>
      <w:proofErr w:type="spellStart"/>
      <w:r w:rsidRPr="005B19D2">
        <w:rPr>
          <w:iCs/>
          <w:sz w:val="28"/>
          <w:szCs w:val="28"/>
        </w:rPr>
        <w:t>го</w:t>
      </w:r>
      <w:proofErr w:type="spellEnd"/>
      <w:r w:rsidRPr="005B19D2">
        <w:rPr>
          <w:iCs/>
          <w:sz w:val="28"/>
          <w:szCs w:val="28"/>
        </w:rPr>
        <w:t xml:space="preserve"> хозяйствующего субъекта, осуществляющего деятельность на товарном рынке;</w:t>
      </w:r>
    </w:p>
    <w:p w14:paraId="43EE3B71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n – общее количество хозяйствующих субъектов, осуществляющих деятельность на товарном рынке.</w:t>
      </w:r>
    </w:p>
    <w:p w14:paraId="256B4707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Индекс может варьироваться от 0 до 1. При этом, значение в 0,1800-1 является высококонцентрированным, 0,1000-0,1800 – умеренно концентрированным и &lt;0,1000 – низкоконцентрированным.</w:t>
      </w:r>
    </w:p>
    <w:p w14:paraId="1F909D61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Однако, в условиях отсутствия данных по объёму реализации товара хозяйствующих субъектов в открытом доступе, прямой расчёт невозможен. Для этих целей для расчёта индекса используются данные по уплаченным налогам согласно налоговой базе по юридическим лицам Комитета государственных доходов Министерства финансов Республики Казахстан. </w:t>
      </w:r>
    </w:p>
    <w:p w14:paraId="09F250CF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Таким образом, индекс Герфиндаля-Гиршмана рассчитывается по следующей формуле:</w:t>
      </w:r>
    </w:p>
    <w:p w14:paraId="3012BC03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</w:p>
    <w:p w14:paraId="59C39C60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hhi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Доля налогов предприятия n в общих налогах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отрасли в населенном пункте</m:t>
                          </m:r>
                        </m:e>
                      </m:eqArr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</m:oMath>
      </m:oMathPara>
      <w:bookmarkEnd w:id="5"/>
    </w:p>
    <w:p w14:paraId="4052EE2F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</w:p>
    <w:p w14:paraId="48885CB6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3) составление матрицы категоризации связок «КАТО-ОКЭД» по двум показателям:</w:t>
      </w:r>
    </w:p>
    <w:p w14:paraId="32599194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 xml:space="preserve">доля участия государства в налогах отрасли отражается по вертикальной оси </w:t>
      </w:r>
      <w:r w:rsidRPr="005B19D2">
        <w:rPr>
          <w:rFonts w:eastAsia="Calibri"/>
          <w:iCs/>
          <w:sz w:val="28"/>
          <w:szCs w:val="28"/>
        </w:rPr>
        <w:t>(Y)</w:t>
      </w:r>
      <w:r w:rsidRPr="005B19D2">
        <w:rPr>
          <w:rFonts w:eastAsia="Calibri"/>
          <w:sz w:val="28"/>
          <w:szCs w:val="28"/>
        </w:rPr>
        <w:t>;</w:t>
      </w:r>
    </w:p>
    <w:p w14:paraId="31329DFA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индекс Герфиндаля-Гиршмана отражается по горизонтальной оси (X).</w:t>
      </w:r>
    </w:p>
    <w:p w14:paraId="7DE35709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Пороги для выделения квадрантов матрицы:</w:t>
      </w:r>
    </w:p>
    <w:p w14:paraId="158EDE98" w14:textId="77777777" w:rsidR="00CB7A66" w:rsidRPr="005B19D2" w:rsidRDefault="00CB7A66" w:rsidP="009E4591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5B19D2">
        <w:rPr>
          <w:sz w:val="28"/>
          <w:szCs w:val="28"/>
        </w:rPr>
        <w:t>по доле государственного участия – 35% (α)</w:t>
      </w:r>
    </w:p>
    <w:p w14:paraId="24FE3D78" w14:textId="77777777" w:rsidR="00CB7A66" w:rsidRPr="005B19D2" w:rsidRDefault="00CB7A66" w:rsidP="009E4591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5B19D2">
        <w:rPr>
          <w:sz w:val="28"/>
          <w:szCs w:val="28"/>
        </w:rPr>
        <w:t xml:space="preserve">по индексу Герфиндаля-Гиршмана – 0.1800 (β)   </w:t>
      </w:r>
    </w:p>
    <w:p w14:paraId="4888ECAD" w14:textId="77777777" w:rsidR="00CB7A66" w:rsidRPr="005B19D2" w:rsidRDefault="00CB7A66" w:rsidP="009E4591">
      <w:pPr>
        <w:keepNext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B19D2">
        <w:rPr>
          <w:sz w:val="28"/>
          <w:szCs w:val="28"/>
        </w:rPr>
        <w:t xml:space="preserve">Например, матрица категоризации связок «населенный пункт-отрасль» </w:t>
      </w:r>
    </w:p>
    <w:p w14:paraId="47EC78A5" w14:textId="77777777" w:rsidR="00CB7A66" w:rsidRPr="005B19D2" w:rsidRDefault="00CB7A66" w:rsidP="009E4591">
      <w:pPr>
        <w:keepNext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14:paraId="55DD3CF0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center"/>
        <w:rPr>
          <w:iCs/>
          <w:sz w:val="28"/>
          <w:szCs w:val="28"/>
        </w:rPr>
      </w:pPr>
      <w:r w:rsidRPr="005B19D2">
        <w:rPr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4A1A6" wp14:editId="4C8A36B2">
                <wp:simplePos x="0" y="0"/>
                <wp:positionH relativeFrom="column">
                  <wp:posOffset>-712310</wp:posOffset>
                </wp:positionH>
                <wp:positionV relativeFrom="paragraph">
                  <wp:posOffset>1488916</wp:posOffset>
                </wp:positionV>
                <wp:extent cx="3186112" cy="276225"/>
                <wp:effectExtent l="1378585" t="0" r="137414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86112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E9641" w14:textId="77777777" w:rsidR="00CB7A66" w:rsidRPr="00095E30" w:rsidRDefault="00CB7A66" w:rsidP="00CB7A66">
                            <w:pPr>
                              <w:jc w:val="right"/>
                            </w:pPr>
                            <w:r w:rsidRPr="00095E30">
                              <w:t>% государственного участия в налогах отрасли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14A1A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56.1pt;margin-top:117.25pt;width:250.85pt;height:21.7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" filled="f" stroked="f">
                <v:textbox style="layout-flow:vertical;mso-layout-flow-alt:bottom-to-top">
                  <w:txbxContent>
                    <w:p w14:paraId="3A9E9641" w14:textId="77777777" w:rsidR="00CB7A66" w:rsidRPr="00095E30" w:rsidRDefault="00CB7A66" w:rsidP="00CB7A66">
                      <w:pPr>
                        <w:jc w:val="right"/>
                      </w:pPr>
                      <w:r w:rsidRPr="00095E30">
                        <w:t>% государственного участия в налогах отрасли</w:t>
                      </w:r>
                    </w:p>
                  </w:txbxContent>
                </v:textbox>
              </v:shape>
            </w:pict>
          </mc:Fallback>
        </mc:AlternateContent>
      </w:r>
      <w:r w:rsidRPr="005B19D2">
        <w:rPr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6118E3" wp14:editId="4104AE95">
                <wp:simplePos x="0" y="0"/>
                <wp:positionH relativeFrom="column">
                  <wp:posOffset>1623695</wp:posOffset>
                </wp:positionH>
                <wp:positionV relativeFrom="paragraph">
                  <wp:posOffset>3039110</wp:posOffset>
                </wp:positionV>
                <wp:extent cx="3162300" cy="39052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0770" w14:textId="77777777" w:rsidR="00CB7A66" w:rsidRPr="00095E30" w:rsidRDefault="00CB7A66" w:rsidP="00CB7A66">
                            <w:pPr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proofErr w:type="gramStart"/>
                            <w:r w:rsidRPr="00095E30">
                              <w:rPr>
                                <w:szCs w:val="18"/>
                              </w:rPr>
                              <w:t>индекс</w:t>
                            </w:r>
                            <w:proofErr w:type="gramEnd"/>
                            <w:r w:rsidRPr="00095E30">
                              <w:rPr>
                                <w:szCs w:val="18"/>
                              </w:rPr>
                              <w:t xml:space="preserve"> Герфиндаля-Гиршмана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118E3" id="Надпись 11" o:spid="_x0000_s1027" type="#_x0000_t202" style="position:absolute;left:0;text-align:left;margin-left:127.85pt;margin-top:239.3pt;width:249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" filled="f" stroked="f">
                <v:textbox>
                  <w:txbxContent>
                    <w:p w14:paraId="70F70770" w14:textId="77777777" w:rsidR="00CB7A66" w:rsidRPr="00095E30" w:rsidRDefault="00CB7A66" w:rsidP="00CB7A66">
                      <w:pPr>
                        <w:jc w:val="right"/>
                        <w:rPr>
                          <w:sz w:val="16"/>
                          <w:szCs w:val="18"/>
                        </w:rPr>
                      </w:pPr>
                      <w:r w:rsidRPr="00095E30">
                        <w:rPr>
                          <w:szCs w:val="18"/>
                        </w:rPr>
                        <w:t xml:space="preserve">индекс </w:t>
                      </w:r>
                      <w:proofErr w:type="spellStart"/>
                      <w:r w:rsidRPr="00095E30">
                        <w:rPr>
                          <w:szCs w:val="18"/>
                        </w:rPr>
                        <w:t>Герфиндаля-Гиршмана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19D2">
        <w:rPr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A562E" wp14:editId="00B90A91">
                <wp:simplePos x="0" y="0"/>
                <wp:positionH relativeFrom="column">
                  <wp:posOffset>1574800</wp:posOffset>
                </wp:positionH>
                <wp:positionV relativeFrom="paragraph">
                  <wp:posOffset>8890</wp:posOffset>
                </wp:positionV>
                <wp:extent cx="723900" cy="2667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4CFF" w14:textId="77777777" w:rsidR="00CB7A66" w:rsidRPr="00F26141" w:rsidRDefault="00CB7A66" w:rsidP="00CB7A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β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=0.1800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A562E" id="Надпись 4" o:spid="_x0000_s1028" type="#_x0000_t202" style="position:absolute;left:0;text-align:left;margin-left:124pt;margin-top:.7pt;width:57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" filled="f" stroked="f">
                <v:textbox>
                  <w:txbxContent>
                    <w:p w14:paraId="4FE54CFF" w14:textId="77777777" w:rsidR="00CB7A66" w:rsidRPr="00F26141" w:rsidRDefault="00CB7A66" w:rsidP="00CB7A6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β =0.1800</w:t>
                      </w:r>
                    </w:p>
                  </w:txbxContent>
                </v:textbox>
              </v:shape>
            </w:pict>
          </mc:Fallback>
        </mc:AlternateContent>
      </w:r>
      <w:r w:rsidRPr="005B19D2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5D706DC" wp14:editId="352F09E1">
                <wp:simplePos x="0" y="0"/>
                <wp:positionH relativeFrom="column">
                  <wp:posOffset>1968499</wp:posOffset>
                </wp:positionH>
                <wp:positionV relativeFrom="paragraph">
                  <wp:posOffset>135890</wp:posOffset>
                </wp:positionV>
                <wp:extent cx="0" cy="2692400"/>
                <wp:effectExtent l="0" t="0" r="38100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69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23DB1B" id="Прямая соединительная линия 1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5pt,10.7pt" to="15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5B19D2">
        <w:rPr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AC784" wp14:editId="14E4F76F">
                <wp:simplePos x="0" y="0"/>
                <wp:positionH relativeFrom="column">
                  <wp:posOffset>4876800</wp:posOffset>
                </wp:positionH>
                <wp:positionV relativeFrom="paragraph">
                  <wp:posOffset>1869440</wp:posOffset>
                </wp:positionV>
                <wp:extent cx="736600" cy="22225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AF79" w14:textId="77777777" w:rsidR="00CB7A66" w:rsidRPr="00F26141" w:rsidRDefault="00CB7A66" w:rsidP="00CB7A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α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Pr="00F26141">
                              <w:rPr>
                                <w:sz w:val="18"/>
                                <w:szCs w:val="18"/>
                              </w:rPr>
                              <w:t>35%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AC784" id="Надпись 2" o:spid="_x0000_s1029" type="#_x0000_t202" style="position:absolute;left:0;text-align:left;margin-left:384pt;margin-top:147.2pt;width:58pt;height:1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" filled="f" stroked="f">
                <v:textbox>
                  <w:txbxContent>
                    <w:p w14:paraId="2AC7AF79" w14:textId="77777777" w:rsidR="00CB7A66" w:rsidRPr="00F26141" w:rsidRDefault="00CB7A66" w:rsidP="00CB7A6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α =</w:t>
                      </w:r>
                      <w:r w:rsidRPr="00F26141">
                        <w:rPr>
                          <w:sz w:val="18"/>
                          <w:szCs w:val="18"/>
                        </w:rPr>
                        <w:t>35%</w:t>
                      </w:r>
                    </w:p>
                  </w:txbxContent>
                </v:textbox>
              </v:shape>
            </w:pict>
          </mc:Fallback>
        </mc:AlternateContent>
      </w:r>
      <w:r w:rsidRPr="005B19D2">
        <w:rPr>
          <w:i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EF5270E" wp14:editId="0DE813BD">
                <wp:simplePos x="0" y="0"/>
                <wp:positionH relativeFrom="column">
                  <wp:posOffset>1365250</wp:posOffset>
                </wp:positionH>
                <wp:positionV relativeFrom="paragraph">
                  <wp:posOffset>1907539</wp:posOffset>
                </wp:positionV>
                <wp:extent cx="3733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70B7B3" id="Прямая соединительная линия 1" o:spid="_x0000_s1026" style="position:absolute;flip:x 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5pt,150.2pt" to="401.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5B19D2">
        <w:rPr>
          <w:iCs/>
          <w:noProof/>
          <w:sz w:val="28"/>
          <w:szCs w:val="28"/>
        </w:rPr>
        <w:drawing>
          <wp:inline distT="0" distB="0" distL="0" distR="0" wp14:anchorId="1B49F05C" wp14:editId="7E96C3D2">
            <wp:extent cx="4464050" cy="310515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FFB4CC-46FA-4932-8878-9288050472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77ABB7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</w:p>
    <w:p w14:paraId="7FCF97A5" w14:textId="77777777" w:rsidR="009E4591" w:rsidRPr="005B19D2" w:rsidRDefault="009E4591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</w:p>
    <w:p w14:paraId="36CF14F1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>4) определение категорий отраслей.</w:t>
      </w:r>
    </w:p>
    <w:p w14:paraId="41632C7B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B19D2">
        <w:rPr>
          <w:rFonts w:eastAsia="Calibri"/>
          <w:sz w:val="28"/>
          <w:szCs w:val="28"/>
        </w:rPr>
        <w:t xml:space="preserve">6. По итогам проведения матричного анализа выделяются четыре категории предприятий. </w:t>
      </w:r>
    </w:p>
    <w:p w14:paraId="14AE36BD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5B19D2">
        <w:rPr>
          <w:rFonts w:eastAsia="Calibri"/>
          <w:sz w:val="28"/>
          <w:szCs w:val="28"/>
        </w:rPr>
        <w:t>Категория 1 – локальные государственные монополии - связки «КАТО-ОКЭД» с высокой долей предприятий</w:t>
      </w:r>
      <w:r w:rsidRPr="005B19D2">
        <w:rPr>
          <w:rFonts w:eastAsia="Calibri"/>
          <w:i/>
          <w:sz w:val="28"/>
          <w:szCs w:val="28"/>
        </w:rPr>
        <w:t xml:space="preserve"> </w:t>
      </w:r>
      <w:r w:rsidRPr="005B19D2">
        <w:rPr>
          <w:rFonts w:eastAsia="Calibri"/>
          <w:iCs/>
          <w:sz w:val="28"/>
          <w:szCs w:val="28"/>
        </w:rPr>
        <w:t xml:space="preserve">в налогах (&gt;35%), </w:t>
      </w:r>
      <w:r w:rsidRPr="005B19D2">
        <w:rPr>
          <w:rFonts w:eastAsia="Calibri"/>
          <w:iCs/>
          <w:sz w:val="28"/>
          <w:szCs w:val="28"/>
        </w:rPr>
        <w:br/>
        <w:t>и высоким HHI (&gt;0.18).</w:t>
      </w:r>
    </w:p>
    <w:p w14:paraId="7A76B225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Для этой категории применяются следующие решения.</w:t>
      </w:r>
    </w:p>
    <w:p w14:paraId="369D2C34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В отношении предприятий, входящих в группы национальных управляющих холдингов и осуществляющих деятельность в коммерческих секторах, наиболее предпочтительным методом приватизации будет публичное размещение на фондовом рынке для развития финансового рынка.</w:t>
      </w:r>
    </w:p>
    <w:p w14:paraId="46B59CFC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В отношении крупных и средних предприятий, занятых в сфере предоставления общественно значимых услуг в крупных населенных пунктах, в которых существует высокая коммерческая привлекательность сектора, </w:t>
      </w:r>
      <w:r w:rsidRPr="005B19D2">
        <w:rPr>
          <w:iCs/>
          <w:sz w:val="28"/>
          <w:szCs w:val="28"/>
        </w:rPr>
        <w:lastRenderedPageBreak/>
        <w:t>предпочтительным является инструмент аукциона по продаже государственной доли. После осуществления продажи обеспечивается антимонопольный мониторинг за деятельностью компании.</w:t>
      </w:r>
    </w:p>
    <w:p w14:paraId="40543E12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В отношении предприятий, оказывающих общественно значимые услуги в небольших населенных пунктах, применяется метод «управляющий контракт» в рамках Закона Республики Казахстан «О государственно-частном партнерстве» (далее – Закон). </w:t>
      </w:r>
    </w:p>
    <w:p w14:paraId="7ADE2029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Использование этого метода позволит сохранить контроль над активами за государством и потенциально повысить эффективность деятельности предприятия за счет передачи в частное управление.</w:t>
      </w:r>
    </w:p>
    <w:p w14:paraId="3684CD1D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5B19D2">
        <w:rPr>
          <w:rFonts w:eastAsia="Calibri"/>
          <w:sz w:val="28"/>
          <w:szCs w:val="28"/>
        </w:rPr>
        <w:t>Категория 2 – значительное участие предприятий, низкая степень монополизации - связки</w:t>
      </w:r>
      <w:r w:rsidRPr="005B19D2">
        <w:rPr>
          <w:rFonts w:eastAsia="Calibri"/>
          <w:i/>
          <w:sz w:val="28"/>
          <w:szCs w:val="28"/>
        </w:rPr>
        <w:t xml:space="preserve"> «</w:t>
      </w:r>
      <w:r w:rsidRPr="005B19D2">
        <w:rPr>
          <w:rFonts w:eastAsia="Calibri"/>
          <w:iCs/>
          <w:sz w:val="28"/>
          <w:szCs w:val="28"/>
        </w:rPr>
        <w:t xml:space="preserve">КАТО-ОКЭД» с высокой долей предприятий в налогах (&gt;35%), и низким HHI (&lt;0.18). </w:t>
      </w:r>
    </w:p>
    <w:p w14:paraId="1FBDB411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Выход государства из предприятий данной категории проходит </w:t>
      </w:r>
      <w:r w:rsidRPr="005B19D2">
        <w:rPr>
          <w:iCs/>
          <w:sz w:val="28"/>
          <w:szCs w:val="28"/>
        </w:rPr>
        <w:br/>
        <w:t>на условиях, препятствующих созданию частной монополии. Для этой категории применяются следующие решения:</w:t>
      </w:r>
    </w:p>
    <w:p w14:paraId="4BB1C48B" w14:textId="77777777" w:rsidR="00CB7A66" w:rsidRPr="005B19D2" w:rsidRDefault="00CB7A66" w:rsidP="009E4591">
      <w:pPr>
        <w:tabs>
          <w:tab w:val="left" w:pos="709"/>
        </w:tabs>
        <w:ind w:firstLine="708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передача в частный сектор путем заключения управляющего контракта для предприятий, не требующих дополнительных инвестиций и/или оказывающих общественно значимые услуги социального характера, </w:t>
      </w:r>
      <w:r w:rsidRPr="005B19D2">
        <w:rPr>
          <w:iCs/>
          <w:sz w:val="28"/>
          <w:szCs w:val="28"/>
        </w:rPr>
        <w:br/>
        <w:t>в соответствии с Законом</w:t>
      </w:r>
      <w:r w:rsidRPr="005B19D2">
        <w:rPr>
          <w:iCs/>
          <w:sz w:val="28"/>
          <w:szCs w:val="28"/>
          <w:lang w:val="kk-KZ"/>
        </w:rPr>
        <w:t>;</w:t>
      </w:r>
      <w:r w:rsidRPr="005B19D2">
        <w:rPr>
          <w:iCs/>
          <w:sz w:val="28"/>
          <w:szCs w:val="28"/>
        </w:rPr>
        <w:t xml:space="preserve"> </w:t>
      </w:r>
    </w:p>
    <w:p w14:paraId="7DCDF690" w14:textId="77777777" w:rsidR="00CB7A66" w:rsidRPr="005B19D2" w:rsidRDefault="00CB7A66" w:rsidP="009E4591">
      <w:pPr>
        <w:tabs>
          <w:tab w:val="left" w:pos="709"/>
        </w:tabs>
        <w:ind w:firstLine="708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заключение соглашения на условиях частной финансовой инициативы для предприятий, нуждающихся в дополнительных инвестициях </w:t>
      </w:r>
      <w:r w:rsidRPr="005B19D2">
        <w:rPr>
          <w:iCs/>
          <w:sz w:val="28"/>
          <w:szCs w:val="28"/>
        </w:rPr>
        <w:br/>
        <w:t>и оказывающих общественно значимые услуги в соответствии с Законом.</w:t>
      </w:r>
    </w:p>
    <w:p w14:paraId="6178EBFF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5B19D2">
        <w:rPr>
          <w:rFonts w:eastAsia="Calibri"/>
          <w:sz w:val="28"/>
          <w:szCs w:val="28"/>
        </w:rPr>
        <w:t xml:space="preserve">Категория 3 – незначительное участие предприятий, низкая степень монополизации - </w:t>
      </w:r>
      <w:r w:rsidRPr="005B19D2">
        <w:rPr>
          <w:rFonts w:eastAsia="Calibri"/>
          <w:iCs/>
          <w:sz w:val="28"/>
          <w:szCs w:val="28"/>
        </w:rPr>
        <w:t xml:space="preserve">связки «КАТО-ОКЭД» с низкой долей предприятий в налогах (&lt;50%), и низким HHI (&lt;0.18). </w:t>
      </w:r>
    </w:p>
    <w:p w14:paraId="77026EE0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Выход государства из данной категории представляется оптимальным </w:t>
      </w:r>
      <w:r w:rsidRPr="005B19D2">
        <w:rPr>
          <w:iCs/>
          <w:sz w:val="28"/>
          <w:szCs w:val="28"/>
        </w:rPr>
        <w:br/>
        <w:t>и не несет за собой значительных издержек. Для этой категории применяются следующие решения:</w:t>
      </w:r>
    </w:p>
    <w:p w14:paraId="33646E07" w14:textId="77777777" w:rsidR="00CB7A66" w:rsidRPr="005B19D2" w:rsidRDefault="00CB7A66" w:rsidP="009E4591">
      <w:pPr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 xml:space="preserve">для предприятий со 100 % (стопроцентным) участием государства продажа государственного пакета через аукцион. В случае отсутствия интереса </w:t>
      </w:r>
      <w:r w:rsidRPr="005B19D2">
        <w:rPr>
          <w:iCs/>
          <w:sz w:val="28"/>
          <w:szCs w:val="28"/>
        </w:rPr>
        <w:br/>
        <w:t>со стороны рынка – ликвидация предприятия;</w:t>
      </w:r>
    </w:p>
    <w:p w14:paraId="2EDDD6B0" w14:textId="77777777" w:rsidR="00CB7A66" w:rsidRPr="005B19D2" w:rsidRDefault="00CB7A66" w:rsidP="009E4591">
      <w:pPr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для предприятий с мажоритарной долей государства частное размещение по продаже или передаче в управление с обязательством последующего выкупа государственной доли со стороны частного миноритарного партнера;</w:t>
      </w:r>
    </w:p>
    <w:p w14:paraId="0F81F71B" w14:textId="77777777" w:rsidR="00CB7A66" w:rsidRPr="005B19D2" w:rsidRDefault="00CB7A66" w:rsidP="009E4591">
      <w:pPr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для предприятий с миноритарной долей государственного участия продажа государственной доли частному мажоритарному партнеру по рыночной стоимости. В случае отказа частного партнера от выкупа – инициирование процесса ликвидации предприятия.</w:t>
      </w:r>
    </w:p>
    <w:p w14:paraId="07F18022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5B19D2">
        <w:rPr>
          <w:rFonts w:eastAsia="Calibri"/>
          <w:sz w:val="28"/>
          <w:szCs w:val="28"/>
        </w:rPr>
        <w:t xml:space="preserve">Категория 4 – локальные частные монополии - </w:t>
      </w:r>
      <w:r w:rsidRPr="005B19D2">
        <w:rPr>
          <w:rFonts w:eastAsia="Calibri"/>
          <w:iCs/>
          <w:sz w:val="28"/>
          <w:szCs w:val="28"/>
        </w:rPr>
        <w:t xml:space="preserve">связки «КАТО-ОКЭД» с низкой долей предприятий в налогах (&lt;50%), и высоким HHI (&gt;0,18). </w:t>
      </w:r>
    </w:p>
    <w:p w14:paraId="56CD4A1A" w14:textId="77777777" w:rsidR="00CB7A66" w:rsidRPr="005B19D2" w:rsidRDefault="00CB7A66" w:rsidP="009E4591">
      <w:pP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  <w:lang w:val="kk-KZ"/>
        </w:rPr>
      </w:pPr>
      <w:r w:rsidRPr="005B19D2">
        <w:rPr>
          <w:iCs/>
          <w:sz w:val="28"/>
          <w:szCs w:val="28"/>
        </w:rPr>
        <w:t>Участие государства в этих секторах незначительное. Высокий уровень монополизации частными предприятиями показывает коммерческую привлекательность сектора. Для этой категории применяются следующие решения</w:t>
      </w:r>
      <w:r w:rsidRPr="005B19D2">
        <w:rPr>
          <w:iCs/>
          <w:sz w:val="28"/>
          <w:szCs w:val="28"/>
          <w:lang w:val="kk-KZ"/>
        </w:rPr>
        <w:t>:</w:t>
      </w:r>
    </w:p>
    <w:p w14:paraId="1CA0B8AA" w14:textId="77777777" w:rsidR="00CB7A66" w:rsidRPr="005B19D2" w:rsidRDefault="00CB7A66" w:rsidP="009E4591">
      <w:pPr>
        <w:numPr>
          <w:ilvl w:val="0"/>
          <w:numId w:val="9"/>
        </w:numPr>
        <w:tabs>
          <w:tab w:val="left" w:pos="709"/>
          <w:tab w:val="left" w:pos="993"/>
        </w:tabs>
        <w:ind w:left="0" w:firstLine="708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lastRenderedPageBreak/>
        <w:t>продажа государственной доли в предприятиях субъектам рынка;</w:t>
      </w:r>
    </w:p>
    <w:p w14:paraId="5CD916D7" w14:textId="77777777" w:rsidR="00CB7A66" w:rsidRPr="005B19D2" w:rsidRDefault="00CB7A66" w:rsidP="009E4591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iCs/>
          <w:sz w:val="28"/>
          <w:szCs w:val="28"/>
        </w:rPr>
      </w:pPr>
      <w:r w:rsidRPr="005B19D2">
        <w:rPr>
          <w:iCs/>
          <w:sz w:val="28"/>
          <w:szCs w:val="28"/>
        </w:rPr>
        <w:t>в случае отсутствия коммерческого интереса со стороны субъектов рынка инициация процесса ликвидации предприятия.</w:t>
      </w:r>
    </w:p>
    <w:p w14:paraId="0F4E2215" w14:textId="77777777" w:rsidR="00CB7A66" w:rsidRPr="005B19D2" w:rsidRDefault="00CB7A66" w:rsidP="009E459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14:paraId="437E294A" w14:textId="77777777" w:rsidR="00CB7A66" w:rsidRPr="005B19D2" w:rsidRDefault="00CB7A66" w:rsidP="009E459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14:paraId="5A02D56C" w14:textId="77777777" w:rsidR="00CB7A66" w:rsidRPr="005B19D2" w:rsidRDefault="00CB7A66" w:rsidP="009E4591">
      <w:pPr>
        <w:tabs>
          <w:tab w:val="left" w:pos="709"/>
        </w:tabs>
        <w:ind w:firstLine="709"/>
        <w:jc w:val="center"/>
        <w:rPr>
          <w:rFonts w:eastAsia="Calibri"/>
          <w:b/>
          <w:bCs/>
          <w:sz w:val="28"/>
          <w:szCs w:val="28"/>
        </w:rPr>
      </w:pPr>
      <w:r w:rsidRPr="005B19D2">
        <w:rPr>
          <w:rFonts w:eastAsia="Calibri"/>
          <w:b/>
          <w:bCs/>
          <w:sz w:val="28"/>
          <w:szCs w:val="28"/>
        </w:rPr>
        <w:t>Глава 3. Заключительное положение.</w:t>
      </w:r>
    </w:p>
    <w:p w14:paraId="39C26C66" w14:textId="77777777" w:rsidR="00CB7A66" w:rsidRPr="005B19D2" w:rsidRDefault="00CB7A66" w:rsidP="009E4591">
      <w:pPr>
        <w:tabs>
          <w:tab w:val="left" w:pos="709"/>
        </w:tabs>
        <w:ind w:firstLine="709"/>
        <w:jc w:val="center"/>
        <w:rPr>
          <w:rFonts w:eastAsia="Calibri"/>
          <w:b/>
          <w:bCs/>
          <w:sz w:val="28"/>
          <w:szCs w:val="28"/>
        </w:rPr>
      </w:pPr>
    </w:p>
    <w:p w14:paraId="72C54890" w14:textId="59F9846F" w:rsidR="00CB7A66" w:rsidRPr="00B23843" w:rsidRDefault="009E4591" w:rsidP="009E4591">
      <w:pPr>
        <w:tabs>
          <w:tab w:val="left" w:pos="709"/>
        </w:tabs>
        <w:ind w:firstLine="709"/>
        <w:jc w:val="both"/>
        <w:rPr>
          <w:color w:val="000000"/>
          <w:sz w:val="28"/>
        </w:rPr>
      </w:pPr>
      <w:bookmarkStart w:id="6" w:name="z91"/>
      <w:bookmarkEnd w:id="4"/>
      <w:r w:rsidRPr="005B19D2">
        <w:rPr>
          <w:color w:val="000000"/>
          <w:sz w:val="28"/>
        </w:rPr>
        <w:t xml:space="preserve">7. </w:t>
      </w:r>
      <w:r w:rsidR="00CB7A66" w:rsidRPr="005B19D2">
        <w:rPr>
          <w:color w:val="000000"/>
          <w:sz w:val="28"/>
        </w:rPr>
        <w:t xml:space="preserve">По результатам проведенного секторального анализа готовится заключение, которое подписывается руководителем соответствующего структурного или территориального подразделения антимонопольного органа, ответственного за проведение </w:t>
      </w:r>
      <w:bookmarkStart w:id="7" w:name="z92"/>
      <w:bookmarkEnd w:id="6"/>
      <w:r w:rsidR="00CB7A66" w:rsidRPr="005B19D2">
        <w:rPr>
          <w:color w:val="000000"/>
          <w:sz w:val="28"/>
        </w:rPr>
        <w:t>секторального анализа.</w:t>
      </w:r>
      <w:bookmarkStart w:id="8" w:name="_GoBack"/>
      <w:bookmarkEnd w:id="8"/>
    </w:p>
    <w:bookmarkEnd w:id="7"/>
    <w:p w14:paraId="157DAF68" w14:textId="77777777" w:rsidR="00CB7A66" w:rsidRPr="0047418D" w:rsidRDefault="00CB7A66" w:rsidP="009E4591">
      <w:pPr>
        <w:tabs>
          <w:tab w:val="left" w:pos="709"/>
        </w:tabs>
        <w:ind w:firstLine="709"/>
        <w:rPr>
          <w:rFonts w:ascii="Calibri" w:eastAsia="Calibri" w:hAnsi="Calibri"/>
        </w:rPr>
      </w:pPr>
    </w:p>
    <w:p w14:paraId="11BEDC43" w14:textId="77777777" w:rsidR="00CB7A66" w:rsidRDefault="00CB7A66" w:rsidP="00CB7A66"/>
    <w:p w14:paraId="3956040D" w14:textId="77777777" w:rsidR="00CB7A66" w:rsidRPr="00CB7A66" w:rsidRDefault="00CB7A66" w:rsidP="00990D3B">
      <w:pPr>
        <w:tabs>
          <w:tab w:val="left" w:pos="4238"/>
        </w:tabs>
        <w:rPr>
          <w:b/>
          <w:sz w:val="28"/>
          <w:szCs w:val="28"/>
        </w:rPr>
      </w:pPr>
    </w:p>
    <w:sectPr w:rsidR="00CB7A66" w:rsidRPr="00CB7A66" w:rsidSect="00CC5A0E">
      <w:headerReference w:type="default" r:id="rId8"/>
      <w:headerReference w:type="firs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B99E3" w14:textId="77777777" w:rsidR="009C2357" w:rsidRDefault="009C2357">
      <w:r>
        <w:separator/>
      </w:r>
    </w:p>
  </w:endnote>
  <w:endnote w:type="continuationSeparator" w:id="0">
    <w:p w14:paraId="347F195C" w14:textId="77777777" w:rsidR="009C2357" w:rsidRDefault="009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09EC6" w14:textId="77777777" w:rsidR="009C2357" w:rsidRDefault="009C2357">
      <w:r>
        <w:separator/>
      </w:r>
    </w:p>
  </w:footnote>
  <w:footnote w:type="continuationSeparator" w:id="0">
    <w:p w14:paraId="39A66DE4" w14:textId="77777777" w:rsidR="009C2357" w:rsidRDefault="009C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DBB9" w14:textId="729309BC" w:rsidR="00552857" w:rsidRDefault="003D7BFA" w:rsidP="009E4591">
    <w:pPr>
      <w:pStyle w:val="a3"/>
      <w:jc w:val="center"/>
    </w:pPr>
    <w:r>
      <w:fldChar w:fldCharType="begin"/>
    </w:r>
    <w:r w:rsidR="0032695D">
      <w:instrText xml:space="preserve"> PAGE   \* MERGEFORMAT </w:instrText>
    </w:r>
    <w:r>
      <w:fldChar w:fldCharType="separate"/>
    </w:r>
    <w:r w:rsidR="005B19D2">
      <w:rPr>
        <w:noProof/>
      </w:rPr>
      <w:t>2</w:t>
    </w:r>
    <w:r>
      <w:fldChar w:fldCharType="end"/>
    </w:r>
    <w:r w:rsidR="008C5ED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F3C085" wp14:editId="442D6158">
              <wp:simplePos x="0" y="0"/>
              <wp:positionH relativeFrom="column">
                <wp:posOffset>6099175</wp:posOffset>
              </wp:positionH>
              <wp:positionV relativeFrom="paragraph">
                <wp:posOffset>443865</wp:posOffset>
              </wp:positionV>
              <wp:extent cx="381000" cy="8018780"/>
              <wp:effectExtent l="0" t="0" r="0" b="127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9D1F2" w14:textId="77777777" w:rsidR="00531411" w:rsidRPr="00923BBF" w:rsidRDefault="00531411" w:rsidP="00923BBF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F3C08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margin-left:480.25pt;margin-top:34.95pt;width:30pt;height:6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" stroked="f">
              <v:textbox style="layout-flow:vertical;mso-layout-flow-alt:bottom-to-top">
                <w:txbxContent>
                  <w:p w14:paraId="5229D1F2" w14:textId="77777777" w:rsidR="00531411" w:rsidRPr="00923BBF" w:rsidRDefault="00531411" w:rsidP="00923BB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4" w:type="dxa"/>
      <w:jc w:val="center"/>
      <w:tblLook w:val="01E0" w:firstRow="1" w:lastRow="1" w:firstColumn="1" w:lastColumn="1" w:noHBand="0" w:noVBand="0"/>
    </w:tblPr>
    <w:tblGrid>
      <w:gridCol w:w="4090"/>
      <w:gridCol w:w="2136"/>
      <w:gridCol w:w="4238"/>
    </w:tblGrid>
    <w:tr w:rsidR="00510C84" w:rsidRPr="00A92C29" w14:paraId="5060EA6F" w14:textId="77777777" w:rsidTr="009539F6">
      <w:trPr>
        <w:trHeight w:val="1612"/>
        <w:jc w:val="center"/>
      </w:trPr>
      <w:tc>
        <w:tcPr>
          <w:tcW w:w="4090" w:type="dxa"/>
        </w:tcPr>
        <w:p w14:paraId="0085A43F" w14:textId="77777777" w:rsidR="00510C84" w:rsidRPr="008C5ED4" w:rsidRDefault="00510C84" w:rsidP="00510C84">
          <w:pPr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</w:p>
        <w:p w14:paraId="21FAAF99" w14:textId="77777777" w:rsidR="00510C84" w:rsidRPr="008C5ED4" w:rsidRDefault="00A82569" w:rsidP="00A82569">
          <w:pPr>
            <w:rPr>
              <w:b/>
              <w:bCs/>
              <w:color w:val="0070C0"/>
              <w:sz w:val="20"/>
              <w:szCs w:val="20"/>
              <w:lang w:val="kk-KZ"/>
            </w:rPr>
          </w:pP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 xml:space="preserve">ҚАЗАҚСТАН </w:t>
          </w:r>
          <w:r w:rsidR="00510C84" w:rsidRPr="008C5ED4">
            <w:rPr>
              <w:b/>
              <w:bCs/>
              <w:color w:val="0070C0"/>
              <w:sz w:val="20"/>
              <w:szCs w:val="20"/>
              <w:lang w:val="kk-KZ"/>
            </w:rPr>
            <w:t>РЕСПУБЛИКАСЫ</w:t>
          </w: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>НЫҢ</w:t>
          </w:r>
        </w:p>
        <w:p w14:paraId="292F4897" w14:textId="77777777" w:rsidR="00510C84" w:rsidRPr="008C5ED4" w:rsidRDefault="00A82569" w:rsidP="00510C84">
          <w:pPr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>БӘСЕКЕЛЕСТІКТІ ҚОРҒАУ ЖӘНЕ ДАМЫТУ АГЕНТТІГІ</w:t>
          </w:r>
        </w:p>
      </w:tc>
      <w:tc>
        <w:tcPr>
          <w:tcW w:w="2136" w:type="dxa"/>
        </w:tcPr>
        <w:p w14:paraId="16009D31" w14:textId="77777777" w:rsidR="00510C84" w:rsidRPr="00A92C29" w:rsidRDefault="00AF52AD" w:rsidP="00510C84">
          <w:pPr>
            <w:jc w:val="center"/>
            <w:rPr>
              <w:color w:val="0070C0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BFC3B32" wp14:editId="3677B8EB">
                <wp:simplePos x="0" y="0"/>
                <wp:positionH relativeFrom="column">
                  <wp:posOffset>180975</wp:posOffset>
                </wp:positionH>
                <wp:positionV relativeFrom="paragraph">
                  <wp:posOffset>-42545</wp:posOffset>
                </wp:positionV>
                <wp:extent cx="862965" cy="93599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dxa"/>
        </w:tcPr>
        <w:p w14:paraId="309B11D8" w14:textId="77777777" w:rsidR="00510C84" w:rsidRPr="00A92C29" w:rsidRDefault="00510C84" w:rsidP="00510C84">
          <w:pPr>
            <w:jc w:val="center"/>
            <w:rPr>
              <w:b/>
              <w:bCs/>
              <w:color w:val="0070C0"/>
              <w:lang w:val="kk-KZ"/>
            </w:rPr>
          </w:pPr>
        </w:p>
        <w:p w14:paraId="48084DAB" w14:textId="77777777" w:rsidR="00A82569" w:rsidRPr="00A82569" w:rsidRDefault="00A82569" w:rsidP="00A82569">
          <w:pPr>
            <w:spacing w:before="38" w:line="200" w:lineRule="exact"/>
            <w:ind w:left="33" w:right="270"/>
            <w:jc w:val="center"/>
            <w:rPr>
              <w:color w:val="0070C0"/>
              <w:sz w:val="20"/>
              <w:szCs w:val="20"/>
              <w:lang w:eastAsia="en-US"/>
            </w:rPr>
          </w:pP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 xml:space="preserve">АГЕНТСТВО 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ПО ЗАЩИТЕ </w:t>
          </w:r>
          <w:r w:rsidR="008C5ED4" w:rsidRPr="008C5ED4">
            <w:rPr>
              <w:b/>
              <w:bCs/>
              <w:color w:val="0070C0"/>
              <w:sz w:val="20"/>
              <w:szCs w:val="20"/>
              <w:lang w:val="kk-KZ" w:eastAsia="en-US"/>
            </w:rPr>
            <w:t xml:space="preserve">                    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И </w:t>
          </w:r>
          <w:r w:rsidRPr="00A82569">
            <w:rPr>
              <w:b/>
              <w:bCs/>
              <w:color w:val="0070C0"/>
              <w:spacing w:val="-23"/>
              <w:sz w:val="20"/>
              <w:szCs w:val="20"/>
              <w:lang w:eastAsia="en-US"/>
            </w:rPr>
            <w:t>Р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А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ЗВИТИЮ 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К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ОН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К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УРЕНЦИИ РЕСПУ</w:t>
          </w:r>
          <w:r w:rsidRPr="00A82569">
            <w:rPr>
              <w:b/>
              <w:bCs/>
              <w:color w:val="0070C0"/>
              <w:spacing w:val="-5"/>
              <w:sz w:val="20"/>
              <w:szCs w:val="20"/>
              <w:lang w:eastAsia="en-US"/>
            </w:rPr>
            <w:t>Б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ЛИКИ К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А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ЗА</w:t>
          </w:r>
          <w:r w:rsidRPr="00A82569">
            <w:rPr>
              <w:b/>
              <w:bCs/>
              <w:color w:val="0070C0"/>
              <w:spacing w:val="-7"/>
              <w:sz w:val="20"/>
              <w:szCs w:val="20"/>
              <w:lang w:eastAsia="en-US"/>
            </w:rPr>
            <w:t>Х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С</w:t>
          </w:r>
          <w:r w:rsidRPr="00A82569">
            <w:rPr>
              <w:b/>
              <w:bCs/>
              <w:color w:val="0070C0"/>
              <w:spacing w:val="-9"/>
              <w:sz w:val="20"/>
              <w:szCs w:val="20"/>
              <w:lang w:eastAsia="en-US"/>
            </w:rPr>
            <w:t>Т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АН</w:t>
          </w:r>
        </w:p>
        <w:p w14:paraId="0198722D" w14:textId="77777777" w:rsidR="00510C84" w:rsidRPr="00A92C29" w:rsidRDefault="00510C84" w:rsidP="00A82569">
          <w:pPr>
            <w:jc w:val="center"/>
            <w:rPr>
              <w:b/>
              <w:color w:val="0070C0"/>
              <w:lang w:val="kk-KZ"/>
            </w:rPr>
          </w:pPr>
          <w:r w:rsidRPr="008C5ED4">
            <w:rPr>
              <w:b/>
              <w:color w:val="0070C0"/>
              <w:lang w:val="kk-KZ"/>
            </w:rPr>
            <w:tab/>
          </w:r>
          <w:r w:rsidRPr="008C5ED4">
            <w:rPr>
              <w:b/>
              <w:color w:val="0070C0"/>
              <w:lang w:val="kk-KZ"/>
            </w:rPr>
            <w:tab/>
          </w:r>
        </w:p>
      </w:tc>
    </w:tr>
  </w:tbl>
  <w:p w14:paraId="310E861C" w14:textId="77777777" w:rsidR="00770A5E" w:rsidRDefault="00712E5B" w:rsidP="00770A5E">
    <w:pPr>
      <w:tabs>
        <w:tab w:val="left" w:pos="6213"/>
      </w:tabs>
      <w:spacing w:before="83"/>
      <w:ind w:left="175"/>
      <w:jc w:val="center"/>
      <w:rPr>
        <w:b/>
        <w:sz w:val="29"/>
      </w:rPr>
    </w:pPr>
    <w:r>
      <w:rPr>
        <w:b/>
        <w:color w:val="0057A9"/>
        <w:spacing w:val="-4"/>
        <w:sz w:val="29"/>
      </w:rPr>
      <w:t>БҰЙРЫҚ</w:t>
    </w:r>
    <w:r w:rsidR="00770A5E">
      <w:rPr>
        <w:b/>
        <w:color w:val="0057A9"/>
        <w:spacing w:val="-4"/>
        <w:sz w:val="29"/>
      </w:rPr>
      <w:tab/>
    </w:r>
    <w:r w:rsidR="00770A5E">
      <w:rPr>
        <w:b/>
        <w:color w:val="0057A9"/>
        <w:position w:val="2"/>
        <w:sz w:val="29"/>
      </w:rPr>
      <w:t>ПРИКАЗ</w:t>
    </w:r>
  </w:p>
  <w:p w14:paraId="153BA0B0" w14:textId="77777777" w:rsidR="00770A5E" w:rsidRDefault="00770A5E" w:rsidP="00770A5E">
    <w:pPr>
      <w:pStyle w:val="ad"/>
      <w:spacing w:before="6"/>
      <w:rPr>
        <w:sz w:val="9"/>
      </w:rPr>
    </w:pPr>
  </w:p>
  <w:p w14:paraId="2B90427A" w14:textId="77777777" w:rsidR="00770A5E" w:rsidRPr="00712E5B" w:rsidRDefault="00770A5E" w:rsidP="00770A5E">
    <w:pPr>
      <w:spacing w:before="94"/>
      <w:ind w:left="6855"/>
      <w:rPr>
        <w:sz w:val="17"/>
        <w:lang w:val="kk-KZ"/>
      </w:rPr>
    </w:pPr>
    <w:r>
      <w:rPr>
        <w:color w:val="0057A9"/>
        <w:sz w:val="17"/>
      </w:rPr>
      <w:t>№</w:t>
    </w:r>
  </w:p>
  <w:p w14:paraId="5853012F" w14:textId="77777777" w:rsidR="00770A5E" w:rsidRDefault="00770A5E" w:rsidP="00770A5E">
    <w:pPr>
      <w:pStyle w:val="ad"/>
      <w:spacing w:line="20" w:lineRule="exact"/>
      <w:ind w:left="7010"/>
      <w:rPr>
        <w:b w:val="0"/>
        <w:sz w:val="2"/>
      </w:rPr>
    </w:pPr>
    <w:r>
      <w:rPr>
        <w:b w:val="0"/>
        <w:noProof/>
        <w:sz w:val="2"/>
        <w:lang w:val="ru-RU" w:eastAsia="ru-RU"/>
      </w:rPr>
      <mc:AlternateContent>
        <mc:Choice Requires="wpg">
          <w:drawing>
            <wp:inline distT="0" distB="0" distL="0" distR="0" wp14:anchorId="29FDDB5A" wp14:editId="0AD4C638">
              <wp:extent cx="1688465" cy="5080"/>
              <wp:effectExtent l="9525" t="10160" r="6985" b="3810"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8465" cy="5080"/>
                        <a:chOff x="0" y="0"/>
                        <a:chExt cx="2659" cy="8"/>
                      </a:xfrm>
                    </wpg:grpSpPr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0" y="4"/>
                          <a:ext cx="265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5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5B7CDE" id="Group 4" o:spid="_x0000_s1026" style="width:132.95pt;height:.4pt;mso-position-horizontal-relative:char;mso-position-vertical-relative:line" coordsize="26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">
              <v:line id="Line 5" o:spid="_x0000_s1027" style="position:absolute;visibility:visible;mso-wrap-style:square" from="0,4" to="265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RiCcEAAADaAAAADwAAAGRycy9kb3ducmV2LnhtbESP3YrCMBSE7xd8h3AE79bURUSqaSmC&#10;sIIs/t4fm2NbbE5KE2337Y0geDnMzDfMMu1NLR7Uusqygsk4AkGcW11xoeB0XH/PQTiPrLG2TAr+&#10;yUGaDL6WGGvb8Z4eB1+IAGEXo4LS+yaW0uUlGXRj2xAH72pbgz7ItpC6xS7ATS1/omgmDVYcFkps&#10;aFVSfjvcjYLoPO8u283t2Oe7rbaXvyw7TTOlRsM+W4Dw1PtP+N3+1Qpm8LoSboB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JGIJwQAAANoAAAAPAAAAAAAAAAAAAAAA&#10;AKECAABkcnMvZG93bnJldi54bWxQSwUGAAAAAAQABAD5AAAAjwMAAAAA&#10;" strokecolor="#0056a8" strokeweight=".36pt"/>
              <w10:anchorlock/>
            </v:group>
          </w:pict>
        </mc:Fallback>
      </mc:AlternateContent>
    </w:r>
  </w:p>
  <w:p w14:paraId="03615121" w14:textId="77777777" w:rsidR="00770A5E" w:rsidRDefault="00770A5E" w:rsidP="00770A5E">
    <w:pPr>
      <w:pStyle w:val="ad"/>
      <w:spacing w:line="20" w:lineRule="exact"/>
      <w:ind w:left="461"/>
      <w:rPr>
        <w:b w:val="0"/>
        <w:sz w:val="2"/>
      </w:rPr>
    </w:pPr>
    <w:r>
      <w:rPr>
        <w:b w:val="0"/>
        <w:noProof/>
        <w:sz w:val="2"/>
        <w:lang w:val="ru-RU" w:eastAsia="ru-RU"/>
      </w:rPr>
      <mc:AlternateContent>
        <mc:Choice Requires="wpg">
          <w:drawing>
            <wp:inline distT="0" distB="0" distL="0" distR="0" wp14:anchorId="1FC50080" wp14:editId="63B10424">
              <wp:extent cx="2215515" cy="5080"/>
              <wp:effectExtent l="7620" t="6985" r="5715" b="6985"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515" cy="5080"/>
                        <a:chOff x="0" y="0"/>
                        <a:chExt cx="3489" cy="8"/>
                      </a:xfrm>
                    </wpg:grpSpPr>
                    <wps:wsp>
                      <wps:cNvPr id="10" name="Line 3"/>
                      <wps:cNvCnPr>
                        <a:cxnSpLocks noChangeShapeType="1"/>
                      </wps:cNvCnPr>
                      <wps:spPr bwMode="auto">
                        <a:xfrm>
                          <a:off x="0" y="4"/>
                          <a:ext cx="348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5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81670A" id="Group 2" o:spid="_x0000_s1026" style="width:174.45pt;height:.4pt;mso-position-horizontal-relative:char;mso-position-vertical-relative:line" coordsize="34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">
              <v:line id="Line 3" o:spid="_x0000_s1027" style="position:absolute;visibility:visible;mso-wrap-style:square" from="0,4" to="348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v2e8MAAADaAAAADwAAAGRycy9kb3ducmV2LnhtbESPQWuDQBSE74X8h+UFemvWlFCscSMS&#10;KCQgpU3S+9N9UYn7VtyN2n/fLRR6HGbmGybNZtOJkQbXWlawXkUgiCurW64VXM5vTzEI55E1dpZJ&#10;wTc5yHaLhxQTbSf+pPHkaxEg7BJU0HjfJ1K6qiGDbmV74uBd7WDQBznUUg84Bbjp5HMUvUiDLYeF&#10;BnvaN1TdTnejIPqKp7I43s5z9VFoW77n+WWTK/W4nPMtCE+z/w//tQ9awSv8Xgk3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79nvDAAAA2gAAAA8AAAAAAAAAAAAA&#10;AAAAoQIAAGRycy9kb3ducmV2LnhtbFBLBQYAAAAABAAEAPkAAACRAwAAAAA=&#10;" strokecolor="#0056a8" strokeweight=".36pt"/>
              <w10:anchorlock/>
            </v:group>
          </w:pict>
        </mc:Fallback>
      </mc:AlternateContent>
    </w:r>
  </w:p>
  <w:p w14:paraId="4772056D" w14:textId="5C688354" w:rsidR="00770A5E" w:rsidRPr="001A6D40" w:rsidRDefault="00712E5B" w:rsidP="00770A5E">
    <w:pPr>
      <w:tabs>
        <w:tab w:val="left" w:pos="6196"/>
      </w:tabs>
      <w:spacing w:before="83"/>
      <w:ind w:left="182"/>
      <w:jc w:val="center"/>
      <w:rPr>
        <w:b/>
        <w:color w:val="0070C0"/>
        <w:sz w:val="17"/>
      </w:rPr>
    </w:pPr>
    <w:proofErr w:type="spellStart"/>
    <w:r w:rsidRPr="001A6D40">
      <w:rPr>
        <w:b/>
        <w:color w:val="0070C0"/>
        <w:spacing w:val="5"/>
        <w:sz w:val="17"/>
      </w:rPr>
      <w:t>Нұр-Сұлтан</w:t>
    </w:r>
    <w:proofErr w:type="spellEnd"/>
    <w:r w:rsidRPr="001A6D40">
      <w:rPr>
        <w:b/>
        <w:color w:val="0070C0"/>
        <w:spacing w:val="5"/>
        <w:sz w:val="17"/>
      </w:rPr>
      <w:t xml:space="preserve"> </w:t>
    </w:r>
    <w:proofErr w:type="spellStart"/>
    <w:r w:rsidRPr="001A6D40">
      <w:rPr>
        <w:b/>
        <w:color w:val="0070C0"/>
        <w:spacing w:val="5"/>
        <w:sz w:val="17"/>
      </w:rPr>
      <w:t>қаласы</w:t>
    </w:r>
    <w:proofErr w:type="spellEnd"/>
    <w:r w:rsidRPr="001A6D40">
      <w:rPr>
        <w:b/>
        <w:color w:val="0070C0"/>
        <w:spacing w:val="5"/>
        <w:sz w:val="17"/>
      </w:rPr>
      <w:t xml:space="preserve"> </w:t>
    </w:r>
    <w:r w:rsidR="001A6D40">
      <w:rPr>
        <w:b/>
        <w:color w:val="0070C0"/>
        <w:spacing w:val="5"/>
        <w:sz w:val="17"/>
        <w:lang w:val="kk-KZ"/>
      </w:rPr>
      <w:t xml:space="preserve"> </w:t>
    </w:r>
    <w:r w:rsidR="00770A5E">
      <w:rPr>
        <w:b/>
        <w:color w:val="0057A9"/>
        <w:spacing w:val="5"/>
        <w:sz w:val="17"/>
      </w:rPr>
      <w:tab/>
    </w:r>
    <w:r w:rsidR="009E4591">
      <w:rPr>
        <w:b/>
        <w:color w:val="0057A9"/>
        <w:spacing w:val="5"/>
        <w:sz w:val="17"/>
      </w:rPr>
      <w:t>город Нур-Султан</w:t>
    </w:r>
  </w:p>
  <w:p w14:paraId="7C470767" w14:textId="77777777" w:rsidR="00510C84" w:rsidRPr="00787240" w:rsidRDefault="00510C84" w:rsidP="008C5ED4">
    <w:pPr>
      <w:pStyle w:val="a3"/>
      <w:tabs>
        <w:tab w:val="clear" w:pos="9355"/>
        <w:tab w:val="left" w:pos="6840"/>
        <w:tab w:val="right" w:pos="10260"/>
      </w:tabs>
      <w:ind w:left="-426" w:hanging="284"/>
      <w:rPr>
        <w:color w:val="0070C0"/>
        <w:sz w:val="17"/>
        <w:szCs w:val="17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0D2"/>
    <w:multiLevelType w:val="hybridMultilevel"/>
    <w:tmpl w:val="EE9A145E"/>
    <w:lvl w:ilvl="0" w:tplc="CED44718">
      <w:start w:val="1"/>
      <w:numFmt w:val="decimal"/>
      <w:lvlText w:val="%1)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437FF"/>
    <w:multiLevelType w:val="hybridMultilevel"/>
    <w:tmpl w:val="8C261B4A"/>
    <w:lvl w:ilvl="0" w:tplc="35708F0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6879B0"/>
    <w:multiLevelType w:val="hybridMultilevel"/>
    <w:tmpl w:val="DBCCDDCE"/>
    <w:lvl w:ilvl="0" w:tplc="2C52A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5C3D6499"/>
    <w:multiLevelType w:val="hybridMultilevel"/>
    <w:tmpl w:val="21A89C62"/>
    <w:lvl w:ilvl="0" w:tplc="CE203B2A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E2C4BCC"/>
    <w:multiLevelType w:val="hybridMultilevel"/>
    <w:tmpl w:val="428AF41A"/>
    <w:lvl w:ilvl="0" w:tplc="31E0D612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79946D27"/>
    <w:multiLevelType w:val="hybridMultilevel"/>
    <w:tmpl w:val="B694DFE6"/>
    <w:lvl w:ilvl="0" w:tplc="5072B2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BA27FB"/>
    <w:multiLevelType w:val="hybridMultilevel"/>
    <w:tmpl w:val="FA16BCD2"/>
    <w:lvl w:ilvl="0" w:tplc="33E0864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0"/>
    <w:rsid w:val="00015C73"/>
    <w:rsid w:val="00017524"/>
    <w:rsid w:val="0002439D"/>
    <w:rsid w:val="000256C2"/>
    <w:rsid w:val="00027403"/>
    <w:rsid w:val="00030B19"/>
    <w:rsid w:val="000529D8"/>
    <w:rsid w:val="00052E1B"/>
    <w:rsid w:val="0006527D"/>
    <w:rsid w:val="0006585E"/>
    <w:rsid w:val="00074911"/>
    <w:rsid w:val="00082235"/>
    <w:rsid w:val="000847D9"/>
    <w:rsid w:val="000A3109"/>
    <w:rsid w:val="000B0E34"/>
    <w:rsid w:val="000C10F4"/>
    <w:rsid w:val="000D50E2"/>
    <w:rsid w:val="000E29A3"/>
    <w:rsid w:val="000E4338"/>
    <w:rsid w:val="000E5007"/>
    <w:rsid w:val="000E6B56"/>
    <w:rsid w:val="000F6F69"/>
    <w:rsid w:val="001122EE"/>
    <w:rsid w:val="001274A9"/>
    <w:rsid w:val="0013499F"/>
    <w:rsid w:val="0013545C"/>
    <w:rsid w:val="001379B7"/>
    <w:rsid w:val="00140867"/>
    <w:rsid w:val="001418AA"/>
    <w:rsid w:val="001521F6"/>
    <w:rsid w:val="001631FE"/>
    <w:rsid w:val="001635F9"/>
    <w:rsid w:val="00164471"/>
    <w:rsid w:val="0016714D"/>
    <w:rsid w:val="001707E3"/>
    <w:rsid w:val="001714B6"/>
    <w:rsid w:val="001757E4"/>
    <w:rsid w:val="00177143"/>
    <w:rsid w:val="00181CA6"/>
    <w:rsid w:val="001854A4"/>
    <w:rsid w:val="001A446C"/>
    <w:rsid w:val="001A6D40"/>
    <w:rsid w:val="001A7766"/>
    <w:rsid w:val="001C2624"/>
    <w:rsid w:val="001C3357"/>
    <w:rsid w:val="001C5995"/>
    <w:rsid w:val="001D7857"/>
    <w:rsid w:val="001E2D5E"/>
    <w:rsid w:val="001F101C"/>
    <w:rsid w:val="001F1E0C"/>
    <w:rsid w:val="00211731"/>
    <w:rsid w:val="00211897"/>
    <w:rsid w:val="00220DCF"/>
    <w:rsid w:val="00225DF4"/>
    <w:rsid w:val="00234355"/>
    <w:rsid w:val="00242922"/>
    <w:rsid w:val="00243462"/>
    <w:rsid w:val="00251C26"/>
    <w:rsid w:val="002534D0"/>
    <w:rsid w:val="002569E0"/>
    <w:rsid w:val="00261218"/>
    <w:rsid w:val="00265462"/>
    <w:rsid w:val="00270415"/>
    <w:rsid w:val="00273F1F"/>
    <w:rsid w:val="00276357"/>
    <w:rsid w:val="00284317"/>
    <w:rsid w:val="00285BDF"/>
    <w:rsid w:val="002906AD"/>
    <w:rsid w:val="0029372A"/>
    <w:rsid w:val="002956F8"/>
    <w:rsid w:val="002A58E4"/>
    <w:rsid w:val="002A5B34"/>
    <w:rsid w:val="002B2FE5"/>
    <w:rsid w:val="002B6B8B"/>
    <w:rsid w:val="002C2356"/>
    <w:rsid w:val="002C23D8"/>
    <w:rsid w:val="002D000C"/>
    <w:rsid w:val="002D29D6"/>
    <w:rsid w:val="002E651C"/>
    <w:rsid w:val="002F4D3A"/>
    <w:rsid w:val="00300995"/>
    <w:rsid w:val="00303042"/>
    <w:rsid w:val="0032695D"/>
    <w:rsid w:val="0032753B"/>
    <w:rsid w:val="00334604"/>
    <w:rsid w:val="00335D3F"/>
    <w:rsid w:val="0034127A"/>
    <w:rsid w:val="003517CE"/>
    <w:rsid w:val="00356EBD"/>
    <w:rsid w:val="003614AE"/>
    <w:rsid w:val="00361B0A"/>
    <w:rsid w:val="00363109"/>
    <w:rsid w:val="00363530"/>
    <w:rsid w:val="0037292F"/>
    <w:rsid w:val="00374461"/>
    <w:rsid w:val="00374A54"/>
    <w:rsid w:val="00385A98"/>
    <w:rsid w:val="003909C3"/>
    <w:rsid w:val="003928CC"/>
    <w:rsid w:val="00396A60"/>
    <w:rsid w:val="00397E84"/>
    <w:rsid w:val="003B590B"/>
    <w:rsid w:val="003C2FFE"/>
    <w:rsid w:val="003C57F0"/>
    <w:rsid w:val="003C6838"/>
    <w:rsid w:val="003D5D37"/>
    <w:rsid w:val="003D7BFA"/>
    <w:rsid w:val="003E50A1"/>
    <w:rsid w:val="003E6547"/>
    <w:rsid w:val="003F20C2"/>
    <w:rsid w:val="004064A3"/>
    <w:rsid w:val="00412296"/>
    <w:rsid w:val="00412873"/>
    <w:rsid w:val="00416EB7"/>
    <w:rsid w:val="00421DE1"/>
    <w:rsid w:val="00427EBF"/>
    <w:rsid w:val="00430C27"/>
    <w:rsid w:val="00430DFF"/>
    <w:rsid w:val="00431876"/>
    <w:rsid w:val="0044421D"/>
    <w:rsid w:val="00445419"/>
    <w:rsid w:val="0047329B"/>
    <w:rsid w:val="00473B74"/>
    <w:rsid w:val="0047668C"/>
    <w:rsid w:val="004A23D5"/>
    <w:rsid w:val="004C1386"/>
    <w:rsid w:val="004D16D4"/>
    <w:rsid w:val="004D2EE9"/>
    <w:rsid w:val="004D3306"/>
    <w:rsid w:val="004E4F02"/>
    <w:rsid w:val="004E7FED"/>
    <w:rsid w:val="004F18DD"/>
    <w:rsid w:val="00507CF2"/>
    <w:rsid w:val="00510C84"/>
    <w:rsid w:val="00512EF1"/>
    <w:rsid w:val="005220C1"/>
    <w:rsid w:val="005307ED"/>
    <w:rsid w:val="00531411"/>
    <w:rsid w:val="00531E6B"/>
    <w:rsid w:val="00536B53"/>
    <w:rsid w:val="00537502"/>
    <w:rsid w:val="005407D0"/>
    <w:rsid w:val="005454F8"/>
    <w:rsid w:val="0054724B"/>
    <w:rsid w:val="00552857"/>
    <w:rsid w:val="005541AC"/>
    <w:rsid w:val="00554B41"/>
    <w:rsid w:val="00555F26"/>
    <w:rsid w:val="00560B72"/>
    <w:rsid w:val="00561DA8"/>
    <w:rsid w:val="00576E00"/>
    <w:rsid w:val="005911EC"/>
    <w:rsid w:val="005A0FEA"/>
    <w:rsid w:val="005A1FA7"/>
    <w:rsid w:val="005A1FC5"/>
    <w:rsid w:val="005A212E"/>
    <w:rsid w:val="005A7A7D"/>
    <w:rsid w:val="005B0BF1"/>
    <w:rsid w:val="005B19D2"/>
    <w:rsid w:val="005B6383"/>
    <w:rsid w:val="005B6CBA"/>
    <w:rsid w:val="005C40C4"/>
    <w:rsid w:val="005D07A0"/>
    <w:rsid w:val="005D70A6"/>
    <w:rsid w:val="005E0CC3"/>
    <w:rsid w:val="005E3E5D"/>
    <w:rsid w:val="005F0DF1"/>
    <w:rsid w:val="00601DF8"/>
    <w:rsid w:val="006040FF"/>
    <w:rsid w:val="00606EEE"/>
    <w:rsid w:val="006116C5"/>
    <w:rsid w:val="00614269"/>
    <w:rsid w:val="00616683"/>
    <w:rsid w:val="00620D62"/>
    <w:rsid w:val="0062389C"/>
    <w:rsid w:val="00627BF7"/>
    <w:rsid w:val="00634872"/>
    <w:rsid w:val="00635A20"/>
    <w:rsid w:val="00635AC7"/>
    <w:rsid w:val="00635FEC"/>
    <w:rsid w:val="00641773"/>
    <w:rsid w:val="00642A04"/>
    <w:rsid w:val="0064661F"/>
    <w:rsid w:val="00651732"/>
    <w:rsid w:val="0065570D"/>
    <w:rsid w:val="00655E06"/>
    <w:rsid w:val="006600C6"/>
    <w:rsid w:val="00666884"/>
    <w:rsid w:val="006715EB"/>
    <w:rsid w:val="00674D88"/>
    <w:rsid w:val="00674F50"/>
    <w:rsid w:val="00677B9E"/>
    <w:rsid w:val="00686658"/>
    <w:rsid w:val="00695006"/>
    <w:rsid w:val="00695E66"/>
    <w:rsid w:val="006960F7"/>
    <w:rsid w:val="006A19E4"/>
    <w:rsid w:val="006A2492"/>
    <w:rsid w:val="006A3216"/>
    <w:rsid w:val="006A3710"/>
    <w:rsid w:val="006A4813"/>
    <w:rsid w:val="006C4385"/>
    <w:rsid w:val="006C66C8"/>
    <w:rsid w:val="006D3431"/>
    <w:rsid w:val="006D50A8"/>
    <w:rsid w:val="006D517E"/>
    <w:rsid w:val="006D6B97"/>
    <w:rsid w:val="006D705B"/>
    <w:rsid w:val="006F54BD"/>
    <w:rsid w:val="00700FF7"/>
    <w:rsid w:val="00704274"/>
    <w:rsid w:val="00712E5B"/>
    <w:rsid w:val="00721F66"/>
    <w:rsid w:val="007275CB"/>
    <w:rsid w:val="00740449"/>
    <w:rsid w:val="00746C60"/>
    <w:rsid w:val="00753213"/>
    <w:rsid w:val="007578FB"/>
    <w:rsid w:val="0076347E"/>
    <w:rsid w:val="00767F23"/>
    <w:rsid w:val="00770A5E"/>
    <w:rsid w:val="007766A5"/>
    <w:rsid w:val="00783DC7"/>
    <w:rsid w:val="00787240"/>
    <w:rsid w:val="00793150"/>
    <w:rsid w:val="007949CB"/>
    <w:rsid w:val="007A0DE7"/>
    <w:rsid w:val="007B6619"/>
    <w:rsid w:val="007C0B1E"/>
    <w:rsid w:val="007C494A"/>
    <w:rsid w:val="007C4BA6"/>
    <w:rsid w:val="007D6737"/>
    <w:rsid w:val="007E258F"/>
    <w:rsid w:val="007E749F"/>
    <w:rsid w:val="007F0B0A"/>
    <w:rsid w:val="007F3802"/>
    <w:rsid w:val="007F5B12"/>
    <w:rsid w:val="007F75E5"/>
    <w:rsid w:val="0080032E"/>
    <w:rsid w:val="00804510"/>
    <w:rsid w:val="008274C8"/>
    <w:rsid w:val="0083356A"/>
    <w:rsid w:val="00833B89"/>
    <w:rsid w:val="0083658E"/>
    <w:rsid w:val="00842310"/>
    <w:rsid w:val="0085064E"/>
    <w:rsid w:val="008540EC"/>
    <w:rsid w:val="00855036"/>
    <w:rsid w:val="00857608"/>
    <w:rsid w:val="00860070"/>
    <w:rsid w:val="0086099D"/>
    <w:rsid w:val="00861FD5"/>
    <w:rsid w:val="008678C5"/>
    <w:rsid w:val="00870346"/>
    <w:rsid w:val="008708DB"/>
    <w:rsid w:val="00874537"/>
    <w:rsid w:val="008763AF"/>
    <w:rsid w:val="00877850"/>
    <w:rsid w:val="00884518"/>
    <w:rsid w:val="0089147B"/>
    <w:rsid w:val="008966C9"/>
    <w:rsid w:val="008A18F9"/>
    <w:rsid w:val="008A7629"/>
    <w:rsid w:val="008B557D"/>
    <w:rsid w:val="008C412E"/>
    <w:rsid w:val="008C58C3"/>
    <w:rsid w:val="008C5ED4"/>
    <w:rsid w:val="008D0F7B"/>
    <w:rsid w:val="008E7C54"/>
    <w:rsid w:val="008F1205"/>
    <w:rsid w:val="00900756"/>
    <w:rsid w:val="00914723"/>
    <w:rsid w:val="00917515"/>
    <w:rsid w:val="0092100F"/>
    <w:rsid w:val="00921503"/>
    <w:rsid w:val="00921975"/>
    <w:rsid w:val="00923BBF"/>
    <w:rsid w:val="00925907"/>
    <w:rsid w:val="00930CC5"/>
    <w:rsid w:val="009412F8"/>
    <w:rsid w:val="009539F6"/>
    <w:rsid w:val="00960627"/>
    <w:rsid w:val="0096499D"/>
    <w:rsid w:val="00967145"/>
    <w:rsid w:val="00990D3B"/>
    <w:rsid w:val="009A177B"/>
    <w:rsid w:val="009A68A7"/>
    <w:rsid w:val="009C2357"/>
    <w:rsid w:val="009C57FD"/>
    <w:rsid w:val="009D032D"/>
    <w:rsid w:val="009D3A58"/>
    <w:rsid w:val="009D7343"/>
    <w:rsid w:val="009E045C"/>
    <w:rsid w:val="009E4591"/>
    <w:rsid w:val="009F05E2"/>
    <w:rsid w:val="009F082F"/>
    <w:rsid w:val="009F1091"/>
    <w:rsid w:val="009F73BB"/>
    <w:rsid w:val="00A04CAC"/>
    <w:rsid w:val="00A1245F"/>
    <w:rsid w:val="00A25074"/>
    <w:rsid w:val="00A26399"/>
    <w:rsid w:val="00A331E1"/>
    <w:rsid w:val="00A3340C"/>
    <w:rsid w:val="00A34B8C"/>
    <w:rsid w:val="00A61DC4"/>
    <w:rsid w:val="00A6459E"/>
    <w:rsid w:val="00A706ED"/>
    <w:rsid w:val="00A74513"/>
    <w:rsid w:val="00A82569"/>
    <w:rsid w:val="00A92C29"/>
    <w:rsid w:val="00AA093F"/>
    <w:rsid w:val="00AA5759"/>
    <w:rsid w:val="00AB4045"/>
    <w:rsid w:val="00AB754F"/>
    <w:rsid w:val="00AC004C"/>
    <w:rsid w:val="00AC62C6"/>
    <w:rsid w:val="00AC70D7"/>
    <w:rsid w:val="00AD1435"/>
    <w:rsid w:val="00AD29B5"/>
    <w:rsid w:val="00AD2ADF"/>
    <w:rsid w:val="00AD57C7"/>
    <w:rsid w:val="00AF52AD"/>
    <w:rsid w:val="00B00B75"/>
    <w:rsid w:val="00B03210"/>
    <w:rsid w:val="00B033FD"/>
    <w:rsid w:val="00B03901"/>
    <w:rsid w:val="00B06EA7"/>
    <w:rsid w:val="00B127D2"/>
    <w:rsid w:val="00B145E3"/>
    <w:rsid w:val="00B153C9"/>
    <w:rsid w:val="00B16F2D"/>
    <w:rsid w:val="00B2351E"/>
    <w:rsid w:val="00B258AF"/>
    <w:rsid w:val="00B34C4F"/>
    <w:rsid w:val="00B34F71"/>
    <w:rsid w:val="00B3563F"/>
    <w:rsid w:val="00B42ED4"/>
    <w:rsid w:val="00B42F9E"/>
    <w:rsid w:val="00B70EFB"/>
    <w:rsid w:val="00B72822"/>
    <w:rsid w:val="00B7346C"/>
    <w:rsid w:val="00B83C1E"/>
    <w:rsid w:val="00B87D31"/>
    <w:rsid w:val="00B941C2"/>
    <w:rsid w:val="00BA0888"/>
    <w:rsid w:val="00BA295E"/>
    <w:rsid w:val="00BA6B47"/>
    <w:rsid w:val="00BB2798"/>
    <w:rsid w:val="00BB311C"/>
    <w:rsid w:val="00BC3663"/>
    <w:rsid w:val="00BD052C"/>
    <w:rsid w:val="00BD1C8F"/>
    <w:rsid w:val="00BE4FEE"/>
    <w:rsid w:val="00BF07BE"/>
    <w:rsid w:val="00BF36E4"/>
    <w:rsid w:val="00BF5556"/>
    <w:rsid w:val="00BF6E06"/>
    <w:rsid w:val="00C01B20"/>
    <w:rsid w:val="00C070B1"/>
    <w:rsid w:val="00C15563"/>
    <w:rsid w:val="00C22643"/>
    <w:rsid w:val="00C23812"/>
    <w:rsid w:val="00C25943"/>
    <w:rsid w:val="00C25E71"/>
    <w:rsid w:val="00C357E2"/>
    <w:rsid w:val="00C3592D"/>
    <w:rsid w:val="00C431B0"/>
    <w:rsid w:val="00C46610"/>
    <w:rsid w:val="00C52F5A"/>
    <w:rsid w:val="00C55B77"/>
    <w:rsid w:val="00C72878"/>
    <w:rsid w:val="00C756A8"/>
    <w:rsid w:val="00C83CA3"/>
    <w:rsid w:val="00C864C3"/>
    <w:rsid w:val="00C97A04"/>
    <w:rsid w:val="00CA2827"/>
    <w:rsid w:val="00CB257B"/>
    <w:rsid w:val="00CB586A"/>
    <w:rsid w:val="00CB7109"/>
    <w:rsid w:val="00CB7A66"/>
    <w:rsid w:val="00CC5A0E"/>
    <w:rsid w:val="00CD06CD"/>
    <w:rsid w:val="00CD1D50"/>
    <w:rsid w:val="00CD266E"/>
    <w:rsid w:val="00CD412B"/>
    <w:rsid w:val="00CE08CF"/>
    <w:rsid w:val="00CE2C27"/>
    <w:rsid w:val="00CE70FD"/>
    <w:rsid w:val="00CF5387"/>
    <w:rsid w:val="00CF58B8"/>
    <w:rsid w:val="00CF7E31"/>
    <w:rsid w:val="00D011A0"/>
    <w:rsid w:val="00D11AD5"/>
    <w:rsid w:val="00D128AE"/>
    <w:rsid w:val="00D12A5F"/>
    <w:rsid w:val="00D26642"/>
    <w:rsid w:val="00D26BF8"/>
    <w:rsid w:val="00D348B7"/>
    <w:rsid w:val="00D431DD"/>
    <w:rsid w:val="00D47455"/>
    <w:rsid w:val="00D5050D"/>
    <w:rsid w:val="00D602A7"/>
    <w:rsid w:val="00D67B84"/>
    <w:rsid w:val="00D8236C"/>
    <w:rsid w:val="00D834A0"/>
    <w:rsid w:val="00D875A9"/>
    <w:rsid w:val="00D91064"/>
    <w:rsid w:val="00D916DF"/>
    <w:rsid w:val="00D9176D"/>
    <w:rsid w:val="00D91858"/>
    <w:rsid w:val="00D9272E"/>
    <w:rsid w:val="00D93CBC"/>
    <w:rsid w:val="00D957FA"/>
    <w:rsid w:val="00DA1ECA"/>
    <w:rsid w:val="00DB024A"/>
    <w:rsid w:val="00DB0F15"/>
    <w:rsid w:val="00DB0F98"/>
    <w:rsid w:val="00DB4B10"/>
    <w:rsid w:val="00DC5A23"/>
    <w:rsid w:val="00DD0CD3"/>
    <w:rsid w:val="00DD3B59"/>
    <w:rsid w:val="00DE1642"/>
    <w:rsid w:val="00DE3059"/>
    <w:rsid w:val="00DE705E"/>
    <w:rsid w:val="00DF0F8A"/>
    <w:rsid w:val="00E0130E"/>
    <w:rsid w:val="00E037CC"/>
    <w:rsid w:val="00E0498D"/>
    <w:rsid w:val="00E04F82"/>
    <w:rsid w:val="00E05A4B"/>
    <w:rsid w:val="00E133F8"/>
    <w:rsid w:val="00E16CDF"/>
    <w:rsid w:val="00E2059A"/>
    <w:rsid w:val="00E330A2"/>
    <w:rsid w:val="00E33A32"/>
    <w:rsid w:val="00E37DAC"/>
    <w:rsid w:val="00E429F5"/>
    <w:rsid w:val="00E433F8"/>
    <w:rsid w:val="00E53D74"/>
    <w:rsid w:val="00E74132"/>
    <w:rsid w:val="00E82DC8"/>
    <w:rsid w:val="00E83A1A"/>
    <w:rsid w:val="00E92561"/>
    <w:rsid w:val="00E94221"/>
    <w:rsid w:val="00E96F6E"/>
    <w:rsid w:val="00E974E1"/>
    <w:rsid w:val="00E97C27"/>
    <w:rsid w:val="00EA633E"/>
    <w:rsid w:val="00EA67C5"/>
    <w:rsid w:val="00EB54F3"/>
    <w:rsid w:val="00EB7AFB"/>
    <w:rsid w:val="00EC047E"/>
    <w:rsid w:val="00EC09ED"/>
    <w:rsid w:val="00EC3ABE"/>
    <w:rsid w:val="00EC45C6"/>
    <w:rsid w:val="00EE0339"/>
    <w:rsid w:val="00EE1655"/>
    <w:rsid w:val="00EF21A8"/>
    <w:rsid w:val="00EF38FD"/>
    <w:rsid w:val="00EF52E6"/>
    <w:rsid w:val="00EF5D23"/>
    <w:rsid w:val="00F02F90"/>
    <w:rsid w:val="00F05B27"/>
    <w:rsid w:val="00F0677B"/>
    <w:rsid w:val="00F11397"/>
    <w:rsid w:val="00F21D7E"/>
    <w:rsid w:val="00F22B68"/>
    <w:rsid w:val="00F43653"/>
    <w:rsid w:val="00F50775"/>
    <w:rsid w:val="00F52641"/>
    <w:rsid w:val="00F62A1C"/>
    <w:rsid w:val="00F655A9"/>
    <w:rsid w:val="00F660A3"/>
    <w:rsid w:val="00F666C0"/>
    <w:rsid w:val="00F67E10"/>
    <w:rsid w:val="00F71A7E"/>
    <w:rsid w:val="00F7743F"/>
    <w:rsid w:val="00F777AB"/>
    <w:rsid w:val="00F778A3"/>
    <w:rsid w:val="00F871B8"/>
    <w:rsid w:val="00F9474F"/>
    <w:rsid w:val="00F9642A"/>
    <w:rsid w:val="00FA4EC8"/>
    <w:rsid w:val="00FB0755"/>
    <w:rsid w:val="00FB1AD9"/>
    <w:rsid w:val="00FB41F5"/>
    <w:rsid w:val="00FC04D1"/>
    <w:rsid w:val="00FC5694"/>
    <w:rsid w:val="00FD5FB7"/>
    <w:rsid w:val="00FF42AB"/>
    <w:rsid w:val="00FF5BB2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AE1D9"/>
  <w15:docId w15:val="{D44543B7-5E11-4118-9578-8513CA19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12"/>
    <w:rPr>
      <w:sz w:val="24"/>
      <w:szCs w:val="24"/>
    </w:rPr>
  </w:style>
  <w:style w:type="paragraph" w:styleId="1">
    <w:name w:val="heading 1"/>
    <w:basedOn w:val="a"/>
    <w:link w:val="10"/>
    <w:qFormat/>
    <w:rsid w:val="00C238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3812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C23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3812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C2381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C23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23812"/>
    <w:rPr>
      <w:sz w:val="24"/>
      <w:szCs w:val="24"/>
    </w:rPr>
  </w:style>
  <w:style w:type="character" w:styleId="a8">
    <w:name w:val="Hyperlink"/>
    <w:rsid w:val="00C23812"/>
    <w:rPr>
      <w:color w:val="0000FF"/>
      <w:u w:val="single"/>
    </w:rPr>
  </w:style>
  <w:style w:type="character" w:styleId="a9">
    <w:name w:val="Strong"/>
    <w:qFormat/>
    <w:rsid w:val="00C23812"/>
    <w:rPr>
      <w:b/>
      <w:bCs/>
    </w:rPr>
  </w:style>
  <w:style w:type="paragraph" w:customStyle="1" w:styleId="11">
    <w:name w:val="Название1"/>
    <w:basedOn w:val="a"/>
    <w:qFormat/>
    <w:rsid w:val="00C23812"/>
    <w:pPr>
      <w:jc w:val="center"/>
    </w:pPr>
    <w:rPr>
      <w:sz w:val="28"/>
    </w:rPr>
  </w:style>
  <w:style w:type="character" w:customStyle="1" w:styleId="s0">
    <w:name w:val="s0"/>
    <w:rsid w:val="00C2381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a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Emphasis"/>
    <w:qFormat/>
    <w:rsid w:val="00C22643"/>
    <w:rPr>
      <w:i/>
      <w:iCs/>
    </w:rPr>
  </w:style>
  <w:style w:type="paragraph" w:styleId="ac">
    <w:name w:val="List Paragraph"/>
    <w:basedOn w:val="a"/>
    <w:uiPriority w:val="34"/>
    <w:qFormat/>
    <w:rsid w:val="00BF07BE"/>
    <w:pPr>
      <w:ind w:left="720"/>
      <w:contextualSpacing/>
    </w:pPr>
  </w:style>
  <w:style w:type="character" w:customStyle="1" w:styleId="label">
    <w:name w:val="label"/>
    <w:rsid w:val="006F54BD"/>
    <w:rPr>
      <w:rFonts w:ascii="Tahoma" w:hAnsi="Tahoma" w:cs="Tahoma" w:hint="default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A331E1"/>
    <w:pPr>
      <w:widowControl w:val="0"/>
      <w:autoSpaceDE w:val="0"/>
      <w:autoSpaceDN w:val="0"/>
    </w:pPr>
    <w:rPr>
      <w:b/>
      <w:bCs/>
      <w:sz w:val="18"/>
      <w:szCs w:val="1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A331E1"/>
    <w:rPr>
      <w:b/>
      <w:bCs/>
      <w:sz w:val="18"/>
      <w:szCs w:val="18"/>
      <w:lang w:val="kk-KZ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E4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D266E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F94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74F"/>
    <w:rPr>
      <w:rFonts w:ascii="Courier New" w:hAnsi="Courier New" w:cs="Courier New"/>
    </w:rPr>
  </w:style>
  <w:style w:type="table" w:customStyle="1" w:styleId="12">
    <w:name w:val="Сетка таблицы1"/>
    <w:basedOn w:val="a1"/>
    <w:next w:val="af0"/>
    <w:rsid w:val="00990D3B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990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c0dafd5f9223e089/&#1062;&#1048;&#1050;%20&#1057;&#1090;&#1088;&#1072;&#1090;&#1077;&#1075;&#1080;&#1103;/&#1055;&#1088;&#1086;&#1077;&#1082;&#1090;%20&#1040;&#1047;&#1056;&#1050;/&#1040;&#1085;&#1072;&#1083;&#1080;&#1079;/&#1043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[График.xlsx]Атырау!$J$1</c:f>
              <c:strCache>
                <c:ptCount val="1"/>
                <c:pt idx="0">
                  <c:v>dolya_2020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[График.xlsx]Атырау!$I$2:$I$31</c:f>
              <c:numCache>
                <c:formatCode>General</c:formatCode>
                <c:ptCount val="30"/>
                <c:pt idx="0">
                  <c:v>1</c:v>
                </c:pt>
                <c:pt idx="1">
                  <c:v>0.94786190986633301</c:v>
                </c:pt>
                <c:pt idx="2">
                  <c:v>0.99984276294708196</c:v>
                </c:pt>
                <c:pt idx="3">
                  <c:v>0.49973657727241499</c:v>
                </c:pt>
                <c:pt idx="4">
                  <c:v>1</c:v>
                </c:pt>
                <c:pt idx="5">
                  <c:v>0.79152095317840498</c:v>
                </c:pt>
                <c:pt idx="6">
                  <c:v>0.309965550899505</c:v>
                </c:pt>
                <c:pt idx="7">
                  <c:v>0.45525184273719699</c:v>
                </c:pt>
                <c:pt idx="8">
                  <c:v>0.45920532941818198</c:v>
                </c:pt>
                <c:pt idx="9">
                  <c:v>0.99988007545471103</c:v>
                </c:pt>
                <c:pt idx="10">
                  <c:v>0.185313895344734</c:v>
                </c:pt>
                <c:pt idx="11">
                  <c:v>0.451259315013885</c:v>
                </c:pt>
                <c:pt idx="12">
                  <c:v>0.34453323483467102</c:v>
                </c:pt>
                <c:pt idx="13">
                  <c:v>0.55826526880264205</c:v>
                </c:pt>
                <c:pt idx="14">
                  <c:v>0.35828712582588101</c:v>
                </c:pt>
                <c:pt idx="15">
                  <c:v>0.450275689363479</c:v>
                </c:pt>
                <c:pt idx="16">
                  <c:v>0.65479928255081099</c:v>
                </c:pt>
                <c:pt idx="17">
                  <c:v>7.6048068702220903E-2</c:v>
                </c:pt>
                <c:pt idx="18">
                  <c:v>3.2472927123308098E-2</c:v>
                </c:pt>
                <c:pt idx="19">
                  <c:v>0.48968338966369601</c:v>
                </c:pt>
                <c:pt idx="20">
                  <c:v>0.25355592370033198</c:v>
                </c:pt>
                <c:pt idx="21">
                  <c:v>0.25905844569206199</c:v>
                </c:pt>
                <c:pt idx="22">
                  <c:v>0.228424116969108</c:v>
                </c:pt>
                <c:pt idx="23">
                  <c:v>0.64490956068038896</c:v>
                </c:pt>
                <c:pt idx="24">
                  <c:v>0.47398614883422802</c:v>
                </c:pt>
                <c:pt idx="25">
                  <c:v>0.31118604540824801</c:v>
                </c:pt>
                <c:pt idx="26">
                  <c:v>0.85332924127578702</c:v>
                </c:pt>
                <c:pt idx="27">
                  <c:v>0.29176452755928001</c:v>
                </c:pt>
                <c:pt idx="28">
                  <c:v>0.46593517065048201</c:v>
                </c:pt>
                <c:pt idx="29">
                  <c:v>8.4350429475307395E-2</c:v>
                </c:pt>
              </c:numCache>
            </c:numRef>
          </c:xVal>
          <c:yVal>
            <c:numRef>
              <c:f>[График.xlsx]Атырау!$J$2:$J$31</c:f>
              <c:numCache>
                <c:formatCode>0%</c:formatCode>
                <c:ptCount val="30"/>
                <c:pt idx="0">
                  <c:v>0.490000039339065</c:v>
                </c:pt>
                <c:pt idx="1">
                  <c:v>0.476874619722366</c:v>
                </c:pt>
                <c:pt idx="2">
                  <c:v>0.99992138147354104</c:v>
                </c:pt>
                <c:pt idx="3">
                  <c:v>0.99468654394149703</c:v>
                </c:pt>
                <c:pt idx="4">
                  <c:v>3.0000001192092798E-2</c:v>
                </c:pt>
                <c:pt idx="5">
                  <c:v>0.88670152425765902</c:v>
                </c:pt>
                <c:pt idx="6">
                  <c:v>1.1091241613030401E-2</c:v>
                </c:pt>
                <c:pt idx="7">
                  <c:v>0.46585252881050099</c:v>
                </c:pt>
                <c:pt idx="8">
                  <c:v>0.62871009111404397</c:v>
                </c:pt>
                <c:pt idx="9">
                  <c:v>0.99994003772735496</c:v>
                </c:pt>
                <c:pt idx="10">
                  <c:v>0.226371839642524</c:v>
                </c:pt>
                <c:pt idx="11">
                  <c:v>0.26523727178573597</c:v>
                </c:pt>
                <c:pt idx="12">
                  <c:v>6.7615248262882205E-2</c:v>
                </c:pt>
                <c:pt idx="13">
                  <c:v>0.203679949045181</c:v>
                </c:pt>
                <c:pt idx="14">
                  <c:v>0.61482453346252397</c:v>
                </c:pt>
                <c:pt idx="15">
                  <c:v>0.54420268535614003</c:v>
                </c:pt>
                <c:pt idx="16">
                  <c:v>0.24002875387668601</c:v>
                </c:pt>
                <c:pt idx="17">
                  <c:v>6.8028732202947096E-3</c:v>
                </c:pt>
                <c:pt idx="18">
                  <c:v>9.9008772522211005E-3</c:v>
                </c:pt>
                <c:pt idx="19">
                  <c:v>6.5789192914962699E-2</c:v>
                </c:pt>
                <c:pt idx="20">
                  <c:v>1.20476959273219E-3</c:v>
                </c:pt>
                <c:pt idx="21">
                  <c:v>1</c:v>
                </c:pt>
                <c:pt idx="22">
                  <c:v>3.47358770668506E-2</c:v>
                </c:pt>
                <c:pt idx="23">
                  <c:v>1</c:v>
                </c:pt>
                <c:pt idx="24">
                  <c:v>5.6153286248445497E-2</c:v>
                </c:pt>
                <c:pt idx="25">
                  <c:v>0.48694872856140098</c:v>
                </c:pt>
                <c:pt idx="26">
                  <c:v>2.3559888359159201E-3</c:v>
                </c:pt>
                <c:pt idx="27">
                  <c:v>0.13824813067913</c:v>
                </c:pt>
                <c:pt idx="28">
                  <c:v>0.56788080930709794</c:v>
                </c:pt>
                <c:pt idx="29">
                  <c:v>1.21080270037055E-2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C82-4269-8C68-D0424D93A6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2318912"/>
        <c:axId val="1742321088"/>
      </c:scatterChart>
      <c:valAx>
        <c:axId val="1742318912"/>
        <c:scaling>
          <c:orientation val="minMax"/>
          <c:max val="1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2321088"/>
        <c:crosses val="autoZero"/>
        <c:crossBetween val="midCat"/>
      </c:valAx>
      <c:valAx>
        <c:axId val="1742321088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23189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IISuser</cp:lastModifiedBy>
  <cp:revision>3</cp:revision>
  <cp:lastPrinted>2021-03-30T08:40:00Z</cp:lastPrinted>
  <dcterms:created xsi:type="dcterms:W3CDTF">2022-06-17T05:46:00Z</dcterms:created>
  <dcterms:modified xsi:type="dcterms:W3CDTF">2022-06-17T05:49:00Z</dcterms:modified>
</cp:coreProperties>
</file>