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978" w:rsidRPr="004D0E28" w:rsidRDefault="00600AB0" w:rsidP="00600AB0">
      <w:pPr>
        <w:spacing w:after="0"/>
        <w:jc w:val="center"/>
        <w:rPr>
          <w:rFonts w:eastAsia="Times New Roman" w:cs="Times New Roman"/>
          <w:b/>
          <w:sz w:val="24"/>
          <w:szCs w:val="24"/>
          <w:lang w:val="kk-KZ" w:eastAsia="ru-RU"/>
        </w:rPr>
      </w:pPr>
      <w:r w:rsidRPr="00600AB0">
        <w:rPr>
          <w:rFonts w:eastAsia="Times New Roman" w:cs="Times New Roman"/>
          <w:b/>
          <w:sz w:val="24"/>
          <w:szCs w:val="24"/>
          <w:lang w:val="kk-KZ" w:eastAsia="ru-RU"/>
        </w:rPr>
        <w:t xml:space="preserve">Мерзімді баспасөз </w:t>
      </w:r>
      <w:r>
        <w:rPr>
          <w:rFonts w:eastAsia="Times New Roman" w:cs="Times New Roman"/>
          <w:b/>
          <w:sz w:val="24"/>
          <w:szCs w:val="24"/>
          <w:lang w:val="kk-KZ" w:eastAsia="ru-RU"/>
        </w:rPr>
        <w:t>басылымдары</w:t>
      </w:r>
      <w:bookmarkStart w:id="0" w:name="_GoBack"/>
      <w:bookmarkEnd w:id="0"/>
      <w:r>
        <w:rPr>
          <w:rFonts w:eastAsia="Times New Roman" w:cs="Times New Roman"/>
          <w:b/>
          <w:sz w:val="24"/>
          <w:szCs w:val="24"/>
          <w:lang w:val="kk-KZ" w:eastAsia="ru-RU"/>
        </w:rPr>
        <w:t xml:space="preserve"> (газеттер) мен и</w:t>
      </w:r>
      <w:r w:rsidRPr="00600AB0">
        <w:rPr>
          <w:rFonts w:eastAsia="Times New Roman" w:cs="Times New Roman"/>
          <w:b/>
          <w:sz w:val="24"/>
          <w:szCs w:val="24"/>
          <w:lang w:val="kk-KZ" w:eastAsia="ru-RU"/>
        </w:rPr>
        <w:t xml:space="preserve">нтернет-ресурстар </w:t>
      </w:r>
      <w:r>
        <w:rPr>
          <w:rFonts w:eastAsia="Times New Roman" w:cs="Times New Roman"/>
          <w:b/>
          <w:sz w:val="24"/>
          <w:szCs w:val="24"/>
          <w:lang w:val="kk-KZ" w:eastAsia="ru-RU"/>
        </w:rPr>
        <w:t>үшін 2022</w:t>
      </w:r>
      <w:r w:rsidRPr="00600AB0">
        <w:rPr>
          <w:rFonts w:eastAsia="Times New Roman" w:cs="Times New Roman"/>
          <w:b/>
          <w:sz w:val="24"/>
          <w:szCs w:val="24"/>
          <w:lang w:val="kk-KZ" w:eastAsia="ru-RU"/>
        </w:rPr>
        <w:t xml:space="preserve"> жылғы </w:t>
      </w:r>
      <w:r w:rsidR="00AE221B">
        <w:rPr>
          <w:rFonts w:eastAsia="Times New Roman" w:cs="Times New Roman"/>
          <w:b/>
          <w:sz w:val="24"/>
          <w:szCs w:val="24"/>
          <w:lang w:val="kk-KZ" w:eastAsia="ru-RU"/>
        </w:rPr>
        <w:t>2</w:t>
      </w:r>
      <w:r w:rsidRPr="00600AB0">
        <w:rPr>
          <w:rFonts w:eastAsia="Times New Roman" w:cs="Times New Roman"/>
          <w:b/>
          <w:sz w:val="24"/>
          <w:szCs w:val="24"/>
          <w:lang w:val="kk-KZ" w:eastAsia="ru-RU"/>
        </w:rPr>
        <w:t xml:space="preserve">-кезеңге арналған мемлекеттік ақпараттық саясаттың тақырыптық бағыттарының </w:t>
      </w:r>
      <w:r w:rsidR="004B2806" w:rsidRPr="004D0E28">
        <w:rPr>
          <w:rFonts w:eastAsia="Times New Roman" w:cs="Times New Roman"/>
          <w:b/>
          <w:sz w:val="24"/>
          <w:szCs w:val="24"/>
          <w:lang w:val="kk-KZ" w:eastAsia="ru-RU"/>
        </w:rPr>
        <w:t xml:space="preserve">тізбесі </w:t>
      </w:r>
    </w:p>
    <w:p w:rsidR="00153B8C" w:rsidRPr="004D0E28" w:rsidRDefault="00153B8C" w:rsidP="00153B8C">
      <w:pPr>
        <w:rPr>
          <w:sz w:val="24"/>
          <w:szCs w:val="24"/>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
        <w:gridCol w:w="8736"/>
      </w:tblGrid>
      <w:tr w:rsidR="00600AB0" w:rsidRPr="00202637" w:rsidTr="00D67757">
        <w:trPr>
          <w:trHeight w:val="22"/>
        </w:trPr>
        <w:tc>
          <w:tcPr>
            <w:tcW w:w="478" w:type="dxa"/>
            <w:shd w:val="clear" w:color="auto" w:fill="auto"/>
            <w:vAlign w:val="center"/>
          </w:tcPr>
          <w:p w:rsidR="00600AB0" w:rsidRPr="00202637" w:rsidRDefault="00600AB0" w:rsidP="00202637">
            <w:pPr>
              <w:spacing w:after="0" w:line="20" w:lineRule="atLeast"/>
              <w:jc w:val="center"/>
              <w:rPr>
                <w:rFonts w:eastAsia="Times New Roman" w:cs="Times New Roman"/>
                <w:b/>
                <w:sz w:val="24"/>
                <w:szCs w:val="24"/>
                <w:lang w:eastAsia="ru-RU"/>
              </w:rPr>
            </w:pPr>
            <w:r w:rsidRPr="00202637">
              <w:rPr>
                <w:rFonts w:eastAsia="Times New Roman" w:cs="Times New Roman"/>
                <w:b/>
                <w:sz w:val="24"/>
                <w:szCs w:val="24"/>
                <w:lang w:eastAsia="ru-RU"/>
              </w:rPr>
              <w:t>№</w:t>
            </w:r>
          </w:p>
        </w:tc>
        <w:tc>
          <w:tcPr>
            <w:tcW w:w="8736" w:type="dxa"/>
          </w:tcPr>
          <w:p w:rsidR="00600AB0" w:rsidRPr="00202637" w:rsidRDefault="00600AB0" w:rsidP="00202637">
            <w:pPr>
              <w:spacing w:after="0" w:line="20" w:lineRule="atLeast"/>
              <w:jc w:val="center"/>
              <w:rPr>
                <w:rFonts w:eastAsia="Times New Roman" w:cs="Times New Roman"/>
                <w:b/>
                <w:sz w:val="24"/>
                <w:szCs w:val="24"/>
                <w:lang w:val="kk-KZ" w:eastAsia="ru-RU"/>
              </w:rPr>
            </w:pPr>
            <w:r w:rsidRPr="00202637">
              <w:rPr>
                <w:rFonts w:eastAsia="Times New Roman" w:cs="Times New Roman"/>
                <w:b/>
                <w:sz w:val="24"/>
                <w:szCs w:val="24"/>
                <w:lang w:val="kk-KZ" w:eastAsia="ru-RU"/>
              </w:rPr>
              <w:t>Атау</w:t>
            </w:r>
            <w:r w:rsidR="009F0873">
              <w:rPr>
                <w:rFonts w:eastAsia="Times New Roman" w:cs="Times New Roman"/>
                <w:b/>
                <w:sz w:val="24"/>
                <w:szCs w:val="24"/>
                <w:lang w:val="kk-KZ" w:eastAsia="ru-RU"/>
              </w:rPr>
              <w:t>ы</w:t>
            </w:r>
          </w:p>
        </w:tc>
      </w:tr>
      <w:tr w:rsidR="00600AB0" w:rsidRPr="004D0E28" w:rsidTr="00D67757">
        <w:trPr>
          <w:trHeight w:val="22"/>
        </w:trPr>
        <w:tc>
          <w:tcPr>
            <w:tcW w:w="478" w:type="dxa"/>
            <w:shd w:val="clear" w:color="auto" w:fill="auto"/>
            <w:vAlign w:val="center"/>
            <w:hideMark/>
          </w:tcPr>
          <w:p w:rsidR="00600AB0" w:rsidRPr="004D0E28" w:rsidRDefault="00600AB0" w:rsidP="002E3EDD">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w:t>
            </w:r>
          </w:p>
        </w:tc>
        <w:tc>
          <w:tcPr>
            <w:tcW w:w="8736" w:type="dxa"/>
          </w:tcPr>
          <w:p w:rsidR="00600AB0" w:rsidRPr="004D0E28" w:rsidRDefault="00600AB0" w:rsidP="002E3EDD">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Тұңғыш Президент-Елбасының, </w:t>
            </w:r>
            <w:r w:rsidRPr="004D0E28">
              <w:rPr>
                <w:rFonts w:eastAsia="Times New Roman" w:cs="Times New Roman"/>
                <w:bCs/>
                <w:sz w:val="24"/>
                <w:szCs w:val="24"/>
                <w:lang w:val="kk-KZ" w:eastAsia="ru-RU"/>
              </w:rPr>
              <w:t>Мемлекет басшысының (оның ішінде Мемлекет басшысының жыл сайынғы Жолдауы, мақалалары және сұхбаттары), Қазақстан Республикасы Парламентінің, Үкіметінің, мемлекеттік органдардың және жергілікті өзін-өзі басқару ұйымдарының қызметін ақпараттық қолдау және түсіндіру</w:t>
            </w:r>
          </w:p>
        </w:tc>
      </w:tr>
      <w:tr w:rsidR="00600AB0" w:rsidRPr="004D0E28" w:rsidTr="00D67757">
        <w:trPr>
          <w:trHeight w:val="22"/>
        </w:trPr>
        <w:tc>
          <w:tcPr>
            <w:tcW w:w="478" w:type="dxa"/>
            <w:shd w:val="clear" w:color="auto" w:fill="auto"/>
            <w:vAlign w:val="center"/>
            <w:hideMark/>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w:t>
            </w:r>
          </w:p>
        </w:tc>
        <w:tc>
          <w:tcPr>
            <w:tcW w:w="8736" w:type="dxa"/>
          </w:tcPr>
          <w:p w:rsidR="00600AB0" w:rsidRPr="004D0E28" w:rsidRDefault="00600AB0" w:rsidP="00634B9E">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Партиялық жүйенің, азаматтық қоғамның дамуын, қоғамдық бірлестіктердің, қоғамдық кеңестердің және кәсіподақ ұйымдарының, Ұлттық қоғамдық сенім кеңесінің қызметін ақпараттық қолдау және түсіндіру</w:t>
            </w:r>
          </w:p>
        </w:tc>
      </w:tr>
      <w:tr w:rsidR="00600AB0" w:rsidRPr="004D0E28" w:rsidTr="00D67757">
        <w:trPr>
          <w:trHeight w:val="22"/>
        </w:trPr>
        <w:tc>
          <w:tcPr>
            <w:tcW w:w="478" w:type="dxa"/>
            <w:shd w:val="clear" w:color="auto" w:fill="auto"/>
            <w:vAlign w:val="center"/>
            <w:hideMark/>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3</w:t>
            </w:r>
          </w:p>
        </w:tc>
        <w:tc>
          <w:tcPr>
            <w:tcW w:w="8736" w:type="dxa"/>
          </w:tcPr>
          <w:p w:rsidR="00600AB0" w:rsidRPr="004D0E28" w:rsidRDefault="00600AB0" w:rsidP="00FD3481">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Құқықтық саясаттың іске асырылу барысын, бейінді ведомстволардың құқықтық қамтамасыз ету, халықтың құқықтық мәдениеті мен құқықтық санасын қалыптастыру, заң жобалары мен мемлекеттік органдар қабылдайтын шешімдердің, заңнамалық және нормативтік құқықтық актілердің, сот жүйесі қызметінің ашықтығын қамтамасыз ету бойынша жұмысты, сот жүйесіндегі реформалардың мазмұнын, адамның сот арқылы қорғалу құқықтары мен бостандықтарын іске асыруды ақпараттық қолдау және түсіндіру</w:t>
            </w:r>
          </w:p>
        </w:tc>
      </w:tr>
      <w:tr w:rsidR="00600AB0" w:rsidRPr="004D0E28" w:rsidTr="00D67757">
        <w:trPr>
          <w:trHeight w:val="337"/>
        </w:trPr>
        <w:tc>
          <w:tcPr>
            <w:tcW w:w="478" w:type="dxa"/>
            <w:shd w:val="clear" w:color="auto" w:fill="auto"/>
            <w:vAlign w:val="center"/>
            <w:hideMark/>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4</w:t>
            </w:r>
          </w:p>
        </w:tc>
        <w:tc>
          <w:tcPr>
            <w:tcW w:w="8736" w:type="dxa"/>
          </w:tcPr>
          <w:p w:rsidR="00600AB0" w:rsidRPr="004D0E28" w:rsidRDefault="00600AB0" w:rsidP="00D95522">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Қазақстан Республикасы Қарулы күштерінің қызметін, елдің қорғаныс қабілетін, Қазақстанның егемендігі мен аумақтық тұтастығын нығайтуды, халықаралық әскери ынтымақтастықты, әскери кәсіпті және ұлттық қауіпсіздік органдарының кәсібін танымал ету жөніндегі іс-шараларды, қоғамда әскери қызметтің беделін арттыруды ақпараттық қолдау 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5</w:t>
            </w:r>
          </w:p>
        </w:tc>
        <w:tc>
          <w:tcPr>
            <w:tcW w:w="8736" w:type="dxa"/>
          </w:tcPr>
          <w:p w:rsidR="00600AB0" w:rsidRPr="004D0E28" w:rsidRDefault="00600AB0" w:rsidP="006E592B">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Мемлекеттік органдардың табиғи және техногендік сипаттағы төтенше жағдайлардың алдын алу және оларды жою жөніндегі қызметін, оның ішінде өрт сөндірушілер мен құтқарушылардың қызметін ақпараттық қолдау 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6</w:t>
            </w:r>
          </w:p>
        </w:tc>
        <w:tc>
          <w:tcPr>
            <w:tcW w:w="8736" w:type="dxa"/>
          </w:tcPr>
          <w:p w:rsidR="00600AB0" w:rsidRPr="004D0E28" w:rsidRDefault="00600AB0" w:rsidP="00277427">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Мемлекеттің ұлттық қауіпсіздік саласындағы саясатын, қылмысқа қарсы күрес жөніндегі шараларды, оның ішінде діни экстремизм мен терроризмге, сыбайлас жемқорлыққа, нашақорлыққа және есірткі бизнесіне, браконьерлікке, алкогольге тәуелділікке, темекі шегуге қарсы іс-қимыл жөніндегі шараларды, сыбайлас жемқорлыққа қарсы сананы қалыптастыру жөніндегі қызметті, «Қауіпсіз ел» ұлттық жобасын ақпараттық қолдау және түсіндіру</w:t>
            </w:r>
          </w:p>
        </w:tc>
      </w:tr>
      <w:tr w:rsidR="00600AB0" w:rsidRPr="004D0E28" w:rsidTr="00D67757">
        <w:trPr>
          <w:trHeight w:val="84"/>
        </w:trPr>
        <w:tc>
          <w:tcPr>
            <w:tcW w:w="478" w:type="dxa"/>
            <w:shd w:val="clear" w:color="auto" w:fill="auto"/>
            <w:vAlign w:val="center"/>
          </w:tcPr>
          <w:p w:rsidR="00600AB0" w:rsidRPr="004D0E28" w:rsidRDefault="00600AB0" w:rsidP="00600AB0">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7</w:t>
            </w:r>
          </w:p>
        </w:tc>
        <w:tc>
          <w:tcPr>
            <w:tcW w:w="8736" w:type="dxa"/>
          </w:tcPr>
          <w:p w:rsidR="00600AB0" w:rsidRPr="004D0E28" w:rsidRDefault="00600AB0" w:rsidP="00005AA5">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Дін саласындағы саясатты, қоғамдық және ұлтаралық келісімнің қазақстандық моделін, жалпыұлттық бірліктің және Қазақстан халқы Ассамблеясының қызметін ақпараттық қолдау және түсіндіру</w:t>
            </w:r>
          </w:p>
        </w:tc>
      </w:tr>
      <w:tr w:rsidR="00600AB0" w:rsidRPr="004D0E28" w:rsidTr="00D67757">
        <w:trPr>
          <w:trHeight w:val="84"/>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8</w:t>
            </w:r>
          </w:p>
        </w:tc>
        <w:tc>
          <w:tcPr>
            <w:tcW w:w="8736" w:type="dxa"/>
          </w:tcPr>
          <w:p w:rsidR="00600AB0" w:rsidRPr="004D0E28" w:rsidRDefault="00600AB0" w:rsidP="00A577B3">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 xml:space="preserve">Қазақстан Республикасындағы дене шынықтыру және спорт саласындағы қызметті, өнерді, мәдениетті, туризмді, оның ішінде </w:t>
            </w:r>
            <w:r w:rsidRPr="004D0E28">
              <w:rPr>
                <w:rFonts w:eastAsia="Times New Roman" w:cs="Times New Roman"/>
                <w:sz w:val="24"/>
                <w:szCs w:val="24"/>
                <w:lang w:val="kk-KZ" w:eastAsia="ru-RU"/>
              </w:rPr>
              <w:t xml:space="preserve">ЮНЕСКО-ның дүниежүзілік мұра объектілерін дамыту саласындағы қызметті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9</w:t>
            </w:r>
          </w:p>
        </w:tc>
        <w:tc>
          <w:tcPr>
            <w:tcW w:w="8736" w:type="dxa"/>
          </w:tcPr>
          <w:p w:rsidR="00600AB0" w:rsidRPr="004D0E28" w:rsidRDefault="00600AB0" w:rsidP="00FB37DE">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Балалар мен жасөспірімдерге арналған шығармашылықты (өлеңдер, әңгімелер, ертегілер, суреттер, қолдан жасалған бұйымдар және т.б.), қазақстандық жазушылардың әдеби шығармаларын, әдебиет аудармаларын, ғылыми-танымдық, тарихи, мәдени-ойын-сауық материалдары мен өнертабыстарын ақпараттық қолдау және жария ету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10</w:t>
            </w:r>
          </w:p>
        </w:tc>
        <w:tc>
          <w:tcPr>
            <w:tcW w:w="8736" w:type="dxa"/>
          </w:tcPr>
          <w:p w:rsidR="00600AB0" w:rsidRPr="004D0E28" w:rsidRDefault="00600AB0" w:rsidP="00FB37DE">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Отандық бұқаралық ақпарат құралдарын, жастар саясатын, Президенттік кадр резервін, қайырымдылық және волонтерлік қызметті дамытуды ақпараттық қолдау 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11</w:t>
            </w:r>
          </w:p>
        </w:tc>
        <w:tc>
          <w:tcPr>
            <w:tcW w:w="8736" w:type="dxa"/>
          </w:tcPr>
          <w:p w:rsidR="00600AB0" w:rsidRPr="004D0E28" w:rsidRDefault="00600AB0" w:rsidP="00B82A31">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Қоғамдық маңызы бар, мерекелік, мерейтойлық және атаулы күндерді ақпараттық </w:t>
            </w:r>
            <w:r w:rsidRPr="004D0E28">
              <w:rPr>
                <w:rFonts w:eastAsia="Times New Roman" w:cs="Times New Roman"/>
                <w:bCs/>
                <w:sz w:val="24"/>
                <w:szCs w:val="24"/>
                <w:lang w:val="kk-KZ" w:eastAsia="ru-RU"/>
              </w:rPr>
              <w:t>қолдау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12</w:t>
            </w:r>
          </w:p>
        </w:tc>
        <w:tc>
          <w:tcPr>
            <w:tcW w:w="8736" w:type="dxa"/>
          </w:tcPr>
          <w:p w:rsidR="00600AB0" w:rsidRPr="004D0E28" w:rsidRDefault="00600AB0" w:rsidP="00A01761">
            <w:pPr>
              <w:spacing w:after="0" w:line="20" w:lineRule="atLeast"/>
              <w:jc w:val="both"/>
              <w:rPr>
                <w:rFonts w:eastAsia="Times New Roman" w:cs="Times New Roman"/>
                <w:sz w:val="24"/>
                <w:szCs w:val="24"/>
                <w:lang w:val="kk-KZ" w:eastAsia="ru-RU"/>
              </w:rPr>
            </w:pPr>
            <w:r w:rsidRPr="004D0E28">
              <w:rPr>
                <w:rFonts w:eastAsia="Times New Roman" w:cs="Times New Roman"/>
                <w:bCs/>
                <w:sz w:val="24"/>
                <w:szCs w:val="24"/>
                <w:lang w:val="kk-KZ" w:eastAsia="ru-RU"/>
              </w:rPr>
              <w:t>Отбасылық және гендерлік саясатты, ана мен баланы қорғау жөніндегі қызметті, демографиялық саясатты, адам саудасына және отбасылық-тұрмыстық зорлық-</w:t>
            </w:r>
            <w:r w:rsidRPr="004D0E28">
              <w:rPr>
                <w:rFonts w:eastAsia="Times New Roman" w:cs="Times New Roman"/>
                <w:bCs/>
                <w:sz w:val="24"/>
                <w:szCs w:val="24"/>
                <w:lang w:val="kk-KZ" w:eastAsia="ru-RU"/>
              </w:rPr>
              <w:lastRenderedPageBreak/>
              <w:t>зомбылыққа қарсы іс-қимылды ақпараттық қолдау 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6E592B">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lastRenderedPageBreak/>
              <w:t>13</w:t>
            </w:r>
          </w:p>
        </w:tc>
        <w:tc>
          <w:tcPr>
            <w:tcW w:w="8736" w:type="dxa"/>
          </w:tcPr>
          <w:p w:rsidR="00600AB0" w:rsidRPr="004D0E28" w:rsidRDefault="00600AB0" w:rsidP="00F770CD">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Еңбек, жұмыспен қамту, көші-қон, әлеуметтік қамтамасыз ету саласындағы саясатты дамытуды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r w:rsidRPr="004D0E28">
              <w:rPr>
                <w:rFonts w:cs="Times New Roman"/>
                <w:sz w:val="22"/>
              </w:rPr>
              <w:t xml:space="preserve"> </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14</w:t>
            </w:r>
          </w:p>
        </w:tc>
        <w:tc>
          <w:tcPr>
            <w:tcW w:w="8736" w:type="dxa"/>
          </w:tcPr>
          <w:p w:rsidR="00600AB0" w:rsidRPr="004D0E28" w:rsidRDefault="00600AB0" w:rsidP="00A01761">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Патерналистік және масылдық көңіл-күйді азайту, қоғамда ынтымақтастық рухын қалыптастыру және ерекше қажеттіліктері бар адамдарға құрметпен қарау, қоғамда барлық азаматтардың өзара сыйластық және теңдік құндылықтарын жалғастыру және бекіту жөніндегі шараларды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15</w:t>
            </w:r>
          </w:p>
        </w:tc>
        <w:tc>
          <w:tcPr>
            <w:tcW w:w="8736" w:type="dxa"/>
          </w:tcPr>
          <w:p w:rsidR="00600AB0" w:rsidRPr="004D0E28" w:rsidRDefault="00600AB0" w:rsidP="00A577B3">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Білім беру және қазақстандық ғылымды дамыту, </w:t>
            </w:r>
            <w:r>
              <w:rPr>
                <w:rFonts w:eastAsia="Times New Roman" w:cs="Times New Roman"/>
                <w:sz w:val="24"/>
                <w:szCs w:val="24"/>
                <w:lang w:val="kk-KZ" w:eastAsia="ru-RU"/>
              </w:rPr>
              <w:t xml:space="preserve">тіл саясатын дамыту, </w:t>
            </w:r>
            <w:r w:rsidRPr="004D0E28">
              <w:rPr>
                <w:rFonts w:eastAsia="Times New Roman" w:cs="Times New Roman"/>
                <w:sz w:val="24"/>
                <w:szCs w:val="24"/>
                <w:lang w:val="kk-KZ" w:eastAsia="ru-RU"/>
              </w:rPr>
              <w:t>латын әліпбиіне көшу және қазақ тілін реформалау, педагог мамандығының беделін арттыру саласындағы қызметті, «Білімді ұлт» сапалы білім беру» ұлттық жобасын ақпараттық қолдау 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16</w:t>
            </w:r>
          </w:p>
        </w:tc>
        <w:tc>
          <w:tcPr>
            <w:tcW w:w="8736" w:type="dxa"/>
          </w:tcPr>
          <w:p w:rsidR="00600AB0" w:rsidRPr="004D0E28" w:rsidRDefault="00600AB0" w:rsidP="00326A03">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Денсаулық сақтау саласындағы қызметті ақпараттық сүйемелдеу және түсіндіру, медицина қызметкерлері мамандығын, «Дені сау ұлт» әрбір азамат үшін сапалы және қолжетімді денсаулық сақтау» ұлттық жобасын танымал ету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17</w:t>
            </w:r>
          </w:p>
        </w:tc>
        <w:tc>
          <w:tcPr>
            <w:tcW w:w="8736" w:type="dxa"/>
          </w:tcPr>
          <w:p w:rsidR="00600AB0" w:rsidRPr="004D0E28" w:rsidRDefault="00600AB0" w:rsidP="00A01761">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Цифрландыруды дамыту, ғарыш саласын дамыту барысын, «Халық үніне құлақ асатын мемлекет» және «Қазақстан киберқалқаны» тұжырымдамаларын, «Цифрландыру, ғылым және инновациялар есебінен технологиялық серпіліс» ұлттық жобасын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18</w:t>
            </w:r>
          </w:p>
        </w:tc>
        <w:tc>
          <w:tcPr>
            <w:tcW w:w="8736" w:type="dxa"/>
          </w:tcPr>
          <w:p w:rsidR="00600AB0" w:rsidRPr="004D0E28" w:rsidRDefault="00600AB0" w:rsidP="008437CE">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Қаржы секторын дамытуды, қаржылық сауаттылықты арттыруды және мемлекеттік қаржыны басқаруды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698"/>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19</w:t>
            </w:r>
          </w:p>
        </w:tc>
        <w:tc>
          <w:tcPr>
            <w:tcW w:w="8736" w:type="dxa"/>
          </w:tcPr>
          <w:p w:rsidR="00600AB0" w:rsidRPr="00461984" w:rsidRDefault="00600AB0" w:rsidP="00326A03">
            <w:pPr>
              <w:spacing w:after="0" w:line="20" w:lineRule="atLeast"/>
              <w:jc w:val="both"/>
              <w:rPr>
                <w:rFonts w:eastAsia="Times New Roman" w:cs="Times New Roman"/>
                <w:sz w:val="24"/>
                <w:szCs w:val="24"/>
                <w:lang w:val="kk-KZ" w:eastAsia="ru-RU"/>
              </w:rPr>
            </w:pPr>
            <w:r w:rsidRPr="00461984">
              <w:rPr>
                <w:rFonts w:eastAsia="Times New Roman" w:cs="Times New Roman"/>
                <w:sz w:val="24"/>
                <w:szCs w:val="24"/>
                <w:lang w:val="kk-KZ" w:eastAsia="ru-RU"/>
              </w:rPr>
              <w:t xml:space="preserve">Кәсіпкерлікті, бәсекелестікті, мемлекеттік-жекешелік әріптестікті, кәсіпкерлікті дамыту жөніндегі ұлттық жобаларды іске асыруды және «Қазақстандықтардың әл-ауқатын арттыруға бағытталған орнықты экономикалық өсуді» ақпараттық </w:t>
            </w:r>
            <w:r w:rsidRPr="00461984">
              <w:rPr>
                <w:rFonts w:eastAsia="Times New Roman" w:cs="Times New Roman"/>
                <w:bCs/>
                <w:sz w:val="24"/>
                <w:szCs w:val="24"/>
                <w:lang w:val="kk-KZ" w:eastAsia="ru-RU"/>
              </w:rPr>
              <w:t xml:space="preserve">қолдау </w:t>
            </w:r>
            <w:r w:rsidRPr="00461984">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20</w:t>
            </w:r>
          </w:p>
        </w:tc>
        <w:tc>
          <w:tcPr>
            <w:tcW w:w="8736" w:type="dxa"/>
          </w:tcPr>
          <w:p w:rsidR="00600AB0" w:rsidRPr="004D0E28" w:rsidRDefault="00600AB0" w:rsidP="00326A03">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Экономикалық дамуды, инвестициялар тартуды, сауда-экономикалық ынтымақтастықты, қазақстандық өнімнің сапасын арттыруды, ұлттық экспорттаушыларды мемлекеттік қолдауды, шекара маңындағы сауданы дамытуды, баға белгілеуді, тұтынушылардың құқықтарын қорғауды, «Қазақстандықтардың әл-ауқатын арттыруға бағытталған орнықты экономикалық өсу» ұлттық жобасын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21</w:t>
            </w:r>
          </w:p>
        </w:tc>
        <w:tc>
          <w:tcPr>
            <w:tcW w:w="8736" w:type="dxa"/>
          </w:tcPr>
          <w:p w:rsidR="00600AB0" w:rsidRPr="004D0E28" w:rsidRDefault="00600AB0" w:rsidP="00D95522">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Индустриялық-инновациялық даму, оның ішінде аумақтық даму, тұрғын үй саясаты, инженерлік инфрақұрылым және ТКШ, ауыз сумен қамтамасыз ету барысын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22</w:t>
            </w:r>
          </w:p>
        </w:tc>
        <w:tc>
          <w:tcPr>
            <w:tcW w:w="8736" w:type="dxa"/>
          </w:tcPr>
          <w:p w:rsidR="00600AB0" w:rsidRPr="004D0E28" w:rsidRDefault="00600AB0" w:rsidP="007663AB">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Энергия тиімді саясатын, жасыл экономика қағидаттарын, экологияны қорғауды және қоршаған ортаны қорғауды, «Жасыл Қазақстан» ұлттық жобасын іске асыруды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23</w:t>
            </w:r>
          </w:p>
        </w:tc>
        <w:tc>
          <w:tcPr>
            <w:tcW w:w="8736" w:type="dxa"/>
          </w:tcPr>
          <w:p w:rsidR="00600AB0" w:rsidRPr="004D0E28" w:rsidRDefault="00600AB0" w:rsidP="007663AB">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Агроөнеркәсіптік кешенді , жер қатынастарын, су ресурстарын дамытуды, агроөнеркәсіптік кешенді дамыту жөніндегі ұлттық жобаны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 xml:space="preserve">және түсіндіру </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24</w:t>
            </w:r>
          </w:p>
        </w:tc>
        <w:tc>
          <w:tcPr>
            <w:tcW w:w="8736" w:type="dxa"/>
          </w:tcPr>
          <w:p w:rsidR="00600AB0" w:rsidRPr="004D0E28" w:rsidRDefault="00600AB0" w:rsidP="008437CE">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Қазақстанның жаһандық бастамаларын, оның ішінде бітімгершілік бастамаларын, Қазақстан Республикасының халықаралық қоғамдастықтардағы қызметін түсіндіру мен ілгерілетуге баса назар аудара отырып, Қазақстан Республикасының халықаралық және сыртқы саясатын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4D0E28"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25</w:t>
            </w:r>
          </w:p>
        </w:tc>
        <w:tc>
          <w:tcPr>
            <w:tcW w:w="8736" w:type="dxa"/>
          </w:tcPr>
          <w:p w:rsidR="00600AB0" w:rsidRPr="004D0E28" w:rsidRDefault="00600AB0" w:rsidP="00326A03">
            <w:pPr>
              <w:spacing w:after="0" w:line="20" w:lineRule="atLeast"/>
              <w:jc w:val="both"/>
              <w:rPr>
                <w:rFonts w:eastAsia="Times New Roman" w:cs="Times New Roman"/>
                <w:sz w:val="24"/>
                <w:szCs w:val="24"/>
                <w:lang w:val="kk-KZ" w:eastAsia="ru-RU"/>
              </w:rPr>
            </w:pPr>
            <w:r w:rsidRPr="004D0E28">
              <w:rPr>
                <w:rFonts w:eastAsia="Times New Roman" w:cs="Times New Roman"/>
                <w:sz w:val="24"/>
                <w:szCs w:val="24"/>
                <w:lang w:val="kk-KZ" w:eastAsia="ru-RU"/>
              </w:rPr>
              <w:t xml:space="preserve">Саяси қуғын-сүргін құрбандарын толық ақтау жөніндегі мемлекеттік комиссияның қызметін, «Ұлттық рухани жаңғыру» ұлттық жобасының іске асырылу барысын ақпараттық </w:t>
            </w:r>
            <w:r w:rsidRPr="004D0E28">
              <w:rPr>
                <w:rFonts w:eastAsia="Times New Roman" w:cs="Times New Roman"/>
                <w:bCs/>
                <w:sz w:val="24"/>
                <w:szCs w:val="24"/>
                <w:lang w:val="kk-KZ" w:eastAsia="ru-RU"/>
              </w:rPr>
              <w:t xml:space="preserve">қолдау </w:t>
            </w:r>
            <w:r w:rsidRPr="004D0E28">
              <w:rPr>
                <w:rFonts w:eastAsia="Times New Roman" w:cs="Times New Roman"/>
                <w:sz w:val="24"/>
                <w:szCs w:val="24"/>
                <w:lang w:val="kk-KZ" w:eastAsia="ru-RU"/>
              </w:rPr>
              <w:t>және түсіндіру</w:t>
            </w:r>
          </w:p>
        </w:tc>
      </w:tr>
      <w:tr w:rsidR="00600AB0" w:rsidRPr="00326A03" w:rsidTr="00D67757">
        <w:trPr>
          <w:trHeight w:val="22"/>
        </w:trPr>
        <w:tc>
          <w:tcPr>
            <w:tcW w:w="478" w:type="dxa"/>
            <w:shd w:val="clear" w:color="auto" w:fill="auto"/>
            <w:vAlign w:val="center"/>
          </w:tcPr>
          <w:p w:rsidR="00600AB0" w:rsidRPr="004D0E28" w:rsidRDefault="00600AB0" w:rsidP="008437CE">
            <w:pPr>
              <w:spacing w:after="0" w:line="20" w:lineRule="atLeast"/>
              <w:jc w:val="center"/>
              <w:rPr>
                <w:rFonts w:eastAsia="Times New Roman" w:cs="Times New Roman"/>
                <w:sz w:val="24"/>
                <w:szCs w:val="24"/>
                <w:lang w:eastAsia="ru-RU"/>
              </w:rPr>
            </w:pPr>
            <w:r w:rsidRPr="004D0E28">
              <w:rPr>
                <w:rFonts w:eastAsia="Times New Roman" w:cs="Times New Roman"/>
                <w:sz w:val="24"/>
                <w:szCs w:val="24"/>
                <w:lang w:eastAsia="ru-RU"/>
              </w:rPr>
              <w:t>26</w:t>
            </w:r>
          </w:p>
        </w:tc>
        <w:tc>
          <w:tcPr>
            <w:tcW w:w="8736" w:type="dxa"/>
          </w:tcPr>
          <w:p w:rsidR="00600AB0" w:rsidRPr="00374978" w:rsidRDefault="00600AB0" w:rsidP="00326A03">
            <w:pPr>
              <w:spacing w:after="0" w:line="20" w:lineRule="atLeast"/>
              <w:jc w:val="both"/>
              <w:rPr>
                <w:rFonts w:eastAsia="Times New Roman" w:cs="Times New Roman"/>
                <w:bCs/>
                <w:sz w:val="24"/>
                <w:szCs w:val="24"/>
                <w:lang w:val="kk-KZ" w:eastAsia="ru-RU"/>
              </w:rPr>
            </w:pPr>
            <w:r w:rsidRPr="004D0E28">
              <w:rPr>
                <w:rFonts w:eastAsia="Times New Roman" w:cs="Times New Roman"/>
                <w:bCs/>
                <w:sz w:val="24"/>
                <w:szCs w:val="24"/>
                <w:lang w:val="kk-KZ" w:eastAsia="ru-RU"/>
              </w:rPr>
              <w:t>Өңірлерді дамыту, өңірлердің түрлі салалардағы қызметі, өңірлерде іске асырылатын жобалар, «Қуатты өңірлер – ел дамуының драйвері» ұлттық жобасы мәселелерін ақпараттық қолдау және түсіндіру</w:t>
            </w:r>
          </w:p>
        </w:tc>
      </w:tr>
    </w:tbl>
    <w:p w:rsidR="00F12C76" w:rsidRPr="00326A03" w:rsidRDefault="00F12C76" w:rsidP="00AE221B">
      <w:pPr>
        <w:spacing w:after="0"/>
        <w:jc w:val="both"/>
        <w:rPr>
          <w:sz w:val="24"/>
          <w:szCs w:val="24"/>
        </w:rPr>
      </w:pPr>
    </w:p>
    <w:sectPr w:rsidR="00F12C76" w:rsidRPr="00326A03" w:rsidSect="00AE221B">
      <w:pgSz w:w="11906" w:h="16838" w:code="9"/>
      <w:pgMar w:top="1134" w:right="993" w:bottom="709" w:left="127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B8C"/>
    <w:rsid w:val="00005AA5"/>
    <w:rsid w:val="000C7136"/>
    <w:rsid w:val="00153B8C"/>
    <w:rsid w:val="00165554"/>
    <w:rsid w:val="001A0081"/>
    <w:rsid w:val="001D2F4B"/>
    <w:rsid w:val="00201263"/>
    <w:rsid w:val="00202637"/>
    <w:rsid w:val="002558C6"/>
    <w:rsid w:val="00274435"/>
    <w:rsid w:val="00277427"/>
    <w:rsid w:val="003227F3"/>
    <w:rsid w:val="00326A03"/>
    <w:rsid w:val="00374978"/>
    <w:rsid w:val="0042121F"/>
    <w:rsid w:val="00461984"/>
    <w:rsid w:val="004A6315"/>
    <w:rsid w:val="004B2806"/>
    <w:rsid w:val="004D0E28"/>
    <w:rsid w:val="00563129"/>
    <w:rsid w:val="00600AB0"/>
    <w:rsid w:val="00634B9E"/>
    <w:rsid w:val="006C0B77"/>
    <w:rsid w:val="006C7CC3"/>
    <w:rsid w:val="006D3D1F"/>
    <w:rsid w:val="007663AB"/>
    <w:rsid w:val="00781EE9"/>
    <w:rsid w:val="008242FF"/>
    <w:rsid w:val="008437CE"/>
    <w:rsid w:val="00870751"/>
    <w:rsid w:val="008F7A05"/>
    <w:rsid w:val="00911E3B"/>
    <w:rsid w:val="00922C48"/>
    <w:rsid w:val="00926280"/>
    <w:rsid w:val="009B3CF4"/>
    <w:rsid w:val="009F0873"/>
    <w:rsid w:val="00A01761"/>
    <w:rsid w:val="00A577B3"/>
    <w:rsid w:val="00AB34B3"/>
    <w:rsid w:val="00AE221B"/>
    <w:rsid w:val="00B602A0"/>
    <w:rsid w:val="00B82A31"/>
    <w:rsid w:val="00B915B7"/>
    <w:rsid w:val="00BD194D"/>
    <w:rsid w:val="00CA147C"/>
    <w:rsid w:val="00CC70A7"/>
    <w:rsid w:val="00D67757"/>
    <w:rsid w:val="00D95522"/>
    <w:rsid w:val="00EA59DF"/>
    <w:rsid w:val="00EE4070"/>
    <w:rsid w:val="00F12C76"/>
    <w:rsid w:val="00F770CD"/>
    <w:rsid w:val="00F84981"/>
    <w:rsid w:val="00FA3B3C"/>
    <w:rsid w:val="00FB37DE"/>
    <w:rsid w:val="00FB3CDF"/>
    <w:rsid w:val="00FD34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B8C"/>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3B8C"/>
    <w:pPr>
      <w:spacing w:after="0"/>
    </w:pPr>
    <w:rPr>
      <w:rFonts w:ascii="Segoe UI" w:hAnsi="Segoe UI" w:cs="Segoe UI"/>
      <w:sz w:val="18"/>
      <w:szCs w:val="18"/>
    </w:rPr>
  </w:style>
  <w:style w:type="character" w:customStyle="1" w:styleId="a4">
    <w:name w:val="Текст выноски Знак"/>
    <w:basedOn w:val="a0"/>
    <w:link w:val="a3"/>
    <w:uiPriority w:val="99"/>
    <w:semiHidden/>
    <w:rsid w:val="00153B8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962</Words>
  <Characters>5489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Майра Абилаханова</dc:creator>
  <cp:lastModifiedBy>User</cp:lastModifiedBy>
  <cp:revision>6</cp:revision>
  <cp:lastPrinted>2021-11-29T08:57:00Z</cp:lastPrinted>
  <dcterms:created xsi:type="dcterms:W3CDTF">2021-12-30T13:30:00Z</dcterms:created>
  <dcterms:modified xsi:type="dcterms:W3CDTF">2022-06-01T11:36:00Z</dcterms:modified>
</cp:coreProperties>
</file>