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AB" w:rsidRDefault="00990561">
      <w:pPr>
        <w:spacing w:after="100" w:line="240" w:lineRule="auto"/>
        <w:jc w:val="center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151515"/>
          <w:sz w:val="24"/>
          <w:shd w:val="clear" w:color="auto" w:fill="FFFFFF"/>
        </w:rPr>
        <w:t>Отчет</w:t>
      </w:r>
    </w:p>
    <w:p w:rsidR="00D066AB" w:rsidRDefault="00990561">
      <w:pPr>
        <w:spacing w:after="100" w:line="240" w:lineRule="auto"/>
        <w:jc w:val="center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151515"/>
          <w:sz w:val="24"/>
          <w:shd w:val="clear" w:color="auto" w:fill="FFFFFF"/>
        </w:rPr>
        <w:t>о проведении публичных обсуждений в сфере оказания государственных услуг в ГУ «От</w:t>
      </w:r>
      <w:r w:rsidR="007872BA">
        <w:rPr>
          <w:rFonts w:ascii="Arial" w:eastAsia="Arial" w:hAnsi="Arial" w:cs="Arial"/>
          <w:b/>
          <w:color w:val="151515"/>
          <w:sz w:val="24"/>
          <w:shd w:val="clear" w:color="auto" w:fill="FFFFFF"/>
        </w:rPr>
        <w:t>дел строительства</w:t>
      </w:r>
      <w:r>
        <w:rPr>
          <w:rFonts w:ascii="Arial" w:eastAsia="Arial" w:hAnsi="Arial" w:cs="Arial"/>
          <w:b/>
          <w:color w:val="151515"/>
          <w:sz w:val="24"/>
          <w:shd w:val="clear" w:color="auto" w:fill="FFFFFF"/>
        </w:rPr>
        <w:t xml:space="preserve"> города Кокшетау» по итогам 2021 года</w:t>
      </w:r>
    </w:p>
    <w:p w:rsidR="00D066AB" w:rsidRDefault="00990561">
      <w:pPr>
        <w:spacing w:after="10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color w:val="151515"/>
          <w:sz w:val="24"/>
          <w:shd w:val="clear" w:color="auto" w:fill="FFFFFF"/>
        </w:rPr>
        <w:t>           Государственное учреждение «От</w:t>
      </w:r>
      <w:r w:rsidR="007872BA">
        <w:rPr>
          <w:rFonts w:ascii="Arial" w:eastAsia="Arial" w:hAnsi="Arial" w:cs="Arial"/>
          <w:color w:val="151515"/>
          <w:sz w:val="24"/>
          <w:shd w:val="clear" w:color="auto" w:fill="FFFFFF"/>
        </w:rPr>
        <w:t>дел строительства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 г</w:t>
      </w:r>
      <w:r w:rsidR="007872BA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орода 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>Кокшетау» находится по ад</w:t>
      </w:r>
      <w:r w:rsidR="007872BA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ресу </w:t>
      </w:r>
      <w:proofErr w:type="spellStart"/>
      <w:r w:rsidR="007872BA">
        <w:rPr>
          <w:rFonts w:ascii="Arial" w:eastAsia="Arial" w:hAnsi="Arial" w:cs="Arial"/>
          <w:color w:val="151515"/>
          <w:sz w:val="24"/>
          <w:shd w:val="clear" w:color="auto" w:fill="FFFFFF"/>
        </w:rPr>
        <w:t>г.Кокшетау</w:t>
      </w:r>
      <w:proofErr w:type="spellEnd"/>
      <w:r w:rsidR="007872BA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, ул. </w:t>
      </w:r>
      <w:proofErr w:type="spellStart"/>
      <w:r w:rsidR="007872BA">
        <w:rPr>
          <w:rFonts w:ascii="Arial" w:eastAsia="Arial" w:hAnsi="Arial" w:cs="Arial"/>
          <w:color w:val="151515"/>
          <w:sz w:val="24"/>
          <w:shd w:val="clear" w:color="auto" w:fill="FFFFFF"/>
        </w:rPr>
        <w:t>Момышулы</w:t>
      </w:r>
      <w:proofErr w:type="spellEnd"/>
      <w:r w:rsidR="007872BA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 21, контактный телефон 8 (7162) 40-13-87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>.</w:t>
      </w:r>
    </w:p>
    <w:p w:rsidR="00D066AB" w:rsidRDefault="00990561">
      <w:pPr>
        <w:spacing w:after="10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color w:val="151515"/>
          <w:sz w:val="24"/>
          <w:shd w:val="clear" w:color="auto" w:fill="FFFFFF"/>
        </w:rPr>
        <w:t>           Государственное учрежд</w:t>
      </w:r>
      <w:r w:rsidR="00D82EB9">
        <w:rPr>
          <w:rFonts w:ascii="Arial" w:eastAsia="Arial" w:hAnsi="Arial" w:cs="Arial"/>
          <w:color w:val="151515"/>
          <w:sz w:val="24"/>
          <w:shd w:val="clear" w:color="auto" w:fill="FFFFFF"/>
        </w:rPr>
        <w:t>ение «Отдел строительства</w:t>
      </w:r>
      <w:r w:rsidR="00334D50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 г</w:t>
      </w:r>
      <w:r w:rsidR="00D82EB9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орода </w:t>
      </w:r>
      <w:r w:rsidR="00334D50">
        <w:rPr>
          <w:rFonts w:ascii="Arial" w:eastAsia="Arial" w:hAnsi="Arial" w:cs="Arial"/>
          <w:color w:val="151515"/>
          <w:sz w:val="24"/>
          <w:shd w:val="clear" w:color="auto" w:fill="FFFFFF"/>
        </w:rPr>
        <w:t>Кокшетау» оказывает вида 2 государственных услуг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>:</w:t>
      </w:r>
    </w:p>
    <w:p w:rsidR="00D066AB" w:rsidRDefault="00D82EB9" w:rsidP="00D82EB9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 </w:t>
      </w:r>
      <w:r w:rsidR="00990561" w:rsidRPr="00D82EB9">
        <w:rPr>
          <w:rFonts w:ascii="Arial" w:eastAsia="Arial" w:hAnsi="Arial" w:cs="Arial"/>
          <w:color w:val="151515"/>
          <w:sz w:val="24"/>
          <w:shd w:val="clear" w:color="auto" w:fill="FFFFFF"/>
        </w:rPr>
        <w:t>«</w:t>
      </w:r>
      <w:r w:rsidRPr="00D82EB9">
        <w:rPr>
          <w:rFonts w:ascii="Arial" w:eastAsia="Arial" w:hAnsi="Arial" w:cs="Arial"/>
          <w:color w:val="151515"/>
          <w:sz w:val="24"/>
          <w:shd w:val="clear" w:color="auto" w:fill="FFFFFF"/>
        </w:rPr>
        <w:t>Выдача разрешения на привлечение денег дольщиков</w:t>
      </w:r>
      <w:r w:rsidR="00990561" w:rsidRPr="00D82EB9">
        <w:rPr>
          <w:rFonts w:ascii="Arial" w:eastAsia="Arial" w:hAnsi="Arial" w:cs="Arial"/>
          <w:color w:val="151515"/>
          <w:sz w:val="24"/>
          <w:shd w:val="clear" w:color="auto" w:fill="FFFFFF"/>
        </w:rPr>
        <w:t>».</w:t>
      </w:r>
    </w:p>
    <w:p w:rsidR="00D82EB9" w:rsidRPr="00D82EB9" w:rsidRDefault="00D82EB9" w:rsidP="00D82EB9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 «</w:t>
      </w:r>
      <w:r w:rsidRPr="00D82EB9">
        <w:rPr>
          <w:rFonts w:ascii="Arial" w:eastAsia="Arial" w:hAnsi="Arial" w:cs="Arial"/>
          <w:color w:val="151515"/>
          <w:sz w:val="24"/>
          <w:shd w:val="clear" w:color="auto" w:fill="FFFFFF"/>
        </w:rPr>
        <w:t>Выдача выписки об учетной записи договора о долевом участии в жилищном строительстве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>»</w:t>
      </w:r>
    </w:p>
    <w:p w:rsidR="00D066AB" w:rsidRDefault="00990561">
      <w:pPr>
        <w:spacing w:after="10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            За 2021 год </w:t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>в государственное учреждение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 «Отдел </w:t>
      </w:r>
      <w:r w:rsidR="00D82EB9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строительства 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города </w:t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>Кокшетау» заявлений по государственным услугам не поступало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>.</w:t>
      </w:r>
    </w:p>
    <w:p w:rsidR="00D066AB" w:rsidRDefault="00334D50">
      <w:pPr>
        <w:spacing w:after="10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color w:val="151515"/>
          <w:sz w:val="24"/>
          <w:shd w:val="clear" w:color="auto" w:fill="FFFFFF"/>
        </w:rPr>
        <w:tab/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> </w:t>
      </w:r>
      <w:r w:rsidR="00990561">
        <w:rPr>
          <w:rFonts w:ascii="Arial" w:eastAsia="Arial" w:hAnsi="Arial" w:cs="Arial"/>
          <w:color w:val="151515"/>
          <w:sz w:val="24"/>
          <w:shd w:val="clear" w:color="auto" w:fill="FFFFFF"/>
        </w:rPr>
        <w:t>Оказание государственной услуги осуществляется в соответствии со стандартами и правилами.</w:t>
      </w:r>
    </w:p>
    <w:p w:rsidR="00D066AB" w:rsidRDefault="00990561">
      <w:pPr>
        <w:spacing w:after="10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            Информация о порядке оказания государственных услуг размещена на информационных стендах в ГУ «Отдел </w:t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строительства 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>г</w:t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орода 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>Кокшетау», на официальном интернет - ресурсе государственного органа. Нарушения сроков оказания государственных услуг не было.</w:t>
      </w:r>
    </w:p>
    <w:p w:rsidR="00D066AB" w:rsidRDefault="00990561">
      <w:pPr>
        <w:spacing w:after="10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            За 2021 год жалоб от </w:t>
      </w:r>
      <w:proofErr w:type="spellStart"/>
      <w:r>
        <w:rPr>
          <w:rFonts w:ascii="Arial" w:eastAsia="Arial" w:hAnsi="Arial" w:cs="Arial"/>
          <w:color w:val="151515"/>
          <w:sz w:val="24"/>
          <w:shd w:val="clear" w:color="auto" w:fill="FFFFFF"/>
        </w:rPr>
        <w:t>услугополучателя</w:t>
      </w:r>
      <w:proofErr w:type="spellEnd"/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 по вопросам оказания государственных услуг не поступало.</w:t>
      </w:r>
    </w:p>
    <w:p w:rsidR="00D066AB" w:rsidRDefault="00990561">
      <w:pPr>
        <w:spacing w:after="10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151515"/>
          <w:sz w:val="24"/>
          <w:shd w:val="clear" w:color="auto" w:fill="FFFFFF"/>
        </w:rPr>
        <w:t xml:space="preserve">Информация о жалобах </w:t>
      </w:r>
      <w:proofErr w:type="spellStart"/>
      <w:r>
        <w:rPr>
          <w:rFonts w:ascii="Arial" w:eastAsia="Arial" w:hAnsi="Arial" w:cs="Arial"/>
          <w:b/>
          <w:color w:val="151515"/>
          <w:sz w:val="24"/>
          <w:shd w:val="clear" w:color="auto" w:fill="FFFFFF"/>
        </w:rPr>
        <w:t>услугополучателей</w:t>
      </w:r>
      <w:proofErr w:type="spellEnd"/>
      <w:r>
        <w:rPr>
          <w:rFonts w:ascii="Arial" w:eastAsia="Arial" w:hAnsi="Arial" w:cs="Arial"/>
          <w:b/>
          <w:color w:val="151515"/>
          <w:sz w:val="24"/>
          <w:shd w:val="clear" w:color="auto" w:fill="FFFFFF"/>
        </w:rPr>
        <w:t xml:space="preserve"> по вопросам оказания государственных услуг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3"/>
        <w:gridCol w:w="882"/>
        <w:gridCol w:w="1766"/>
        <w:gridCol w:w="1576"/>
        <w:gridCol w:w="1576"/>
        <w:gridCol w:w="1082"/>
        <w:gridCol w:w="1326"/>
      </w:tblGrid>
      <w:tr w:rsidR="00D066AB">
        <w:trPr>
          <w:trHeight w:val="1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Сведения о заявителе жалобы</w:t>
            </w:r>
          </w:p>
        </w:tc>
        <w:tc>
          <w:tcPr>
            <w:tcW w:w="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Суть жалобы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Орган (организация), рассмотревший жалобу и (или) принявший решение</w:t>
            </w:r>
          </w:p>
        </w:tc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Дата рассмотрения</w:t>
            </w:r>
          </w:p>
        </w:tc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№ документа по итогам рассмотрения жалоб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Принятое решение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Сведения о пересмотре принятого решения</w:t>
            </w:r>
          </w:p>
        </w:tc>
      </w:tr>
      <w:tr w:rsidR="00D066AB">
        <w:trPr>
          <w:trHeight w:val="1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2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5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6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7</w:t>
            </w:r>
          </w:p>
        </w:tc>
      </w:tr>
      <w:tr w:rsidR="00D066AB">
        <w:trPr>
          <w:trHeight w:val="1"/>
        </w:trPr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нет</w:t>
            </w:r>
          </w:p>
        </w:tc>
        <w:tc>
          <w:tcPr>
            <w:tcW w:w="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-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-</w:t>
            </w:r>
          </w:p>
        </w:tc>
        <w:tc>
          <w:tcPr>
            <w:tcW w:w="1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-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D066AB" w:rsidRDefault="00990561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151515"/>
                <w:sz w:val="24"/>
              </w:rPr>
              <w:t>-</w:t>
            </w:r>
          </w:p>
        </w:tc>
      </w:tr>
    </w:tbl>
    <w:p w:rsidR="00D066AB" w:rsidRDefault="00990561">
      <w:pPr>
        <w:spacing w:after="10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Контактная информация </w:t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ab/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ab/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ab/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ab/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ab/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ab/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ab/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ab/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ab/>
        <w:t xml:space="preserve">              ГУ 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>«От</w:t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>дел строительства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 г</w:t>
      </w:r>
      <w:r w:rsidR="00FE290A">
        <w:rPr>
          <w:rFonts w:ascii="Arial" w:eastAsia="Arial" w:hAnsi="Arial" w:cs="Arial"/>
          <w:color w:val="151515"/>
          <w:sz w:val="24"/>
          <w:shd w:val="clear" w:color="auto" w:fill="FFFFFF"/>
        </w:rPr>
        <w:t xml:space="preserve">орода 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t>Кокш</w:t>
      </w:r>
      <w:r w:rsidR="00260043">
        <w:rPr>
          <w:rFonts w:ascii="Arial" w:eastAsia="Arial" w:hAnsi="Arial" w:cs="Arial"/>
          <w:color w:val="151515"/>
          <w:sz w:val="24"/>
          <w:shd w:val="clear" w:color="auto" w:fill="FFFFFF"/>
        </w:rPr>
        <w:t>етау»</w:t>
      </w:r>
      <w:r w:rsidR="00260043">
        <w:rPr>
          <w:rFonts w:ascii="Arial" w:eastAsia="Arial" w:hAnsi="Arial" w:cs="Arial"/>
          <w:color w:val="151515"/>
          <w:sz w:val="24"/>
          <w:shd w:val="clear" w:color="auto" w:fill="FFFFFF"/>
        </w:rPr>
        <w:br/>
        <w:t>Телефон: 8 (7162) 40-13-87</w:t>
      </w:r>
      <w:bookmarkStart w:id="0" w:name="_GoBack"/>
      <w:bookmarkEnd w:id="0"/>
      <w:r>
        <w:rPr>
          <w:rFonts w:ascii="Arial" w:eastAsia="Arial" w:hAnsi="Arial" w:cs="Arial"/>
          <w:color w:val="151515"/>
          <w:sz w:val="24"/>
          <w:shd w:val="clear" w:color="auto" w:fill="FFFFFF"/>
        </w:rPr>
        <w:br/>
        <w:t>Время работы государственного органа: с 9.00 до 18.30 часов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br/>
        <w:t>Перерыв на обед: с 13.00 до 14.30</w:t>
      </w:r>
      <w:r>
        <w:rPr>
          <w:rFonts w:ascii="Arial" w:eastAsia="Arial" w:hAnsi="Arial" w:cs="Arial"/>
          <w:color w:val="151515"/>
          <w:sz w:val="24"/>
          <w:shd w:val="clear" w:color="auto" w:fill="FFFFFF"/>
        </w:rPr>
        <w:br/>
        <w:t>Выходной день: суббота, воскресенье</w:t>
      </w:r>
    </w:p>
    <w:p w:rsidR="00FE290A" w:rsidRDefault="00FE290A">
      <w:pPr>
        <w:spacing w:after="100" w:line="240" w:lineRule="auto"/>
        <w:rPr>
          <w:rFonts w:ascii="Arial" w:eastAsia="Arial" w:hAnsi="Arial" w:cs="Arial"/>
          <w:b/>
          <w:color w:val="151515"/>
          <w:sz w:val="24"/>
          <w:shd w:val="clear" w:color="auto" w:fill="FFFFFF"/>
        </w:rPr>
      </w:pPr>
    </w:p>
    <w:p w:rsidR="00FE290A" w:rsidRDefault="00FE290A">
      <w:pPr>
        <w:spacing w:after="100" w:line="240" w:lineRule="auto"/>
        <w:rPr>
          <w:rFonts w:ascii="Arial" w:eastAsia="Arial" w:hAnsi="Arial" w:cs="Arial"/>
          <w:b/>
          <w:color w:val="151515"/>
          <w:sz w:val="24"/>
          <w:shd w:val="clear" w:color="auto" w:fill="FFFFFF"/>
        </w:rPr>
      </w:pPr>
    </w:p>
    <w:p w:rsidR="00D066AB" w:rsidRDefault="00FE290A">
      <w:pPr>
        <w:spacing w:after="100" w:line="240" w:lineRule="auto"/>
        <w:rPr>
          <w:rFonts w:ascii="Arial" w:eastAsia="Arial" w:hAnsi="Arial" w:cs="Arial"/>
          <w:color w:val="151515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151515"/>
          <w:sz w:val="24"/>
          <w:shd w:val="clear" w:color="auto" w:fill="FFFFFF"/>
        </w:rPr>
        <w:t>И. О. руководителя</w:t>
      </w:r>
      <w:r w:rsidR="00990561">
        <w:rPr>
          <w:rFonts w:ascii="Arial" w:eastAsia="Arial" w:hAnsi="Arial" w:cs="Arial"/>
          <w:b/>
          <w:color w:val="151515"/>
          <w:sz w:val="24"/>
          <w:shd w:val="clear" w:color="auto" w:fill="FFFFFF"/>
        </w:rPr>
        <w:t xml:space="preserve"> отдела                                                        </w:t>
      </w:r>
      <w:r>
        <w:rPr>
          <w:rFonts w:ascii="Arial" w:eastAsia="Arial" w:hAnsi="Arial" w:cs="Arial"/>
          <w:b/>
          <w:color w:val="151515"/>
          <w:sz w:val="24"/>
          <w:shd w:val="clear" w:color="auto" w:fill="FFFFFF"/>
        </w:rPr>
        <w:t xml:space="preserve">             А. </w:t>
      </w:r>
      <w:proofErr w:type="spellStart"/>
      <w:r>
        <w:rPr>
          <w:rFonts w:ascii="Arial" w:eastAsia="Arial" w:hAnsi="Arial" w:cs="Arial"/>
          <w:b/>
          <w:color w:val="151515"/>
          <w:sz w:val="24"/>
          <w:shd w:val="clear" w:color="auto" w:fill="FFFFFF"/>
        </w:rPr>
        <w:t>Жусупова</w:t>
      </w:r>
      <w:proofErr w:type="spellEnd"/>
    </w:p>
    <w:p w:rsidR="00D066AB" w:rsidRDefault="00D066AB">
      <w:pPr>
        <w:rPr>
          <w:rFonts w:ascii="Calibri" w:eastAsia="Calibri" w:hAnsi="Calibri" w:cs="Calibri"/>
        </w:rPr>
      </w:pPr>
    </w:p>
    <w:sectPr w:rsidR="00D0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EDE"/>
    <w:multiLevelType w:val="multilevel"/>
    <w:tmpl w:val="7A6E3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03B10"/>
    <w:multiLevelType w:val="hybridMultilevel"/>
    <w:tmpl w:val="59160878"/>
    <w:lvl w:ilvl="0" w:tplc="BFE2FA7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6AB"/>
    <w:rsid w:val="00260043"/>
    <w:rsid w:val="00334D50"/>
    <w:rsid w:val="007872BA"/>
    <w:rsid w:val="00990561"/>
    <w:rsid w:val="00D066AB"/>
    <w:rsid w:val="00D82EB9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56A5"/>
  <w15:docId w15:val="{07195CC9-3AC2-4CF5-8F9E-5687E09B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user456743</cp:lastModifiedBy>
  <cp:revision>5</cp:revision>
  <dcterms:created xsi:type="dcterms:W3CDTF">2022-02-10T13:52:00Z</dcterms:created>
  <dcterms:modified xsi:type="dcterms:W3CDTF">2022-02-16T06:15:00Z</dcterms:modified>
</cp:coreProperties>
</file>