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B0EDC" w14:textId="77777777" w:rsidR="00A3354D" w:rsidRPr="00595CFB" w:rsidRDefault="00A3354D" w:rsidP="006B7064">
      <w:pPr>
        <w:spacing w:after="0" w:line="288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bookmarkStart w:id="0" w:name="_Hlk75946922"/>
      <w:r w:rsidRPr="00595CFB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 xml:space="preserve">ҚР Үкіметінің кеңейтілген отырысына </w:t>
      </w:r>
    </w:p>
    <w:p w14:paraId="6E09DB1E" w14:textId="2AE6711E" w:rsidR="00901002" w:rsidRPr="00595CFB" w:rsidRDefault="00A3354D" w:rsidP="00595CFB">
      <w:pPr>
        <w:spacing w:after="0" w:line="288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595CFB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 xml:space="preserve">баяндама  </w:t>
      </w:r>
      <w:r w:rsidR="00901002" w:rsidRPr="00595CF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15 </w:t>
      </w:r>
      <w:r w:rsidRPr="00595CFB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ақпан сағат</w:t>
      </w:r>
      <w:r w:rsidRPr="00595CF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10.00</w:t>
      </w:r>
    </w:p>
    <w:bookmarkEnd w:id="0"/>
    <w:p w14:paraId="00B69429" w14:textId="5EB49952" w:rsidR="00494088" w:rsidRPr="006B7064" w:rsidRDefault="00494088" w:rsidP="006B7064">
      <w:pPr>
        <w:spacing w:after="0" w:line="288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6ACD88" w14:textId="77777777" w:rsidR="00FB31E3" w:rsidRPr="006B7064" w:rsidRDefault="00FB31E3" w:rsidP="006B7064">
      <w:pPr>
        <w:spacing w:after="0" w:line="288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F164CE" w14:textId="232E91BE" w:rsidR="00494088" w:rsidRPr="006B7064" w:rsidRDefault="00A3354D" w:rsidP="006B7064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Құрметті Әлихан Асханұлы</w:t>
      </w:r>
      <w:r w:rsidR="00494088" w:rsidRPr="006B7064">
        <w:rPr>
          <w:rFonts w:ascii="Times New Roman" w:hAnsi="Times New Roman" w:cs="Times New Roman"/>
          <w:b/>
          <w:sz w:val="28"/>
          <w:szCs w:val="28"/>
        </w:rPr>
        <w:t>!</w:t>
      </w:r>
    </w:p>
    <w:p w14:paraId="01B4DA7A" w14:textId="507D5364" w:rsidR="00494088" w:rsidRPr="006B7064" w:rsidRDefault="00A3354D" w:rsidP="006B7064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Құрметті әріптестер</w:t>
      </w:r>
      <w:r w:rsidR="00494088" w:rsidRPr="006B7064">
        <w:rPr>
          <w:rFonts w:ascii="Times New Roman" w:hAnsi="Times New Roman" w:cs="Times New Roman"/>
          <w:b/>
          <w:sz w:val="28"/>
          <w:szCs w:val="28"/>
        </w:rPr>
        <w:t>!</w:t>
      </w:r>
    </w:p>
    <w:p w14:paraId="44382A88" w14:textId="77777777" w:rsidR="00F90C6F" w:rsidRPr="006B7064" w:rsidRDefault="00F90C6F" w:rsidP="006B7064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33144" w14:textId="60779EBC" w:rsidR="009030BF" w:rsidRPr="00FA7D16" w:rsidRDefault="00595CFB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CFB">
        <w:rPr>
          <w:rFonts w:ascii="Times New Roman" w:hAnsi="Times New Roman" w:cs="Times New Roman"/>
          <w:sz w:val="28"/>
          <w:szCs w:val="28"/>
          <w:lang w:val="kk-KZ"/>
        </w:rPr>
        <w:t>Құрылыс нарығын монополиясыздандырудың қазіргі жағдайы мен негізгі тәсілдері туралы қысқаша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баяндауға рұқсат етіңіздер</w:t>
      </w:r>
      <w:r w:rsidR="00FA7D16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6F2D4840" w14:textId="5B5B6A84" w:rsidR="00595CFB" w:rsidRDefault="0002462D" w:rsidP="00DA40C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462D">
        <w:rPr>
          <w:rFonts w:ascii="Times New Roman" w:hAnsi="Times New Roman" w:cs="Times New Roman"/>
          <w:sz w:val="28"/>
          <w:szCs w:val="28"/>
          <w:lang w:val="kk-KZ"/>
        </w:rPr>
        <w:t>Агенттік</w:t>
      </w:r>
      <w:r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2021 жылы тұрғын үй нарығын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жүргізген талдау көрсеткендей, көптеген өңірлерде тұрғын үйді өткізу нарығы</w:t>
      </w:r>
      <w:r w:rsidR="00DD2E2C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2E2C">
        <w:rPr>
          <w:rFonts w:ascii="Times New Roman" w:hAnsi="Times New Roman" w:cs="Times New Roman"/>
          <w:sz w:val="28"/>
          <w:szCs w:val="28"/>
          <w:lang w:val="kk-KZ"/>
        </w:rPr>
        <w:t xml:space="preserve">шоғырлануы </w:t>
      </w:r>
      <w:r w:rsidR="00DD2E2C" w:rsidRPr="0002462D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 w:rsidR="00595C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>Алматы, Солтүстік Қазақстан, Жамбыл, Қызылорда, Маңғыстау облыстарында</w:t>
      </w:r>
      <w:r w:rsidR="00595C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95C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19CE">
        <w:rPr>
          <w:rFonts w:ascii="Times New Roman" w:hAnsi="Times New Roman" w:cs="Times New Roman"/>
          <w:sz w:val="28"/>
          <w:szCs w:val="28"/>
          <w:lang w:val="kk-KZ"/>
        </w:rPr>
        <w:t xml:space="preserve">шоғырлануы </w:t>
      </w:r>
      <w:r w:rsidR="00595CFB">
        <w:rPr>
          <w:rFonts w:ascii="Times New Roman" w:hAnsi="Times New Roman" w:cs="Times New Roman"/>
          <w:sz w:val="28"/>
          <w:szCs w:val="28"/>
          <w:lang w:val="kk-KZ"/>
        </w:rPr>
        <w:t>орташа.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Алматы қаласында – I және II с</w:t>
      </w:r>
      <w:r>
        <w:rPr>
          <w:rFonts w:ascii="Times New Roman" w:hAnsi="Times New Roman" w:cs="Times New Roman"/>
          <w:sz w:val="28"/>
          <w:szCs w:val="28"/>
          <w:lang w:val="kk-KZ"/>
        </w:rPr>
        <w:t>анат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>ты тұрғын үйді өткізу нарығы</w:t>
      </w:r>
      <w:r w:rsidR="00B419CE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19CE" w:rsidRPr="00B419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19CE">
        <w:rPr>
          <w:rFonts w:ascii="Times New Roman" w:hAnsi="Times New Roman" w:cs="Times New Roman"/>
          <w:sz w:val="28"/>
          <w:szCs w:val="28"/>
          <w:lang w:val="kk-KZ"/>
        </w:rPr>
        <w:t>шоғырлануы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жоғары</w:t>
      </w:r>
      <w:r w:rsidR="00595CFB">
        <w:rPr>
          <w:rFonts w:ascii="Times New Roman" w:hAnsi="Times New Roman" w:cs="Times New Roman"/>
          <w:sz w:val="28"/>
          <w:szCs w:val="28"/>
          <w:lang w:val="kk-KZ"/>
        </w:rPr>
        <w:t xml:space="preserve">, ал, 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>III және IV с</w:t>
      </w:r>
      <w:r>
        <w:rPr>
          <w:rFonts w:ascii="Times New Roman" w:hAnsi="Times New Roman" w:cs="Times New Roman"/>
          <w:sz w:val="28"/>
          <w:szCs w:val="28"/>
          <w:lang w:val="kk-KZ"/>
        </w:rPr>
        <w:t>анат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>ты - орташа</w:t>
      </w:r>
      <w:r w:rsidR="00595CFB">
        <w:rPr>
          <w:rFonts w:ascii="Times New Roman" w:hAnsi="Times New Roman" w:cs="Times New Roman"/>
          <w:sz w:val="28"/>
          <w:szCs w:val="28"/>
          <w:lang w:val="kk-KZ"/>
        </w:rPr>
        <w:t>. Нұр-С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>ұлтан қаласында үлестік құрылыс нарығы</w:t>
      </w:r>
      <w:r w:rsidR="00B419CE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19CE" w:rsidRPr="00B419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19CE">
        <w:rPr>
          <w:rFonts w:ascii="Times New Roman" w:hAnsi="Times New Roman" w:cs="Times New Roman"/>
          <w:sz w:val="28"/>
          <w:szCs w:val="28"/>
          <w:lang w:val="kk-KZ"/>
        </w:rPr>
        <w:t>шоғырлануы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жоғары, онда BI Group холдингінің бір ғана құрылыс салушысының үлесі 60% - дан</w:t>
      </w:r>
      <w:r w:rsidR="00DA40CF">
        <w:rPr>
          <w:rFonts w:ascii="Times New Roman" w:hAnsi="Times New Roman" w:cs="Times New Roman"/>
          <w:sz w:val="28"/>
          <w:szCs w:val="28"/>
          <w:lang w:val="kk-KZ"/>
        </w:rPr>
        <w:t xml:space="preserve"> асады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2EF1B61" w14:textId="0C3F5E94" w:rsidR="0002462D" w:rsidRDefault="0002462D" w:rsidP="0002462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Бұл ретте, </w:t>
      </w:r>
      <w:r w:rsidR="00DA40CF"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жыл сайын 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>тұрғын үй құрылысы көлемінің ұлғаюы</w:t>
      </w:r>
      <w:r w:rsidR="00DA40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40CF" w:rsidRPr="0002462D">
        <w:rPr>
          <w:rFonts w:ascii="Times New Roman" w:hAnsi="Times New Roman" w:cs="Times New Roman"/>
          <w:b/>
          <w:sz w:val="28"/>
          <w:szCs w:val="28"/>
          <w:lang w:val="kk-KZ"/>
        </w:rPr>
        <w:t>10% - дан</w:t>
      </w:r>
      <w:r w:rsidR="00DA40CF"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астам</w:t>
      </w:r>
      <w:r w:rsidR="00DA40CF">
        <w:rPr>
          <w:rFonts w:ascii="Times New Roman" w:hAnsi="Times New Roman" w:cs="Times New Roman"/>
          <w:sz w:val="28"/>
          <w:szCs w:val="28"/>
          <w:lang w:val="kk-KZ"/>
        </w:rPr>
        <w:t xml:space="preserve"> болып отыр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A40CF" w:rsidRPr="00DA40CF">
        <w:rPr>
          <w:rFonts w:ascii="Times New Roman" w:hAnsi="Times New Roman" w:cs="Times New Roman"/>
          <w:sz w:val="28"/>
          <w:szCs w:val="28"/>
          <w:lang w:val="kk-KZ"/>
        </w:rPr>
        <w:t>Алайда, нарықты дамытудың орнына, оның ойыншыларының саны артып, жетекші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құрылыс салушылардың үстемдік етуі күшеюде.</w:t>
      </w:r>
    </w:p>
    <w:p w14:paraId="578DEC8C" w14:textId="2BB54EFB" w:rsidR="008F1E1D" w:rsidRDefault="00FA7D16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Нәтижесінде, соңғ</w:t>
      </w:r>
      <w:r w:rsidR="0002462D">
        <w:rPr>
          <w:rFonts w:ascii="Times New Roman" w:hAnsi="Times New Roman" w:cs="Times New Roman"/>
          <w:sz w:val="28"/>
          <w:szCs w:val="28"/>
          <w:lang w:val="kk-KZ"/>
        </w:rPr>
        <w:t>ы бес жылда бастапқы тұрғын үй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бағалары</w:t>
      </w:r>
      <w:r w:rsidR="0002462D">
        <w:rPr>
          <w:rFonts w:ascii="Times New Roman" w:hAnsi="Times New Roman" w:cs="Times New Roman"/>
          <w:sz w:val="28"/>
          <w:szCs w:val="28"/>
          <w:lang w:val="kk-KZ"/>
        </w:rPr>
        <w:t>ны</w:t>
      </w:r>
      <w:r>
        <w:rPr>
          <w:rFonts w:ascii="Times New Roman" w:hAnsi="Times New Roman" w:cs="Times New Roman"/>
          <w:sz w:val="28"/>
          <w:szCs w:val="28"/>
          <w:lang w:val="kk-KZ"/>
        </w:rPr>
        <w:t>ң жылдық индексі</w:t>
      </w:r>
      <w:r w:rsidR="0002462D">
        <w:rPr>
          <w:rFonts w:ascii="Times New Roman" w:hAnsi="Times New Roman" w:cs="Times New Roman"/>
          <w:sz w:val="28"/>
          <w:szCs w:val="28"/>
          <w:lang w:val="kk-KZ"/>
        </w:rPr>
        <w:t>нің өсуі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1E1D" w:rsidRPr="00FA7D16">
        <w:rPr>
          <w:rFonts w:ascii="Times New Roman" w:hAnsi="Times New Roman" w:cs="Times New Roman"/>
          <w:b/>
          <w:sz w:val="28"/>
          <w:szCs w:val="28"/>
          <w:lang w:val="kk-KZ"/>
        </w:rPr>
        <w:t>1,3</w:t>
      </w:r>
      <w:r w:rsidRPr="00FA7D16">
        <w:rPr>
          <w:rFonts w:ascii="Times New Roman" w:hAnsi="Times New Roman" w:cs="Times New Roman"/>
          <w:sz w:val="28"/>
          <w:szCs w:val="28"/>
          <w:lang w:val="kk-KZ"/>
        </w:rPr>
        <w:t>-тен</w:t>
      </w:r>
      <w:r w:rsidR="000637F5" w:rsidRPr="00FA7D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37F5" w:rsidRPr="00FA7D16">
        <w:rPr>
          <w:rFonts w:ascii="Times New Roman" w:hAnsi="Times New Roman" w:cs="Times New Roman"/>
          <w:b/>
          <w:sz w:val="28"/>
          <w:szCs w:val="28"/>
          <w:lang w:val="kk-KZ"/>
        </w:rPr>
        <w:t>16,6</w:t>
      </w:r>
      <w:r w:rsidR="008F1E1D" w:rsidRPr="00FA7D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637F5" w:rsidRPr="00FA7D16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60689A">
        <w:rPr>
          <w:rFonts w:ascii="Times New Roman" w:hAnsi="Times New Roman" w:cs="Times New Roman"/>
          <w:sz w:val="28"/>
          <w:szCs w:val="28"/>
          <w:lang w:val="kk-KZ"/>
        </w:rPr>
        <w:t>-ды құрады</w:t>
      </w:r>
      <w:r w:rsidR="008F1E1D" w:rsidRPr="00FA7D1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62271" w:rsidRPr="00FA7D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Бастапқы тұрғын үй бағасының өсу серпінінің</w:t>
      </w:r>
      <w:r w:rsidR="008F1E1D" w:rsidRPr="00FA7D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12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еседен </w:t>
      </w:r>
      <w:r w:rsidRPr="00FA7D16">
        <w:rPr>
          <w:rFonts w:ascii="Times New Roman" w:hAnsi="Times New Roman" w:cs="Times New Roman"/>
          <w:sz w:val="28"/>
          <w:szCs w:val="28"/>
          <w:lang w:val="kk-KZ"/>
        </w:rPr>
        <w:t>астам ұлғаюы</w:t>
      </w:r>
      <w:r w:rsidR="0002462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A7D16">
        <w:rPr>
          <w:rFonts w:ascii="Times New Roman" w:hAnsi="Times New Roman" w:cs="Times New Roman"/>
          <w:sz w:val="28"/>
          <w:szCs w:val="28"/>
          <w:lang w:val="kk-KZ"/>
        </w:rPr>
        <w:t xml:space="preserve"> құрылыс нарығының монополиялануының негізгі нәтижесі болып табылады.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F02AA9C" w14:textId="0F24A529" w:rsidR="00577FBB" w:rsidRDefault="0002462D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462D"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>езінде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үлескерлердің қаражатын тартуға үш тәсілдің бірімен рұқсат етіледі</w:t>
      </w:r>
      <w:r>
        <w:rPr>
          <w:rFonts w:ascii="Times New Roman" w:hAnsi="Times New Roman" w:cs="Times New Roman"/>
          <w:sz w:val="28"/>
          <w:szCs w:val="28"/>
          <w:lang w:val="kk-KZ"/>
        </w:rPr>
        <w:t>: 1) Қ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F4C27">
        <w:rPr>
          <w:rFonts w:ascii="Times New Roman" w:hAnsi="Times New Roman" w:cs="Times New Roman"/>
          <w:sz w:val="28"/>
          <w:szCs w:val="28"/>
          <w:lang w:val="kk-KZ"/>
        </w:rPr>
        <w:t>зақстандық тұрғын үй компаниясы</w:t>
      </w:r>
      <w:r w:rsidR="00DF4C27" w:rsidRPr="00DF4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4C27">
        <w:rPr>
          <w:rFonts w:ascii="Times New Roman" w:hAnsi="Times New Roman" w:cs="Times New Roman"/>
          <w:sz w:val="28"/>
          <w:szCs w:val="28"/>
          <w:lang w:val="kk-KZ"/>
        </w:rPr>
        <w:t>бірыңғай оператор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кепілдігінің болуы; 2) Екінші деңгейдегі банктің жобаға қатысу тәсілі к</w:t>
      </w:r>
      <w:r w:rsidR="00DF4C27">
        <w:rPr>
          <w:rFonts w:ascii="Times New Roman" w:hAnsi="Times New Roman" w:cs="Times New Roman"/>
          <w:sz w:val="28"/>
          <w:szCs w:val="28"/>
          <w:lang w:val="kk-KZ"/>
        </w:rPr>
        <w:t>езінде әкімдік рұқсаты; 3) Каркас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тұрғызылғаннан кейін әкімдік рұқсаты.</w:t>
      </w:r>
      <w:r w:rsidR="004B6154"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95AC3D4" w14:textId="2E8F10CD" w:rsidR="0002462D" w:rsidRDefault="0002462D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462D">
        <w:rPr>
          <w:rFonts w:ascii="Times New Roman" w:hAnsi="Times New Roman" w:cs="Times New Roman"/>
          <w:sz w:val="28"/>
          <w:szCs w:val="28"/>
          <w:lang w:val="kk-KZ"/>
        </w:rPr>
        <w:t>Құрылысты бірінші тәсілмен ұйымдастыру кезінде (үлестік көл</w:t>
      </w:r>
      <w:r>
        <w:rPr>
          <w:rFonts w:ascii="Times New Roman" w:hAnsi="Times New Roman" w:cs="Times New Roman"/>
          <w:sz w:val="28"/>
          <w:szCs w:val="28"/>
          <w:lang w:val="kk-KZ"/>
        </w:rPr>
        <w:t>емнің 2%) бір құрылыс салушыға Б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 xml:space="preserve">ірыңғай оператордың кепілдік лимиті </w:t>
      </w:r>
      <w:r w:rsidRPr="0002462D">
        <w:rPr>
          <w:rFonts w:ascii="Times New Roman" w:hAnsi="Times New Roman" w:cs="Times New Roman"/>
          <w:b/>
          <w:sz w:val="28"/>
          <w:szCs w:val="28"/>
          <w:lang w:val="kk-KZ"/>
        </w:rPr>
        <w:t>50 млрд</w:t>
      </w:r>
      <w:r w:rsidRPr="0002462D">
        <w:rPr>
          <w:rFonts w:ascii="Times New Roman" w:hAnsi="Times New Roman" w:cs="Times New Roman"/>
          <w:sz w:val="28"/>
          <w:szCs w:val="28"/>
          <w:lang w:val="kk-KZ"/>
        </w:rPr>
        <w:t>.теңгеден аспайды. Ал ірі құрылыс салушылардың бірінің құрылыс көлемі шамамен 250 млрд.теңгені құрайды, бұл көзделген лимиттен 5 есе артық.</w:t>
      </w:r>
    </w:p>
    <w:p w14:paraId="15701CEF" w14:textId="656DCA10" w:rsidR="004806FF" w:rsidRDefault="004806FF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06FF">
        <w:rPr>
          <w:rFonts w:ascii="Times New Roman" w:hAnsi="Times New Roman" w:cs="Times New Roman"/>
          <w:sz w:val="28"/>
          <w:szCs w:val="28"/>
          <w:lang w:val="kk-KZ"/>
        </w:rPr>
        <w:t>Екінші деңгейдегі банктермен несиелендіру бойынша екінші тәсіл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4C27">
        <w:rPr>
          <w:rFonts w:ascii="Times New Roman" w:hAnsi="Times New Roman" w:cs="Times New Roman"/>
          <w:sz w:val="28"/>
          <w:szCs w:val="28"/>
          <w:lang w:val="kk-KZ"/>
        </w:rPr>
        <w:t xml:space="preserve">каркас 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>тұрғызылғаннан кейін ғана жұмыс істейді, бұл құрылыс салушылардың өз қаражаты есебінен құрылыстың 30% - ын құрайды.</w:t>
      </w:r>
    </w:p>
    <w:p w14:paraId="65FDFF6A" w14:textId="671676F8" w:rsidR="004806FF" w:rsidRDefault="004806FF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06FF">
        <w:rPr>
          <w:rFonts w:ascii="Times New Roman" w:hAnsi="Times New Roman" w:cs="Times New Roman"/>
          <w:sz w:val="28"/>
          <w:szCs w:val="28"/>
          <w:lang w:val="kk-KZ"/>
        </w:rPr>
        <w:lastRenderedPageBreak/>
        <w:t>Осылайша, Агенттіктің талдау деректері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2021 жылы жеке құрылыс ұйымдары салған </w:t>
      </w:r>
      <w:r w:rsidRPr="004806FF">
        <w:rPr>
          <w:rFonts w:ascii="Times New Roman" w:hAnsi="Times New Roman" w:cs="Times New Roman"/>
          <w:b/>
          <w:sz w:val="28"/>
          <w:szCs w:val="28"/>
          <w:lang w:val="kk-KZ"/>
        </w:rPr>
        <w:t>7,5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млн.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шаршы метр тұрғын үйдің </w:t>
      </w:r>
      <w:r w:rsidRPr="004806FF">
        <w:rPr>
          <w:rFonts w:ascii="Times New Roman" w:hAnsi="Times New Roman" w:cs="Times New Roman"/>
          <w:b/>
          <w:sz w:val="28"/>
          <w:szCs w:val="28"/>
          <w:lang w:val="kk-KZ"/>
        </w:rPr>
        <w:t>27%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- ы өз қаражаты есебінен және 26% - ы заңнамада көзделген рұқсаттарды алғаннан кейін салынған.</w:t>
      </w:r>
    </w:p>
    <w:p w14:paraId="0AD94898" w14:textId="1C679DEF" w:rsidR="004806FF" w:rsidRDefault="004806FF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Тұрғын үйдің қалған </w:t>
      </w:r>
      <w:r w:rsidRPr="004806FF">
        <w:rPr>
          <w:rFonts w:ascii="Times New Roman" w:hAnsi="Times New Roman" w:cs="Times New Roman"/>
          <w:b/>
          <w:sz w:val="28"/>
          <w:szCs w:val="28"/>
          <w:lang w:val="kk-KZ"/>
        </w:rPr>
        <w:t>47%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- ы бронд</w:t>
      </w:r>
      <w:r>
        <w:rPr>
          <w:rFonts w:ascii="Times New Roman" w:hAnsi="Times New Roman" w:cs="Times New Roman"/>
          <w:sz w:val="28"/>
          <w:szCs w:val="28"/>
          <w:lang w:val="kk-KZ"/>
        </w:rPr>
        <w:t>ау, резервтеу және т.б. шарттар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бойынша салынған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сылайша </w:t>
      </w:r>
      <w:r w:rsidRPr="004806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үлескерлер қаржыландырған әрбір екінші пәтер </w:t>
      </w:r>
      <w:r w:rsidR="00DF4C27">
        <w:rPr>
          <w:rFonts w:ascii="Times New Roman" w:hAnsi="Times New Roman" w:cs="Times New Roman"/>
          <w:b/>
          <w:sz w:val="28"/>
          <w:szCs w:val="28"/>
          <w:lang w:val="kk-KZ"/>
        </w:rPr>
        <w:t>жасырын</w:t>
      </w:r>
      <w:r w:rsidRPr="004806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схемалар бойынша сатылады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E5C7A96" w14:textId="5CD64D1A" w:rsidR="004806FF" w:rsidRDefault="004806FF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06FF">
        <w:rPr>
          <w:rFonts w:ascii="Times New Roman" w:hAnsi="Times New Roman" w:cs="Times New Roman"/>
          <w:sz w:val="28"/>
          <w:szCs w:val="28"/>
          <w:lang w:val="kk-KZ"/>
        </w:rPr>
        <w:t>Бұл ретте, тексеру парақтарының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үлескерлердің қ</w:t>
      </w:r>
      <w:r w:rsidR="00EB7CF6">
        <w:rPr>
          <w:rFonts w:ascii="Times New Roman" w:hAnsi="Times New Roman" w:cs="Times New Roman"/>
          <w:sz w:val="28"/>
          <w:szCs w:val="28"/>
          <w:lang w:val="kk-KZ"/>
        </w:rPr>
        <w:t>аражатын әкімдіктердің рұқсатс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>ынсыз жаппай тарту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06FF">
        <w:rPr>
          <w:rFonts w:ascii="Times New Roman" w:hAnsi="Times New Roman" w:cs="Times New Roman"/>
          <w:b/>
          <w:sz w:val="28"/>
          <w:szCs w:val="28"/>
          <w:lang w:val="kk-KZ"/>
        </w:rPr>
        <w:t>жергілікті атқарушы органдар тарапынан тиісті бақылаусыз қалып отыр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B20959A" w14:textId="68F7C9E1" w:rsidR="004806FF" w:rsidRDefault="004806FF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19CE">
        <w:rPr>
          <w:rFonts w:ascii="Times New Roman" w:hAnsi="Times New Roman" w:cs="Times New Roman"/>
          <w:sz w:val="28"/>
          <w:szCs w:val="28"/>
          <w:lang w:val="kk-KZ"/>
        </w:rPr>
        <w:t xml:space="preserve">Президенттің тұрғын үй жағдайларын жақсартуға арналған зейнетақы төлемдерін пайдалану бағдарламасы, </w:t>
      </w:r>
      <w:r w:rsidR="00EB7CF6" w:rsidRPr="00B419CE">
        <w:rPr>
          <w:rFonts w:ascii="Times New Roman" w:hAnsi="Times New Roman" w:cs="Times New Roman"/>
          <w:sz w:val="28"/>
          <w:szCs w:val="28"/>
          <w:lang w:val="kk-KZ"/>
        </w:rPr>
        <w:t xml:space="preserve">үлестік тұрғын үй құрылысының </w:t>
      </w:r>
      <w:r w:rsidR="00DD2E2C" w:rsidRPr="00B419CE">
        <w:rPr>
          <w:rFonts w:ascii="Times New Roman" w:hAnsi="Times New Roman" w:cs="Times New Roman"/>
          <w:sz w:val="28"/>
          <w:szCs w:val="28"/>
          <w:lang w:val="kk-KZ"/>
        </w:rPr>
        <w:t xml:space="preserve">үлкен көлеңкелі айналымы бар </w:t>
      </w:r>
      <w:r w:rsidR="00EB7CF6" w:rsidRPr="00B419CE">
        <w:rPr>
          <w:rFonts w:ascii="Times New Roman" w:hAnsi="Times New Roman" w:cs="Times New Roman"/>
          <w:sz w:val="28"/>
          <w:szCs w:val="28"/>
          <w:lang w:val="kk-KZ"/>
        </w:rPr>
        <w:t xml:space="preserve">монополияланған нарығы </w:t>
      </w:r>
      <w:r w:rsidRPr="00B419CE">
        <w:rPr>
          <w:rFonts w:ascii="Times New Roman" w:hAnsi="Times New Roman" w:cs="Times New Roman"/>
          <w:sz w:val="28"/>
          <w:szCs w:val="28"/>
          <w:lang w:val="kk-KZ"/>
        </w:rPr>
        <w:t>дайын емес екенін көрсетті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. Сонымен, </w:t>
      </w:r>
      <w:r w:rsidRPr="00B61CE8">
        <w:rPr>
          <w:rFonts w:ascii="Times New Roman" w:hAnsi="Times New Roman" w:cs="Times New Roman"/>
          <w:b/>
          <w:sz w:val="28"/>
          <w:szCs w:val="28"/>
          <w:lang w:val="kk-KZ"/>
        </w:rPr>
        <w:t>2,5 трлн.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зейнетақы қаражатының </w:t>
      </w:r>
      <w:r w:rsidRPr="00B61CE8">
        <w:rPr>
          <w:rFonts w:ascii="Times New Roman" w:hAnsi="Times New Roman" w:cs="Times New Roman"/>
          <w:b/>
          <w:sz w:val="28"/>
          <w:szCs w:val="28"/>
          <w:lang w:val="kk-KZ"/>
        </w:rPr>
        <w:t>68%-ы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азаматтық-құқ</w:t>
      </w:r>
      <w:r w:rsidR="00B61CE8">
        <w:rPr>
          <w:rFonts w:ascii="Times New Roman" w:hAnsi="Times New Roman" w:cs="Times New Roman"/>
          <w:sz w:val="28"/>
          <w:szCs w:val="28"/>
          <w:lang w:val="kk-KZ"/>
        </w:rPr>
        <w:t>ықтық мәмілелер бойынша меншікті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тұрғын үй сатып алуға, ал </w:t>
      </w:r>
      <w:r w:rsidRPr="00B61CE8">
        <w:rPr>
          <w:rFonts w:ascii="Times New Roman" w:hAnsi="Times New Roman" w:cs="Times New Roman"/>
          <w:b/>
          <w:sz w:val="28"/>
          <w:szCs w:val="28"/>
          <w:lang w:val="kk-KZ"/>
        </w:rPr>
        <w:t>4% - дан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25D">
        <w:rPr>
          <w:rFonts w:ascii="Times New Roman" w:hAnsi="Times New Roman" w:cs="Times New Roman"/>
          <w:sz w:val="28"/>
          <w:szCs w:val="28"/>
          <w:lang w:val="kk-KZ"/>
        </w:rPr>
        <w:t>төмені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 xml:space="preserve"> үлестік құрылыс </w:t>
      </w:r>
      <w:r w:rsidR="0094325D">
        <w:rPr>
          <w:rFonts w:ascii="Times New Roman" w:hAnsi="Times New Roman" w:cs="Times New Roman"/>
          <w:sz w:val="28"/>
          <w:szCs w:val="28"/>
          <w:lang w:val="kk-KZ"/>
        </w:rPr>
        <w:t>келісім</w:t>
      </w:r>
      <w:r w:rsidRPr="004806FF">
        <w:rPr>
          <w:rFonts w:ascii="Times New Roman" w:hAnsi="Times New Roman" w:cs="Times New Roman"/>
          <w:sz w:val="28"/>
          <w:szCs w:val="28"/>
          <w:lang w:val="kk-KZ"/>
        </w:rPr>
        <w:t>шарты бойынша тұрғын үй сатып алуға бағытталған.</w:t>
      </w:r>
    </w:p>
    <w:p w14:paraId="5706CE15" w14:textId="112149D5" w:rsidR="00EB7CF6" w:rsidRPr="0002462D" w:rsidRDefault="00B419CE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19CE">
        <w:rPr>
          <w:rFonts w:ascii="Times New Roman" w:hAnsi="Times New Roman" w:cs="Times New Roman"/>
          <w:sz w:val="28"/>
          <w:szCs w:val="28"/>
          <w:lang w:val="kk-KZ"/>
        </w:rPr>
        <w:t xml:space="preserve">үлестік тұрғын үй құрылысының үлкен көлеңкелі айналымы бар монополияланған нарығы </w:t>
      </w:r>
      <w:r w:rsidR="00EB7CF6" w:rsidRPr="00B419CE">
        <w:rPr>
          <w:rFonts w:ascii="Times New Roman" w:hAnsi="Times New Roman" w:cs="Times New Roman"/>
          <w:sz w:val="28"/>
          <w:szCs w:val="28"/>
          <w:lang w:val="kk-KZ"/>
        </w:rPr>
        <w:t>бұған дайын болмады.</w:t>
      </w:r>
    </w:p>
    <w:p w14:paraId="66C2A899" w14:textId="0DC495F5" w:rsidR="00B61CE8" w:rsidRDefault="0094325D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 жүзінде</w:t>
      </w:r>
      <w:r w:rsidR="00B61CE8" w:rsidRPr="00B61CE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танымал</w:t>
      </w:r>
      <w:r w:rsidR="00B61CE8" w:rsidRPr="00B61CE8">
        <w:rPr>
          <w:rFonts w:ascii="Times New Roman" w:hAnsi="Times New Roman" w:cs="Times New Roman"/>
          <w:sz w:val="28"/>
          <w:szCs w:val="28"/>
          <w:lang w:val="kk-KZ"/>
        </w:rPr>
        <w:t xml:space="preserve"> құрылыс салушылар</w:t>
      </w:r>
      <w:r w:rsidR="00B61CE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61CE8" w:rsidRPr="00B61CE8">
        <w:rPr>
          <w:rFonts w:ascii="Times New Roman" w:hAnsi="Times New Roman" w:cs="Times New Roman"/>
          <w:sz w:val="28"/>
          <w:szCs w:val="28"/>
          <w:lang w:val="kk-KZ"/>
        </w:rPr>
        <w:t xml:space="preserve"> компанияның брендін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алып, құрылысты </w:t>
      </w:r>
      <w:r w:rsidR="00B61CE8" w:rsidRPr="00B61CE8">
        <w:rPr>
          <w:rFonts w:ascii="Times New Roman" w:hAnsi="Times New Roman" w:cs="Times New Roman"/>
          <w:sz w:val="28"/>
          <w:szCs w:val="28"/>
          <w:lang w:val="kk-KZ"/>
        </w:rPr>
        <w:t>жүзеге асырмай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61CE8" w:rsidRPr="00B61CE8">
        <w:rPr>
          <w:rFonts w:ascii="Times New Roman" w:hAnsi="Times New Roman" w:cs="Times New Roman"/>
          <w:sz w:val="28"/>
          <w:szCs w:val="28"/>
          <w:lang w:val="kk-KZ"/>
        </w:rPr>
        <w:t xml:space="preserve"> объектілерді жарнамалау үшін пайдаланады.</w:t>
      </w:r>
    </w:p>
    <w:p w14:paraId="395EF6A7" w14:textId="614F84AB" w:rsidR="00B61CE8" w:rsidRDefault="00B61CE8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1CE8">
        <w:rPr>
          <w:rFonts w:ascii="Times New Roman" w:hAnsi="Times New Roman" w:cs="Times New Roman"/>
          <w:sz w:val="28"/>
          <w:szCs w:val="28"/>
          <w:lang w:val="kk-KZ"/>
        </w:rPr>
        <w:t xml:space="preserve">Тұрғын үйді салу және сату процесін құрылыс салушының уәкілетті компаниялары болып табылмайтын үшінші тұлғалар жүзеге асырады, бұл объектінің құрылысы үшін жауапкершіліктен, сондай-ақ монополияға қарсы және салықтық бақылаудан кетуге </w:t>
      </w:r>
      <w:r w:rsidR="0094325D">
        <w:rPr>
          <w:rFonts w:ascii="Times New Roman" w:hAnsi="Times New Roman" w:cs="Times New Roman"/>
          <w:sz w:val="28"/>
          <w:szCs w:val="28"/>
          <w:lang w:val="kk-KZ"/>
        </w:rPr>
        <w:t>жол ашады</w:t>
      </w:r>
      <w:r w:rsidRPr="00B61CE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94C9568" w14:textId="6DB8F441" w:rsidR="00B61CE8" w:rsidRDefault="00B61CE8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1CE8"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құрылыс салушылармен заңды байланысы жоқ ұйымдар </w:t>
      </w:r>
      <w:r w:rsidR="0094325D">
        <w:rPr>
          <w:rFonts w:ascii="Times New Roman" w:hAnsi="Times New Roman" w:cs="Times New Roman"/>
          <w:sz w:val="28"/>
          <w:szCs w:val="28"/>
          <w:lang w:val="kk-KZ"/>
        </w:rPr>
        <w:t>сатқан</w:t>
      </w:r>
      <w:r w:rsidRPr="00B61CE8">
        <w:rPr>
          <w:rFonts w:ascii="Times New Roman" w:hAnsi="Times New Roman" w:cs="Times New Roman"/>
          <w:sz w:val="28"/>
          <w:szCs w:val="28"/>
          <w:lang w:val="kk-KZ"/>
        </w:rPr>
        <w:t xml:space="preserve"> пәтерлерді сатып алушылар</w:t>
      </w:r>
      <w:r w:rsidR="009E630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61CE8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кепілдік</w:t>
      </w:r>
      <w:r w:rsidR="009E630E">
        <w:rPr>
          <w:rFonts w:ascii="Times New Roman" w:hAnsi="Times New Roman" w:cs="Times New Roman"/>
          <w:sz w:val="28"/>
          <w:szCs w:val="28"/>
          <w:lang w:val="kk-KZ"/>
        </w:rPr>
        <w:t>сіз қалуда</w:t>
      </w:r>
      <w:r w:rsidRPr="00B61CE8">
        <w:rPr>
          <w:rFonts w:ascii="Times New Roman" w:hAnsi="Times New Roman" w:cs="Times New Roman"/>
          <w:sz w:val="28"/>
          <w:szCs w:val="28"/>
          <w:lang w:val="kk-KZ"/>
        </w:rPr>
        <w:t xml:space="preserve">. Бұл тұрғын үй сапасына және </w:t>
      </w:r>
      <w:r w:rsidR="009E630E">
        <w:rPr>
          <w:rFonts w:ascii="Times New Roman" w:hAnsi="Times New Roman" w:cs="Times New Roman"/>
          <w:sz w:val="28"/>
          <w:szCs w:val="28"/>
          <w:lang w:val="kk-KZ"/>
        </w:rPr>
        <w:t>объектілерді</w:t>
      </w:r>
      <w:r w:rsidRPr="00B61CE8">
        <w:rPr>
          <w:rFonts w:ascii="Times New Roman" w:hAnsi="Times New Roman" w:cs="Times New Roman"/>
          <w:sz w:val="28"/>
          <w:szCs w:val="28"/>
          <w:lang w:val="kk-KZ"/>
        </w:rPr>
        <w:t xml:space="preserve"> тапсыру мерзіміне қатысты жаппай шағымдардың </w:t>
      </w:r>
      <w:r w:rsidR="00193273">
        <w:rPr>
          <w:rFonts w:ascii="Times New Roman" w:hAnsi="Times New Roman" w:cs="Times New Roman"/>
          <w:sz w:val="28"/>
          <w:szCs w:val="28"/>
          <w:lang w:val="kk-KZ"/>
        </w:rPr>
        <w:t>көбеюіне себеп болып отыр</w:t>
      </w:r>
      <w:r w:rsidRPr="00B61CE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B0EBBA0" w14:textId="66D928C3" w:rsidR="009E630E" w:rsidRDefault="00193273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Келісімш</w:t>
      </w:r>
      <w:r w:rsidR="00700083">
        <w:rPr>
          <w:rFonts w:ascii="Times New Roman" w:hAnsi="Times New Roman" w:cs="Times New Roman"/>
          <w:sz w:val="28"/>
          <w:szCs w:val="28"/>
          <w:lang w:val="kk-KZ"/>
        </w:rPr>
        <w:t>артт</w:t>
      </w:r>
      <w:r w:rsidR="009E630E" w:rsidRPr="009E630E">
        <w:rPr>
          <w:rFonts w:ascii="Times New Roman" w:hAnsi="Times New Roman" w:cs="Times New Roman"/>
          <w:sz w:val="28"/>
          <w:szCs w:val="28"/>
          <w:lang w:val="kk-KZ"/>
        </w:rPr>
        <w:t xml:space="preserve">ың негізсіз </w:t>
      </w:r>
      <w:r w:rsidR="00700083">
        <w:rPr>
          <w:rFonts w:ascii="Times New Roman" w:hAnsi="Times New Roman" w:cs="Times New Roman"/>
          <w:sz w:val="28"/>
          <w:szCs w:val="28"/>
          <w:lang w:val="kk-KZ"/>
        </w:rPr>
        <w:t>шарттарын</w:t>
      </w:r>
      <w:r w:rsidR="009E630E" w:rsidRPr="009E63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083">
        <w:rPr>
          <w:rFonts w:ascii="Times New Roman" w:hAnsi="Times New Roman" w:cs="Times New Roman"/>
          <w:sz w:val="28"/>
          <w:szCs w:val="28"/>
          <w:lang w:val="kk-KZ"/>
        </w:rPr>
        <w:t>міндеттеу</w:t>
      </w:r>
      <w:r w:rsidR="009E630E" w:rsidRPr="009E63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083">
        <w:rPr>
          <w:rFonts w:ascii="Times New Roman" w:hAnsi="Times New Roman" w:cs="Times New Roman"/>
          <w:sz w:val="28"/>
          <w:szCs w:val="28"/>
          <w:lang w:val="kk-KZ"/>
        </w:rPr>
        <w:t>тәжірибесі</w:t>
      </w:r>
      <w:r w:rsidR="009E630E" w:rsidRPr="009E63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AE7">
        <w:rPr>
          <w:rFonts w:ascii="Times New Roman" w:hAnsi="Times New Roman" w:cs="Times New Roman"/>
          <w:sz w:val="28"/>
          <w:szCs w:val="28"/>
          <w:lang w:val="kk-KZ"/>
        </w:rPr>
        <w:t>кеңінен таралуда</w:t>
      </w:r>
      <w:r w:rsidR="009E630E" w:rsidRPr="009E630E">
        <w:rPr>
          <w:rFonts w:ascii="Times New Roman" w:hAnsi="Times New Roman" w:cs="Times New Roman"/>
          <w:sz w:val="28"/>
          <w:szCs w:val="28"/>
          <w:lang w:val="kk-KZ"/>
        </w:rPr>
        <w:t>. Бұл</w:t>
      </w:r>
      <w:r w:rsidR="00414A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630E" w:rsidRPr="009E63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14A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630E" w:rsidRPr="009E630E">
        <w:rPr>
          <w:rFonts w:ascii="Times New Roman" w:hAnsi="Times New Roman" w:cs="Times New Roman"/>
          <w:sz w:val="28"/>
          <w:szCs w:val="28"/>
          <w:lang w:val="kk-KZ"/>
        </w:rPr>
        <w:t>құрылыс салушылармен үлестес басқа</w:t>
      </w:r>
      <w:r w:rsidR="009E630E">
        <w:rPr>
          <w:rFonts w:ascii="Times New Roman" w:hAnsi="Times New Roman" w:cs="Times New Roman"/>
          <w:sz w:val="28"/>
          <w:szCs w:val="28"/>
          <w:lang w:val="kk-KZ"/>
        </w:rPr>
        <w:t>рушы компаниялармен, байланыс, и</w:t>
      </w:r>
      <w:r w:rsidR="009E630E" w:rsidRPr="009E630E">
        <w:rPr>
          <w:rFonts w:ascii="Times New Roman" w:hAnsi="Times New Roman" w:cs="Times New Roman"/>
          <w:sz w:val="28"/>
          <w:szCs w:val="28"/>
          <w:lang w:val="kk-KZ"/>
        </w:rPr>
        <w:t xml:space="preserve">нтернет қызметтері, кабельдік теледидар операторларымен </w:t>
      </w:r>
      <w:r w:rsidR="00700083">
        <w:rPr>
          <w:rFonts w:ascii="Times New Roman" w:hAnsi="Times New Roman" w:cs="Times New Roman"/>
          <w:sz w:val="28"/>
          <w:szCs w:val="28"/>
          <w:lang w:val="kk-KZ"/>
        </w:rPr>
        <w:t>келісім</w:t>
      </w:r>
      <w:r w:rsidR="009E630E" w:rsidRPr="009E630E">
        <w:rPr>
          <w:rFonts w:ascii="Times New Roman" w:hAnsi="Times New Roman" w:cs="Times New Roman"/>
          <w:sz w:val="28"/>
          <w:szCs w:val="28"/>
          <w:lang w:val="kk-KZ"/>
        </w:rPr>
        <w:t>шарт жасасу, паркинг сатып алу бойынша талаптар. Осылайша, монополиялық құрылыс нарығы</w:t>
      </w:r>
      <w:r w:rsidR="009E630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E630E" w:rsidRPr="009E630E">
        <w:rPr>
          <w:rFonts w:ascii="Times New Roman" w:hAnsi="Times New Roman" w:cs="Times New Roman"/>
          <w:sz w:val="28"/>
          <w:szCs w:val="28"/>
          <w:lang w:val="kk-KZ"/>
        </w:rPr>
        <w:t xml:space="preserve"> көршілес нарықтардағы бәсекелестікті шектейді.</w:t>
      </w:r>
    </w:p>
    <w:p w14:paraId="55F2663E" w14:textId="3BDAE9C6" w:rsidR="00E84AC4" w:rsidRDefault="009E630E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630E">
        <w:rPr>
          <w:rFonts w:ascii="Times New Roman" w:hAnsi="Times New Roman" w:cs="Times New Roman"/>
          <w:sz w:val="28"/>
          <w:szCs w:val="28"/>
          <w:lang w:val="kk-KZ"/>
        </w:rPr>
        <w:t xml:space="preserve">Жер учаскелерін берудің бәсекелес тәсілі сауда-саттық болып табылады. Оған арнайы экономикалық аймақтардың аумақтарында немесе әлеуметтік </w:t>
      </w:r>
      <w:r w:rsidRPr="009E630E">
        <w:rPr>
          <w:rFonts w:ascii="Times New Roman" w:hAnsi="Times New Roman" w:cs="Times New Roman"/>
          <w:sz w:val="28"/>
          <w:szCs w:val="28"/>
          <w:lang w:val="kk-KZ"/>
        </w:rPr>
        <w:lastRenderedPageBreak/>
        <w:t>кәсіпкерлік корпорациялардың қатысуымен инвестициялық және инновациялық жобаларды іске асыру жатпайды.</w:t>
      </w:r>
      <w:r w:rsidR="00C52B6F" w:rsidRPr="009E63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111F7DB" w14:textId="4D9ED184" w:rsidR="001A1C62" w:rsidRDefault="00FB5D09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2B6F">
        <w:rPr>
          <w:rFonts w:ascii="Times New Roman" w:hAnsi="Times New Roman" w:cs="Times New Roman"/>
          <w:sz w:val="28"/>
          <w:szCs w:val="28"/>
          <w:lang w:val="kk-KZ"/>
        </w:rPr>
        <w:t xml:space="preserve">Астана </w:t>
      </w:r>
      <w:r w:rsidR="00414AE7">
        <w:rPr>
          <w:rFonts w:ascii="Times New Roman" w:hAnsi="Times New Roman" w:cs="Times New Roman"/>
          <w:sz w:val="28"/>
          <w:szCs w:val="28"/>
          <w:lang w:val="kk-KZ"/>
        </w:rPr>
        <w:t>арнайы экономикалық аймақ</w:t>
      </w:r>
      <w:r w:rsidR="00C52B6F">
        <w:rPr>
          <w:rFonts w:ascii="Times New Roman" w:hAnsi="Times New Roman" w:cs="Times New Roman"/>
          <w:sz w:val="28"/>
          <w:szCs w:val="28"/>
          <w:lang w:val="kk-KZ"/>
        </w:rPr>
        <w:t xml:space="preserve"> аумағында ө</w:t>
      </w:r>
      <w:r w:rsidR="00414AE7">
        <w:rPr>
          <w:rFonts w:ascii="Times New Roman" w:hAnsi="Times New Roman" w:cs="Times New Roman"/>
          <w:sz w:val="28"/>
          <w:szCs w:val="28"/>
          <w:lang w:val="kk-KZ"/>
        </w:rPr>
        <w:t xml:space="preserve">німдер шығарумен </w:t>
      </w:r>
      <w:r w:rsidR="001A1C62" w:rsidRPr="00C52B6F">
        <w:rPr>
          <w:rFonts w:ascii="Times New Roman" w:hAnsi="Times New Roman" w:cs="Times New Roman"/>
          <w:b/>
          <w:sz w:val="28"/>
          <w:szCs w:val="28"/>
          <w:lang w:val="kk-KZ"/>
        </w:rPr>
        <w:t>50</w:t>
      </w:r>
      <w:r w:rsidR="001A1C62" w:rsidRPr="00C52B6F">
        <w:rPr>
          <w:rFonts w:ascii="Times New Roman" w:hAnsi="Times New Roman" w:cs="Times New Roman"/>
          <w:sz w:val="28"/>
          <w:szCs w:val="28"/>
          <w:lang w:val="kk-KZ"/>
        </w:rPr>
        <w:t xml:space="preserve"> инвестици</w:t>
      </w:r>
      <w:r w:rsidR="00744754">
        <w:rPr>
          <w:rFonts w:ascii="Times New Roman" w:hAnsi="Times New Roman" w:cs="Times New Roman"/>
          <w:sz w:val="28"/>
          <w:szCs w:val="28"/>
          <w:lang w:val="kk-KZ"/>
        </w:rPr>
        <w:t xml:space="preserve">ялық жоба, </w:t>
      </w:r>
      <w:r w:rsidR="00C52B6F">
        <w:rPr>
          <w:rFonts w:ascii="Times New Roman" w:hAnsi="Times New Roman" w:cs="Times New Roman"/>
          <w:sz w:val="28"/>
          <w:szCs w:val="28"/>
          <w:lang w:val="kk-KZ"/>
        </w:rPr>
        <w:t xml:space="preserve">тұрғын үй және әкімшілік кешендер салу бойынша </w:t>
      </w:r>
      <w:r w:rsidR="001A1C62" w:rsidRPr="00C52B6F">
        <w:rPr>
          <w:rFonts w:ascii="Times New Roman" w:hAnsi="Times New Roman" w:cs="Times New Roman"/>
          <w:b/>
          <w:sz w:val="28"/>
          <w:szCs w:val="28"/>
          <w:lang w:val="kk-KZ"/>
        </w:rPr>
        <w:t>135</w:t>
      </w:r>
      <w:r w:rsidR="00C52B6F">
        <w:rPr>
          <w:rFonts w:ascii="Times New Roman" w:hAnsi="Times New Roman" w:cs="Times New Roman"/>
          <w:sz w:val="28"/>
          <w:szCs w:val="28"/>
          <w:lang w:val="kk-KZ"/>
        </w:rPr>
        <w:t xml:space="preserve"> жоба іске асырылады. Оның ішінде </w:t>
      </w:r>
      <w:r w:rsidR="001A1C62" w:rsidRPr="00C52B6F">
        <w:rPr>
          <w:rFonts w:ascii="Times New Roman" w:hAnsi="Times New Roman" w:cs="Times New Roman"/>
          <w:b/>
          <w:sz w:val="28"/>
          <w:szCs w:val="28"/>
          <w:lang w:val="kk-KZ"/>
        </w:rPr>
        <w:t>65</w:t>
      </w:r>
      <w:r w:rsidR="001A1C62" w:rsidRPr="00C52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2B6F">
        <w:rPr>
          <w:rFonts w:ascii="Times New Roman" w:hAnsi="Times New Roman" w:cs="Times New Roman"/>
          <w:bCs/>
          <w:sz w:val="28"/>
          <w:szCs w:val="28"/>
          <w:lang w:val="kk-KZ"/>
        </w:rPr>
        <w:t>тұрғын үй</w:t>
      </w:r>
      <w:r w:rsidR="001A1C62" w:rsidRPr="00C52B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объект</w:t>
      </w:r>
      <w:r w:rsidR="00C52B6F">
        <w:rPr>
          <w:rFonts w:ascii="Times New Roman" w:hAnsi="Times New Roman" w:cs="Times New Roman"/>
          <w:bCs/>
          <w:sz w:val="28"/>
          <w:szCs w:val="28"/>
          <w:lang w:val="kk-KZ"/>
        </w:rPr>
        <w:t>ісі</w:t>
      </w:r>
      <w:r w:rsidR="001A1C62" w:rsidRPr="00C52B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«BI Group»</w:t>
      </w:r>
      <w:r w:rsidR="00C52B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холдингіне</w:t>
      </w:r>
      <w:r w:rsidRPr="00C52B6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52B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9</w:t>
      </w:r>
      <w:r w:rsidR="00744754" w:rsidRPr="00C52B6F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744754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C52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1C62" w:rsidRPr="00C52B6F">
        <w:rPr>
          <w:rFonts w:ascii="Times New Roman" w:hAnsi="Times New Roman" w:cs="Times New Roman"/>
          <w:bCs/>
          <w:sz w:val="28"/>
          <w:szCs w:val="28"/>
          <w:lang w:val="kk-KZ"/>
        </w:rPr>
        <w:t>«Базис-А»,</w:t>
      </w:r>
      <w:r w:rsidRPr="00C52B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447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52B6F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="00744754" w:rsidRPr="00C52B6F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744754">
        <w:rPr>
          <w:rFonts w:ascii="Times New Roman" w:hAnsi="Times New Roman" w:cs="Times New Roman"/>
          <w:bCs/>
          <w:sz w:val="28"/>
          <w:szCs w:val="28"/>
          <w:lang w:val="kk-KZ"/>
        </w:rPr>
        <w:t>уі</w:t>
      </w:r>
      <w:r w:rsidR="001A1C62" w:rsidRPr="00C52B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«Nur Astana Kurylys»,</w:t>
      </w:r>
      <w:r w:rsidRPr="00C52B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447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52B6F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744754" w:rsidRPr="00C52B6F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744754">
        <w:rPr>
          <w:rFonts w:ascii="Times New Roman" w:hAnsi="Times New Roman" w:cs="Times New Roman"/>
          <w:bCs/>
          <w:sz w:val="28"/>
          <w:szCs w:val="28"/>
          <w:lang w:val="kk-KZ"/>
        </w:rPr>
        <w:t>уы</w:t>
      </w:r>
      <w:r w:rsidR="001A1C62" w:rsidRPr="00C52B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«G-Park</w:t>
      </w:r>
      <w:r w:rsidRPr="00C52B6F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C52B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тиесілі</w:t>
      </w:r>
      <w:r w:rsidR="001A1C62" w:rsidRPr="00C52B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95E6FD6" w14:textId="50E93128" w:rsidR="001A1C62" w:rsidRPr="00C52B6F" w:rsidRDefault="00C52B6F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 учаскелерін </w:t>
      </w:r>
      <w:r w:rsidRPr="00C52B6F">
        <w:rPr>
          <w:rFonts w:ascii="Times New Roman" w:hAnsi="Times New Roman" w:cs="Times New Roman"/>
          <w:b/>
          <w:sz w:val="28"/>
          <w:szCs w:val="28"/>
          <w:lang w:val="kk-KZ"/>
        </w:rPr>
        <w:t>конкурстан тыс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алудан басқа, осы компаниялар мүліктік, жер салығын, кедендік баждарды </w:t>
      </w:r>
      <w:r w:rsidRPr="00C52B6F">
        <w:rPr>
          <w:rFonts w:ascii="Times New Roman" w:hAnsi="Times New Roman" w:cs="Times New Roman"/>
          <w:b/>
          <w:sz w:val="28"/>
          <w:szCs w:val="28"/>
          <w:lang w:val="kk-KZ"/>
        </w:rPr>
        <w:t>төлеуден босатылған.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24962FE8" w14:textId="484EDDC0" w:rsidR="00C24AA5" w:rsidRPr="00606D33" w:rsidRDefault="00606D33" w:rsidP="006B7064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Әлеуметтік кәсіпкерлік </w:t>
      </w:r>
      <w:r w:rsidR="00C24AA5" w:rsidRPr="00606D33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корпораци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ялар </w:t>
      </w:r>
      <w:r w:rsidRPr="00606D33">
        <w:rPr>
          <w:rFonts w:ascii="Times New Roman" w:hAnsi="Times New Roman" w:cs="Times New Roman"/>
          <w:bCs/>
          <w:sz w:val="28"/>
          <w:szCs w:val="28"/>
          <w:lang w:val="kk-KZ"/>
        </w:rPr>
        <w:t>инвестициялық жобалар түрінде</w:t>
      </w:r>
      <w:r w:rsidR="006068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жер учаскелерін тұрғын үйлер, сауда орталықтарын, фитнес залдар, </w:t>
      </w:r>
      <w:r w:rsidR="00744754" w:rsidRPr="007447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жанармай құю станциясы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салу үшін сатады. </w:t>
      </w:r>
      <w:r w:rsidR="00C24AA5" w:rsidRPr="00606D3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43DAF" w:rsidRPr="00606D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5C2376B1" w14:textId="6C2871BB" w:rsidR="00AF1D6F" w:rsidRDefault="00AF1D6F" w:rsidP="00AF1D6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Жолдарды, ауруханаларды, мектептерді және </w:t>
      </w:r>
      <w:r w:rsidR="0011459B">
        <w:rPr>
          <w:rFonts w:ascii="Times New Roman" w:hAnsi="Times New Roman" w:cs="Times New Roman"/>
          <w:sz w:val="28"/>
          <w:szCs w:val="28"/>
          <w:lang w:val="kk-KZ"/>
        </w:rPr>
        <w:t xml:space="preserve">іс жүзінде 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>құрылыс қызметтерін мемлекеттік сатып алу болып табылатын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 өзге де объектілерді салу жөніндегі </w:t>
      </w:r>
      <w:r w:rsidRPr="00AF1D6F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жеке меншік әріптестік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 рәсімі</w:t>
      </w:r>
      <w:r w:rsidR="0011459B">
        <w:rPr>
          <w:rFonts w:ascii="Times New Roman" w:hAnsi="Times New Roman" w:cs="Times New Roman"/>
          <w:sz w:val="28"/>
          <w:szCs w:val="28"/>
          <w:lang w:val="kk-KZ"/>
        </w:rPr>
        <w:t xml:space="preserve"> ашық емес және 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>бәсекеге қабілетсіз болып отыр.</w:t>
      </w:r>
    </w:p>
    <w:p w14:paraId="28DB52B1" w14:textId="3D4F90BE" w:rsidR="00AF1D6F" w:rsidRPr="00B3753A" w:rsidRDefault="00AF1D6F" w:rsidP="00AF1D6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1D6F">
        <w:rPr>
          <w:rFonts w:ascii="Times New Roman" w:hAnsi="Times New Roman" w:cs="Times New Roman"/>
          <w:sz w:val="28"/>
          <w:szCs w:val="28"/>
          <w:lang w:val="kk-KZ"/>
        </w:rPr>
        <w:t>Бұл жобалар жұмсалған қаражатты толық және жеделдетілген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түрде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 (3-5 жыл) қайтаруды көздейді және одан әрі жекеше әріптестің </w:t>
      </w:r>
      <w:r w:rsidR="0011459B" w:rsidRPr="00AF1D6F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жеке меншік әріптестік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 объектісін пайдалануын немесе объектінің бейіні бойынша – білім беру, медициналық қызметті жүзеге асыруын қамтымайды.</w:t>
      </w:r>
    </w:p>
    <w:p w14:paraId="06DF43FB" w14:textId="0C17C4A9" w:rsidR="00AF1D6F" w:rsidRPr="00AF1D6F" w:rsidRDefault="00AF1D6F" w:rsidP="00AF1D6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Жоғарыда айтылғандардың барлығы Мемлекет басшысының құрылыс нарығын монополиясыздандыру жөніндегі тапсырмасын орындау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мақсатындағы А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генттіктің жұмысы болып табылады, оның қорытындысы бойынша тиісті заңнамалық өзгерістер енгізе отырып,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>кешенді ша</w:t>
      </w:r>
      <w:r>
        <w:rPr>
          <w:rFonts w:ascii="Times New Roman" w:hAnsi="Times New Roman" w:cs="Times New Roman"/>
          <w:sz w:val="28"/>
          <w:szCs w:val="28"/>
          <w:lang w:val="kk-KZ"/>
        </w:rPr>
        <w:t>ралар пакеті әзірленетін болады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E3FA171" w14:textId="353A8E21" w:rsidR="00AF1D6F" w:rsidRPr="00AF1D6F" w:rsidRDefault="00AF1D6F" w:rsidP="00AF1D6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- құрылыс салушылар, бенефициарлар, компаниялардың меншік иелері, олардың басқа ұйымдармен үлестестігі, тұрғын үйді өткізу көлемі, бағалар, шығындар, материалдар мен қызметтерді жеткізушілер туралы ақпаратты </w:t>
      </w:r>
      <w:r w:rsidR="0011459B">
        <w:rPr>
          <w:rFonts w:ascii="Times New Roman" w:hAnsi="Times New Roman" w:cs="Times New Roman"/>
          <w:sz w:val="28"/>
          <w:szCs w:val="28"/>
          <w:lang w:val="kk-KZ"/>
        </w:rPr>
        <w:t>жария етуге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 назар аудара отырып, тұрғын үйді</w:t>
      </w:r>
      <w:r w:rsidR="0086092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 үлестік </w:t>
      </w:r>
      <w:r w:rsidR="0086092A"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 заңнама</w:t>
      </w:r>
      <w:r w:rsidR="0086092A">
        <w:rPr>
          <w:rFonts w:ascii="Times New Roman" w:hAnsi="Times New Roman" w:cs="Times New Roman"/>
          <w:sz w:val="28"/>
          <w:szCs w:val="28"/>
          <w:lang w:val="kk-KZ"/>
        </w:rPr>
        <w:t>сына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 енгізу;</w:t>
      </w:r>
    </w:p>
    <w:p w14:paraId="2A213ACD" w14:textId="226B54DE" w:rsidR="00AF1D6F" w:rsidRPr="00AF1D6F" w:rsidRDefault="00AF1D6F" w:rsidP="00AF1D6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1D6F">
        <w:rPr>
          <w:rFonts w:ascii="Times New Roman" w:hAnsi="Times New Roman" w:cs="Times New Roman"/>
          <w:sz w:val="28"/>
          <w:szCs w:val="28"/>
          <w:lang w:val="kk-KZ"/>
        </w:rPr>
        <w:t>- үлестік құрылысқа қатысушылар арасындағы жауа</w:t>
      </w:r>
      <w:r w:rsidR="0086092A">
        <w:rPr>
          <w:rFonts w:ascii="Times New Roman" w:hAnsi="Times New Roman" w:cs="Times New Roman"/>
          <w:sz w:val="28"/>
          <w:szCs w:val="28"/>
          <w:lang w:val="kk-KZ"/>
        </w:rPr>
        <w:t>пкершіліктің аражігін ажырату, «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>біркүндік</w:t>
      </w:r>
      <w:r w:rsidR="0086092A">
        <w:rPr>
          <w:rFonts w:ascii="Times New Roman" w:hAnsi="Times New Roman" w:cs="Times New Roman"/>
          <w:sz w:val="28"/>
          <w:szCs w:val="28"/>
          <w:lang w:val="kk-KZ"/>
        </w:rPr>
        <w:t>» компания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 xml:space="preserve"> құру тәжірибесін және бас компаниялардың (ірі құрылыс</w:t>
      </w:r>
      <w:r w:rsidR="0086092A">
        <w:rPr>
          <w:rFonts w:ascii="Times New Roman" w:hAnsi="Times New Roman" w:cs="Times New Roman"/>
          <w:sz w:val="28"/>
          <w:szCs w:val="28"/>
          <w:lang w:val="kk-KZ"/>
        </w:rPr>
        <w:t xml:space="preserve"> салушылар, холдингтер) ж</w:t>
      </w:r>
      <w:r w:rsidRPr="00AF1D6F">
        <w:rPr>
          <w:rFonts w:ascii="Times New Roman" w:hAnsi="Times New Roman" w:cs="Times New Roman"/>
          <w:sz w:val="28"/>
          <w:szCs w:val="28"/>
          <w:lang w:val="kk-KZ"/>
        </w:rPr>
        <w:t>ауапкершіліктен кетуін бо</w:t>
      </w:r>
      <w:r>
        <w:rPr>
          <w:rFonts w:ascii="Times New Roman" w:hAnsi="Times New Roman" w:cs="Times New Roman"/>
          <w:sz w:val="28"/>
          <w:szCs w:val="28"/>
          <w:lang w:val="kk-KZ"/>
        </w:rPr>
        <w:t>лдырмау;</w:t>
      </w:r>
    </w:p>
    <w:p w14:paraId="57D9A0A4" w14:textId="77777777" w:rsidR="00AF1D6F" w:rsidRPr="00AF1D6F" w:rsidRDefault="00AF1D6F" w:rsidP="00AF1D6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1D6F">
        <w:rPr>
          <w:rFonts w:ascii="Times New Roman" w:hAnsi="Times New Roman" w:cs="Times New Roman"/>
          <w:sz w:val="28"/>
          <w:szCs w:val="28"/>
          <w:lang w:val="kk-KZ"/>
        </w:rPr>
        <w:t>- үлескерлердің қаражатын тарту тәртібіне және олардың мақсатты пайдаланылуына мемлекеттік бақылауды іске асыру;</w:t>
      </w:r>
    </w:p>
    <w:p w14:paraId="52F48912" w14:textId="77777777" w:rsidR="00AF1D6F" w:rsidRPr="00AF1D6F" w:rsidRDefault="00AF1D6F" w:rsidP="00AF1D6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1D6F">
        <w:rPr>
          <w:rFonts w:ascii="Times New Roman" w:hAnsi="Times New Roman" w:cs="Times New Roman"/>
          <w:sz w:val="28"/>
          <w:szCs w:val="28"/>
          <w:lang w:val="kk-KZ"/>
        </w:rPr>
        <w:t>- арнайы экономикалық аймақтар аумағындағы қызмет тізбесінен тұрғын және тұрғын емес объектілер құрылысын алып тастау;</w:t>
      </w:r>
    </w:p>
    <w:p w14:paraId="0A3B5B0C" w14:textId="77777777" w:rsidR="00AF1D6F" w:rsidRPr="00AF1D6F" w:rsidRDefault="00AF1D6F" w:rsidP="00AF1D6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1D6F">
        <w:rPr>
          <w:rFonts w:ascii="Times New Roman" w:hAnsi="Times New Roman" w:cs="Times New Roman"/>
          <w:sz w:val="28"/>
          <w:szCs w:val="28"/>
          <w:lang w:val="kk-KZ"/>
        </w:rPr>
        <w:lastRenderedPageBreak/>
        <w:t>- жер учаскелерін берудің және құрылыс қызметтерін мемлекеттік сатып алуды орналастырудың конкурстан тыс тәртібін жою;</w:t>
      </w:r>
    </w:p>
    <w:p w14:paraId="2220973B" w14:textId="77777777" w:rsidR="00AF1D6F" w:rsidRPr="00AF1D6F" w:rsidRDefault="00AF1D6F" w:rsidP="00AF1D6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1D6F">
        <w:rPr>
          <w:rFonts w:ascii="Times New Roman" w:hAnsi="Times New Roman" w:cs="Times New Roman"/>
          <w:sz w:val="28"/>
          <w:szCs w:val="28"/>
          <w:lang w:val="kk-KZ"/>
        </w:rPr>
        <w:t>- үлескерлер қаржыландыратын және қосалқы мердігерлікке берілетін құрылыс жұмыстарының көлемін шектеу.</w:t>
      </w:r>
    </w:p>
    <w:p w14:paraId="57566AEE" w14:textId="77777777" w:rsidR="00AF1D6F" w:rsidRPr="00AF1D6F" w:rsidRDefault="00AF1D6F" w:rsidP="00AF1D6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B62DFC" w14:textId="3DDD91AA" w:rsidR="00AF1D6F" w:rsidRPr="00AF1D6F" w:rsidRDefault="00AF1D6F" w:rsidP="00AF1D6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1D6F">
        <w:rPr>
          <w:rFonts w:ascii="Times New Roman" w:hAnsi="Times New Roman" w:cs="Times New Roman"/>
          <w:sz w:val="28"/>
          <w:szCs w:val="28"/>
          <w:lang w:val="kk-KZ"/>
        </w:rPr>
        <w:t>Баяндама аяқталды.</w:t>
      </w:r>
      <w:r w:rsidR="0011459B">
        <w:rPr>
          <w:rFonts w:ascii="Times New Roman" w:hAnsi="Times New Roman" w:cs="Times New Roman"/>
          <w:sz w:val="28"/>
          <w:szCs w:val="28"/>
          <w:lang w:val="kk-KZ"/>
        </w:rPr>
        <w:t xml:space="preserve"> Назарларыңызға рақмет. </w:t>
      </w:r>
    </w:p>
    <w:p w14:paraId="42DA135A" w14:textId="709BDD5C" w:rsidR="00047447" w:rsidRPr="006B7064" w:rsidRDefault="002C48C8" w:rsidP="006B7064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06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7447" w:rsidRPr="006B7064" w:rsidSect="00402D9C">
      <w:headerReference w:type="default" r:id="rId8"/>
      <w:pgSz w:w="11906" w:h="16838"/>
      <w:pgMar w:top="1418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733AA" w14:textId="77777777" w:rsidR="00C93F20" w:rsidRDefault="00C93F20" w:rsidP="00E509DE">
      <w:pPr>
        <w:spacing w:after="0" w:line="240" w:lineRule="auto"/>
      </w:pPr>
      <w:r>
        <w:separator/>
      </w:r>
    </w:p>
  </w:endnote>
  <w:endnote w:type="continuationSeparator" w:id="0">
    <w:p w14:paraId="6DA4A7AE" w14:textId="77777777" w:rsidR="00C93F20" w:rsidRDefault="00C93F20" w:rsidP="00E5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827D9" w14:textId="77777777" w:rsidR="00C93F20" w:rsidRDefault="00C93F20" w:rsidP="00E509DE">
      <w:pPr>
        <w:spacing w:after="0" w:line="240" w:lineRule="auto"/>
      </w:pPr>
      <w:r>
        <w:separator/>
      </w:r>
    </w:p>
  </w:footnote>
  <w:footnote w:type="continuationSeparator" w:id="0">
    <w:p w14:paraId="2264983E" w14:textId="77777777" w:rsidR="00C93F20" w:rsidRDefault="00C93F20" w:rsidP="00E5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663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D248206" w14:textId="05748C7E" w:rsidR="00C24AA5" w:rsidRPr="00E509DE" w:rsidRDefault="00C24AA5">
        <w:pPr>
          <w:pStyle w:val="a3"/>
          <w:jc w:val="center"/>
          <w:rPr>
            <w:rFonts w:ascii="Arial" w:hAnsi="Arial" w:cs="Arial"/>
          </w:rPr>
        </w:pPr>
        <w:r w:rsidRPr="00E509DE">
          <w:rPr>
            <w:rFonts w:ascii="Arial" w:hAnsi="Arial" w:cs="Arial"/>
          </w:rPr>
          <w:fldChar w:fldCharType="begin"/>
        </w:r>
        <w:r w:rsidRPr="00E509DE">
          <w:rPr>
            <w:rFonts w:ascii="Arial" w:hAnsi="Arial" w:cs="Arial"/>
          </w:rPr>
          <w:instrText>PAGE   \* MERGEFORMAT</w:instrText>
        </w:r>
        <w:r w:rsidRPr="00E509DE">
          <w:rPr>
            <w:rFonts w:ascii="Arial" w:hAnsi="Arial" w:cs="Arial"/>
          </w:rPr>
          <w:fldChar w:fldCharType="separate"/>
        </w:r>
        <w:r w:rsidR="006353BF">
          <w:rPr>
            <w:rFonts w:ascii="Arial" w:hAnsi="Arial" w:cs="Arial"/>
            <w:noProof/>
          </w:rPr>
          <w:t>4</w:t>
        </w:r>
        <w:r w:rsidRPr="00E509DE">
          <w:rPr>
            <w:rFonts w:ascii="Arial" w:hAnsi="Arial" w:cs="Arial"/>
          </w:rPr>
          <w:fldChar w:fldCharType="end"/>
        </w:r>
      </w:p>
    </w:sdtContent>
  </w:sdt>
  <w:p w14:paraId="1E0CC79F" w14:textId="77777777" w:rsidR="00C24AA5" w:rsidRDefault="00C24A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0274E"/>
    <w:multiLevelType w:val="hybridMultilevel"/>
    <w:tmpl w:val="D9EC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414C2"/>
    <w:multiLevelType w:val="hybridMultilevel"/>
    <w:tmpl w:val="071C2BE8"/>
    <w:lvl w:ilvl="0" w:tplc="2F6E0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21E494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662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6B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DAF5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8283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66F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8669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030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43494B"/>
    <w:multiLevelType w:val="hybridMultilevel"/>
    <w:tmpl w:val="5D9816D4"/>
    <w:lvl w:ilvl="0" w:tplc="2F6E04D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8D9632E"/>
    <w:multiLevelType w:val="hybridMultilevel"/>
    <w:tmpl w:val="385A5756"/>
    <w:lvl w:ilvl="0" w:tplc="F250A4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B440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C80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25D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8084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201D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36CD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44F4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46F2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6F"/>
    <w:rsid w:val="0002462D"/>
    <w:rsid w:val="00030257"/>
    <w:rsid w:val="00044104"/>
    <w:rsid w:val="00046D72"/>
    <w:rsid w:val="0004743D"/>
    <w:rsid w:val="00047447"/>
    <w:rsid w:val="00055B41"/>
    <w:rsid w:val="000637F5"/>
    <w:rsid w:val="00066288"/>
    <w:rsid w:val="000C47BA"/>
    <w:rsid w:val="000D1D18"/>
    <w:rsid w:val="0010790E"/>
    <w:rsid w:val="00111E0C"/>
    <w:rsid w:val="0011459B"/>
    <w:rsid w:val="001216B8"/>
    <w:rsid w:val="0016033B"/>
    <w:rsid w:val="0017624E"/>
    <w:rsid w:val="00193273"/>
    <w:rsid w:val="001938DD"/>
    <w:rsid w:val="001A1C62"/>
    <w:rsid w:val="001C2D89"/>
    <w:rsid w:val="001E5C78"/>
    <w:rsid w:val="001E7661"/>
    <w:rsid w:val="00202AF7"/>
    <w:rsid w:val="0021088F"/>
    <w:rsid w:val="00217093"/>
    <w:rsid w:val="002175C1"/>
    <w:rsid w:val="00220B11"/>
    <w:rsid w:val="00231F52"/>
    <w:rsid w:val="00265205"/>
    <w:rsid w:val="002A133B"/>
    <w:rsid w:val="002B654F"/>
    <w:rsid w:val="002C4588"/>
    <w:rsid w:val="002C48C8"/>
    <w:rsid w:val="003124D4"/>
    <w:rsid w:val="00316691"/>
    <w:rsid w:val="00323470"/>
    <w:rsid w:val="00344FDE"/>
    <w:rsid w:val="003607C3"/>
    <w:rsid w:val="003665C8"/>
    <w:rsid w:val="00371FF1"/>
    <w:rsid w:val="00397DB0"/>
    <w:rsid w:val="003A5FA8"/>
    <w:rsid w:val="003B1EA6"/>
    <w:rsid w:val="003B4DE4"/>
    <w:rsid w:val="003D0C13"/>
    <w:rsid w:val="003D52CD"/>
    <w:rsid w:val="003E03C6"/>
    <w:rsid w:val="00402D9C"/>
    <w:rsid w:val="00414AE7"/>
    <w:rsid w:val="0042054A"/>
    <w:rsid w:val="00430C03"/>
    <w:rsid w:val="004806FF"/>
    <w:rsid w:val="00494088"/>
    <w:rsid w:val="004A21DD"/>
    <w:rsid w:val="004A2D2F"/>
    <w:rsid w:val="004A3869"/>
    <w:rsid w:val="004B6154"/>
    <w:rsid w:val="004C028D"/>
    <w:rsid w:val="004C5A3F"/>
    <w:rsid w:val="005075C8"/>
    <w:rsid w:val="0051611D"/>
    <w:rsid w:val="00517963"/>
    <w:rsid w:val="005314CC"/>
    <w:rsid w:val="00531CD0"/>
    <w:rsid w:val="005339A7"/>
    <w:rsid w:val="00533BC8"/>
    <w:rsid w:val="00542419"/>
    <w:rsid w:val="0054319D"/>
    <w:rsid w:val="0056051A"/>
    <w:rsid w:val="005632E5"/>
    <w:rsid w:val="00570798"/>
    <w:rsid w:val="00577FBB"/>
    <w:rsid w:val="00595CFB"/>
    <w:rsid w:val="005C542C"/>
    <w:rsid w:val="00605B81"/>
    <w:rsid w:val="0060689A"/>
    <w:rsid w:val="00606C6F"/>
    <w:rsid w:val="00606D33"/>
    <w:rsid w:val="00622215"/>
    <w:rsid w:val="00624F69"/>
    <w:rsid w:val="006353BF"/>
    <w:rsid w:val="0063547F"/>
    <w:rsid w:val="00695EF7"/>
    <w:rsid w:val="006A073B"/>
    <w:rsid w:val="006A562A"/>
    <w:rsid w:val="006B7064"/>
    <w:rsid w:val="006C4BA5"/>
    <w:rsid w:val="006D1AA7"/>
    <w:rsid w:val="006D2072"/>
    <w:rsid w:val="006D37CC"/>
    <w:rsid w:val="006D4AFF"/>
    <w:rsid w:val="00700083"/>
    <w:rsid w:val="00702BA8"/>
    <w:rsid w:val="007327BA"/>
    <w:rsid w:val="00744754"/>
    <w:rsid w:val="00753013"/>
    <w:rsid w:val="0076479E"/>
    <w:rsid w:val="007650D3"/>
    <w:rsid w:val="00776B9B"/>
    <w:rsid w:val="007948ED"/>
    <w:rsid w:val="007B5302"/>
    <w:rsid w:val="007D7FC6"/>
    <w:rsid w:val="00845234"/>
    <w:rsid w:val="0086092A"/>
    <w:rsid w:val="008741EB"/>
    <w:rsid w:val="008829F0"/>
    <w:rsid w:val="008838B7"/>
    <w:rsid w:val="00891DF4"/>
    <w:rsid w:val="008A21E5"/>
    <w:rsid w:val="008B5D20"/>
    <w:rsid w:val="008B75DB"/>
    <w:rsid w:val="008C038B"/>
    <w:rsid w:val="008C097F"/>
    <w:rsid w:val="008C45AF"/>
    <w:rsid w:val="008F1E1D"/>
    <w:rsid w:val="00901002"/>
    <w:rsid w:val="009030BF"/>
    <w:rsid w:val="00910E8E"/>
    <w:rsid w:val="00924BD4"/>
    <w:rsid w:val="00925328"/>
    <w:rsid w:val="009335EE"/>
    <w:rsid w:val="0094325D"/>
    <w:rsid w:val="00943512"/>
    <w:rsid w:val="009670F3"/>
    <w:rsid w:val="009831A0"/>
    <w:rsid w:val="009C73A3"/>
    <w:rsid w:val="009E4E63"/>
    <w:rsid w:val="009E630E"/>
    <w:rsid w:val="00A0231A"/>
    <w:rsid w:val="00A06657"/>
    <w:rsid w:val="00A072DB"/>
    <w:rsid w:val="00A3354D"/>
    <w:rsid w:val="00A33994"/>
    <w:rsid w:val="00A3715F"/>
    <w:rsid w:val="00A4575B"/>
    <w:rsid w:val="00AB6197"/>
    <w:rsid w:val="00AB726C"/>
    <w:rsid w:val="00AC501D"/>
    <w:rsid w:val="00AF1D6F"/>
    <w:rsid w:val="00AF7C13"/>
    <w:rsid w:val="00B025B5"/>
    <w:rsid w:val="00B066EF"/>
    <w:rsid w:val="00B11C9E"/>
    <w:rsid w:val="00B12023"/>
    <w:rsid w:val="00B13BE1"/>
    <w:rsid w:val="00B24840"/>
    <w:rsid w:val="00B3753A"/>
    <w:rsid w:val="00B419CE"/>
    <w:rsid w:val="00B56C38"/>
    <w:rsid w:val="00B61CE8"/>
    <w:rsid w:val="00B62271"/>
    <w:rsid w:val="00B77347"/>
    <w:rsid w:val="00BC127B"/>
    <w:rsid w:val="00BD0B51"/>
    <w:rsid w:val="00BE750F"/>
    <w:rsid w:val="00C10588"/>
    <w:rsid w:val="00C133CD"/>
    <w:rsid w:val="00C24AA5"/>
    <w:rsid w:val="00C40275"/>
    <w:rsid w:val="00C52B6F"/>
    <w:rsid w:val="00C56B5D"/>
    <w:rsid w:val="00C93F20"/>
    <w:rsid w:val="00CA5C01"/>
    <w:rsid w:val="00CB7E06"/>
    <w:rsid w:val="00CC4F48"/>
    <w:rsid w:val="00CE020F"/>
    <w:rsid w:val="00CF14D7"/>
    <w:rsid w:val="00CF71A3"/>
    <w:rsid w:val="00D02F1A"/>
    <w:rsid w:val="00D145DA"/>
    <w:rsid w:val="00D16F83"/>
    <w:rsid w:val="00D1784E"/>
    <w:rsid w:val="00D60873"/>
    <w:rsid w:val="00D64C3B"/>
    <w:rsid w:val="00D81323"/>
    <w:rsid w:val="00D81398"/>
    <w:rsid w:val="00D81A61"/>
    <w:rsid w:val="00D9406F"/>
    <w:rsid w:val="00DA10B4"/>
    <w:rsid w:val="00DA40CF"/>
    <w:rsid w:val="00DB1C00"/>
    <w:rsid w:val="00DC5538"/>
    <w:rsid w:val="00DD1836"/>
    <w:rsid w:val="00DD2E2C"/>
    <w:rsid w:val="00DF31B8"/>
    <w:rsid w:val="00DF4C27"/>
    <w:rsid w:val="00E12402"/>
    <w:rsid w:val="00E24515"/>
    <w:rsid w:val="00E43DAF"/>
    <w:rsid w:val="00E447ED"/>
    <w:rsid w:val="00E509DE"/>
    <w:rsid w:val="00E568DF"/>
    <w:rsid w:val="00E84AC4"/>
    <w:rsid w:val="00EA3B44"/>
    <w:rsid w:val="00EA6FD8"/>
    <w:rsid w:val="00EB371A"/>
    <w:rsid w:val="00EB7CF6"/>
    <w:rsid w:val="00F11B32"/>
    <w:rsid w:val="00F34A1C"/>
    <w:rsid w:val="00F4329C"/>
    <w:rsid w:val="00F43AB1"/>
    <w:rsid w:val="00F90C6F"/>
    <w:rsid w:val="00F940A0"/>
    <w:rsid w:val="00FA7D16"/>
    <w:rsid w:val="00FB31E3"/>
    <w:rsid w:val="00FB5D09"/>
    <w:rsid w:val="00FD62AD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57AC3"/>
  <w15:docId w15:val="{D7E9E689-B78C-4E09-B50B-D2722091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8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B1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2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9DE"/>
    <w:rPr>
      <w:lang w:val="ru-RU"/>
    </w:rPr>
  </w:style>
  <w:style w:type="paragraph" w:styleId="a5">
    <w:name w:val="footer"/>
    <w:basedOn w:val="a"/>
    <w:link w:val="a6"/>
    <w:uiPriority w:val="99"/>
    <w:unhideWhenUsed/>
    <w:rsid w:val="00E50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9DE"/>
    <w:rPr>
      <w:lang w:val="ru-RU"/>
    </w:rPr>
  </w:style>
  <w:style w:type="paragraph" w:styleId="a7">
    <w:name w:val="List Paragraph"/>
    <w:basedOn w:val="a"/>
    <w:uiPriority w:val="34"/>
    <w:qFormat/>
    <w:rsid w:val="00B11C9E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1EA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3B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6087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11B3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3D52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4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1233-751B-48A1-8DCC-708BD54B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dcterms:created xsi:type="dcterms:W3CDTF">2022-02-14T10:01:00Z</dcterms:created>
  <dcterms:modified xsi:type="dcterms:W3CDTF">2022-02-15T12:20:00Z</dcterms:modified>
</cp:coreProperties>
</file>