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Look w:val="0000"/>
      </w:tblPr>
      <w:tblGrid>
        <w:gridCol w:w="7513"/>
        <w:gridCol w:w="1205"/>
        <w:gridCol w:w="1205"/>
      </w:tblGrid>
      <w:tr w:rsidR="00F940C1" w:rsidRPr="0017788B" w:rsidTr="00F940C1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40C1" w:rsidRPr="00572FC7" w:rsidRDefault="00F940C1" w:rsidP="00A97D14">
            <w:pPr>
              <w:pStyle w:val="a3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615180" cy="638175"/>
                  <wp:effectExtent l="19050" t="0" r="0" b="0"/>
                  <wp:docPr id="4" name="Рисунок 1" descr="2 (каз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 (каз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518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C1" w:rsidRPr="0017788B" w:rsidRDefault="00F940C1" w:rsidP="00A97D1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0C1" w:rsidRPr="0017788B" w:rsidRDefault="00F940C1" w:rsidP="00A97D1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-2540</wp:posOffset>
                  </wp:positionV>
                  <wp:extent cx="697230" cy="600075"/>
                  <wp:effectExtent l="19050" t="0" r="7620" b="0"/>
                  <wp:wrapNone/>
                  <wp:docPr id="5" name="Рисунок 8" descr="Статистика труда и занят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татистика труда и занят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40C1" w:rsidRPr="0017788B" w:rsidTr="00F940C1">
        <w:trPr>
          <w:trHeight w:val="3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0C1" w:rsidRPr="00FE01B8" w:rsidRDefault="00F940C1" w:rsidP="00A97D14">
            <w:pPr>
              <w:pStyle w:val="a3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C1" w:rsidRPr="0017788B" w:rsidRDefault="00F940C1" w:rsidP="00A97D1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  <w:proofErr w:type="spellEnd"/>
          </w:p>
        </w:tc>
      </w:tr>
      <w:tr w:rsidR="00F940C1" w:rsidRPr="0017788B" w:rsidTr="00F940C1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F940C1" w:rsidRPr="008F5C46" w:rsidRDefault="00F940C1" w:rsidP="00A97D14">
            <w:pPr>
              <w:pStyle w:val="af3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Баспасөз </w:t>
            </w:r>
            <w:proofErr w:type="spellStart"/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хабарламасы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FA2B5F" w:rsidRPr="00501F48" w:rsidRDefault="00B75DDC" w:rsidP="00FA2B5F">
            <w:pPr>
              <w:pStyle w:val="3"/>
              <w:spacing w:before="0" w:beforeAutospacing="0" w:after="0" w:afterAutospacing="0"/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kk-KZ"/>
              </w:rPr>
            </w:pPr>
            <w:r w:rsidRPr="00551BAE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№ -021020100000/984-вн</w:t>
            </w:r>
          </w:p>
          <w:p w:rsidR="00F940C1" w:rsidRPr="00B75DDC" w:rsidRDefault="00B75DDC" w:rsidP="00FA2B5F">
            <w:pPr>
              <w:pStyle w:val="3"/>
              <w:spacing w:before="0" w:beforeAutospacing="0" w:after="0" w:afterAutospacing="0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  <w:r w:rsidRPr="00FA2B5F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 xml:space="preserve"> жылғы </w:t>
            </w:r>
            <w:proofErr w:type="gramStart"/>
            <w:r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en-US"/>
              </w:rPr>
              <w:t>0</w:t>
            </w:r>
            <w:proofErr w:type="gramEnd"/>
            <w:r w:rsidRPr="00FA2B5F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kk-KZ"/>
              </w:rPr>
              <w:t>ақпан</w:t>
            </w:r>
          </w:p>
        </w:tc>
      </w:tr>
    </w:tbl>
    <w:p w:rsidR="008F5C46" w:rsidRDefault="008F5C46" w:rsidP="003375BA">
      <w:pPr>
        <w:pStyle w:val="af1"/>
        <w:spacing w:before="0" w:beforeAutospacing="0" w:after="0" w:afterAutospacing="0"/>
        <w:rPr>
          <w:rStyle w:val="af2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:rsidR="00694651" w:rsidRPr="00DA786A" w:rsidRDefault="00694651" w:rsidP="00580FC4">
      <w:pPr>
        <w:pStyle w:val="Zagolovok1"/>
        <w:tabs>
          <w:tab w:val="left" w:pos="9923"/>
        </w:tabs>
        <w:spacing w:before="0" w:after="0"/>
        <w:ind w:left="0" w:right="-1"/>
        <w:jc w:val="left"/>
        <w:rPr>
          <w:rFonts w:ascii="Calibri" w:hAnsi="Calibri" w:cs="Arial"/>
          <w:noProof w:val="0"/>
          <w:sz w:val="24"/>
          <w:szCs w:val="24"/>
          <w:lang w:val="kk-KZ"/>
        </w:rPr>
      </w:pPr>
      <w:r w:rsidRPr="00DA786A">
        <w:rPr>
          <w:rFonts w:ascii="Calibri" w:hAnsi="Calibri" w:cs="Arial"/>
          <w:noProof w:val="0"/>
          <w:sz w:val="24"/>
          <w:szCs w:val="24"/>
          <w:lang w:val="kk-KZ"/>
        </w:rPr>
        <w:t>Еңбек нарығындағы жағдай</w:t>
      </w:r>
      <w:r w:rsidR="007B2FC1">
        <w:rPr>
          <w:rFonts w:ascii="Calibri" w:hAnsi="Calibri" w:cs="Arial"/>
          <w:noProof w:val="0"/>
          <w:sz w:val="24"/>
          <w:szCs w:val="24"/>
          <w:lang w:val="kk-KZ"/>
        </w:rPr>
        <w:t>*</w:t>
      </w:r>
    </w:p>
    <w:p w:rsidR="0077469A" w:rsidRPr="00F940C1" w:rsidRDefault="0077469A" w:rsidP="008F5C46">
      <w:pPr>
        <w:pStyle w:val="af3"/>
        <w:rPr>
          <w:rFonts w:ascii="Calibri" w:hAnsi="Calibri"/>
          <w:lang w:val="kk-KZ"/>
        </w:rPr>
      </w:pPr>
    </w:p>
    <w:p w:rsidR="004370C9" w:rsidRDefault="00506AF1" w:rsidP="004370C9">
      <w:pPr>
        <w:pStyle w:val="First"/>
        <w:spacing w:before="0"/>
        <w:rPr>
          <w:rFonts w:ascii="Calibri" w:hAnsi="Calibri" w:cs="Arial"/>
          <w:lang w:val="kk-KZ"/>
        </w:rPr>
      </w:pPr>
      <w:r>
        <w:rPr>
          <w:rFonts w:ascii="Calibri" w:hAnsi="Calibri" w:cs="Arial"/>
          <w:lang w:val="kk-KZ"/>
        </w:rPr>
        <w:t>202</w:t>
      </w:r>
      <w:r w:rsidRPr="00A44F5C">
        <w:rPr>
          <w:rFonts w:ascii="Calibri" w:hAnsi="Calibri" w:cs="Arial"/>
          <w:lang w:val="kk-KZ"/>
        </w:rPr>
        <w:t>1</w:t>
      </w:r>
      <w:r w:rsidR="007E5194" w:rsidRPr="00F940C1">
        <w:rPr>
          <w:rFonts w:ascii="Calibri" w:hAnsi="Calibri" w:cs="Arial"/>
          <w:lang w:val="kk-KZ"/>
        </w:rPr>
        <w:t xml:space="preserve"> жылғы </w:t>
      </w:r>
      <w:r w:rsidR="00D7776E" w:rsidRPr="004620F3">
        <w:rPr>
          <w:rFonts w:ascii="Calibri" w:hAnsi="Calibri" w:cs="Arial"/>
          <w:lang w:val="en-US"/>
        </w:rPr>
        <w:t>IV</w:t>
      </w:r>
      <w:r w:rsidR="00B22950" w:rsidRPr="00F940C1">
        <w:rPr>
          <w:rFonts w:ascii="Calibri" w:hAnsi="Calibri" w:cs="Arial"/>
          <w:lang w:val="kk-KZ"/>
        </w:rPr>
        <w:t xml:space="preserve"> тоқсанда</w:t>
      </w:r>
      <w:r w:rsidR="007E5194" w:rsidRPr="00F940C1">
        <w:rPr>
          <w:rFonts w:ascii="Calibri" w:hAnsi="Calibri" w:cs="Arial"/>
          <w:lang w:val="kk-KZ"/>
        </w:rPr>
        <w:t xml:space="preserve"> республика экономикасында</w:t>
      </w:r>
      <w:r w:rsidR="001552E4">
        <w:rPr>
          <w:rFonts w:ascii="Calibri" w:hAnsi="Calibri" w:cs="Arial"/>
          <w:lang w:val="kk-KZ"/>
        </w:rPr>
        <w:t xml:space="preserve"> </w:t>
      </w:r>
      <w:r w:rsidR="00B243B9">
        <w:rPr>
          <w:rFonts w:ascii="Calibri" w:hAnsi="Calibri" w:cs="Arial"/>
          <w:lang w:val="kk-KZ"/>
        </w:rPr>
        <w:t>8</w:t>
      </w:r>
      <w:r w:rsidR="00B243B9" w:rsidRPr="00F940C1">
        <w:rPr>
          <w:rFonts w:ascii="Calibri" w:hAnsi="Calibri" w:cs="Arial"/>
          <w:lang w:val="kk-KZ"/>
        </w:rPr>
        <w:t>,</w:t>
      </w:r>
      <w:r w:rsidRPr="00A44F5C">
        <w:rPr>
          <w:rFonts w:ascii="Calibri" w:hAnsi="Calibri" w:cs="Arial"/>
          <w:lang w:val="kk-KZ"/>
        </w:rPr>
        <w:t>8</w:t>
      </w:r>
      <w:r w:rsidR="00694651" w:rsidRPr="00F940C1">
        <w:rPr>
          <w:rFonts w:ascii="Calibri" w:hAnsi="Calibri" w:cs="Arial"/>
          <w:lang w:val="kk-KZ"/>
        </w:rPr>
        <w:t xml:space="preserve"> млн. адам жұмыспен қамтылды. Жұмыспен қамтылған халық</w:t>
      </w:r>
      <w:r w:rsidR="00AC6A06" w:rsidRPr="00F940C1">
        <w:rPr>
          <w:rFonts w:ascii="Calibri" w:hAnsi="Calibri" w:cs="Arial"/>
          <w:lang w:val="kk-KZ"/>
        </w:rPr>
        <w:t>тың арасында 6,</w:t>
      </w:r>
      <w:r w:rsidR="00E906BE" w:rsidRPr="00F940C1">
        <w:rPr>
          <w:rFonts w:ascii="Calibri" w:hAnsi="Calibri" w:cs="Arial"/>
          <w:lang w:val="kk-KZ"/>
        </w:rPr>
        <w:t>7</w:t>
      </w:r>
      <w:r w:rsidR="00AC6A06" w:rsidRPr="00F940C1">
        <w:rPr>
          <w:rFonts w:ascii="Calibri" w:hAnsi="Calibri" w:cs="Arial"/>
          <w:lang w:val="kk-KZ"/>
        </w:rPr>
        <w:t xml:space="preserve"> млн. адам</w:t>
      </w:r>
      <w:r w:rsidR="00694651" w:rsidRPr="00F940C1">
        <w:rPr>
          <w:rFonts w:ascii="Calibri" w:hAnsi="Calibri" w:cs="Arial"/>
          <w:lang w:val="kk-KZ"/>
        </w:rPr>
        <w:t xml:space="preserve"> (жұмыспен қа</w:t>
      </w:r>
      <w:r w:rsidR="00E906BE" w:rsidRPr="00F940C1">
        <w:rPr>
          <w:rFonts w:ascii="Calibri" w:hAnsi="Calibri" w:cs="Arial"/>
          <w:lang w:val="kk-KZ"/>
        </w:rPr>
        <w:t xml:space="preserve">мтылғандардың жалпы санынан </w:t>
      </w:r>
      <w:r w:rsidR="00B243B9" w:rsidRPr="00F940C1">
        <w:rPr>
          <w:rFonts w:ascii="Calibri" w:hAnsi="Calibri" w:cs="Arial"/>
          <w:lang w:val="kk-KZ"/>
        </w:rPr>
        <w:t>7</w:t>
      </w:r>
      <w:r w:rsidR="00B243B9">
        <w:rPr>
          <w:rFonts w:ascii="Calibri" w:hAnsi="Calibri" w:cs="Arial"/>
          <w:lang w:val="kk-KZ"/>
        </w:rPr>
        <w:t>6</w:t>
      </w:r>
      <w:r w:rsidR="00B243B9" w:rsidRPr="00F940C1">
        <w:rPr>
          <w:rFonts w:ascii="Calibri" w:hAnsi="Calibri" w:cs="Arial"/>
          <w:lang w:val="kk-KZ"/>
        </w:rPr>
        <w:t>,</w:t>
      </w:r>
      <w:r w:rsidR="0081674A">
        <w:rPr>
          <w:rFonts w:ascii="Calibri" w:hAnsi="Calibri" w:cs="Arial"/>
          <w:lang w:val="kk-KZ"/>
        </w:rPr>
        <w:t>1</w:t>
      </w:r>
      <w:r w:rsidR="00694651" w:rsidRPr="00F940C1">
        <w:rPr>
          <w:rFonts w:ascii="Calibri" w:hAnsi="Calibri" w:cs="Arial"/>
          <w:lang w:val="kk-KZ"/>
        </w:rPr>
        <w:t xml:space="preserve">%) </w:t>
      </w:r>
      <w:r w:rsidR="00AC6A06" w:rsidRPr="00F940C1">
        <w:rPr>
          <w:rFonts w:ascii="Calibri" w:hAnsi="Calibri" w:cs="Arial"/>
          <w:lang w:val="kk-KZ"/>
        </w:rPr>
        <w:t>жалдамалы қызмет бойынша жұмыспен қамтылған</w:t>
      </w:r>
      <w:r w:rsidR="00694651" w:rsidRPr="00F940C1">
        <w:rPr>
          <w:rFonts w:ascii="Calibri" w:hAnsi="Calibri" w:cs="Arial"/>
          <w:lang w:val="kk-KZ"/>
        </w:rPr>
        <w:t>.</w:t>
      </w:r>
      <w:r w:rsidR="006C0F06">
        <w:rPr>
          <w:rFonts w:ascii="Calibri" w:hAnsi="Calibri" w:cs="Arial"/>
          <w:lang w:val="kk-KZ"/>
        </w:rPr>
        <w:t xml:space="preserve"> </w:t>
      </w:r>
      <w:r w:rsidR="004370C9">
        <w:rPr>
          <w:rFonts w:ascii="Calibri" w:hAnsi="Calibri" w:cs="Arial"/>
          <w:lang w:val="kk-KZ"/>
        </w:rPr>
        <w:t>Ж</w:t>
      </w:r>
      <w:r w:rsidR="004370C9" w:rsidRPr="00F940C1">
        <w:rPr>
          <w:rFonts w:ascii="Calibri" w:hAnsi="Calibri" w:cs="Arial"/>
          <w:lang w:val="kk-KZ"/>
        </w:rPr>
        <w:t>ұмыссыздар саны</w:t>
      </w:r>
      <w:r w:rsidR="004370C9">
        <w:rPr>
          <w:rFonts w:ascii="Calibri" w:hAnsi="Calibri" w:cs="Arial"/>
          <w:lang w:val="kk-KZ"/>
        </w:rPr>
        <w:t xml:space="preserve"> (Халықаралық еңбек ұйымының</w:t>
      </w:r>
      <w:r w:rsidR="004370C9" w:rsidRPr="00F940C1">
        <w:rPr>
          <w:rFonts w:ascii="Calibri" w:hAnsi="Calibri" w:cs="Arial"/>
          <w:lang w:val="kk-KZ"/>
        </w:rPr>
        <w:t xml:space="preserve"> әдіснамасы бойынша</w:t>
      </w:r>
      <w:r w:rsidR="004370C9">
        <w:rPr>
          <w:rFonts w:ascii="Calibri" w:hAnsi="Calibri" w:cs="Arial"/>
          <w:lang w:val="kk-KZ"/>
        </w:rPr>
        <w:t>)</w:t>
      </w:r>
      <w:r w:rsidR="00C41496">
        <w:rPr>
          <w:rFonts w:ascii="Calibri" w:hAnsi="Calibri" w:cs="Arial"/>
          <w:lang w:val="kk-KZ"/>
        </w:rPr>
        <w:t xml:space="preserve"> 45</w:t>
      </w:r>
      <w:r w:rsidR="00013046" w:rsidRPr="00013046">
        <w:rPr>
          <w:rFonts w:ascii="Calibri" w:hAnsi="Calibri" w:cs="Arial"/>
          <w:lang w:val="kk-KZ"/>
        </w:rPr>
        <w:t>0</w:t>
      </w:r>
      <w:r>
        <w:rPr>
          <w:rFonts w:ascii="Calibri" w:hAnsi="Calibri" w:cs="Arial"/>
          <w:lang w:val="kk-KZ"/>
        </w:rPr>
        <w:t>,</w:t>
      </w:r>
      <w:r w:rsidR="00D7776E" w:rsidRPr="00D7776E">
        <w:rPr>
          <w:rFonts w:ascii="Calibri" w:hAnsi="Calibri" w:cs="Arial"/>
          <w:lang w:val="kk-KZ"/>
        </w:rPr>
        <w:t>4</w:t>
      </w:r>
      <w:r w:rsidR="00C41496" w:rsidRPr="00C41496">
        <w:rPr>
          <w:rFonts w:ascii="Calibri" w:hAnsi="Calibri" w:cs="Arial"/>
          <w:lang w:val="kk-KZ"/>
        </w:rPr>
        <w:t xml:space="preserve"> </w:t>
      </w:r>
      <w:r w:rsidR="009A4357">
        <w:rPr>
          <w:rFonts w:ascii="Calibri" w:hAnsi="Calibri" w:cs="Arial"/>
          <w:lang w:val="kk-KZ"/>
        </w:rPr>
        <w:t>мың адамды</w:t>
      </w:r>
      <w:r w:rsidR="004370C9" w:rsidRPr="00E85B74">
        <w:rPr>
          <w:rFonts w:ascii="Calibri" w:hAnsi="Calibri" w:cs="Arial"/>
          <w:lang w:val="kk-KZ"/>
        </w:rPr>
        <w:t xml:space="preserve"> құрады</w:t>
      </w:r>
      <w:r w:rsidR="004370C9" w:rsidRPr="00F940C1">
        <w:rPr>
          <w:rFonts w:ascii="Calibri" w:hAnsi="Calibri" w:cs="Arial"/>
          <w:lang w:val="kk-KZ"/>
        </w:rPr>
        <w:t>.</w:t>
      </w:r>
    </w:p>
    <w:p w:rsidR="009A4357" w:rsidRPr="00DC0388" w:rsidRDefault="009A4357" w:rsidP="00DC0388">
      <w:pPr>
        <w:pStyle w:val="a8"/>
        <w:ind w:firstLine="567"/>
        <w:rPr>
          <w:rFonts w:ascii="Calibri" w:hAnsi="Calibri" w:cs="Arial"/>
          <w:b w:val="0"/>
          <w:color w:val="auto"/>
          <w:lang w:val="kk-KZ"/>
        </w:rPr>
      </w:pPr>
      <w:r w:rsidRPr="000612BD">
        <w:rPr>
          <w:rFonts w:ascii="Calibri" w:hAnsi="Calibri" w:cs="Arial"/>
          <w:b w:val="0"/>
          <w:color w:val="auto"/>
          <w:lang w:val="kk-KZ"/>
        </w:rPr>
        <w:t>2021 жыл</w:t>
      </w:r>
      <w:r w:rsidR="000167BB" w:rsidRPr="000612BD">
        <w:rPr>
          <w:rFonts w:ascii="Calibri" w:hAnsi="Calibri" w:cs="Arial"/>
          <w:b w:val="0"/>
          <w:color w:val="auto"/>
          <w:lang w:val="kk-KZ"/>
        </w:rPr>
        <w:t>ғы</w:t>
      </w:r>
      <w:r w:rsidR="008948A6" w:rsidRPr="000612BD">
        <w:rPr>
          <w:rFonts w:ascii="Calibri" w:hAnsi="Calibri" w:cs="Arial"/>
          <w:b w:val="0"/>
          <w:color w:val="auto"/>
          <w:lang w:val="kk-KZ"/>
        </w:rPr>
        <w:t xml:space="preserve"> </w:t>
      </w:r>
      <w:r w:rsidR="0095622F" w:rsidRPr="000612BD">
        <w:rPr>
          <w:rFonts w:ascii="Calibri" w:hAnsi="Calibri" w:cs="Arial"/>
          <w:b w:val="0"/>
          <w:color w:val="auto"/>
          <w:lang w:val="kk-KZ"/>
        </w:rPr>
        <w:t>IV тоқсанда</w:t>
      </w:r>
      <w:r w:rsidR="0095622F" w:rsidRPr="00DC0388">
        <w:rPr>
          <w:rFonts w:ascii="Calibri" w:hAnsi="Calibri" w:cs="Arial"/>
          <w:b w:val="0"/>
          <w:color w:val="auto"/>
          <w:lang w:val="kk-KZ"/>
        </w:rPr>
        <w:t xml:space="preserve"> уақытша және кес</w:t>
      </w:r>
      <w:r w:rsidRPr="00DC0388">
        <w:rPr>
          <w:rFonts w:ascii="Calibri" w:hAnsi="Calibri" w:cs="Arial"/>
          <w:b w:val="0"/>
          <w:color w:val="auto"/>
          <w:lang w:val="kk-KZ"/>
        </w:rPr>
        <w:t>імді жұмыстарда – 320,9 мың адам, маусымдық жұмыстарда – 32,9 мың адам, кездейсоқ жұмыстарда – 8,5 мың адам жұмыспен қамтылды. Жеке қосалқы шаруашылықтарда сатуға және айырбастауға арналған өнім өндірумен 400,5 мың адам айналысты.</w:t>
      </w:r>
    </w:p>
    <w:p w:rsidR="00676DD1" w:rsidRPr="00AF49AB" w:rsidRDefault="00AF49AB" w:rsidP="00AF49AB">
      <w:pPr>
        <w:pStyle w:val="a8"/>
        <w:ind w:firstLine="567"/>
        <w:rPr>
          <w:rFonts w:ascii="Calibri" w:hAnsi="Calibri" w:cs="Arial"/>
          <w:b w:val="0"/>
          <w:color w:val="auto"/>
          <w:lang w:val="kk-KZ"/>
        </w:rPr>
      </w:pPr>
      <w:r>
        <w:rPr>
          <w:rFonts w:ascii="Calibri" w:hAnsi="Calibri" w:cs="Arial"/>
          <w:b w:val="0"/>
          <w:color w:val="auto"/>
          <w:lang w:val="kk-KZ"/>
        </w:rPr>
        <w:t>Ж</w:t>
      </w:r>
      <w:r w:rsidR="00BF4441" w:rsidRPr="00F42A24">
        <w:rPr>
          <w:rFonts w:ascii="Calibri" w:hAnsi="Calibri" w:cs="Arial"/>
          <w:b w:val="0"/>
          <w:color w:val="auto"/>
          <w:lang w:val="kk-KZ"/>
        </w:rPr>
        <w:t xml:space="preserve">ұмыс көлемінің төмендеуіне (толық емес жұмыс күні) </w:t>
      </w:r>
      <w:r>
        <w:rPr>
          <w:rFonts w:ascii="Calibri" w:hAnsi="Calibri" w:cs="Arial"/>
          <w:b w:val="0"/>
          <w:color w:val="auto"/>
          <w:lang w:val="kk-KZ"/>
        </w:rPr>
        <w:t>жән</w:t>
      </w:r>
      <w:r w:rsidR="00BF4441" w:rsidRPr="00F42A24">
        <w:rPr>
          <w:rFonts w:ascii="Calibri" w:hAnsi="Calibri" w:cs="Arial"/>
          <w:b w:val="0"/>
          <w:color w:val="auto"/>
          <w:lang w:val="kk-KZ"/>
        </w:rPr>
        <w:t>е жұмыс берушінің бастамасы бойынша аз с</w:t>
      </w:r>
      <w:r>
        <w:rPr>
          <w:rFonts w:ascii="Calibri" w:hAnsi="Calibri" w:cs="Arial"/>
          <w:b w:val="0"/>
          <w:color w:val="auto"/>
          <w:lang w:val="kk-KZ"/>
        </w:rPr>
        <w:t>ағат жұмыспен қамтылғандар саны</w:t>
      </w:r>
      <w:r w:rsidR="00D7776E">
        <w:rPr>
          <w:rFonts w:ascii="Calibri" w:hAnsi="Calibri" w:cs="Arial"/>
          <w:b w:val="0"/>
          <w:color w:val="auto"/>
          <w:lang w:val="kk-KZ"/>
        </w:rPr>
        <w:t xml:space="preserve"> 2</w:t>
      </w:r>
      <w:r w:rsidR="00D7776E" w:rsidRPr="00D7776E">
        <w:rPr>
          <w:rFonts w:ascii="Calibri" w:hAnsi="Calibri" w:cs="Arial"/>
          <w:b w:val="0"/>
          <w:color w:val="auto"/>
          <w:lang w:val="kk-KZ"/>
        </w:rPr>
        <w:t>24</w:t>
      </w:r>
      <w:r w:rsidR="00D7776E">
        <w:rPr>
          <w:rFonts w:ascii="Calibri" w:hAnsi="Calibri" w:cs="Arial"/>
          <w:b w:val="0"/>
          <w:color w:val="auto"/>
          <w:lang w:val="kk-KZ"/>
        </w:rPr>
        <w:t>,</w:t>
      </w:r>
      <w:r w:rsidR="00D7776E" w:rsidRPr="00D7776E">
        <w:rPr>
          <w:rFonts w:ascii="Calibri" w:hAnsi="Calibri" w:cs="Arial"/>
          <w:b w:val="0"/>
          <w:color w:val="auto"/>
          <w:lang w:val="kk-KZ"/>
        </w:rPr>
        <w:t>3</w:t>
      </w:r>
      <w:r w:rsidR="00BF4441" w:rsidRPr="00F42A24">
        <w:rPr>
          <w:rFonts w:ascii="Calibri" w:hAnsi="Calibri" w:cs="Arial"/>
          <w:b w:val="0"/>
          <w:color w:val="auto"/>
          <w:lang w:val="kk-KZ"/>
        </w:rPr>
        <w:t xml:space="preserve"> мың адамды құрады.</w:t>
      </w:r>
      <w:r>
        <w:rPr>
          <w:rFonts w:ascii="Calibri" w:hAnsi="Calibri" w:cs="Arial"/>
          <w:b w:val="0"/>
          <w:color w:val="auto"/>
          <w:lang w:val="kk-KZ"/>
        </w:rPr>
        <w:t xml:space="preserve"> </w:t>
      </w:r>
      <w:r w:rsidR="00F34470" w:rsidRPr="00AF49AB">
        <w:rPr>
          <w:rFonts w:ascii="Calibri" w:hAnsi="Calibri" w:cs="Arial"/>
          <w:b w:val="0"/>
          <w:color w:val="auto"/>
          <w:lang w:val="kk-KZ"/>
        </w:rPr>
        <w:t xml:space="preserve">Қызметті тоқтату себебіне байланысты уақытша жұмыс істемейтіндер саны </w:t>
      </w:r>
      <w:r w:rsidR="00D7776E" w:rsidRPr="00AF49AB">
        <w:rPr>
          <w:rFonts w:ascii="Calibri" w:hAnsi="Calibri" w:cs="Arial"/>
          <w:b w:val="0"/>
          <w:color w:val="auto"/>
          <w:lang w:val="kk-KZ"/>
        </w:rPr>
        <w:t>2,5</w:t>
      </w:r>
      <w:r w:rsidR="00F34470" w:rsidRPr="00AF49AB">
        <w:rPr>
          <w:rFonts w:ascii="Calibri" w:hAnsi="Calibri" w:cs="Arial"/>
          <w:b w:val="0"/>
          <w:color w:val="auto"/>
          <w:lang w:val="kk-KZ"/>
        </w:rPr>
        <w:t xml:space="preserve"> мың адамды құрады.</w:t>
      </w:r>
      <w:r w:rsidR="00E01F61" w:rsidRPr="00AF49AB">
        <w:rPr>
          <w:rFonts w:ascii="Calibri" w:hAnsi="Calibri" w:cs="Arial"/>
          <w:b w:val="0"/>
          <w:color w:val="auto"/>
          <w:lang w:val="kk-KZ"/>
        </w:rPr>
        <w:t xml:space="preserve"> </w:t>
      </w:r>
    </w:p>
    <w:p w:rsidR="00DE1D56" w:rsidRDefault="00694651" w:rsidP="00034368">
      <w:pPr>
        <w:pStyle w:val="aa"/>
        <w:spacing w:before="240" w:after="0"/>
        <w:rPr>
          <w:rFonts w:ascii="Calibri" w:hAnsi="Calibri" w:cs="Arial"/>
          <w:color w:val="auto"/>
          <w:sz w:val="20"/>
          <w:lang w:val="kk-KZ"/>
        </w:rPr>
      </w:pPr>
      <w:r w:rsidRPr="001A1771">
        <w:rPr>
          <w:rFonts w:ascii="Calibri" w:hAnsi="Calibri" w:cs="Arial"/>
          <w:color w:val="auto"/>
          <w:sz w:val="20"/>
          <w:lang w:val="kk-KZ"/>
        </w:rPr>
        <w:t>Қазақстан Республикасындағ</w:t>
      </w:r>
      <w:r w:rsidR="00FA673F">
        <w:rPr>
          <w:rFonts w:ascii="Calibri" w:hAnsi="Calibri" w:cs="Arial"/>
          <w:color w:val="auto"/>
          <w:sz w:val="20"/>
          <w:lang w:val="kk-KZ"/>
        </w:rPr>
        <w:t>ы еңбек нарығының көрсеткіштері</w:t>
      </w:r>
    </w:p>
    <w:p w:rsidR="00490703" w:rsidRPr="00490703" w:rsidRDefault="00501F48" w:rsidP="00490703">
      <w:pPr>
        <w:pStyle w:val="a8"/>
        <w:rPr>
          <w:rFonts w:asciiTheme="minorHAnsi" w:hAnsiTheme="minorHAnsi"/>
          <w:sz w:val="18"/>
          <w:szCs w:val="18"/>
          <w:lang w:val="kk-KZ"/>
        </w:rPr>
      </w:pPr>
      <w:r w:rsidRPr="00501F48">
        <w:rPr>
          <w:noProof/>
          <w:szCs w:val="18"/>
        </w:rPr>
        <w:drawing>
          <wp:inline distT="0" distB="0" distL="0" distR="0">
            <wp:extent cx="6361043" cy="236948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1CD4" w:rsidRDefault="00681CD4" w:rsidP="00DE39BE">
      <w:pPr>
        <w:pStyle w:val="a8"/>
        <w:rPr>
          <w:rFonts w:ascii="Calibri" w:hAnsi="Calibri" w:cs="Arial"/>
          <w:b w:val="0"/>
          <w:color w:val="000000" w:themeColor="text1"/>
          <w:lang w:val="kk-KZ"/>
        </w:rPr>
      </w:pPr>
    </w:p>
    <w:p w:rsidR="00DE39BE" w:rsidRPr="00FA673F" w:rsidRDefault="00292948" w:rsidP="00DE39BE">
      <w:pPr>
        <w:pStyle w:val="a8"/>
        <w:rPr>
          <w:rFonts w:ascii="Calibri" w:hAnsi="Calibri" w:cs="Arial"/>
          <w:b w:val="0"/>
          <w:color w:val="000000" w:themeColor="text1"/>
          <w:lang w:val="kk-KZ"/>
        </w:rPr>
      </w:pPr>
      <w:r>
        <w:rPr>
          <w:rFonts w:ascii="Calibri" w:hAnsi="Calibri" w:cs="Arial"/>
          <w:b w:val="0"/>
          <w:color w:val="000000" w:themeColor="text1"/>
          <w:lang w:val="kk-KZ"/>
        </w:rPr>
        <w:t>Жұмыспен қамту органдарынд</w:t>
      </w:r>
      <w:r w:rsidR="00501F48">
        <w:rPr>
          <w:rFonts w:ascii="Calibri" w:hAnsi="Calibri" w:cs="Arial"/>
          <w:b w:val="0"/>
          <w:color w:val="000000" w:themeColor="text1"/>
          <w:lang w:val="kk-KZ"/>
        </w:rPr>
        <w:t>а 2022</w:t>
      </w:r>
      <w:r w:rsidR="00DE39BE" w:rsidRPr="00FA673F">
        <w:rPr>
          <w:rFonts w:ascii="Calibri" w:hAnsi="Calibri" w:cs="Arial"/>
          <w:b w:val="0"/>
          <w:color w:val="000000" w:themeColor="text1"/>
          <w:lang w:val="kk-KZ"/>
        </w:rPr>
        <w:t xml:space="preserve"> жылғы </w:t>
      </w:r>
      <w:r w:rsidR="00501F48">
        <w:rPr>
          <w:rFonts w:ascii="Calibri" w:hAnsi="Calibri" w:cs="Arial"/>
          <w:b w:val="0"/>
          <w:color w:val="000000" w:themeColor="text1"/>
          <w:lang w:val="kk-KZ"/>
        </w:rPr>
        <w:t>қаңтар</w:t>
      </w:r>
      <w:r w:rsidR="00DE39BE" w:rsidRPr="00FA673F">
        <w:rPr>
          <w:rFonts w:ascii="Calibri" w:hAnsi="Calibri" w:cs="Arial"/>
          <w:b w:val="0"/>
          <w:color w:val="000000" w:themeColor="text1"/>
          <w:lang w:val="kk-KZ"/>
        </w:rPr>
        <w:t xml:space="preserve"> айының соңына </w:t>
      </w:r>
      <w:r w:rsidR="00501F48">
        <w:rPr>
          <w:rFonts w:ascii="Calibri" w:hAnsi="Calibri" w:cs="Arial"/>
          <w:b w:val="0"/>
          <w:color w:val="000000" w:themeColor="text1"/>
          <w:lang w:val="kk-KZ"/>
        </w:rPr>
        <w:t>1</w:t>
      </w:r>
      <w:r w:rsidR="00A90F45">
        <w:rPr>
          <w:rFonts w:ascii="Calibri" w:hAnsi="Calibri" w:cs="Arial"/>
          <w:b w:val="0"/>
          <w:color w:val="000000" w:themeColor="text1"/>
          <w:lang w:val="kk-KZ"/>
        </w:rPr>
        <w:t>3</w:t>
      </w:r>
      <w:r w:rsidR="00501F48">
        <w:rPr>
          <w:rFonts w:ascii="Calibri" w:hAnsi="Calibri" w:cs="Arial"/>
          <w:b w:val="0"/>
          <w:color w:val="000000" w:themeColor="text1"/>
          <w:lang w:val="kk-KZ"/>
        </w:rPr>
        <w:t>8,7</w:t>
      </w:r>
      <w:r w:rsidR="00DE39BE" w:rsidRPr="00FA673F">
        <w:rPr>
          <w:rFonts w:ascii="Calibri" w:hAnsi="Calibri" w:cs="Arial"/>
          <w:b w:val="0"/>
          <w:color w:val="000000" w:themeColor="text1"/>
          <w:lang w:val="kk-KZ"/>
        </w:rPr>
        <w:t xml:space="preserve"> мың адам жұмыссыз ретінде ресми тіркелген.</w:t>
      </w:r>
      <w:r w:rsidR="0013291D" w:rsidRPr="0013291D">
        <w:rPr>
          <w:rFonts w:ascii="Calibri" w:hAnsi="Calibri" w:cs="Arial"/>
          <w:b w:val="0"/>
          <w:color w:val="000000" w:themeColor="text1"/>
          <w:lang w:val="kk-KZ"/>
        </w:rPr>
        <w:t xml:space="preserve"> Жұмыс іздеген адам ретінде жұмыспен қамту мекемелеріне 68,4 </w:t>
      </w:r>
      <w:r w:rsidRPr="00FA673F">
        <w:rPr>
          <w:rFonts w:ascii="Calibri" w:hAnsi="Calibri" w:cs="Arial"/>
          <w:b w:val="0"/>
          <w:color w:val="000000" w:themeColor="text1"/>
          <w:lang w:val="kk-KZ"/>
        </w:rPr>
        <w:t xml:space="preserve">мың адам </w:t>
      </w:r>
      <w:r w:rsidR="0013291D">
        <w:rPr>
          <w:rFonts w:ascii="Calibri" w:hAnsi="Calibri" w:cs="Arial"/>
          <w:b w:val="0"/>
          <w:color w:val="000000" w:themeColor="text1"/>
          <w:lang w:val="kk-KZ"/>
        </w:rPr>
        <w:t>жүгінген</w:t>
      </w:r>
      <w:r w:rsidR="0013291D" w:rsidRPr="0013291D">
        <w:rPr>
          <w:rFonts w:ascii="Calibri" w:hAnsi="Calibri" w:cs="Arial"/>
          <w:b w:val="0"/>
          <w:color w:val="000000" w:themeColor="text1"/>
          <w:lang w:val="kk-KZ"/>
        </w:rPr>
        <w:t>.</w:t>
      </w:r>
      <w:r w:rsidR="00DE39BE" w:rsidRPr="00FA673F">
        <w:rPr>
          <w:rFonts w:ascii="Calibri" w:hAnsi="Calibri" w:cs="Arial"/>
          <w:b w:val="0"/>
          <w:color w:val="000000" w:themeColor="text1"/>
          <w:lang w:val="kk-KZ"/>
        </w:rPr>
        <w:t xml:space="preserve"> </w:t>
      </w:r>
      <w:r w:rsidR="00DC0388">
        <w:rPr>
          <w:rFonts w:ascii="Calibri" w:hAnsi="Calibri" w:cs="Arial"/>
          <w:b w:val="0"/>
          <w:color w:val="000000" w:themeColor="text1"/>
          <w:lang w:val="kk-KZ"/>
        </w:rPr>
        <w:t>Ресми т</w:t>
      </w:r>
      <w:r w:rsidR="00DE39BE" w:rsidRPr="00FA673F">
        <w:rPr>
          <w:rFonts w:ascii="Calibri" w:hAnsi="Calibri" w:cs="Arial"/>
          <w:b w:val="0"/>
          <w:color w:val="000000" w:themeColor="text1"/>
          <w:lang w:val="kk-KZ"/>
        </w:rPr>
        <w:t xml:space="preserve">іркелген жұмыссыздар үлесі жұмыс күшінің </w:t>
      </w:r>
      <w:r w:rsidR="00DE39BE" w:rsidRPr="000612BD">
        <w:rPr>
          <w:rFonts w:ascii="Calibri" w:hAnsi="Calibri" w:cs="Arial"/>
          <w:b w:val="0"/>
          <w:color w:val="auto"/>
          <w:lang w:val="kk-KZ"/>
        </w:rPr>
        <w:t xml:space="preserve">санының </w:t>
      </w:r>
      <w:r w:rsidR="00501F48" w:rsidRPr="000612BD">
        <w:rPr>
          <w:rFonts w:ascii="Calibri" w:hAnsi="Calibri" w:cs="Arial"/>
          <w:b w:val="0"/>
          <w:color w:val="auto"/>
          <w:lang w:val="kk-KZ"/>
        </w:rPr>
        <w:t>1,5</w:t>
      </w:r>
      <w:r w:rsidR="00DE39BE" w:rsidRPr="000612BD">
        <w:rPr>
          <w:rFonts w:ascii="Calibri" w:hAnsi="Calibri" w:cs="Arial"/>
          <w:b w:val="0"/>
          <w:color w:val="auto"/>
          <w:lang w:val="kk-KZ"/>
        </w:rPr>
        <w:t>% құрады</w:t>
      </w:r>
      <w:r w:rsidR="00DE39BE" w:rsidRPr="00FA673F">
        <w:rPr>
          <w:rFonts w:ascii="Calibri" w:hAnsi="Calibri" w:cs="Arial"/>
          <w:b w:val="0"/>
          <w:color w:val="000000" w:themeColor="text1"/>
          <w:lang w:val="kk-KZ"/>
        </w:rPr>
        <w:t>.</w:t>
      </w:r>
    </w:p>
    <w:p w:rsidR="007B2FC1" w:rsidRPr="00E85B74" w:rsidRDefault="007B2FC1" w:rsidP="00DE39BE">
      <w:pPr>
        <w:pStyle w:val="a8"/>
        <w:rPr>
          <w:rFonts w:ascii="Calibri" w:hAnsi="Calibri" w:cs="Arial"/>
          <w:b w:val="0"/>
          <w:color w:val="auto"/>
          <w:lang w:val="kk-KZ"/>
        </w:rPr>
      </w:pPr>
    </w:p>
    <w:p w:rsidR="007B2FC1" w:rsidRPr="00E85B74" w:rsidRDefault="007B2FC1" w:rsidP="00FA673F">
      <w:pPr>
        <w:pStyle w:val="a8"/>
        <w:ind w:firstLine="284"/>
        <w:rPr>
          <w:rFonts w:ascii="Calibri" w:hAnsi="Calibri" w:cs="Arial"/>
          <w:b w:val="0"/>
          <w:i/>
          <w:color w:val="auto"/>
          <w:sz w:val="16"/>
          <w:szCs w:val="16"/>
          <w:lang w:val="kk-KZ"/>
        </w:rPr>
      </w:pPr>
      <w:r w:rsidRPr="00E85B74">
        <w:rPr>
          <w:rFonts w:ascii="Calibri" w:hAnsi="Calibri" w:cs="Arial"/>
          <w:b w:val="0"/>
          <w:i/>
          <w:color w:val="auto"/>
          <w:sz w:val="16"/>
          <w:szCs w:val="16"/>
          <w:lang w:val="kk-KZ"/>
        </w:rPr>
        <w:t>*</w:t>
      </w:r>
      <w:r w:rsidR="00B42380">
        <w:rPr>
          <w:rFonts w:ascii="Calibri" w:hAnsi="Calibri" w:cs="Arial"/>
          <w:b w:val="0"/>
          <w:i/>
          <w:color w:val="auto"/>
          <w:sz w:val="16"/>
          <w:szCs w:val="16"/>
          <w:lang w:val="kk-KZ"/>
        </w:rPr>
        <w:t xml:space="preserve"> </w:t>
      </w:r>
      <w:r w:rsidRPr="00E85B74">
        <w:rPr>
          <w:rFonts w:ascii="Calibri" w:hAnsi="Calibri" w:cs="Arial"/>
          <w:b w:val="0"/>
          <w:i/>
          <w:color w:val="auto"/>
          <w:sz w:val="16"/>
          <w:szCs w:val="16"/>
          <w:lang w:val="kk-KZ"/>
        </w:rPr>
        <w:t>Деректер халықтың жұмыспен қамтылуының іріктемелі зерттеу қорытындыларының негізінде қалыптастырылған.</w:t>
      </w:r>
    </w:p>
    <w:p w:rsidR="00786C8C" w:rsidRPr="00FA673F" w:rsidRDefault="00786C8C" w:rsidP="007B2FC1">
      <w:pPr>
        <w:pStyle w:val="a8"/>
        <w:rPr>
          <w:rFonts w:ascii="Calibri" w:hAnsi="Calibri" w:cs="Arial"/>
          <w:b w:val="0"/>
          <w:color w:val="000000" w:themeColor="text1"/>
          <w:lang w:val="kk-KZ"/>
        </w:rPr>
      </w:pPr>
    </w:p>
    <w:p w:rsidR="008F5C46" w:rsidRPr="00B42380" w:rsidRDefault="003A6A69" w:rsidP="008F5C46">
      <w:pPr>
        <w:pStyle w:val="af3"/>
        <w:rPr>
          <w:rFonts w:ascii="Calibri" w:hAnsi="Calibri"/>
          <w:b/>
          <w:i/>
          <w:sz w:val="16"/>
          <w:szCs w:val="16"/>
          <w:lang w:val="kk-KZ"/>
        </w:rPr>
      </w:pPr>
      <w:r w:rsidRPr="00B42380">
        <w:rPr>
          <w:rFonts w:ascii="Calibri" w:hAnsi="Calibri"/>
          <w:b/>
          <w:i/>
          <w:sz w:val="16"/>
          <w:szCs w:val="16"/>
          <w:lang w:val="kk-KZ"/>
        </w:rPr>
        <w:t>Әдіснам</w:t>
      </w:r>
      <w:r w:rsidR="007E5194" w:rsidRPr="00B42380">
        <w:rPr>
          <w:rFonts w:ascii="Calibri" w:hAnsi="Calibri"/>
          <w:b/>
          <w:i/>
          <w:sz w:val="16"/>
          <w:szCs w:val="16"/>
          <w:lang w:val="kk-KZ"/>
        </w:rPr>
        <w:t>алық түсіндірмелер:</w:t>
      </w:r>
    </w:p>
    <w:p w:rsidR="00694651" w:rsidRPr="00B42380" w:rsidRDefault="00694651" w:rsidP="00694651">
      <w:pPr>
        <w:widowControl w:val="0"/>
        <w:jc w:val="both"/>
        <w:rPr>
          <w:rFonts w:ascii="Calibri" w:hAnsi="Calibri" w:cs="Arial"/>
          <w:i/>
          <w:sz w:val="16"/>
          <w:szCs w:val="16"/>
          <w:lang w:val="kk-KZ"/>
        </w:rPr>
      </w:pPr>
      <w:r w:rsidRPr="00B42380">
        <w:rPr>
          <w:rFonts w:ascii="Calibri" w:hAnsi="Calibri" w:cs="Arial"/>
          <w:i/>
          <w:sz w:val="16"/>
          <w:szCs w:val="16"/>
          <w:lang w:val="kk-KZ"/>
        </w:rPr>
        <w:t>Жұмыссыздар</w:t>
      </w:r>
      <w:r w:rsidR="00220F98" w:rsidRPr="00B42380">
        <w:rPr>
          <w:rFonts w:ascii="Calibri" w:hAnsi="Calibri" w:cs="Arial"/>
          <w:i/>
          <w:sz w:val="16"/>
          <w:szCs w:val="16"/>
          <w:lang w:val="kk-KZ"/>
        </w:rPr>
        <w:t xml:space="preserve"> </w:t>
      </w:r>
      <w:r w:rsidR="00DE39BE" w:rsidRPr="00B42380">
        <w:rPr>
          <w:rFonts w:ascii="Calibri" w:hAnsi="Calibri" w:cs="Arial"/>
          <w:i/>
          <w:sz w:val="16"/>
          <w:szCs w:val="16"/>
          <w:lang w:val="kk-KZ"/>
        </w:rPr>
        <w:t>(Халықаралық еңбек ұйымының әдіснамасы бойынша)</w:t>
      </w:r>
      <w:r w:rsidRPr="00B42380">
        <w:rPr>
          <w:rFonts w:ascii="Calibri" w:hAnsi="Calibri" w:cs="Arial"/>
          <w:i/>
          <w:sz w:val="16"/>
          <w:szCs w:val="16"/>
          <w:lang w:val="kk-KZ"/>
        </w:rPr>
        <w:t xml:space="preserve"> - бұл табысты кәсібі (жұмысы) болмаған, оны белсенді іздеген және жұмысқа кірісуге дайын тұлғалар. </w:t>
      </w:r>
    </w:p>
    <w:p w:rsidR="003C00A2" w:rsidRPr="00B42380" w:rsidRDefault="003C00A2" w:rsidP="00694651">
      <w:pPr>
        <w:jc w:val="both"/>
        <w:rPr>
          <w:rFonts w:ascii="Calibri" w:hAnsi="Calibri" w:cs="Arial"/>
          <w:i/>
          <w:sz w:val="16"/>
          <w:szCs w:val="16"/>
          <w:lang w:val="kk-KZ"/>
        </w:rPr>
      </w:pPr>
    </w:p>
    <w:p w:rsidR="003B379B" w:rsidRPr="00580FC4" w:rsidRDefault="003C00A2" w:rsidP="003C00A2">
      <w:pPr>
        <w:tabs>
          <w:tab w:val="clear" w:pos="4536"/>
        </w:tabs>
        <w:autoSpaceDE w:val="0"/>
        <w:autoSpaceDN w:val="0"/>
        <w:adjustRightInd w:val="0"/>
        <w:spacing w:after="120"/>
        <w:rPr>
          <w:rStyle w:val="af2"/>
          <w:b w:val="0"/>
          <w:bCs w:val="0"/>
          <w:i/>
          <w:sz w:val="16"/>
          <w:szCs w:val="16"/>
          <w:lang w:val="kk-KZ"/>
        </w:rPr>
      </w:pPr>
      <w:r w:rsidRPr="00580FC4">
        <w:rPr>
          <w:rFonts w:ascii="Calibri" w:hAnsi="Calibri" w:cs="Arial"/>
          <w:i/>
          <w:sz w:val="16"/>
          <w:szCs w:val="16"/>
          <w:lang w:val="kk-KZ"/>
        </w:rPr>
        <w:t>www.stat.gov.kz / Ресми статистика / Салалар бойынша / Еңбек және жұмыспен қамту статистикасы</w:t>
      </w:r>
    </w:p>
    <w:tbl>
      <w:tblPr>
        <w:tblW w:w="10419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1"/>
        <w:gridCol w:w="2977"/>
        <w:gridCol w:w="2481"/>
      </w:tblGrid>
      <w:tr w:rsidR="007D0EEC" w:rsidRPr="00403BF3" w:rsidTr="00633463">
        <w:trPr>
          <w:trHeight w:val="160"/>
        </w:trPr>
        <w:tc>
          <w:tcPr>
            <w:tcW w:w="2480" w:type="dxa"/>
          </w:tcPr>
          <w:bookmarkEnd w:id="0"/>
          <w:p w:rsidR="00DF50A3" w:rsidRPr="000612BD" w:rsidRDefault="00DF50A3" w:rsidP="0074607D">
            <w:pPr>
              <w:pStyle w:val="af0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0612BD">
              <w:rPr>
                <w:rFonts w:ascii="Calibri" w:hAnsi="Calibri" w:cs="Arial"/>
                <w:b/>
                <w:sz w:val="16"/>
                <w:szCs w:val="16"/>
              </w:rPr>
              <w:t>Орындаушы</w:t>
            </w:r>
            <w:proofErr w:type="spellEnd"/>
            <w:r w:rsidRPr="000612BD">
              <w:rPr>
                <w:rFonts w:ascii="Calibri" w:hAnsi="Calibri" w:cs="Arial"/>
                <w:b/>
                <w:sz w:val="16"/>
                <w:szCs w:val="16"/>
              </w:rPr>
              <w:t>:</w:t>
            </w:r>
          </w:p>
          <w:p w:rsidR="007D0EEC" w:rsidRPr="000612BD" w:rsidRDefault="0009362B" w:rsidP="0074607D">
            <w:pPr>
              <w:pStyle w:val="af0"/>
              <w:rPr>
                <w:rFonts w:ascii="Calibri" w:hAnsi="Calibri" w:cs="Arial"/>
                <w:sz w:val="16"/>
                <w:szCs w:val="16"/>
              </w:rPr>
            </w:pPr>
            <w:r w:rsidRPr="000612BD">
              <w:rPr>
                <w:rFonts w:ascii="Calibri" w:hAnsi="Calibri" w:cs="Arial"/>
                <w:sz w:val="16"/>
                <w:szCs w:val="16"/>
                <w:lang w:val="kk-KZ"/>
              </w:rPr>
              <w:t>Ә</w:t>
            </w:r>
            <w:r w:rsidR="00633463" w:rsidRPr="000612BD">
              <w:rPr>
                <w:rFonts w:ascii="Calibri" w:hAnsi="Calibri" w:cs="Arial"/>
                <w:sz w:val="16"/>
                <w:szCs w:val="16"/>
                <w:lang w:val="kk-KZ"/>
              </w:rPr>
              <w:t>.</w:t>
            </w:r>
            <w:r w:rsidR="000167BB" w:rsidRPr="000612BD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Pr="000612BD">
              <w:rPr>
                <w:rFonts w:ascii="Calibri" w:hAnsi="Calibri" w:cs="Arial"/>
                <w:sz w:val="16"/>
                <w:szCs w:val="16"/>
                <w:lang w:val="kk-KZ"/>
              </w:rPr>
              <w:t>Кәрібаева</w:t>
            </w:r>
          </w:p>
          <w:p w:rsidR="007D0EEC" w:rsidRPr="00694651" w:rsidRDefault="008F5C46" w:rsidP="008F5C46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+7 </w:t>
            </w:r>
            <w:r w:rsidR="0069465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7172 749688</w:t>
            </w:r>
          </w:p>
        </w:tc>
        <w:tc>
          <w:tcPr>
            <w:tcW w:w="2481" w:type="dxa"/>
          </w:tcPr>
          <w:p w:rsidR="00DF50A3" w:rsidRDefault="00043C7A" w:rsidP="00E32EDD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43C7A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Департамент </w:t>
            </w:r>
            <w:r w:rsidR="00F74D95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директоры</w:t>
            </w:r>
            <w:r w:rsidR="00DF50A3" w:rsidRPr="00DF50A3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7D0EEC" w:rsidRPr="00403BF3" w:rsidRDefault="00150D48" w:rsidP="00E32EDD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</w:t>
            </w:r>
            <w:r w:rsidR="0069465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 w:rsidR="00CB1F26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Белоносова</w:t>
            </w:r>
          </w:p>
          <w:p w:rsidR="007D0EEC" w:rsidRPr="00694651" w:rsidRDefault="008F5C46" w:rsidP="008F5C46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+7 </w:t>
            </w:r>
            <w:r w:rsidR="0069465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7172 749022</w:t>
            </w:r>
          </w:p>
        </w:tc>
        <w:tc>
          <w:tcPr>
            <w:tcW w:w="2977" w:type="dxa"/>
          </w:tcPr>
          <w:p w:rsidR="00514525" w:rsidRPr="00270CE9" w:rsidRDefault="00514525" w:rsidP="00514525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270CE9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Баспасөз қызметі:</w:t>
            </w:r>
          </w:p>
          <w:p w:rsidR="00514525" w:rsidRDefault="00CB1F26" w:rsidP="00514525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Әсем Алданғарқызы</w:t>
            </w:r>
          </w:p>
          <w:p w:rsidR="00514525" w:rsidRPr="00514525" w:rsidRDefault="001A1771" w:rsidP="00514525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B243B9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T</w:t>
            </w:r>
            <w:r w:rsidR="00514525" w:rsidRPr="0051452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ел. +7 7172 749002</w:t>
            </w:r>
          </w:p>
          <w:p w:rsidR="007D0EEC" w:rsidRPr="001A1771" w:rsidRDefault="00514525" w:rsidP="00514525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7E3CD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a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.aldangarkyzy</w:t>
            </w:r>
            <w:r w:rsidR="00F940C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@</w:t>
            </w:r>
            <w:r w:rsidR="00F940C1" w:rsidRPr="0054446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aspire</w:t>
            </w:r>
            <w:r w:rsidRPr="007E3CD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481" w:type="dxa"/>
          </w:tcPr>
          <w:p w:rsidR="00DF50A3" w:rsidRPr="001A1771" w:rsidRDefault="00DF50A3" w:rsidP="00C95757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1A1771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7D0EEC" w:rsidRPr="001A1771" w:rsidRDefault="007D0EEC" w:rsidP="00C95757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1A177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010000, </w:t>
            </w:r>
            <w:r w:rsidR="0063346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Нұр-Сұлтан</w:t>
            </w:r>
            <w:r w:rsidR="00DF50A3" w:rsidRPr="001A177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қаласы</w:t>
            </w:r>
          </w:p>
          <w:p w:rsidR="00DF50A3" w:rsidRPr="000612BD" w:rsidRDefault="00A51B79" w:rsidP="00C95757">
            <w:pPr>
              <w:pStyle w:val="af0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612BD">
              <w:rPr>
                <w:rFonts w:ascii="Calibri" w:hAnsi="Calibri" w:cs="Arial"/>
                <w:sz w:val="16"/>
                <w:szCs w:val="16"/>
                <w:lang w:val="kk-KZ"/>
              </w:rPr>
              <w:t>Мә</w:t>
            </w:r>
            <w:r w:rsidR="00CB1F26" w:rsidRPr="000612BD">
              <w:rPr>
                <w:rFonts w:ascii="Calibri" w:hAnsi="Calibri" w:cs="Arial"/>
                <w:sz w:val="16"/>
                <w:szCs w:val="16"/>
                <w:lang w:val="kk-KZ"/>
              </w:rPr>
              <w:t>ң</w:t>
            </w:r>
            <w:r w:rsidRPr="000612BD">
              <w:rPr>
                <w:rFonts w:ascii="Calibri" w:hAnsi="Calibri" w:cs="Arial"/>
                <w:sz w:val="16"/>
                <w:szCs w:val="16"/>
                <w:lang w:val="kk-KZ"/>
              </w:rPr>
              <w:t>гілік ел</w:t>
            </w:r>
            <w:r w:rsidR="000167BB" w:rsidRPr="000612BD">
              <w:rPr>
                <w:rFonts w:ascii="Calibri" w:hAnsi="Calibri" w:cs="Arial"/>
                <w:sz w:val="16"/>
                <w:szCs w:val="16"/>
                <w:lang w:val="kk-KZ"/>
              </w:rPr>
              <w:t>,</w:t>
            </w:r>
            <w:r w:rsidR="00DF50A3" w:rsidRPr="000612BD">
              <w:rPr>
                <w:rFonts w:ascii="Calibri" w:hAnsi="Calibri" w:cs="Arial"/>
                <w:sz w:val="16"/>
                <w:szCs w:val="16"/>
                <w:lang w:val="kk-KZ"/>
              </w:rPr>
              <w:t xml:space="preserve"> 8</w:t>
            </w:r>
          </w:p>
          <w:p w:rsidR="007D0EEC" w:rsidRPr="00403BF3" w:rsidRDefault="00DF50A3" w:rsidP="00C95757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proofErr w:type="spellStart"/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>Министрліктер</w:t>
            </w:r>
            <w:proofErr w:type="spellEnd"/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Үйі, 4 </w:t>
            </w:r>
            <w:proofErr w:type="spellStart"/>
            <w:proofErr w:type="gramStart"/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>к</w:t>
            </w:r>
            <w:proofErr w:type="gramEnd"/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>іреберіс</w:t>
            </w:r>
            <w:proofErr w:type="spellEnd"/>
          </w:p>
        </w:tc>
      </w:tr>
    </w:tbl>
    <w:p w:rsidR="00854016" w:rsidRPr="00FA673F" w:rsidRDefault="00E85B74" w:rsidP="00E85B74">
      <w:pPr>
        <w:jc w:val="right"/>
        <w:rPr>
          <w:rFonts w:ascii="Calibri" w:hAnsi="Calibri" w:cs="Arial"/>
          <w:i/>
          <w:strike/>
          <w:color w:val="FF0000"/>
          <w:sz w:val="16"/>
          <w:szCs w:val="16"/>
        </w:rPr>
      </w:pPr>
      <w:r w:rsidRPr="005726A9">
        <w:rPr>
          <w:rFonts w:asciiTheme="minorHAnsi" w:hAnsiTheme="minorHAnsi" w:cs="Arial"/>
          <w:i/>
          <w:color w:val="000000" w:themeColor="text1"/>
          <w:sz w:val="16"/>
          <w:szCs w:val="16"/>
        </w:rPr>
        <w:t>© Қазақстан</w:t>
      </w:r>
      <w:r w:rsidR="008A76FD">
        <w:rPr>
          <w:rFonts w:asciiTheme="minorHAnsi" w:hAnsiTheme="minorHAnsi" w:cs="Arial"/>
          <w:i/>
          <w:color w:val="000000" w:themeColor="text1"/>
          <w:sz w:val="16"/>
          <w:szCs w:val="16"/>
          <w:lang w:val="kk-KZ"/>
        </w:rPr>
        <w:t xml:space="preserve"> </w:t>
      </w:r>
      <w:proofErr w:type="spellStart"/>
      <w:r w:rsidRPr="005726A9">
        <w:rPr>
          <w:rFonts w:asciiTheme="minorHAnsi" w:hAnsiTheme="minorHAnsi" w:cs="Arial"/>
          <w:i/>
          <w:color w:val="000000" w:themeColor="text1"/>
          <w:sz w:val="16"/>
          <w:szCs w:val="16"/>
        </w:rPr>
        <w:t>Республикасы</w:t>
      </w:r>
      <w:proofErr w:type="spellEnd"/>
      <w:r w:rsidR="008A76FD">
        <w:rPr>
          <w:rFonts w:asciiTheme="minorHAnsi" w:hAnsiTheme="minorHAnsi" w:cs="Arial"/>
          <w:i/>
          <w:color w:val="000000" w:themeColor="text1"/>
          <w:sz w:val="16"/>
          <w:szCs w:val="16"/>
          <w:lang w:val="kk-KZ"/>
        </w:rPr>
        <w:t xml:space="preserve"> </w:t>
      </w:r>
      <w:r w:rsidRPr="005726A9">
        <w:rPr>
          <w:rFonts w:asciiTheme="minorHAnsi" w:hAnsiTheme="minorHAnsi" w:cs="Arial"/>
          <w:i/>
          <w:color w:val="000000" w:themeColor="text1"/>
          <w:sz w:val="16"/>
          <w:szCs w:val="16"/>
          <w:lang w:val="kk-KZ"/>
        </w:rPr>
        <w:t>Стратегиялық жоспарлау және реформалар агенттігі Ұлттық статистика бюросы</w:t>
      </w:r>
    </w:p>
    <w:sectPr w:rsidR="00854016" w:rsidRPr="00FA673F" w:rsidSect="00664D98">
      <w:headerReference w:type="even" r:id="rId10"/>
      <w:headerReference w:type="default" r:id="rId11"/>
      <w:footerReference w:type="even" r:id="rId12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74" w:rsidRDefault="00BA1E74">
      <w:r>
        <w:separator/>
      </w:r>
    </w:p>
  </w:endnote>
  <w:endnote w:type="continuationSeparator" w:id="0">
    <w:p w:rsidR="00BA1E74" w:rsidRDefault="00BA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624322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74" w:rsidRDefault="00BA1E74">
      <w:r>
        <w:separator/>
      </w:r>
    </w:p>
  </w:footnote>
  <w:footnote w:type="continuationSeparator" w:id="0">
    <w:p w:rsidR="00BA1E74" w:rsidRDefault="00BA1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624322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624322">
    <w:pPr>
      <w:pStyle w:val="a3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9AB">
      <w:rPr>
        <w:rStyle w:val="a5"/>
        <w:noProof/>
      </w:rPr>
      <w:t>2</w:t>
    </w:r>
    <w:r>
      <w:rPr>
        <w:rStyle w:val="a5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90"/>
    <w:rsid w:val="00000045"/>
    <w:rsid w:val="00000980"/>
    <w:rsid w:val="00000DB3"/>
    <w:rsid w:val="00001FEA"/>
    <w:rsid w:val="0000299D"/>
    <w:rsid w:val="00007EEF"/>
    <w:rsid w:val="0001016E"/>
    <w:rsid w:val="00011E84"/>
    <w:rsid w:val="00012D87"/>
    <w:rsid w:val="00013046"/>
    <w:rsid w:val="000138D3"/>
    <w:rsid w:val="00013920"/>
    <w:rsid w:val="00015B95"/>
    <w:rsid w:val="000167BB"/>
    <w:rsid w:val="000168E8"/>
    <w:rsid w:val="00017A68"/>
    <w:rsid w:val="00020FB5"/>
    <w:rsid w:val="0002183A"/>
    <w:rsid w:val="0002231C"/>
    <w:rsid w:val="000228D9"/>
    <w:rsid w:val="0002316D"/>
    <w:rsid w:val="00023FB7"/>
    <w:rsid w:val="000258A6"/>
    <w:rsid w:val="0003034F"/>
    <w:rsid w:val="00030E12"/>
    <w:rsid w:val="00030F5A"/>
    <w:rsid w:val="00031FCC"/>
    <w:rsid w:val="00034368"/>
    <w:rsid w:val="00034473"/>
    <w:rsid w:val="000355F3"/>
    <w:rsid w:val="00035F52"/>
    <w:rsid w:val="00041F52"/>
    <w:rsid w:val="000421B9"/>
    <w:rsid w:val="000422A5"/>
    <w:rsid w:val="0004263A"/>
    <w:rsid w:val="000431C2"/>
    <w:rsid w:val="00043409"/>
    <w:rsid w:val="00043C7A"/>
    <w:rsid w:val="000445AC"/>
    <w:rsid w:val="00044AE7"/>
    <w:rsid w:val="0004544E"/>
    <w:rsid w:val="000477A7"/>
    <w:rsid w:val="00050A05"/>
    <w:rsid w:val="00050D3F"/>
    <w:rsid w:val="0005158E"/>
    <w:rsid w:val="000522AE"/>
    <w:rsid w:val="00055FA3"/>
    <w:rsid w:val="000612BD"/>
    <w:rsid w:val="00061CF9"/>
    <w:rsid w:val="00061E1D"/>
    <w:rsid w:val="00061F8D"/>
    <w:rsid w:val="000622FE"/>
    <w:rsid w:val="0006397F"/>
    <w:rsid w:val="00063A3B"/>
    <w:rsid w:val="00063E05"/>
    <w:rsid w:val="00064107"/>
    <w:rsid w:val="0007017F"/>
    <w:rsid w:val="00071623"/>
    <w:rsid w:val="000777A0"/>
    <w:rsid w:val="000801C7"/>
    <w:rsid w:val="00080987"/>
    <w:rsid w:val="000822CE"/>
    <w:rsid w:val="00082550"/>
    <w:rsid w:val="000852F0"/>
    <w:rsid w:val="00085E53"/>
    <w:rsid w:val="00086790"/>
    <w:rsid w:val="00086CAC"/>
    <w:rsid w:val="000870F9"/>
    <w:rsid w:val="00087750"/>
    <w:rsid w:val="000905CF"/>
    <w:rsid w:val="00090B19"/>
    <w:rsid w:val="000912D5"/>
    <w:rsid w:val="00092907"/>
    <w:rsid w:val="000929BA"/>
    <w:rsid w:val="00092B8F"/>
    <w:rsid w:val="0009356A"/>
    <w:rsid w:val="0009362B"/>
    <w:rsid w:val="00095EED"/>
    <w:rsid w:val="00096F3F"/>
    <w:rsid w:val="00097A90"/>
    <w:rsid w:val="000A044C"/>
    <w:rsid w:val="000A10C3"/>
    <w:rsid w:val="000A3EC6"/>
    <w:rsid w:val="000A4988"/>
    <w:rsid w:val="000B10B0"/>
    <w:rsid w:val="000B1F3C"/>
    <w:rsid w:val="000B248F"/>
    <w:rsid w:val="000B25E5"/>
    <w:rsid w:val="000B2C2C"/>
    <w:rsid w:val="000B326E"/>
    <w:rsid w:val="000B34DF"/>
    <w:rsid w:val="000B4A88"/>
    <w:rsid w:val="000B4DD8"/>
    <w:rsid w:val="000B6B98"/>
    <w:rsid w:val="000B794E"/>
    <w:rsid w:val="000C0012"/>
    <w:rsid w:val="000C29F3"/>
    <w:rsid w:val="000C491B"/>
    <w:rsid w:val="000C58FB"/>
    <w:rsid w:val="000C5F33"/>
    <w:rsid w:val="000C6286"/>
    <w:rsid w:val="000C6432"/>
    <w:rsid w:val="000C676E"/>
    <w:rsid w:val="000C6C09"/>
    <w:rsid w:val="000C7994"/>
    <w:rsid w:val="000C7A95"/>
    <w:rsid w:val="000C7DF0"/>
    <w:rsid w:val="000D38D4"/>
    <w:rsid w:val="000D6255"/>
    <w:rsid w:val="000E200F"/>
    <w:rsid w:val="000E262C"/>
    <w:rsid w:val="000E3468"/>
    <w:rsid w:val="000E3F36"/>
    <w:rsid w:val="000E4D4F"/>
    <w:rsid w:val="000E59DB"/>
    <w:rsid w:val="000E69BF"/>
    <w:rsid w:val="000F05AB"/>
    <w:rsid w:val="000F09CC"/>
    <w:rsid w:val="000F28BA"/>
    <w:rsid w:val="000F3293"/>
    <w:rsid w:val="000F5DFF"/>
    <w:rsid w:val="000F6A2B"/>
    <w:rsid w:val="000F7F69"/>
    <w:rsid w:val="001004BE"/>
    <w:rsid w:val="001006F4"/>
    <w:rsid w:val="001059F9"/>
    <w:rsid w:val="00112AD2"/>
    <w:rsid w:val="00113A7E"/>
    <w:rsid w:val="00116788"/>
    <w:rsid w:val="00125D03"/>
    <w:rsid w:val="001261BE"/>
    <w:rsid w:val="00127391"/>
    <w:rsid w:val="0013291D"/>
    <w:rsid w:val="0013364B"/>
    <w:rsid w:val="00134696"/>
    <w:rsid w:val="00135A88"/>
    <w:rsid w:val="00136C21"/>
    <w:rsid w:val="00137424"/>
    <w:rsid w:val="00140E1B"/>
    <w:rsid w:val="00142B2A"/>
    <w:rsid w:val="0014351A"/>
    <w:rsid w:val="00145D05"/>
    <w:rsid w:val="00150D48"/>
    <w:rsid w:val="00151590"/>
    <w:rsid w:val="00152790"/>
    <w:rsid w:val="001543CE"/>
    <w:rsid w:val="001552E4"/>
    <w:rsid w:val="00160256"/>
    <w:rsid w:val="00161F34"/>
    <w:rsid w:val="00161F85"/>
    <w:rsid w:val="00162264"/>
    <w:rsid w:val="00162AD7"/>
    <w:rsid w:val="00164C9E"/>
    <w:rsid w:val="00170D57"/>
    <w:rsid w:val="00171DDC"/>
    <w:rsid w:val="001737D8"/>
    <w:rsid w:val="00176937"/>
    <w:rsid w:val="00176CD3"/>
    <w:rsid w:val="001779ED"/>
    <w:rsid w:val="00180C86"/>
    <w:rsid w:val="00184709"/>
    <w:rsid w:val="00186624"/>
    <w:rsid w:val="00187025"/>
    <w:rsid w:val="00192447"/>
    <w:rsid w:val="00192731"/>
    <w:rsid w:val="00192828"/>
    <w:rsid w:val="001935E7"/>
    <w:rsid w:val="00193BC9"/>
    <w:rsid w:val="001942C1"/>
    <w:rsid w:val="00195898"/>
    <w:rsid w:val="001972A0"/>
    <w:rsid w:val="0019771F"/>
    <w:rsid w:val="001A1771"/>
    <w:rsid w:val="001A2519"/>
    <w:rsid w:val="001A3341"/>
    <w:rsid w:val="001A5873"/>
    <w:rsid w:val="001A66E3"/>
    <w:rsid w:val="001A67B9"/>
    <w:rsid w:val="001A69CF"/>
    <w:rsid w:val="001B23FF"/>
    <w:rsid w:val="001B644C"/>
    <w:rsid w:val="001B6A3A"/>
    <w:rsid w:val="001B6AD0"/>
    <w:rsid w:val="001B7011"/>
    <w:rsid w:val="001C1BAD"/>
    <w:rsid w:val="001C4991"/>
    <w:rsid w:val="001C68AA"/>
    <w:rsid w:val="001C6937"/>
    <w:rsid w:val="001C7E18"/>
    <w:rsid w:val="001D12E2"/>
    <w:rsid w:val="001D1E93"/>
    <w:rsid w:val="001D2059"/>
    <w:rsid w:val="001D5695"/>
    <w:rsid w:val="001D7D58"/>
    <w:rsid w:val="001E2DCB"/>
    <w:rsid w:val="001E4448"/>
    <w:rsid w:val="001E5665"/>
    <w:rsid w:val="001E5B8C"/>
    <w:rsid w:val="001E636F"/>
    <w:rsid w:val="001E7549"/>
    <w:rsid w:val="001E7F05"/>
    <w:rsid w:val="001F02D9"/>
    <w:rsid w:val="001F1DE5"/>
    <w:rsid w:val="001F3E95"/>
    <w:rsid w:val="001F649B"/>
    <w:rsid w:val="001F6563"/>
    <w:rsid w:val="001F795D"/>
    <w:rsid w:val="001F79AD"/>
    <w:rsid w:val="001F7EFF"/>
    <w:rsid w:val="00201B5B"/>
    <w:rsid w:val="00202A9A"/>
    <w:rsid w:val="0020473A"/>
    <w:rsid w:val="00210A92"/>
    <w:rsid w:val="002208F7"/>
    <w:rsid w:val="00220F98"/>
    <w:rsid w:val="002212FF"/>
    <w:rsid w:val="00221301"/>
    <w:rsid w:val="00222954"/>
    <w:rsid w:val="002268B2"/>
    <w:rsid w:val="00227584"/>
    <w:rsid w:val="00230989"/>
    <w:rsid w:val="002311BD"/>
    <w:rsid w:val="00231685"/>
    <w:rsid w:val="00231EAE"/>
    <w:rsid w:val="00234BF3"/>
    <w:rsid w:val="0023533E"/>
    <w:rsid w:val="002359FF"/>
    <w:rsid w:val="00236BC0"/>
    <w:rsid w:val="00236C7A"/>
    <w:rsid w:val="002378CF"/>
    <w:rsid w:val="00241710"/>
    <w:rsid w:val="0024287D"/>
    <w:rsid w:val="00242A96"/>
    <w:rsid w:val="00246986"/>
    <w:rsid w:val="00246F0F"/>
    <w:rsid w:val="00247B6B"/>
    <w:rsid w:val="00247C34"/>
    <w:rsid w:val="00251652"/>
    <w:rsid w:val="0025359E"/>
    <w:rsid w:val="00253906"/>
    <w:rsid w:val="00260405"/>
    <w:rsid w:val="0026164B"/>
    <w:rsid w:val="00261F2F"/>
    <w:rsid w:val="00263B2F"/>
    <w:rsid w:val="002705F3"/>
    <w:rsid w:val="0027211D"/>
    <w:rsid w:val="00275500"/>
    <w:rsid w:val="00275860"/>
    <w:rsid w:val="00275FDC"/>
    <w:rsid w:val="00276357"/>
    <w:rsid w:val="002774D7"/>
    <w:rsid w:val="002778F1"/>
    <w:rsid w:val="002819C4"/>
    <w:rsid w:val="00282E5A"/>
    <w:rsid w:val="00283023"/>
    <w:rsid w:val="00287D27"/>
    <w:rsid w:val="00292948"/>
    <w:rsid w:val="002941C8"/>
    <w:rsid w:val="00294C77"/>
    <w:rsid w:val="0029539D"/>
    <w:rsid w:val="00296A2C"/>
    <w:rsid w:val="002A1530"/>
    <w:rsid w:val="002A2019"/>
    <w:rsid w:val="002A2C42"/>
    <w:rsid w:val="002A5954"/>
    <w:rsid w:val="002A5F75"/>
    <w:rsid w:val="002A7CE5"/>
    <w:rsid w:val="002B3E12"/>
    <w:rsid w:val="002C1153"/>
    <w:rsid w:val="002C116D"/>
    <w:rsid w:val="002C1416"/>
    <w:rsid w:val="002C14E6"/>
    <w:rsid w:val="002C2020"/>
    <w:rsid w:val="002C23DC"/>
    <w:rsid w:val="002C3058"/>
    <w:rsid w:val="002C3335"/>
    <w:rsid w:val="002C426C"/>
    <w:rsid w:val="002C6396"/>
    <w:rsid w:val="002C6431"/>
    <w:rsid w:val="002C64D9"/>
    <w:rsid w:val="002C715A"/>
    <w:rsid w:val="002D044F"/>
    <w:rsid w:val="002D10E4"/>
    <w:rsid w:val="002D1917"/>
    <w:rsid w:val="002D1F1F"/>
    <w:rsid w:val="002D7654"/>
    <w:rsid w:val="002E0D57"/>
    <w:rsid w:val="002E1A3D"/>
    <w:rsid w:val="002E1C0A"/>
    <w:rsid w:val="002E2807"/>
    <w:rsid w:val="002E342B"/>
    <w:rsid w:val="002E67F9"/>
    <w:rsid w:val="002E79B2"/>
    <w:rsid w:val="002E7C27"/>
    <w:rsid w:val="002F0EB6"/>
    <w:rsid w:val="002F4CCB"/>
    <w:rsid w:val="002F66FD"/>
    <w:rsid w:val="002F6922"/>
    <w:rsid w:val="00300B56"/>
    <w:rsid w:val="00300FFA"/>
    <w:rsid w:val="00301A0D"/>
    <w:rsid w:val="00303839"/>
    <w:rsid w:val="0030418D"/>
    <w:rsid w:val="00304618"/>
    <w:rsid w:val="00305BE5"/>
    <w:rsid w:val="00306AA6"/>
    <w:rsid w:val="00307BCC"/>
    <w:rsid w:val="003133D0"/>
    <w:rsid w:val="0031342B"/>
    <w:rsid w:val="00316312"/>
    <w:rsid w:val="003167F8"/>
    <w:rsid w:val="00332B03"/>
    <w:rsid w:val="003344B4"/>
    <w:rsid w:val="003349AB"/>
    <w:rsid w:val="003367CC"/>
    <w:rsid w:val="00336AE4"/>
    <w:rsid w:val="00336BE0"/>
    <w:rsid w:val="00336C97"/>
    <w:rsid w:val="003375BA"/>
    <w:rsid w:val="00340B1E"/>
    <w:rsid w:val="00340D8F"/>
    <w:rsid w:val="00343C98"/>
    <w:rsid w:val="00345229"/>
    <w:rsid w:val="003454C5"/>
    <w:rsid w:val="003468A9"/>
    <w:rsid w:val="00346EB5"/>
    <w:rsid w:val="003535E7"/>
    <w:rsid w:val="00354728"/>
    <w:rsid w:val="003558AD"/>
    <w:rsid w:val="00355E74"/>
    <w:rsid w:val="00356E63"/>
    <w:rsid w:val="00357E48"/>
    <w:rsid w:val="0036043A"/>
    <w:rsid w:val="0036321D"/>
    <w:rsid w:val="0036453F"/>
    <w:rsid w:val="003656EB"/>
    <w:rsid w:val="00365B7C"/>
    <w:rsid w:val="00365D53"/>
    <w:rsid w:val="00366CEB"/>
    <w:rsid w:val="00367139"/>
    <w:rsid w:val="00372663"/>
    <w:rsid w:val="00373D51"/>
    <w:rsid w:val="003747D3"/>
    <w:rsid w:val="00376456"/>
    <w:rsid w:val="00376B55"/>
    <w:rsid w:val="003778F2"/>
    <w:rsid w:val="0037794A"/>
    <w:rsid w:val="00380D32"/>
    <w:rsid w:val="003814B7"/>
    <w:rsid w:val="00381968"/>
    <w:rsid w:val="00382EB7"/>
    <w:rsid w:val="003855C5"/>
    <w:rsid w:val="00386566"/>
    <w:rsid w:val="00386DCA"/>
    <w:rsid w:val="00391AF3"/>
    <w:rsid w:val="0039220A"/>
    <w:rsid w:val="00392396"/>
    <w:rsid w:val="003923A2"/>
    <w:rsid w:val="003933A9"/>
    <w:rsid w:val="00393A37"/>
    <w:rsid w:val="00393C6F"/>
    <w:rsid w:val="00395123"/>
    <w:rsid w:val="00395790"/>
    <w:rsid w:val="003958B1"/>
    <w:rsid w:val="003959D0"/>
    <w:rsid w:val="003A1C3D"/>
    <w:rsid w:val="003A2D9B"/>
    <w:rsid w:val="003A2E2E"/>
    <w:rsid w:val="003A487E"/>
    <w:rsid w:val="003A5279"/>
    <w:rsid w:val="003A5F76"/>
    <w:rsid w:val="003A6583"/>
    <w:rsid w:val="003A6A69"/>
    <w:rsid w:val="003B0DDC"/>
    <w:rsid w:val="003B2849"/>
    <w:rsid w:val="003B379B"/>
    <w:rsid w:val="003B41E8"/>
    <w:rsid w:val="003B5420"/>
    <w:rsid w:val="003B6A88"/>
    <w:rsid w:val="003B6CFE"/>
    <w:rsid w:val="003C00A2"/>
    <w:rsid w:val="003C4588"/>
    <w:rsid w:val="003C5F5C"/>
    <w:rsid w:val="003C69FA"/>
    <w:rsid w:val="003C6F5B"/>
    <w:rsid w:val="003C7321"/>
    <w:rsid w:val="003D085C"/>
    <w:rsid w:val="003D16A5"/>
    <w:rsid w:val="003D267B"/>
    <w:rsid w:val="003D3181"/>
    <w:rsid w:val="003D577F"/>
    <w:rsid w:val="003D743D"/>
    <w:rsid w:val="003D79EA"/>
    <w:rsid w:val="003D7B7E"/>
    <w:rsid w:val="003E3E8D"/>
    <w:rsid w:val="003E4781"/>
    <w:rsid w:val="003E5C6C"/>
    <w:rsid w:val="003E5D22"/>
    <w:rsid w:val="003E6737"/>
    <w:rsid w:val="003E6DA6"/>
    <w:rsid w:val="003F009F"/>
    <w:rsid w:val="003F045F"/>
    <w:rsid w:val="003F1708"/>
    <w:rsid w:val="003F2809"/>
    <w:rsid w:val="003F2D47"/>
    <w:rsid w:val="003F3AC5"/>
    <w:rsid w:val="003F4F75"/>
    <w:rsid w:val="003F5488"/>
    <w:rsid w:val="003F5E0E"/>
    <w:rsid w:val="003F5E96"/>
    <w:rsid w:val="003F6BAD"/>
    <w:rsid w:val="003F7CAF"/>
    <w:rsid w:val="003F7CC0"/>
    <w:rsid w:val="003F7EEC"/>
    <w:rsid w:val="00402E1D"/>
    <w:rsid w:val="00402E63"/>
    <w:rsid w:val="00403BF3"/>
    <w:rsid w:val="00405FA6"/>
    <w:rsid w:val="004109E1"/>
    <w:rsid w:val="0041102C"/>
    <w:rsid w:val="0041639E"/>
    <w:rsid w:val="00416D44"/>
    <w:rsid w:val="00421156"/>
    <w:rsid w:val="00421351"/>
    <w:rsid w:val="00427A80"/>
    <w:rsid w:val="004307C8"/>
    <w:rsid w:val="00431A45"/>
    <w:rsid w:val="004328F8"/>
    <w:rsid w:val="00433A92"/>
    <w:rsid w:val="0043529A"/>
    <w:rsid w:val="004366BA"/>
    <w:rsid w:val="004370B3"/>
    <w:rsid w:val="004370C9"/>
    <w:rsid w:val="00441F6E"/>
    <w:rsid w:val="00443322"/>
    <w:rsid w:val="004448E2"/>
    <w:rsid w:val="00445685"/>
    <w:rsid w:val="00445EEF"/>
    <w:rsid w:val="004511B6"/>
    <w:rsid w:val="0045244E"/>
    <w:rsid w:val="004556AB"/>
    <w:rsid w:val="0045627B"/>
    <w:rsid w:val="00457D30"/>
    <w:rsid w:val="004610C5"/>
    <w:rsid w:val="00461BEB"/>
    <w:rsid w:val="0046284E"/>
    <w:rsid w:val="00466858"/>
    <w:rsid w:val="00467466"/>
    <w:rsid w:val="004701EB"/>
    <w:rsid w:val="00470906"/>
    <w:rsid w:val="0047098A"/>
    <w:rsid w:val="00472395"/>
    <w:rsid w:val="004739EA"/>
    <w:rsid w:val="00474C72"/>
    <w:rsid w:val="00480217"/>
    <w:rsid w:val="00480875"/>
    <w:rsid w:val="00481846"/>
    <w:rsid w:val="00481C35"/>
    <w:rsid w:val="004825E8"/>
    <w:rsid w:val="00484778"/>
    <w:rsid w:val="00485C2C"/>
    <w:rsid w:val="00486131"/>
    <w:rsid w:val="004870D2"/>
    <w:rsid w:val="004902A7"/>
    <w:rsid w:val="00490703"/>
    <w:rsid w:val="0049197E"/>
    <w:rsid w:val="00492B97"/>
    <w:rsid w:val="00495289"/>
    <w:rsid w:val="00495292"/>
    <w:rsid w:val="004957D6"/>
    <w:rsid w:val="004962E4"/>
    <w:rsid w:val="00497232"/>
    <w:rsid w:val="00497F22"/>
    <w:rsid w:val="004A31D4"/>
    <w:rsid w:val="004A3FC4"/>
    <w:rsid w:val="004A4295"/>
    <w:rsid w:val="004A484C"/>
    <w:rsid w:val="004A5951"/>
    <w:rsid w:val="004A624C"/>
    <w:rsid w:val="004A6ADF"/>
    <w:rsid w:val="004A7501"/>
    <w:rsid w:val="004B35F1"/>
    <w:rsid w:val="004B3FE9"/>
    <w:rsid w:val="004B422B"/>
    <w:rsid w:val="004B4770"/>
    <w:rsid w:val="004B5255"/>
    <w:rsid w:val="004B525C"/>
    <w:rsid w:val="004B62CD"/>
    <w:rsid w:val="004C0E9D"/>
    <w:rsid w:val="004C1209"/>
    <w:rsid w:val="004C1E1B"/>
    <w:rsid w:val="004C24C5"/>
    <w:rsid w:val="004C4FA9"/>
    <w:rsid w:val="004C5D87"/>
    <w:rsid w:val="004C60F4"/>
    <w:rsid w:val="004C6351"/>
    <w:rsid w:val="004C7D0F"/>
    <w:rsid w:val="004D13A6"/>
    <w:rsid w:val="004D2BCE"/>
    <w:rsid w:val="004D2C1E"/>
    <w:rsid w:val="004D46E2"/>
    <w:rsid w:val="004D65C1"/>
    <w:rsid w:val="004E14D6"/>
    <w:rsid w:val="004E5EE6"/>
    <w:rsid w:val="004E6077"/>
    <w:rsid w:val="004F0F8F"/>
    <w:rsid w:val="004F4345"/>
    <w:rsid w:val="004F444C"/>
    <w:rsid w:val="004F600E"/>
    <w:rsid w:val="004F73B8"/>
    <w:rsid w:val="00500255"/>
    <w:rsid w:val="00500E10"/>
    <w:rsid w:val="00500F5C"/>
    <w:rsid w:val="00501F48"/>
    <w:rsid w:val="00502A2E"/>
    <w:rsid w:val="0050399B"/>
    <w:rsid w:val="00506AF1"/>
    <w:rsid w:val="00507FC8"/>
    <w:rsid w:val="00510331"/>
    <w:rsid w:val="0051108D"/>
    <w:rsid w:val="00511A4E"/>
    <w:rsid w:val="0051276B"/>
    <w:rsid w:val="00512866"/>
    <w:rsid w:val="00512934"/>
    <w:rsid w:val="0051399E"/>
    <w:rsid w:val="00514525"/>
    <w:rsid w:val="00516867"/>
    <w:rsid w:val="00521083"/>
    <w:rsid w:val="005213BD"/>
    <w:rsid w:val="00521508"/>
    <w:rsid w:val="00522ADA"/>
    <w:rsid w:val="005238DE"/>
    <w:rsid w:val="00526476"/>
    <w:rsid w:val="00526BCC"/>
    <w:rsid w:val="005270F5"/>
    <w:rsid w:val="00533348"/>
    <w:rsid w:val="0053549E"/>
    <w:rsid w:val="005355DB"/>
    <w:rsid w:val="00535ADA"/>
    <w:rsid w:val="00535DB7"/>
    <w:rsid w:val="00536FEC"/>
    <w:rsid w:val="005400F0"/>
    <w:rsid w:val="005418EC"/>
    <w:rsid w:val="00541A2C"/>
    <w:rsid w:val="0054446A"/>
    <w:rsid w:val="00545FD6"/>
    <w:rsid w:val="00547361"/>
    <w:rsid w:val="00547984"/>
    <w:rsid w:val="00550C05"/>
    <w:rsid w:val="005531E9"/>
    <w:rsid w:val="005545D0"/>
    <w:rsid w:val="00554E39"/>
    <w:rsid w:val="00555A6A"/>
    <w:rsid w:val="00555B74"/>
    <w:rsid w:val="00555E51"/>
    <w:rsid w:val="0055673D"/>
    <w:rsid w:val="00560695"/>
    <w:rsid w:val="005612AC"/>
    <w:rsid w:val="00562B9B"/>
    <w:rsid w:val="0056655A"/>
    <w:rsid w:val="00566772"/>
    <w:rsid w:val="00572DB6"/>
    <w:rsid w:val="00572F03"/>
    <w:rsid w:val="00573371"/>
    <w:rsid w:val="00574EF2"/>
    <w:rsid w:val="00576623"/>
    <w:rsid w:val="00576C8B"/>
    <w:rsid w:val="005808FF"/>
    <w:rsid w:val="00580FC4"/>
    <w:rsid w:val="005831F4"/>
    <w:rsid w:val="00584765"/>
    <w:rsid w:val="00584AD1"/>
    <w:rsid w:val="00584FB9"/>
    <w:rsid w:val="00585B52"/>
    <w:rsid w:val="005910BB"/>
    <w:rsid w:val="005922B9"/>
    <w:rsid w:val="00593124"/>
    <w:rsid w:val="005932FD"/>
    <w:rsid w:val="005934B9"/>
    <w:rsid w:val="00593D48"/>
    <w:rsid w:val="00595FF5"/>
    <w:rsid w:val="005A0E7D"/>
    <w:rsid w:val="005A0F30"/>
    <w:rsid w:val="005A1456"/>
    <w:rsid w:val="005A1579"/>
    <w:rsid w:val="005A1F3E"/>
    <w:rsid w:val="005A54DF"/>
    <w:rsid w:val="005A637B"/>
    <w:rsid w:val="005B14D4"/>
    <w:rsid w:val="005B1CA1"/>
    <w:rsid w:val="005B1D01"/>
    <w:rsid w:val="005B42F8"/>
    <w:rsid w:val="005B4967"/>
    <w:rsid w:val="005B4B63"/>
    <w:rsid w:val="005B53EB"/>
    <w:rsid w:val="005B5BF3"/>
    <w:rsid w:val="005C1EDF"/>
    <w:rsid w:val="005C77F2"/>
    <w:rsid w:val="005D085A"/>
    <w:rsid w:val="005D0DBE"/>
    <w:rsid w:val="005D23D8"/>
    <w:rsid w:val="005D258B"/>
    <w:rsid w:val="005D6387"/>
    <w:rsid w:val="005D6D41"/>
    <w:rsid w:val="005D78E0"/>
    <w:rsid w:val="005E01D0"/>
    <w:rsid w:val="005E1E93"/>
    <w:rsid w:val="005E6145"/>
    <w:rsid w:val="005E758A"/>
    <w:rsid w:val="005F04ED"/>
    <w:rsid w:val="005F0A3B"/>
    <w:rsid w:val="005F19D2"/>
    <w:rsid w:val="005F1AA1"/>
    <w:rsid w:val="005F1E44"/>
    <w:rsid w:val="005F39B4"/>
    <w:rsid w:val="005F5AF6"/>
    <w:rsid w:val="005F5EEA"/>
    <w:rsid w:val="005F6D6C"/>
    <w:rsid w:val="005F785C"/>
    <w:rsid w:val="00602A9B"/>
    <w:rsid w:val="00605354"/>
    <w:rsid w:val="006062C2"/>
    <w:rsid w:val="006075B1"/>
    <w:rsid w:val="00607EC4"/>
    <w:rsid w:val="00611211"/>
    <w:rsid w:val="00613F54"/>
    <w:rsid w:val="00616764"/>
    <w:rsid w:val="00617AFE"/>
    <w:rsid w:val="006200A8"/>
    <w:rsid w:val="00624322"/>
    <w:rsid w:val="006243D9"/>
    <w:rsid w:val="00624A5E"/>
    <w:rsid w:val="006259D5"/>
    <w:rsid w:val="00626AA2"/>
    <w:rsid w:val="00633463"/>
    <w:rsid w:val="006337B4"/>
    <w:rsid w:val="006351A2"/>
    <w:rsid w:val="00637ADD"/>
    <w:rsid w:val="00643269"/>
    <w:rsid w:val="0064490C"/>
    <w:rsid w:val="0065035C"/>
    <w:rsid w:val="0065452E"/>
    <w:rsid w:val="00656477"/>
    <w:rsid w:val="0066070A"/>
    <w:rsid w:val="006616F4"/>
    <w:rsid w:val="00663713"/>
    <w:rsid w:val="00663C0F"/>
    <w:rsid w:val="00663CB5"/>
    <w:rsid w:val="00664D98"/>
    <w:rsid w:val="0066536B"/>
    <w:rsid w:val="00665A70"/>
    <w:rsid w:val="00666176"/>
    <w:rsid w:val="00667402"/>
    <w:rsid w:val="00667484"/>
    <w:rsid w:val="00670033"/>
    <w:rsid w:val="00670E74"/>
    <w:rsid w:val="00671F5F"/>
    <w:rsid w:val="00673E89"/>
    <w:rsid w:val="00676237"/>
    <w:rsid w:val="00676DD1"/>
    <w:rsid w:val="00680DDF"/>
    <w:rsid w:val="00681CD4"/>
    <w:rsid w:val="00682999"/>
    <w:rsid w:val="00683947"/>
    <w:rsid w:val="00683FF1"/>
    <w:rsid w:val="0068490B"/>
    <w:rsid w:val="00685114"/>
    <w:rsid w:val="006860A1"/>
    <w:rsid w:val="0069165E"/>
    <w:rsid w:val="006918C6"/>
    <w:rsid w:val="00692CF8"/>
    <w:rsid w:val="00693E5E"/>
    <w:rsid w:val="00694651"/>
    <w:rsid w:val="0069489B"/>
    <w:rsid w:val="006948D3"/>
    <w:rsid w:val="0069500E"/>
    <w:rsid w:val="006959D9"/>
    <w:rsid w:val="00696119"/>
    <w:rsid w:val="0069663B"/>
    <w:rsid w:val="00697377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04DF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0F06"/>
    <w:rsid w:val="006C1C5A"/>
    <w:rsid w:val="006C38B6"/>
    <w:rsid w:val="006C47D0"/>
    <w:rsid w:val="006C6E5F"/>
    <w:rsid w:val="006C6ECA"/>
    <w:rsid w:val="006D05A6"/>
    <w:rsid w:val="006D0892"/>
    <w:rsid w:val="006D1820"/>
    <w:rsid w:val="006D24AB"/>
    <w:rsid w:val="006D3CA6"/>
    <w:rsid w:val="006D538D"/>
    <w:rsid w:val="006D6693"/>
    <w:rsid w:val="006D7E33"/>
    <w:rsid w:val="006E00FB"/>
    <w:rsid w:val="006E01DF"/>
    <w:rsid w:val="006E0DC2"/>
    <w:rsid w:val="006E2451"/>
    <w:rsid w:val="006E2EB8"/>
    <w:rsid w:val="006E6BEF"/>
    <w:rsid w:val="006F1C87"/>
    <w:rsid w:val="006F2B74"/>
    <w:rsid w:val="006F2ECB"/>
    <w:rsid w:val="006F3048"/>
    <w:rsid w:val="006F429F"/>
    <w:rsid w:val="006F70F2"/>
    <w:rsid w:val="00701E3E"/>
    <w:rsid w:val="00702097"/>
    <w:rsid w:val="0070391D"/>
    <w:rsid w:val="007039D0"/>
    <w:rsid w:val="00707C2C"/>
    <w:rsid w:val="00712DB6"/>
    <w:rsid w:val="007137C6"/>
    <w:rsid w:val="007149E2"/>
    <w:rsid w:val="00715A2F"/>
    <w:rsid w:val="00715CEC"/>
    <w:rsid w:val="00716C87"/>
    <w:rsid w:val="007173B6"/>
    <w:rsid w:val="007215C0"/>
    <w:rsid w:val="007217CF"/>
    <w:rsid w:val="007232E3"/>
    <w:rsid w:val="00726DF3"/>
    <w:rsid w:val="00733BFD"/>
    <w:rsid w:val="00733E3B"/>
    <w:rsid w:val="007346BD"/>
    <w:rsid w:val="007363A6"/>
    <w:rsid w:val="00737608"/>
    <w:rsid w:val="00744788"/>
    <w:rsid w:val="0074607D"/>
    <w:rsid w:val="00746646"/>
    <w:rsid w:val="00746AD5"/>
    <w:rsid w:val="007472DB"/>
    <w:rsid w:val="00747615"/>
    <w:rsid w:val="00751BDD"/>
    <w:rsid w:val="0075264F"/>
    <w:rsid w:val="00754680"/>
    <w:rsid w:val="00756944"/>
    <w:rsid w:val="00756F73"/>
    <w:rsid w:val="0076002B"/>
    <w:rsid w:val="007640E4"/>
    <w:rsid w:val="007644FC"/>
    <w:rsid w:val="00765C54"/>
    <w:rsid w:val="00767C2D"/>
    <w:rsid w:val="00767CCD"/>
    <w:rsid w:val="007725AC"/>
    <w:rsid w:val="00773FF2"/>
    <w:rsid w:val="007740FE"/>
    <w:rsid w:val="0077469A"/>
    <w:rsid w:val="00775EFE"/>
    <w:rsid w:val="00780C40"/>
    <w:rsid w:val="00780F1E"/>
    <w:rsid w:val="0078341E"/>
    <w:rsid w:val="00786C8C"/>
    <w:rsid w:val="00790709"/>
    <w:rsid w:val="00790BBA"/>
    <w:rsid w:val="007921A7"/>
    <w:rsid w:val="00794428"/>
    <w:rsid w:val="0079575C"/>
    <w:rsid w:val="007959F1"/>
    <w:rsid w:val="007961F9"/>
    <w:rsid w:val="00796F70"/>
    <w:rsid w:val="007A0228"/>
    <w:rsid w:val="007A2692"/>
    <w:rsid w:val="007A2B7D"/>
    <w:rsid w:val="007A2E7D"/>
    <w:rsid w:val="007A3487"/>
    <w:rsid w:val="007A4120"/>
    <w:rsid w:val="007A60B3"/>
    <w:rsid w:val="007B2331"/>
    <w:rsid w:val="007B2FC1"/>
    <w:rsid w:val="007B323B"/>
    <w:rsid w:val="007B3B2F"/>
    <w:rsid w:val="007B4CAE"/>
    <w:rsid w:val="007B5419"/>
    <w:rsid w:val="007B691F"/>
    <w:rsid w:val="007B6FA3"/>
    <w:rsid w:val="007C2B8A"/>
    <w:rsid w:val="007C3052"/>
    <w:rsid w:val="007C5E51"/>
    <w:rsid w:val="007C7E3D"/>
    <w:rsid w:val="007D0583"/>
    <w:rsid w:val="007D0CFB"/>
    <w:rsid w:val="007D0D6B"/>
    <w:rsid w:val="007D0EEC"/>
    <w:rsid w:val="007D21DC"/>
    <w:rsid w:val="007D27B2"/>
    <w:rsid w:val="007D3E12"/>
    <w:rsid w:val="007D4051"/>
    <w:rsid w:val="007D4E6F"/>
    <w:rsid w:val="007E01A3"/>
    <w:rsid w:val="007E072D"/>
    <w:rsid w:val="007E07A2"/>
    <w:rsid w:val="007E3253"/>
    <w:rsid w:val="007E3593"/>
    <w:rsid w:val="007E43D4"/>
    <w:rsid w:val="007E4E64"/>
    <w:rsid w:val="007E5194"/>
    <w:rsid w:val="007E6F50"/>
    <w:rsid w:val="007F26C1"/>
    <w:rsid w:val="007F3230"/>
    <w:rsid w:val="007F51A4"/>
    <w:rsid w:val="007F7FED"/>
    <w:rsid w:val="00801FF2"/>
    <w:rsid w:val="008047E3"/>
    <w:rsid w:val="0080507E"/>
    <w:rsid w:val="00805BE2"/>
    <w:rsid w:val="00806335"/>
    <w:rsid w:val="00806716"/>
    <w:rsid w:val="00806C22"/>
    <w:rsid w:val="00806C27"/>
    <w:rsid w:val="0081065F"/>
    <w:rsid w:val="00811E1D"/>
    <w:rsid w:val="008130E1"/>
    <w:rsid w:val="00815C03"/>
    <w:rsid w:val="0081674A"/>
    <w:rsid w:val="00816B5D"/>
    <w:rsid w:val="00816DCE"/>
    <w:rsid w:val="008225EB"/>
    <w:rsid w:val="008266B5"/>
    <w:rsid w:val="00826DD6"/>
    <w:rsid w:val="008300B5"/>
    <w:rsid w:val="00830557"/>
    <w:rsid w:val="00832F92"/>
    <w:rsid w:val="00833151"/>
    <w:rsid w:val="008336D8"/>
    <w:rsid w:val="00834FC9"/>
    <w:rsid w:val="00835868"/>
    <w:rsid w:val="00843595"/>
    <w:rsid w:val="00845085"/>
    <w:rsid w:val="0084630F"/>
    <w:rsid w:val="00853819"/>
    <w:rsid w:val="00853ADF"/>
    <w:rsid w:val="00854016"/>
    <w:rsid w:val="008542D1"/>
    <w:rsid w:val="0086666D"/>
    <w:rsid w:val="008676EE"/>
    <w:rsid w:val="008700F8"/>
    <w:rsid w:val="008703E6"/>
    <w:rsid w:val="00870D45"/>
    <w:rsid w:val="008727CC"/>
    <w:rsid w:val="0087336A"/>
    <w:rsid w:val="0087346E"/>
    <w:rsid w:val="008760EC"/>
    <w:rsid w:val="008777F5"/>
    <w:rsid w:val="0088087E"/>
    <w:rsid w:val="00880905"/>
    <w:rsid w:val="008827C0"/>
    <w:rsid w:val="00882ED3"/>
    <w:rsid w:val="00882F02"/>
    <w:rsid w:val="00882FAE"/>
    <w:rsid w:val="00885568"/>
    <w:rsid w:val="008857D3"/>
    <w:rsid w:val="00885846"/>
    <w:rsid w:val="008876CB"/>
    <w:rsid w:val="00887B6E"/>
    <w:rsid w:val="00887D79"/>
    <w:rsid w:val="0089073D"/>
    <w:rsid w:val="00891758"/>
    <w:rsid w:val="008931AD"/>
    <w:rsid w:val="008933B2"/>
    <w:rsid w:val="008948A6"/>
    <w:rsid w:val="008960C7"/>
    <w:rsid w:val="0089675C"/>
    <w:rsid w:val="008A14FC"/>
    <w:rsid w:val="008A3404"/>
    <w:rsid w:val="008A3857"/>
    <w:rsid w:val="008A528B"/>
    <w:rsid w:val="008A5314"/>
    <w:rsid w:val="008A5741"/>
    <w:rsid w:val="008A76FD"/>
    <w:rsid w:val="008A7B7F"/>
    <w:rsid w:val="008B0D0D"/>
    <w:rsid w:val="008B2AAD"/>
    <w:rsid w:val="008B3513"/>
    <w:rsid w:val="008B37AC"/>
    <w:rsid w:val="008B385E"/>
    <w:rsid w:val="008B7957"/>
    <w:rsid w:val="008C2568"/>
    <w:rsid w:val="008C2B80"/>
    <w:rsid w:val="008C389C"/>
    <w:rsid w:val="008C3CF9"/>
    <w:rsid w:val="008C4776"/>
    <w:rsid w:val="008C6F7C"/>
    <w:rsid w:val="008D0790"/>
    <w:rsid w:val="008D3245"/>
    <w:rsid w:val="008D3B98"/>
    <w:rsid w:val="008D516A"/>
    <w:rsid w:val="008D5E6C"/>
    <w:rsid w:val="008E112A"/>
    <w:rsid w:val="008E2094"/>
    <w:rsid w:val="008E20BB"/>
    <w:rsid w:val="008E2E5B"/>
    <w:rsid w:val="008E43CF"/>
    <w:rsid w:val="008E4BA3"/>
    <w:rsid w:val="008E4DEF"/>
    <w:rsid w:val="008E5022"/>
    <w:rsid w:val="008E5B20"/>
    <w:rsid w:val="008E7AAD"/>
    <w:rsid w:val="008E7F36"/>
    <w:rsid w:val="008F0B48"/>
    <w:rsid w:val="008F15A9"/>
    <w:rsid w:val="008F1C6F"/>
    <w:rsid w:val="008F2468"/>
    <w:rsid w:val="008F37D5"/>
    <w:rsid w:val="008F3DE7"/>
    <w:rsid w:val="008F5C46"/>
    <w:rsid w:val="008F677B"/>
    <w:rsid w:val="008F6A51"/>
    <w:rsid w:val="008F77FE"/>
    <w:rsid w:val="009000A1"/>
    <w:rsid w:val="00900A96"/>
    <w:rsid w:val="009067F0"/>
    <w:rsid w:val="00906A22"/>
    <w:rsid w:val="00907B70"/>
    <w:rsid w:val="00910090"/>
    <w:rsid w:val="009115D2"/>
    <w:rsid w:val="00914210"/>
    <w:rsid w:val="00914C20"/>
    <w:rsid w:val="009163FF"/>
    <w:rsid w:val="00921382"/>
    <w:rsid w:val="00921528"/>
    <w:rsid w:val="00921AC2"/>
    <w:rsid w:val="00921E3A"/>
    <w:rsid w:val="009225BD"/>
    <w:rsid w:val="00926566"/>
    <w:rsid w:val="009307D1"/>
    <w:rsid w:val="00930BE7"/>
    <w:rsid w:val="009313D9"/>
    <w:rsid w:val="00932935"/>
    <w:rsid w:val="0093466A"/>
    <w:rsid w:val="009361CD"/>
    <w:rsid w:val="00937F70"/>
    <w:rsid w:val="00942A45"/>
    <w:rsid w:val="00943165"/>
    <w:rsid w:val="009432A7"/>
    <w:rsid w:val="009432E7"/>
    <w:rsid w:val="0094332C"/>
    <w:rsid w:val="00945AB7"/>
    <w:rsid w:val="009465FA"/>
    <w:rsid w:val="0094698C"/>
    <w:rsid w:val="00947C0A"/>
    <w:rsid w:val="00950350"/>
    <w:rsid w:val="00951681"/>
    <w:rsid w:val="00951D57"/>
    <w:rsid w:val="00952F2A"/>
    <w:rsid w:val="009534BD"/>
    <w:rsid w:val="00954F31"/>
    <w:rsid w:val="0095622F"/>
    <w:rsid w:val="00960457"/>
    <w:rsid w:val="00961E96"/>
    <w:rsid w:val="00963019"/>
    <w:rsid w:val="00963462"/>
    <w:rsid w:val="00963600"/>
    <w:rsid w:val="0096500A"/>
    <w:rsid w:val="0096563C"/>
    <w:rsid w:val="009713D3"/>
    <w:rsid w:val="0097211D"/>
    <w:rsid w:val="0097647A"/>
    <w:rsid w:val="00976F1C"/>
    <w:rsid w:val="009804BA"/>
    <w:rsid w:val="00981B9B"/>
    <w:rsid w:val="0098262D"/>
    <w:rsid w:val="00982A36"/>
    <w:rsid w:val="0098388B"/>
    <w:rsid w:val="00984368"/>
    <w:rsid w:val="0098493F"/>
    <w:rsid w:val="009860C6"/>
    <w:rsid w:val="009872BB"/>
    <w:rsid w:val="009879A2"/>
    <w:rsid w:val="00990398"/>
    <w:rsid w:val="00990EEE"/>
    <w:rsid w:val="009929C1"/>
    <w:rsid w:val="00994D79"/>
    <w:rsid w:val="0099631E"/>
    <w:rsid w:val="0099686F"/>
    <w:rsid w:val="009A005E"/>
    <w:rsid w:val="009A0313"/>
    <w:rsid w:val="009A1193"/>
    <w:rsid w:val="009A1B15"/>
    <w:rsid w:val="009A3AE1"/>
    <w:rsid w:val="009A3C48"/>
    <w:rsid w:val="009A4357"/>
    <w:rsid w:val="009A7D02"/>
    <w:rsid w:val="009B0AAD"/>
    <w:rsid w:val="009B15CB"/>
    <w:rsid w:val="009B2DA3"/>
    <w:rsid w:val="009B3613"/>
    <w:rsid w:val="009B477F"/>
    <w:rsid w:val="009B6348"/>
    <w:rsid w:val="009B6F94"/>
    <w:rsid w:val="009B76FF"/>
    <w:rsid w:val="009C08E5"/>
    <w:rsid w:val="009C2242"/>
    <w:rsid w:val="009C53B6"/>
    <w:rsid w:val="009C5498"/>
    <w:rsid w:val="009D15AF"/>
    <w:rsid w:val="009D1968"/>
    <w:rsid w:val="009D1AD5"/>
    <w:rsid w:val="009D33FA"/>
    <w:rsid w:val="009D4646"/>
    <w:rsid w:val="009D47D2"/>
    <w:rsid w:val="009D6CC7"/>
    <w:rsid w:val="009D73AF"/>
    <w:rsid w:val="009E0FDE"/>
    <w:rsid w:val="009E3997"/>
    <w:rsid w:val="009E47A4"/>
    <w:rsid w:val="009E5254"/>
    <w:rsid w:val="009E6782"/>
    <w:rsid w:val="009E690E"/>
    <w:rsid w:val="009E727E"/>
    <w:rsid w:val="009E79CD"/>
    <w:rsid w:val="009F05B2"/>
    <w:rsid w:val="009F2202"/>
    <w:rsid w:val="009F2D2A"/>
    <w:rsid w:val="009F3F6A"/>
    <w:rsid w:val="009F48DA"/>
    <w:rsid w:val="009F499D"/>
    <w:rsid w:val="009F6230"/>
    <w:rsid w:val="009F6BCF"/>
    <w:rsid w:val="00A0005E"/>
    <w:rsid w:val="00A0081F"/>
    <w:rsid w:val="00A014B4"/>
    <w:rsid w:val="00A018E4"/>
    <w:rsid w:val="00A1123F"/>
    <w:rsid w:val="00A1276E"/>
    <w:rsid w:val="00A12843"/>
    <w:rsid w:val="00A135FB"/>
    <w:rsid w:val="00A13EDB"/>
    <w:rsid w:val="00A1492D"/>
    <w:rsid w:val="00A15C96"/>
    <w:rsid w:val="00A16433"/>
    <w:rsid w:val="00A21EE2"/>
    <w:rsid w:val="00A2269D"/>
    <w:rsid w:val="00A22F2D"/>
    <w:rsid w:val="00A23613"/>
    <w:rsid w:val="00A23D92"/>
    <w:rsid w:val="00A27227"/>
    <w:rsid w:val="00A277AF"/>
    <w:rsid w:val="00A27B27"/>
    <w:rsid w:val="00A27BEE"/>
    <w:rsid w:val="00A30F06"/>
    <w:rsid w:val="00A34D81"/>
    <w:rsid w:val="00A34F0F"/>
    <w:rsid w:val="00A36295"/>
    <w:rsid w:val="00A3663B"/>
    <w:rsid w:val="00A36B4A"/>
    <w:rsid w:val="00A36E9D"/>
    <w:rsid w:val="00A37DED"/>
    <w:rsid w:val="00A4090F"/>
    <w:rsid w:val="00A40E25"/>
    <w:rsid w:val="00A4194B"/>
    <w:rsid w:val="00A44E27"/>
    <w:rsid w:val="00A44F5C"/>
    <w:rsid w:val="00A4596A"/>
    <w:rsid w:val="00A471F6"/>
    <w:rsid w:val="00A5011B"/>
    <w:rsid w:val="00A51B79"/>
    <w:rsid w:val="00A5216E"/>
    <w:rsid w:val="00A54145"/>
    <w:rsid w:val="00A5460A"/>
    <w:rsid w:val="00A61843"/>
    <w:rsid w:val="00A62281"/>
    <w:rsid w:val="00A62AE0"/>
    <w:rsid w:val="00A63028"/>
    <w:rsid w:val="00A66D57"/>
    <w:rsid w:val="00A6740E"/>
    <w:rsid w:val="00A705DF"/>
    <w:rsid w:val="00A71429"/>
    <w:rsid w:val="00A72F62"/>
    <w:rsid w:val="00A75279"/>
    <w:rsid w:val="00A77B02"/>
    <w:rsid w:val="00A77BC8"/>
    <w:rsid w:val="00A82F9C"/>
    <w:rsid w:val="00A83E70"/>
    <w:rsid w:val="00A840A5"/>
    <w:rsid w:val="00A90CC6"/>
    <w:rsid w:val="00A90F45"/>
    <w:rsid w:val="00A9267A"/>
    <w:rsid w:val="00A92B7F"/>
    <w:rsid w:val="00A93DDD"/>
    <w:rsid w:val="00A94BF6"/>
    <w:rsid w:val="00A9522A"/>
    <w:rsid w:val="00A97561"/>
    <w:rsid w:val="00A977B6"/>
    <w:rsid w:val="00AA1545"/>
    <w:rsid w:val="00AA169E"/>
    <w:rsid w:val="00AA2E7F"/>
    <w:rsid w:val="00AA3CD0"/>
    <w:rsid w:val="00AA4F7C"/>
    <w:rsid w:val="00AA698B"/>
    <w:rsid w:val="00AA71EE"/>
    <w:rsid w:val="00AA78CE"/>
    <w:rsid w:val="00AB05CF"/>
    <w:rsid w:val="00AB087F"/>
    <w:rsid w:val="00AB29CA"/>
    <w:rsid w:val="00AB2E37"/>
    <w:rsid w:val="00AB3037"/>
    <w:rsid w:val="00AB3C56"/>
    <w:rsid w:val="00AB4D63"/>
    <w:rsid w:val="00AB6E8B"/>
    <w:rsid w:val="00AC0DCD"/>
    <w:rsid w:val="00AC2D59"/>
    <w:rsid w:val="00AC3E4D"/>
    <w:rsid w:val="00AC3F46"/>
    <w:rsid w:val="00AC518C"/>
    <w:rsid w:val="00AC6A06"/>
    <w:rsid w:val="00AC6AD6"/>
    <w:rsid w:val="00AC7870"/>
    <w:rsid w:val="00AD2E21"/>
    <w:rsid w:val="00AD65F5"/>
    <w:rsid w:val="00AE0237"/>
    <w:rsid w:val="00AE086D"/>
    <w:rsid w:val="00AE11AC"/>
    <w:rsid w:val="00AE17C0"/>
    <w:rsid w:val="00AE27BF"/>
    <w:rsid w:val="00AE27C3"/>
    <w:rsid w:val="00AE2F14"/>
    <w:rsid w:val="00AF0136"/>
    <w:rsid w:val="00AF1277"/>
    <w:rsid w:val="00AF3331"/>
    <w:rsid w:val="00AF49AB"/>
    <w:rsid w:val="00AF5C7D"/>
    <w:rsid w:val="00AF7745"/>
    <w:rsid w:val="00B0093E"/>
    <w:rsid w:val="00B01B67"/>
    <w:rsid w:val="00B04A0A"/>
    <w:rsid w:val="00B055B9"/>
    <w:rsid w:val="00B0790D"/>
    <w:rsid w:val="00B14985"/>
    <w:rsid w:val="00B16A1E"/>
    <w:rsid w:val="00B21CFC"/>
    <w:rsid w:val="00B22950"/>
    <w:rsid w:val="00B23572"/>
    <w:rsid w:val="00B243B9"/>
    <w:rsid w:val="00B24D3C"/>
    <w:rsid w:val="00B25108"/>
    <w:rsid w:val="00B257E6"/>
    <w:rsid w:val="00B262C5"/>
    <w:rsid w:val="00B27325"/>
    <w:rsid w:val="00B30582"/>
    <w:rsid w:val="00B309B2"/>
    <w:rsid w:val="00B3449F"/>
    <w:rsid w:val="00B401E9"/>
    <w:rsid w:val="00B4193B"/>
    <w:rsid w:val="00B42380"/>
    <w:rsid w:val="00B42DFE"/>
    <w:rsid w:val="00B4674A"/>
    <w:rsid w:val="00B50406"/>
    <w:rsid w:val="00B504E7"/>
    <w:rsid w:val="00B50B78"/>
    <w:rsid w:val="00B531E9"/>
    <w:rsid w:val="00B55E49"/>
    <w:rsid w:val="00B56EC6"/>
    <w:rsid w:val="00B60895"/>
    <w:rsid w:val="00B60B83"/>
    <w:rsid w:val="00B60BBD"/>
    <w:rsid w:val="00B62345"/>
    <w:rsid w:val="00B625A2"/>
    <w:rsid w:val="00B63514"/>
    <w:rsid w:val="00B6434B"/>
    <w:rsid w:val="00B6474D"/>
    <w:rsid w:val="00B66104"/>
    <w:rsid w:val="00B6626F"/>
    <w:rsid w:val="00B6763A"/>
    <w:rsid w:val="00B701A4"/>
    <w:rsid w:val="00B71141"/>
    <w:rsid w:val="00B75DDC"/>
    <w:rsid w:val="00B76E41"/>
    <w:rsid w:val="00B772C0"/>
    <w:rsid w:val="00B80385"/>
    <w:rsid w:val="00B81EE6"/>
    <w:rsid w:val="00B8395E"/>
    <w:rsid w:val="00B84419"/>
    <w:rsid w:val="00B857BE"/>
    <w:rsid w:val="00B85F70"/>
    <w:rsid w:val="00B861FD"/>
    <w:rsid w:val="00B879D4"/>
    <w:rsid w:val="00B90C5D"/>
    <w:rsid w:val="00B912AA"/>
    <w:rsid w:val="00B91546"/>
    <w:rsid w:val="00BA1E74"/>
    <w:rsid w:val="00BA3A63"/>
    <w:rsid w:val="00BA402C"/>
    <w:rsid w:val="00BA5984"/>
    <w:rsid w:val="00BA7A9C"/>
    <w:rsid w:val="00BB1384"/>
    <w:rsid w:val="00BB1432"/>
    <w:rsid w:val="00BB15E9"/>
    <w:rsid w:val="00BB3D4B"/>
    <w:rsid w:val="00BB4AC1"/>
    <w:rsid w:val="00BB5705"/>
    <w:rsid w:val="00BB64ED"/>
    <w:rsid w:val="00BC10A4"/>
    <w:rsid w:val="00BC3D66"/>
    <w:rsid w:val="00BC640F"/>
    <w:rsid w:val="00BC6DD6"/>
    <w:rsid w:val="00BD2F99"/>
    <w:rsid w:val="00BD4A08"/>
    <w:rsid w:val="00BD62E3"/>
    <w:rsid w:val="00BE04F0"/>
    <w:rsid w:val="00BE07E7"/>
    <w:rsid w:val="00BE3A27"/>
    <w:rsid w:val="00BE628F"/>
    <w:rsid w:val="00BF0CA6"/>
    <w:rsid w:val="00BF1BBE"/>
    <w:rsid w:val="00BF24F0"/>
    <w:rsid w:val="00BF389B"/>
    <w:rsid w:val="00BF4441"/>
    <w:rsid w:val="00BF6E4C"/>
    <w:rsid w:val="00BF75E6"/>
    <w:rsid w:val="00C00195"/>
    <w:rsid w:val="00C01831"/>
    <w:rsid w:val="00C02B2D"/>
    <w:rsid w:val="00C06351"/>
    <w:rsid w:val="00C07B84"/>
    <w:rsid w:val="00C1154D"/>
    <w:rsid w:val="00C11ADB"/>
    <w:rsid w:val="00C11C30"/>
    <w:rsid w:val="00C141FB"/>
    <w:rsid w:val="00C14C49"/>
    <w:rsid w:val="00C2225C"/>
    <w:rsid w:val="00C237E8"/>
    <w:rsid w:val="00C25641"/>
    <w:rsid w:val="00C25F7E"/>
    <w:rsid w:val="00C35359"/>
    <w:rsid w:val="00C37434"/>
    <w:rsid w:val="00C378B1"/>
    <w:rsid w:val="00C40DB2"/>
    <w:rsid w:val="00C41496"/>
    <w:rsid w:val="00C422AD"/>
    <w:rsid w:val="00C4253D"/>
    <w:rsid w:val="00C44DE9"/>
    <w:rsid w:val="00C45CE1"/>
    <w:rsid w:val="00C469E9"/>
    <w:rsid w:val="00C47B41"/>
    <w:rsid w:val="00C5004B"/>
    <w:rsid w:val="00C524CE"/>
    <w:rsid w:val="00C53EBE"/>
    <w:rsid w:val="00C5458A"/>
    <w:rsid w:val="00C57EDA"/>
    <w:rsid w:val="00C609D3"/>
    <w:rsid w:val="00C6176E"/>
    <w:rsid w:val="00C61EBC"/>
    <w:rsid w:val="00C6243A"/>
    <w:rsid w:val="00C62DD1"/>
    <w:rsid w:val="00C6313E"/>
    <w:rsid w:val="00C6346E"/>
    <w:rsid w:val="00C63D10"/>
    <w:rsid w:val="00C6406C"/>
    <w:rsid w:val="00C65E6B"/>
    <w:rsid w:val="00C66980"/>
    <w:rsid w:val="00C67D34"/>
    <w:rsid w:val="00C67F2F"/>
    <w:rsid w:val="00C70AA8"/>
    <w:rsid w:val="00C70D22"/>
    <w:rsid w:val="00C73B18"/>
    <w:rsid w:val="00C746F1"/>
    <w:rsid w:val="00C7523B"/>
    <w:rsid w:val="00C75ADD"/>
    <w:rsid w:val="00C76F04"/>
    <w:rsid w:val="00C82219"/>
    <w:rsid w:val="00C8309E"/>
    <w:rsid w:val="00C831A3"/>
    <w:rsid w:val="00C83885"/>
    <w:rsid w:val="00C84261"/>
    <w:rsid w:val="00C90345"/>
    <w:rsid w:val="00C91E68"/>
    <w:rsid w:val="00C935B6"/>
    <w:rsid w:val="00C95171"/>
    <w:rsid w:val="00C95757"/>
    <w:rsid w:val="00C96691"/>
    <w:rsid w:val="00C96B65"/>
    <w:rsid w:val="00C96CB4"/>
    <w:rsid w:val="00CA25F6"/>
    <w:rsid w:val="00CA27C1"/>
    <w:rsid w:val="00CA2A60"/>
    <w:rsid w:val="00CA329F"/>
    <w:rsid w:val="00CA4344"/>
    <w:rsid w:val="00CA4F46"/>
    <w:rsid w:val="00CA6F7E"/>
    <w:rsid w:val="00CB1F26"/>
    <w:rsid w:val="00CB2642"/>
    <w:rsid w:val="00CB3F26"/>
    <w:rsid w:val="00CB429C"/>
    <w:rsid w:val="00CB715B"/>
    <w:rsid w:val="00CB7BBC"/>
    <w:rsid w:val="00CC1D08"/>
    <w:rsid w:val="00CC1F25"/>
    <w:rsid w:val="00CC4100"/>
    <w:rsid w:val="00CC4F29"/>
    <w:rsid w:val="00CC56E5"/>
    <w:rsid w:val="00CC605E"/>
    <w:rsid w:val="00CC62C8"/>
    <w:rsid w:val="00CC773B"/>
    <w:rsid w:val="00CD0759"/>
    <w:rsid w:val="00CD1A7C"/>
    <w:rsid w:val="00CD1D94"/>
    <w:rsid w:val="00CD387B"/>
    <w:rsid w:val="00CD3D8D"/>
    <w:rsid w:val="00CD40EB"/>
    <w:rsid w:val="00CD41CB"/>
    <w:rsid w:val="00CD4824"/>
    <w:rsid w:val="00CD6107"/>
    <w:rsid w:val="00CD6D3A"/>
    <w:rsid w:val="00CD6DEE"/>
    <w:rsid w:val="00CE0C51"/>
    <w:rsid w:val="00CE149F"/>
    <w:rsid w:val="00CE4AF4"/>
    <w:rsid w:val="00CE5420"/>
    <w:rsid w:val="00CE598F"/>
    <w:rsid w:val="00CE5C73"/>
    <w:rsid w:val="00CE5DD8"/>
    <w:rsid w:val="00CE5DFA"/>
    <w:rsid w:val="00CE6B35"/>
    <w:rsid w:val="00CF1281"/>
    <w:rsid w:val="00CF3561"/>
    <w:rsid w:val="00CF3BFD"/>
    <w:rsid w:val="00CF594A"/>
    <w:rsid w:val="00D030F1"/>
    <w:rsid w:val="00D04692"/>
    <w:rsid w:val="00D059D9"/>
    <w:rsid w:val="00D075B3"/>
    <w:rsid w:val="00D158FA"/>
    <w:rsid w:val="00D16B84"/>
    <w:rsid w:val="00D20A87"/>
    <w:rsid w:val="00D20E51"/>
    <w:rsid w:val="00D22157"/>
    <w:rsid w:val="00D229FD"/>
    <w:rsid w:val="00D23547"/>
    <w:rsid w:val="00D2719E"/>
    <w:rsid w:val="00D2798E"/>
    <w:rsid w:val="00D27F32"/>
    <w:rsid w:val="00D30070"/>
    <w:rsid w:val="00D31790"/>
    <w:rsid w:val="00D34C02"/>
    <w:rsid w:val="00D43AAB"/>
    <w:rsid w:val="00D44363"/>
    <w:rsid w:val="00D443D4"/>
    <w:rsid w:val="00D460B9"/>
    <w:rsid w:val="00D4667D"/>
    <w:rsid w:val="00D47C23"/>
    <w:rsid w:val="00D51C1B"/>
    <w:rsid w:val="00D5337B"/>
    <w:rsid w:val="00D555A8"/>
    <w:rsid w:val="00D623DA"/>
    <w:rsid w:val="00D64E00"/>
    <w:rsid w:val="00D7776E"/>
    <w:rsid w:val="00D80277"/>
    <w:rsid w:val="00D81D45"/>
    <w:rsid w:val="00D81E34"/>
    <w:rsid w:val="00D82A88"/>
    <w:rsid w:val="00D83ADC"/>
    <w:rsid w:val="00D8489F"/>
    <w:rsid w:val="00D850EA"/>
    <w:rsid w:val="00D85E6E"/>
    <w:rsid w:val="00D86A5C"/>
    <w:rsid w:val="00D86E85"/>
    <w:rsid w:val="00D87D43"/>
    <w:rsid w:val="00D87ED0"/>
    <w:rsid w:val="00D910E6"/>
    <w:rsid w:val="00D92C59"/>
    <w:rsid w:val="00D93360"/>
    <w:rsid w:val="00D948CA"/>
    <w:rsid w:val="00D95B8B"/>
    <w:rsid w:val="00D9601D"/>
    <w:rsid w:val="00D97B12"/>
    <w:rsid w:val="00DA2DD3"/>
    <w:rsid w:val="00DA63E7"/>
    <w:rsid w:val="00DA6636"/>
    <w:rsid w:val="00DA6F56"/>
    <w:rsid w:val="00DB0754"/>
    <w:rsid w:val="00DB3683"/>
    <w:rsid w:val="00DC0388"/>
    <w:rsid w:val="00DC08F0"/>
    <w:rsid w:val="00DC2C02"/>
    <w:rsid w:val="00DC4197"/>
    <w:rsid w:val="00DC524F"/>
    <w:rsid w:val="00DC676A"/>
    <w:rsid w:val="00DC6BB4"/>
    <w:rsid w:val="00DC75A3"/>
    <w:rsid w:val="00DD016D"/>
    <w:rsid w:val="00DD020A"/>
    <w:rsid w:val="00DD08BB"/>
    <w:rsid w:val="00DD0CC0"/>
    <w:rsid w:val="00DD10D4"/>
    <w:rsid w:val="00DD200B"/>
    <w:rsid w:val="00DD4A2F"/>
    <w:rsid w:val="00DD58A3"/>
    <w:rsid w:val="00DD6615"/>
    <w:rsid w:val="00DD7245"/>
    <w:rsid w:val="00DD7A8D"/>
    <w:rsid w:val="00DD7CFB"/>
    <w:rsid w:val="00DE09A4"/>
    <w:rsid w:val="00DE0EBA"/>
    <w:rsid w:val="00DE1D56"/>
    <w:rsid w:val="00DE39BE"/>
    <w:rsid w:val="00DE44B9"/>
    <w:rsid w:val="00DE5180"/>
    <w:rsid w:val="00DE612D"/>
    <w:rsid w:val="00DE7158"/>
    <w:rsid w:val="00DF4A77"/>
    <w:rsid w:val="00DF50A3"/>
    <w:rsid w:val="00DF650E"/>
    <w:rsid w:val="00DF7804"/>
    <w:rsid w:val="00DF7D6E"/>
    <w:rsid w:val="00DF7E0C"/>
    <w:rsid w:val="00E000F6"/>
    <w:rsid w:val="00E015DC"/>
    <w:rsid w:val="00E01F61"/>
    <w:rsid w:val="00E04E82"/>
    <w:rsid w:val="00E054D7"/>
    <w:rsid w:val="00E072A6"/>
    <w:rsid w:val="00E14CF0"/>
    <w:rsid w:val="00E1508C"/>
    <w:rsid w:val="00E17CD3"/>
    <w:rsid w:val="00E219F6"/>
    <w:rsid w:val="00E22CAF"/>
    <w:rsid w:val="00E23A4E"/>
    <w:rsid w:val="00E270F9"/>
    <w:rsid w:val="00E315C4"/>
    <w:rsid w:val="00E3164D"/>
    <w:rsid w:val="00E3213C"/>
    <w:rsid w:val="00E32ABF"/>
    <w:rsid w:val="00E32EDD"/>
    <w:rsid w:val="00E331A1"/>
    <w:rsid w:val="00E33D90"/>
    <w:rsid w:val="00E34A07"/>
    <w:rsid w:val="00E34A24"/>
    <w:rsid w:val="00E36BD0"/>
    <w:rsid w:val="00E377F6"/>
    <w:rsid w:val="00E37AEF"/>
    <w:rsid w:val="00E42B42"/>
    <w:rsid w:val="00E439C0"/>
    <w:rsid w:val="00E4406D"/>
    <w:rsid w:val="00E44B36"/>
    <w:rsid w:val="00E45E80"/>
    <w:rsid w:val="00E52DB8"/>
    <w:rsid w:val="00E52EEC"/>
    <w:rsid w:val="00E5302B"/>
    <w:rsid w:val="00E54AED"/>
    <w:rsid w:val="00E5547C"/>
    <w:rsid w:val="00E57581"/>
    <w:rsid w:val="00E57F02"/>
    <w:rsid w:val="00E621BE"/>
    <w:rsid w:val="00E621DC"/>
    <w:rsid w:val="00E66F73"/>
    <w:rsid w:val="00E67F04"/>
    <w:rsid w:val="00E705C8"/>
    <w:rsid w:val="00E725C8"/>
    <w:rsid w:val="00E73351"/>
    <w:rsid w:val="00E760B4"/>
    <w:rsid w:val="00E76E9B"/>
    <w:rsid w:val="00E816D9"/>
    <w:rsid w:val="00E81FFC"/>
    <w:rsid w:val="00E82D04"/>
    <w:rsid w:val="00E8311F"/>
    <w:rsid w:val="00E831C3"/>
    <w:rsid w:val="00E836DF"/>
    <w:rsid w:val="00E840C0"/>
    <w:rsid w:val="00E8520E"/>
    <w:rsid w:val="00E85B74"/>
    <w:rsid w:val="00E85DCA"/>
    <w:rsid w:val="00E86F98"/>
    <w:rsid w:val="00E87EE0"/>
    <w:rsid w:val="00E906BE"/>
    <w:rsid w:val="00E91C9B"/>
    <w:rsid w:val="00E92263"/>
    <w:rsid w:val="00E93FB2"/>
    <w:rsid w:val="00E94088"/>
    <w:rsid w:val="00E94D06"/>
    <w:rsid w:val="00E960BE"/>
    <w:rsid w:val="00E96BC5"/>
    <w:rsid w:val="00E97012"/>
    <w:rsid w:val="00EA1550"/>
    <w:rsid w:val="00EA579D"/>
    <w:rsid w:val="00EA6247"/>
    <w:rsid w:val="00EA6E5A"/>
    <w:rsid w:val="00EA6FDE"/>
    <w:rsid w:val="00EA7B41"/>
    <w:rsid w:val="00EA7D4B"/>
    <w:rsid w:val="00EA7EB3"/>
    <w:rsid w:val="00EB3011"/>
    <w:rsid w:val="00EB3DB6"/>
    <w:rsid w:val="00EB4B40"/>
    <w:rsid w:val="00EB6884"/>
    <w:rsid w:val="00EC0337"/>
    <w:rsid w:val="00EC0DB5"/>
    <w:rsid w:val="00EC200B"/>
    <w:rsid w:val="00EC2012"/>
    <w:rsid w:val="00EC28BA"/>
    <w:rsid w:val="00EC3447"/>
    <w:rsid w:val="00EC5074"/>
    <w:rsid w:val="00EC58A0"/>
    <w:rsid w:val="00EC5DF8"/>
    <w:rsid w:val="00EC729F"/>
    <w:rsid w:val="00EC7B50"/>
    <w:rsid w:val="00EC7FC0"/>
    <w:rsid w:val="00EC7FE4"/>
    <w:rsid w:val="00ED012D"/>
    <w:rsid w:val="00ED12EB"/>
    <w:rsid w:val="00ED22F1"/>
    <w:rsid w:val="00ED48AD"/>
    <w:rsid w:val="00ED63A2"/>
    <w:rsid w:val="00EE2553"/>
    <w:rsid w:val="00EE3179"/>
    <w:rsid w:val="00EE67A9"/>
    <w:rsid w:val="00EE79F2"/>
    <w:rsid w:val="00EE7A86"/>
    <w:rsid w:val="00EF2822"/>
    <w:rsid w:val="00EF36CD"/>
    <w:rsid w:val="00EF505C"/>
    <w:rsid w:val="00EF6224"/>
    <w:rsid w:val="00EF6225"/>
    <w:rsid w:val="00EF7339"/>
    <w:rsid w:val="00EF7458"/>
    <w:rsid w:val="00EF7554"/>
    <w:rsid w:val="00EF7D7B"/>
    <w:rsid w:val="00F01061"/>
    <w:rsid w:val="00F0288A"/>
    <w:rsid w:val="00F03A3F"/>
    <w:rsid w:val="00F0437C"/>
    <w:rsid w:val="00F0544C"/>
    <w:rsid w:val="00F05A04"/>
    <w:rsid w:val="00F073CB"/>
    <w:rsid w:val="00F07E19"/>
    <w:rsid w:val="00F100AE"/>
    <w:rsid w:val="00F113A6"/>
    <w:rsid w:val="00F12D76"/>
    <w:rsid w:val="00F159F8"/>
    <w:rsid w:val="00F15CB8"/>
    <w:rsid w:val="00F175C0"/>
    <w:rsid w:val="00F206D8"/>
    <w:rsid w:val="00F2085E"/>
    <w:rsid w:val="00F20FF0"/>
    <w:rsid w:val="00F25996"/>
    <w:rsid w:val="00F25F4F"/>
    <w:rsid w:val="00F27C38"/>
    <w:rsid w:val="00F3307C"/>
    <w:rsid w:val="00F34470"/>
    <w:rsid w:val="00F35D54"/>
    <w:rsid w:val="00F3699D"/>
    <w:rsid w:val="00F40521"/>
    <w:rsid w:val="00F40C2F"/>
    <w:rsid w:val="00F42297"/>
    <w:rsid w:val="00F42A24"/>
    <w:rsid w:val="00F42C76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54EE"/>
    <w:rsid w:val="00F563B1"/>
    <w:rsid w:val="00F56EF6"/>
    <w:rsid w:val="00F57659"/>
    <w:rsid w:val="00F57923"/>
    <w:rsid w:val="00F640AE"/>
    <w:rsid w:val="00F6488B"/>
    <w:rsid w:val="00F64BE1"/>
    <w:rsid w:val="00F66A8B"/>
    <w:rsid w:val="00F66B45"/>
    <w:rsid w:val="00F70E96"/>
    <w:rsid w:val="00F718A1"/>
    <w:rsid w:val="00F73E23"/>
    <w:rsid w:val="00F74D95"/>
    <w:rsid w:val="00F80550"/>
    <w:rsid w:val="00F826ED"/>
    <w:rsid w:val="00F83A3F"/>
    <w:rsid w:val="00F850AB"/>
    <w:rsid w:val="00F85669"/>
    <w:rsid w:val="00F875F4"/>
    <w:rsid w:val="00F9035D"/>
    <w:rsid w:val="00F9042D"/>
    <w:rsid w:val="00F906BB"/>
    <w:rsid w:val="00F9095F"/>
    <w:rsid w:val="00F91666"/>
    <w:rsid w:val="00F9308B"/>
    <w:rsid w:val="00F940C1"/>
    <w:rsid w:val="00F941F9"/>
    <w:rsid w:val="00F967FB"/>
    <w:rsid w:val="00FA12A8"/>
    <w:rsid w:val="00FA2508"/>
    <w:rsid w:val="00FA2801"/>
    <w:rsid w:val="00FA2B5F"/>
    <w:rsid w:val="00FA2F9D"/>
    <w:rsid w:val="00FA30D7"/>
    <w:rsid w:val="00FA673F"/>
    <w:rsid w:val="00FA6A2F"/>
    <w:rsid w:val="00FA78D9"/>
    <w:rsid w:val="00FB2343"/>
    <w:rsid w:val="00FB4240"/>
    <w:rsid w:val="00FB5BFB"/>
    <w:rsid w:val="00FB5E40"/>
    <w:rsid w:val="00FB5E58"/>
    <w:rsid w:val="00FB5EA4"/>
    <w:rsid w:val="00FB7305"/>
    <w:rsid w:val="00FB7BEC"/>
    <w:rsid w:val="00FD38F3"/>
    <w:rsid w:val="00FD4F7E"/>
    <w:rsid w:val="00FD59B7"/>
    <w:rsid w:val="00FD5DAE"/>
    <w:rsid w:val="00FD5EAA"/>
    <w:rsid w:val="00FD681D"/>
    <w:rsid w:val="00FE22BC"/>
    <w:rsid w:val="00FE3A72"/>
    <w:rsid w:val="00FE44C2"/>
    <w:rsid w:val="00FE634F"/>
    <w:rsid w:val="00FE72C9"/>
    <w:rsid w:val="00FF09C5"/>
    <w:rsid w:val="00FF0F77"/>
    <w:rsid w:val="00FF27FD"/>
    <w:rsid w:val="00FF39DC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3">
    <w:name w:val="heading 3"/>
    <w:basedOn w:val="a"/>
    <w:link w:val="30"/>
    <w:uiPriority w:val="9"/>
    <w:qFormat/>
    <w:rsid w:val="001552E4"/>
    <w:pPr>
      <w:tabs>
        <w:tab w:val="clear" w:pos="4536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uiPriority w:val="9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link w:val="ab"/>
    <w:rsid w:val="00097A90"/>
    <w:pPr>
      <w:spacing w:before="360" w:after="80"/>
      <w:jc w:val="center"/>
    </w:pPr>
    <w:rPr>
      <w:sz w:val="24"/>
    </w:rPr>
  </w:style>
  <w:style w:type="character" w:customStyle="1" w:styleId="a9">
    <w:name w:val="ОснТекст Знак"/>
    <w:link w:val="a8"/>
    <w:uiPriority w:val="99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c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d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e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f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0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1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link w:val="af4"/>
    <w:uiPriority w:val="1"/>
    <w:qFormat/>
    <w:rsid w:val="00790BBA"/>
    <w:pPr>
      <w:tabs>
        <w:tab w:val="center" w:pos="4536"/>
      </w:tabs>
    </w:pPr>
  </w:style>
  <w:style w:type="paragraph" w:customStyle="1" w:styleId="Zagolovok1">
    <w:name w:val="Zagolovok1"/>
    <w:rsid w:val="00694651"/>
    <w:pPr>
      <w:spacing w:before="680" w:after="160"/>
      <w:ind w:left="851" w:right="851"/>
      <w:jc w:val="center"/>
    </w:pPr>
    <w:rPr>
      <w:rFonts w:ascii="Arial" w:hAnsi="Arial"/>
      <w:b/>
      <w:noProof/>
      <w:sz w:val="28"/>
    </w:rPr>
  </w:style>
  <w:style w:type="paragraph" w:customStyle="1" w:styleId="af5">
    <w:name w:val="Боковик"/>
    <w:basedOn w:val="a8"/>
    <w:link w:val="af6"/>
    <w:rsid w:val="00694651"/>
    <w:pPr>
      <w:jc w:val="left"/>
    </w:pPr>
    <w:rPr>
      <w:b w:val="0"/>
      <w:color w:val="auto"/>
      <w:sz w:val="16"/>
    </w:rPr>
  </w:style>
  <w:style w:type="character" w:customStyle="1" w:styleId="af6">
    <w:name w:val="Боковик Знак"/>
    <w:link w:val="af5"/>
    <w:rsid w:val="00694651"/>
    <w:rPr>
      <w:sz w:val="16"/>
    </w:rPr>
  </w:style>
  <w:style w:type="character" w:customStyle="1" w:styleId="ab">
    <w:name w:val="Наименование Знак"/>
    <w:link w:val="aa"/>
    <w:rsid w:val="00694651"/>
    <w:rPr>
      <w:b/>
      <w:color w:val="0000FF"/>
      <w:sz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370C9"/>
    <w:pPr>
      <w:tabs>
        <w:tab w:val="clear" w:pos="453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4370C9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rsid w:val="00F940C1"/>
  </w:style>
  <w:style w:type="character" w:customStyle="1" w:styleId="af4">
    <w:name w:val="Без интервала Знак"/>
    <w:link w:val="af3"/>
    <w:uiPriority w:val="1"/>
    <w:rsid w:val="00F940C1"/>
  </w:style>
  <w:style w:type="character" w:customStyle="1" w:styleId="30">
    <w:name w:val="Заголовок 3 Знак"/>
    <w:basedOn w:val="a0"/>
    <w:link w:val="3"/>
    <w:uiPriority w:val="9"/>
    <w:rsid w:val="001552E4"/>
    <w:rPr>
      <w:b/>
      <w:bCs/>
      <w:sz w:val="27"/>
      <w:szCs w:val="27"/>
    </w:rPr>
  </w:style>
  <w:style w:type="character" w:customStyle="1" w:styleId="y2iqfc">
    <w:name w:val="y2iqfc"/>
    <w:basedOn w:val="a0"/>
    <w:rsid w:val="009A4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.karibaeva\Desktop\&#1055;&#1088;&#1077;&#1089;&#1082;&#1072;\2021%20&#1075;&#1086;&#1076;\2021&#1075;&#1086;&#1076;%204%20&#1082;&#1074;&#1072;&#1088;&#1090;&#1072;&#1083;\&#1043;&#1088;&#1072;&#1092;&#1080;&#1082;%204%20&#1082;&#1074;%202021&#1075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9568345323741011E-2"/>
          <c:y val="2.9411764705882353E-2"/>
          <c:w val="0.94244604316546754"/>
          <c:h val="0.5931372549019569"/>
        </c:manualLayout>
      </c:layout>
      <c:barChart>
        <c:barDir val="col"/>
        <c:grouping val="clustered"/>
        <c:ser>
          <c:idx val="1"/>
          <c:order val="0"/>
          <c:tx>
            <c:strRef>
              <c:f>Лист2!$A$8</c:f>
              <c:strCache>
                <c:ptCount val="1"/>
                <c:pt idx="0">
                  <c:v>жұмыссыз халық, мың адам</c:v>
                </c:pt>
              </c:strCache>
            </c:strRef>
          </c:tx>
          <c:spPr>
            <a:solidFill>
              <a:srgbClr val="F79646"/>
            </a:solidFill>
            <a:ln w="25400">
              <a:noFill/>
            </a:ln>
          </c:spPr>
          <c:dLbls>
            <c:dLbl>
              <c:idx val="0"/>
              <c:layout>
                <c:manualLayout>
                  <c:x val="-4.0540795709888793E-4"/>
                  <c:y val="0.16514332767227649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5144023512487527E-3"/>
                  <c:y val="0.16491225361535714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6233381444379618E-3"/>
                  <c:y val="0.17424424888065548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7.3471759768685906E-4"/>
                  <c:y val="0.1768941382327218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8436904020091018E-3"/>
                  <c:y val="0.17843085790746846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541003417738353E-3"/>
                  <c:y val="0.17708661417322841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6472412364062477E-4"/>
                  <c:y val="0.17801708609953251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3.74599273094496E-4"/>
                  <c:y val="0.17677165354330709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3.1496062992126156E-4"/>
                  <c:y val="0.1746039833256137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1.6041461242027296E-3"/>
                  <c:y val="0.17483351345787659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0394078438037425E-4"/>
                  <c:y val="0.17771499150841547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6.356374237249388E-4"/>
                  <c:y val="0.18173434203077646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7.5643902044005308E-5"/>
                  <c:y val="0.16521331892336999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0"/>
                  <c:y val="0.18300653594771241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0"/>
                  <c:y val="0.16993464052287688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0"/>
                  <c:y val="0.16993464052287688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0"/>
                  <c:y val="0.18300653594771241"/>
                </c:manualLayout>
              </c:layout>
              <c:dLblPos val="outEnd"/>
              <c:showVal val="1"/>
            </c:dLbl>
            <c:dLbl>
              <c:idx val="17"/>
              <c:layout>
                <c:manualLayout>
                  <c:x val="0"/>
                  <c:y val="0.17647058823529421"/>
                </c:manualLayout>
              </c:layout>
              <c:dLblPos val="outEnd"/>
              <c:showVal val="1"/>
            </c:dLbl>
            <c:dLbl>
              <c:idx val="18"/>
              <c:layout>
                <c:manualLayout>
                  <c:x val="0"/>
                  <c:y val="0.16993464052287688"/>
                </c:manualLayout>
              </c:layout>
              <c:dLblPos val="outEnd"/>
              <c:showVal val="1"/>
            </c:dLbl>
            <c:dLbl>
              <c:idx val="19"/>
              <c:layout>
                <c:manualLayout>
                  <c:x val="0"/>
                  <c:y val="0.14379084967320271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0"/>
                  <c:y val="0.14379084967320271"/>
                </c:manualLayout>
              </c:layout>
              <c:dLblPos val="outEnd"/>
              <c:showVal val="1"/>
            </c:dLbl>
            <c:dLbl>
              <c:idx val="21"/>
              <c:layout>
                <c:manualLayout>
                  <c:x val="0"/>
                  <c:y val="0.14379084967320271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Лист2!$B$7:$I$7</c:f>
              <c:strCache>
                <c:ptCount val="8"/>
                <c:pt idx="0">
                  <c:v>I тоқсан</c:v>
                </c:pt>
                <c:pt idx="1">
                  <c:v>II тоқсан</c:v>
                </c:pt>
                <c:pt idx="2">
                  <c:v>III тоқсан</c:v>
                </c:pt>
                <c:pt idx="3">
                  <c:v>IV тоқсан</c:v>
                </c:pt>
                <c:pt idx="4">
                  <c:v>I тоқсан</c:v>
                </c:pt>
                <c:pt idx="5">
                  <c:v>II тоқсан</c:v>
                </c:pt>
                <c:pt idx="6">
                  <c:v>III тоқсан</c:v>
                </c:pt>
                <c:pt idx="7">
                  <c:v>IV тоқсан</c:v>
                </c:pt>
              </c:strCache>
            </c:strRef>
          </c:cat>
          <c:val>
            <c:numRef>
              <c:f>Лист2!$B$8:$I$8</c:f>
              <c:numCache>
                <c:formatCode>0.0</c:formatCode>
                <c:ptCount val="8"/>
                <c:pt idx="0">
                  <c:v>442.4</c:v>
                </c:pt>
                <c:pt idx="1">
                  <c:v>454</c:v>
                </c:pt>
                <c:pt idx="2">
                  <c:v>454.8</c:v>
                </c:pt>
                <c:pt idx="3">
                  <c:v>453</c:v>
                </c:pt>
                <c:pt idx="4">
                  <c:v>451.3</c:v>
                </c:pt>
                <c:pt idx="5">
                  <c:v>451.4</c:v>
                </c:pt>
                <c:pt idx="6">
                  <c:v>450.7</c:v>
                </c:pt>
                <c:pt idx="7">
                  <c:v>450.4</c:v>
                </c:pt>
              </c:numCache>
            </c:numRef>
          </c:val>
        </c:ser>
        <c:ser>
          <c:idx val="2"/>
          <c:order val="1"/>
          <c:tx>
            <c:strRef>
              <c:f>Лист2!$A$9</c:f>
              <c:strCache>
                <c:ptCount val="1"/>
                <c:pt idx="0">
                  <c:v>тіркелген жұмыссыздар саны, мың адам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 w="25400">
              <a:noFill/>
            </a:ln>
          </c:spPr>
          <c:dLbls>
            <c:dLbl>
              <c:idx val="0"/>
              <c:layout>
                <c:manualLayout>
                  <c:x val="7.385855352472959E-3"/>
                  <c:y val="7.764963203129038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7.4754085866308899E-3"/>
                  <c:y val="7.693479491534198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9.9857572249930481E-3"/>
                  <c:y val="7.885852503731166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8.2640486636085201E-3"/>
                  <c:y val="8.262209870825035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9560522266840265E-3"/>
                  <c:y val="7.810714837115917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8210126184317723E-3"/>
                  <c:y val="7.80469353095569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5.5189562284750655E-3"/>
                  <c:y val="8.39653131593851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6.2262362395263324E-3"/>
                  <c:y val="8.2440430240337481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6.2988315208330464E-3"/>
                  <c:y val="8.351706036745498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6.9924683327627912E-3"/>
                  <c:y val="8.043178426226121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8790745530674388E-3"/>
                  <c:y val="7.809582625701211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7.1861706941804939E-3"/>
                  <c:y val="6.1103391487828874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6.0768538233991589E-3"/>
                  <c:y val="6.6792239205393844E-2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7.2160852851651533E-3"/>
                  <c:y val="7.1895424836601871E-2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7.2595281306715512E-3"/>
                  <c:y val="7.8431372549019662E-2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4.8396854204476982E-3"/>
                  <c:y val="9.1503267973856536E-2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2.4198427102238252E-3"/>
                  <c:y val="9.1503267973856536E-2"/>
                </c:manualLayout>
              </c:layout>
              <c:dLblPos val="outEnd"/>
              <c:showVal val="1"/>
            </c:dLbl>
            <c:dLbl>
              <c:idx val="17"/>
              <c:layout>
                <c:manualLayout>
                  <c:x val="7.2595281306715512E-3"/>
                  <c:y val="8.4967320261438523E-2"/>
                </c:manualLayout>
              </c:layout>
              <c:dLblPos val="outEnd"/>
              <c:showVal val="1"/>
            </c:dLbl>
            <c:dLbl>
              <c:idx val="18"/>
              <c:layout>
                <c:manualLayout>
                  <c:x val="7.2595281306715512E-3"/>
                  <c:y val="9.1503267973856536E-2"/>
                </c:manualLayout>
              </c:layout>
              <c:dLblPos val="outEnd"/>
              <c:showVal val="1"/>
            </c:dLbl>
            <c:dLbl>
              <c:idx val="19"/>
              <c:layout>
                <c:manualLayout>
                  <c:x val="4.8396854204476982E-3"/>
                  <c:y val="0.11764705882352956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9.6793708408953478E-3"/>
                  <c:y val="0.11764705882352956"/>
                </c:manualLayout>
              </c:layout>
              <c:dLblPos val="outEnd"/>
              <c:showVal val="1"/>
            </c:dLbl>
            <c:dLbl>
              <c:idx val="21"/>
              <c:layout>
                <c:manualLayout>
                  <c:x val="4.8396854204476982E-3"/>
                  <c:y val="0.13071895424836621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Лист2!$B$7:$I$7</c:f>
              <c:strCache>
                <c:ptCount val="8"/>
                <c:pt idx="0">
                  <c:v>I тоқсан</c:v>
                </c:pt>
                <c:pt idx="1">
                  <c:v>II тоқсан</c:v>
                </c:pt>
                <c:pt idx="2">
                  <c:v>III тоқсан</c:v>
                </c:pt>
                <c:pt idx="3">
                  <c:v>IV тоқсан</c:v>
                </c:pt>
                <c:pt idx="4">
                  <c:v>I тоқсан</c:v>
                </c:pt>
                <c:pt idx="5">
                  <c:v>II тоқсан</c:v>
                </c:pt>
                <c:pt idx="6">
                  <c:v>III тоқсан</c:v>
                </c:pt>
                <c:pt idx="7">
                  <c:v>IV тоқсан</c:v>
                </c:pt>
              </c:strCache>
            </c:strRef>
          </c:cat>
          <c:val>
            <c:numRef>
              <c:f>Лист2!$B$9:$I$9</c:f>
              <c:numCache>
                <c:formatCode>0.0</c:formatCode>
                <c:ptCount val="8"/>
                <c:pt idx="0">
                  <c:v>149.80000000000001</c:v>
                </c:pt>
                <c:pt idx="1">
                  <c:v>184.9</c:v>
                </c:pt>
                <c:pt idx="2">
                  <c:v>227.9</c:v>
                </c:pt>
                <c:pt idx="3">
                  <c:v>141.80000000000001</c:v>
                </c:pt>
                <c:pt idx="4">
                  <c:v>197.8</c:v>
                </c:pt>
                <c:pt idx="5">
                  <c:v>223.5</c:v>
                </c:pt>
                <c:pt idx="6">
                  <c:v>210.1</c:v>
                </c:pt>
                <c:pt idx="7">
                  <c:v>97.9</c:v>
                </c:pt>
              </c:numCache>
            </c:numRef>
          </c:val>
        </c:ser>
        <c:gapWidth val="100"/>
        <c:axId val="83608320"/>
        <c:axId val="83609856"/>
      </c:barChart>
      <c:lineChart>
        <c:grouping val="standard"/>
        <c:ser>
          <c:idx val="3"/>
          <c:order val="2"/>
          <c:tx>
            <c:strRef>
              <c:f>Лист2!$A$10</c:f>
              <c:strCache>
                <c:ptCount val="1"/>
                <c:pt idx="0">
                  <c:v>жұмыссыздық деңгейі, %</c:v>
                </c:pt>
              </c:strCache>
            </c:strRef>
          </c:tx>
          <c:spPr>
            <a:ln w="12700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square"/>
            <c:size val="3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8567948790573887E-2"/>
                  <c:y val="-4.354536565282266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5480277195566538E-2"/>
                  <c:y val="-4.276362513509388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7788289053796354E-2"/>
                  <c:y val="-4.143276208121042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5899658226175095E-2"/>
                  <c:y val="-3.877206525654880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7608338526029924E-2"/>
                  <c:y val="-4.070917605887499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8717120791555736E-2"/>
                  <c:y val="-3.937882764654421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6828678789252113E-2"/>
                  <c:y val="-4.4584426946632186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7937649880096078E-2"/>
                  <c:y val="-4.4280788430857906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2.7847580203553761E-2"/>
                  <c:y val="-4.4584426946632186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5958907035354809E-2"/>
                  <c:y val="-4.4584426946632186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9466002001548277E-2"/>
                  <c:y val="-4.458442694663218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5166284594172538E-2"/>
                  <c:y val="-4.5611136843188932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8686342264771039E-2"/>
                  <c:y val="-4.367402604086254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2.8776978417266376E-2"/>
                  <c:y val="-4.5751633986928532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2.6618269812462212E-2"/>
                  <c:y val="-4.5751633986928532E-2"/>
                </c:manualLayout>
              </c:layout>
              <c:dLblPos val="r"/>
              <c:showVal val="1"/>
            </c:dLbl>
            <c:dLbl>
              <c:idx val="15"/>
              <c:layout>
                <c:manualLayout>
                  <c:x val="-2.9038112522686215E-2"/>
                  <c:y val="-4.5752148628480274E-2"/>
                </c:manualLayout>
              </c:layout>
              <c:dLblPos val="r"/>
              <c:showVal val="1"/>
            </c:dLbl>
            <c:dLbl>
              <c:idx val="16"/>
              <c:layout>
                <c:manualLayout>
                  <c:x val="-2.6618269812462212E-2"/>
                  <c:y val="-3.9215686274509831E-2"/>
                </c:manualLayout>
              </c:layout>
              <c:dLblPos val="r"/>
              <c:showVal val="1"/>
            </c:dLbl>
            <c:dLbl>
              <c:idx val="17"/>
              <c:layout>
                <c:manualLayout>
                  <c:x val="-2.6618269812462212E-2"/>
                  <c:y val="-4.5751633986928532E-2"/>
                </c:manualLayout>
              </c:layout>
              <c:dLblPos val="r"/>
              <c:showVal val="1"/>
            </c:dLbl>
            <c:dLbl>
              <c:idx val="18"/>
              <c:layout>
                <c:manualLayout>
                  <c:x val="-3.1457955232909916E-2"/>
                  <c:y val="-3.9215686274509831E-2"/>
                </c:manualLayout>
              </c:layout>
              <c:dLblPos val="r"/>
              <c:showVal val="1"/>
            </c:dLbl>
            <c:dLbl>
              <c:idx val="19"/>
              <c:layout>
                <c:manualLayout>
                  <c:x val="-2.9038112522686215E-2"/>
                  <c:y val="-4.5751633986928518E-2"/>
                </c:manualLayout>
              </c:layout>
              <c:dLblPos val="r"/>
              <c:showVal val="1"/>
            </c:dLbl>
            <c:dLbl>
              <c:idx val="20"/>
              <c:layout>
                <c:manualLayout>
                  <c:x val="-2.9038112522686215E-2"/>
                  <c:y val="-4.5751633986928532E-2"/>
                </c:manualLayout>
              </c:layout>
              <c:dLblPos val="r"/>
              <c:showVal val="1"/>
            </c:dLbl>
            <c:dLbl>
              <c:idx val="21"/>
              <c:layout>
                <c:manualLayout>
                  <c:x val="-3.1457955232909916E-2"/>
                  <c:y val="-4.5751633986928532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Лист2!$B$7:$I$7</c:f>
              <c:strCache>
                <c:ptCount val="8"/>
                <c:pt idx="0">
                  <c:v>I тоқсан</c:v>
                </c:pt>
                <c:pt idx="1">
                  <c:v>II тоқсан</c:v>
                </c:pt>
                <c:pt idx="2">
                  <c:v>III тоқсан</c:v>
                </c:pt>
                <c:pt idx="3">
                  <c:v>IV тоқсан</c:v>
                </c:pt>
                <c:pt idx="4">
                  <c:v>I тоқсан</c:v>
                </c:pt>
                <c:pt idx="5">
                  <c:v>II тоқсан</c:v>
                </c:pt>
                <c:pt idx="6">
                  <c:v>III тоқсан</c:v>
                </c:pt>
                <c:pt idx="7">
                  <c:v>IV тоқсан</c:v>
                </c:pt>
              </c:strCache>
            </c:strRef>
          </c:cat>
          <c:val>
            <c:numRef>
              <c:f>Лист2!$B$10:$I$10</c:f>
              <c:numCache>
                <c:formatCode>0.0</c:formatCode>
                <c:ptCount val="8"/>
                <c:pt idx="0">
                  <c:v>4.8</c:v>
                </c:pt>
                <c:pt idx="1">
                  <c:v>5</c:v>
                </c:pt>
                <c:pt idx="2">
                  <c:v>5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4.9000000000000004</c:v>
                </c:pt>
                <c:pt idx="7">
                  <c:v>4.9000000000000004</c:v>
                </c:pt>
              </c:numCache>
            </c:numRef>
          </c:val>
        </c:ser>
        <c:ser>
          <c:idx val="4"/>
          <c:order val="3"/>
          <c:tx>
            <c:strRef>
              <c:f>Лист2!$A$11</c:f>
              <c:strCache>
                <c:ptCount val="1"/>
                <c:pt idx="0">
                  <c:v>тіркелген жұмыссыздардың үлесі, %</c:v>
                </c:pt>
              </c:strCache>
            </c:strRef>
          </c:tx>
          <c:spPr>
            <a:ln w="12700">
              <a:solidFill>
                <a:schemeClr val="accent6">
                  <a:lumMod val="50000"/>
                </a:schemeClr>
              </a:solidFill>
              <a:prstDash val="solid"/>
            </a:ln>
          </c:spPr>
          <c:marker>
            <c:symbol val="diamond"/>
            <c:size val="3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2380898430861641E-2"/>
                  <c:y val="-3.657763367814339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1691269988710591E-2"/>
                  <c:y val="-3.494416139159074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2800205781899766E-2"/>
                  <c:y val="-2.707735062528967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2084923141413149E-2"/>
                  <c:y val="-3.0648448355720219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3219772210869375E-2"/>
                  <c:y val="-3.228243528382498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1.3729082412792781E-2"/>
                  <c:y val="-2.5746487571406455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4881842129080509E-2"/>
                  <c:y val="-2.738150378261559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1.5391152331004005E-2"/>
                  <c:y val="-2.7684113015285047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1.4058714530012239E-2"/>
                  <c:y val="-2.9014461427615632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1.5167582469457489E-2"/>
                  <c:y val="-3.0345324481498678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1.5720593909427441E-2"/>
                  <c:y val="-3.197931140960350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2589279334638588E-2"/>
                  <c:y val="-3.3310174463486185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1.6739404852070441E-2"/>
                  <c:y val="-3.4944161391590747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1.4388489208633183E-2"/>
                  <c:y val="-3.2679738562091658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1.2099213551119106E-2"/>
                  <c:y val="-3.2679738562091727E-2"/>
                </c:manualLayout>
              </c:layout>
              <c:dLblPos val="r"/>
              <c:showVal val="1"/>
            </c:dLbl>
            <c:dLbl>
              <c:idx val="15"/>
              <c:layout>
                <c:manualLayout>
                  <c:x val="-1.4519056261343017E-2"/>
                  <c:y val="-3.2679738562091727E-2"/>
                </c:manualLayout>
              </c:layout>
              <c:dLblPos val="r"/>
              <c:showVal val="1"/>
            </c:dLbl>
            <c:dLbl>
              <c:idx val="16"/>
              <c:layout>
                <c:manualLayout>
                  <c:x val="-1.4519056261343017E-2"/>
                  <c:y val="-3.2679738562091727E-2"/>
                </c:manualLayout>
              </c:layout>
              <c:dLblPos val="r"/>
              <c:showVal val="1"/>
            </c:dLbl>
            <c:dLbl>
              <c:idx val="17"/>
              <c:layout>
                <c:manualLayout>
                  <c:x val="-1.4519056261343017E-2"/>
                  <c:y val="-2.6143790849673356E-2"/>
                </c:manualLayout>
              </c:layout>
              <c:dLblPos val="r"/>
              <c:showVal val="1"/>
            </c:dLbl>
            <c:dLbl>
              <c:idx val="18"/>
              <c:layout>
                <c:manualLayout>
                  <c:x val="-1.6938898971566849E-2"/>
                  <c:y val="-3.2679738562091727E-2"/>
                </c:manualLayout>
              </c:layout>
              <c:dLblPos val="r"/>
              <c:showVal val="1"/>
            </c:dLbl>
            <c:dLbl>
              <c:idx val="19"/>
              <c:layout>
                <c:manualLayout>
                  <c:x val="-2.1778584392014508E-2"/>
                  <c:y val="-3.2679738562091727E-2"/>
                </c:manualLayout>
              </c:layout>
              <c:dLblPos val="r"/>
              <c:showVal val="1"/>
            </c:dLbl>
            <c:dLbl>
              <c:idx val="20"/>
              <c:layout>
                <c:manualLayout>
                  <c:x val="-1.6938898971566849E-2"/>
                  <c:y val="-3.2679738562091727E-2"/>
                </c:manualLayout>
              </c:layout>
              <c:dLblPos val="r"/>
              <c:showVal val="1"/>
            </c:dLbl>
            <c:dLbl>
              <c:idx val="21"/>
              <c:layout>
                <c:manualLayout>
                  <c:x val="-2.1778584392014508E-2"/>
                  <c:y val="-4.5751633986928483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Лист2!$B$7:$I$7</c:f>
              <c:strCache>
                <c:ptCount val="8"/>
                <c:pt idx="0">
                  <c:v>I тоқсан</c:v>
                </c:pt>
                <c:pt idx="1">
                  <c:v>II тоқсан</c:v>
                </c:pt>
                <c:pt idx="2">
                  <c:v>III тоқсан</c:v>
                </c:pt>
                <c:pt idx="3">
                  <c:v>IV тоқсан</c:v>
                </c:pt>
                <c:pt idx="4">
                  <c:v>I тоқсан</c:v>
                </c:pt>
                <c:pt idx="5">
                  <c:v>II тоқсан</c:v>
                </c:pt>
                <c:pt idx="6">
                  <c:v>III тоқсан</c:v>
                </c:pt>
                <c:pt idx="7">
                  <c:v>IV тоқсан</c:v>
                </c:pt>
              </c:strCache>
            </c:strRef>
          </c:cat>
          <c:val>
            <c:numRef>
              <c:f>Лист2!$B$11:$I$11</c:f>
              <c:numCache>
                <c:formatCode>0.0</c:formatCode>
                <c:ptCount val="8"/>
                <c:pt idx="0">
                  <c:v>1.6</c:v>
                </c:pt>
                <c:pt idx="1">
                  <c:v>2</c:v>
                </c:pt>
                <c:pt idx="2">
                  <c:v>2.5</c:v>
                </c:pt>
                <c:pt idx="3">
                  <c:v>1.5</c:v>
                </c:pt>
                <c:pt idx="4">
                  <c:v>2.2000000000000002</c:v>
                </c:pt>
                <c:pt idx="5">
                  <c:v>2.4</c:v>
                </c:pt>
                <c:pt idx="6">
                  <c:v>2.2999999999999998</c:v>
                </c:pt>
                <c:pt idx="7">
                  <c:v>1.1000000000000001</c:v>
                </c:pt>
              </c:numCache>
            </c:numRef>
          </c:val>
        </c:ser>
        <c:marker val="1"/>
        <c:axId val="83202048"/>
        <c:axId val="83203584"/>
      </c:lineChart>
      <c:catAx>
        <c:axId val="836083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609856"/>
        <c:crosses val="autoZero"/>
        <c:auto val="1"/>
        <c:lblAlgn val="ctr"/>
        <c:lblOffset val="100"/>
        <c:tickLblSkip val="1"/>
        <c:tickMarkSkip val="1"/>
      </c:catAx>
      <c:valAx>
        <c:axId val="83609856"/>
        <c:scaling>
          <c:orientation val="minMax"/>
          <c:max val="70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0.0" sourceLinked="1"/>
        <c:tickLblPos val="none"/>
        <c:spPr>
          <a:ln w="3175">
            <a:solidFill>
              <a:srgbClr val="000000"/>
            </a:solidFill>
            <a:prstDash val="solid"/>
          </a:ln>
        </c:spPr>
        <c:crossAx val="83608320"/>
        <c:crosses val="autoZero"/>
        <c:crossBetween val="between"/>
      </c:valAx>
      <c:catAx>
        <c:axId val="83202048"/>
        <c:scaling>
          <c:orientation val="minMax"/>
        </c:scaling>
        <c:delete val="1"/>
        <c:axPos val="b"/>
        <c:tickLblPos val="none"/>
        <c:crossAx val="83203584"/>
        <c:crosses val="autoZero"/>
        <c:auto val="1"/>
        <c:lblAlgn val="ctr"/>
        <c:lblOffset val="100"/>
      </c:catAx>
      <c:valAx>
        <c:axId val="83203584"/>
        <c:scaling>
          <c:orientation val="minMax"/>
        </c:scaling>
        <c:axPos val="r"/>
        <c:numFmt formatCode="0.0" sourceLinked="1"/>
        <c:tickLblPos val="none"/>
        <c:spPr>
          <a:ln w="3175">
            <a:solidFill>
              <a:srgbClr val="000000"/>
            </a:solidFill>
            <a:prstDash val="solid"/>
          </a:ln>
        </c:spPr>
        <c:crossAx val="83202048"/>
        <c:crosses val="max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4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4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4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4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7600983421376123"/>
          <c:y val="0.81536014894689857"/>
          <c:w val="0.6528027034595395"/>
          <c:h val="0.16666640807830099"/>
        </c:manualLayout>
      </c:layout>
      <c:spPr>
        <a:noFill/>
        <a:ln w="25400">
          <a:noFill/>
        </a:ln>
      </c:spPr>
      <c:txPr>
        <a:bodyPr/>
        <a:lstStyle/>
        <a:p>
          <a:pPr>
            <a:defRPr sz="4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0.30899</cdr:x>
      <cdr:y>0.70062</cdr:y>
    </cdr:from>
    <cdr:to>
      <cdr:x>0.35282</cdr:x>
      <cdr:y>0.76516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1627547" y="1354708"/>
          <a:ext cx="230867" cy="1247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US" sz="600" b="0" i="0" strike="noStrike">
              <a:solidFill>
                <a:srgbClr val="000000"/>
              </a:solidFill>
              <a:latin typeface="+mn-lt"/>
            </a:rPr>
            <a:t>2020</a:t>
          </a:r>
          <a:endParaRPr lang="ru-RU" sz="600" b="0" i="0" strike="noStrike">
            <a:solidFill>
              <a:srgbClr val="000000"/>
            </a:solidFill>
            <a:latin typeface="+mn-lt"/>
          </a:endParaRPr>
        </a:p>
      </cdr:txBody>
    </cdr:sp>
  </cdr:relSizeAnchor>
  <cdr:relSizeAnchor xmlns:cdr="http://schemas.openxmlformats.org/drawingml/2006/chartDrawing">
    <cdr:from>
      <cdr:x>0.75242</cdr:x>
      <cdr:y>0.69444</cdr:y>
    </cdr:from>
    <cdr:to>
      <cdr:x>0.80383</cdr:x>
      <cdr:y>0.76915</cdr:y>
    </cdr:to>
    <cdr:sp macro="" textlink="">
      <cdr:nvSpPr>
        <cdr:cNvPr id="205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V="1">
          <a:off x="3963222" y="1342752"/>
          <a:ext cx="270794" cy="1444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600" b="0" i="0" strike="noStrike">
              <a:solidFill>
                <a:srgbClr val="000000"/>
              </a:solidFill>
              <a:latin typeface="+mn-lt"/>
            </a:rPr>
            <a:t>20</a:t>
          </a:r>
          <a:r>
            <a:rPr lang="en-US" sz="600" b="0" i="0" strike="noStrike">
              <a:solidFill>
                <a:srgbClr val="000000"/>
              </a:solidFill>
              <a:latin typeface="+mn-lt"/>
            </a:rPr>
            <a:t>21</a:t>
          </a:r>
          <a:endParaRPr lang="ru-RU" sz="600" b="0" i="0" strike="noStrike">
            <a:solidFill>
              <a:srgbClr val="000000"/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69FD-9B8C-4B03-8258-6FCCC5F0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a.karibaeva</cp:lastModifiedBy>
  <cp:revision>31</cp:revision>
  <cp:lastPrinted>2021-05-11T11:11:00Z</cp:lastPrinted>
  <dcterms:created xsi:type="dcterms:W3CDTF">2021-08-06T04:25:00Z</dcterms:created>
  <dcterms:modified xsi:type="dcterms:W3CDTF">2022-02-10T12:10:00Z</dcterms:modified>
</cp:coreProperties>
</file>