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363A9A" w14:textId="77777777" w:rsidR="00A26BF7" w:rsidRPr="00A26BF7" w:rsidRDefault="00A26BF7" w:rsidP="00A26B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color w:val="000000"/>
          <w:sz w:val="24"/>
          <w:szCs w:val="24"/>
          <w:lang w:val="ru-KZ"/>
        </w:rPr>
      </w:pPr>
    </w:p>
    <w:p w14:paraId="4172EBA1" w14:textId="77777777" w:rsidR="00A26BF7" w:rsidRPr="00A26BF7" w:rsidRDefault="00A26BF7" w:rsidP="00A26B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4"/>
          <w:szCs w:val="24"/>
          <w:lang w:val="ru-KZ"/>
        </w:rPr>
        <w:t xml:space="preserve"> </w:t>
      </w: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Пробивка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ул.Жубанова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 от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ул.Момышулы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 до границы города» 2 очередь от ул.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Момышулы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 до ул.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Бегалиева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. Приложение 1, раздел 2, подпункт 7.2. строительство автомобильных дорог протяженностью 1 км и более и (или) с пропускной способностью 1 тыс. автомобилей в час и более. </w:t>
      </w:r>
    </w:p>
    <w:p w14:paraId="3B03385E" w14:textId="609A87A1" w:rsidR="00A26BF7" w:rsidRPr="00A26BF7" w:rsidRDefault="00A26BF7" w:rsidP="00A26BF7">
      <w:pPr>
        <w:spacing w:after="0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Территория проектирования расположена в западной части города в пределах Ауэзовского и Наурызбайского районов города Алматы. Территория застроена преимущественно жилыми зданиями и сооружениями – частная жилая застройка. Трасса проектируемой улицы, предусматриваемой в соответствии с решениями Генерального плана развития г. Алматы и Проекта детальной планировки района проектирования, проходит через селитебную территорию и микрорайоны Аксай 5,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Достык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>, Калкаман-2 с жилой малоэтажной застройкой, ее пересекают многочисленные подземные и надземные инженерные сети и коммуникации, обеспечивающие</w:t>
      </w:r>
      <w:r>
        <w:rPr>
          <w:rFonts w:eastAsiaTheme="minorHAnsi"/>
          <w:color w:val="000000"/>
          <w:sz w:val="28"/>
          <w:szCs w:val="28"/>
          <w:lang w:val="ru-RU"/>
        </w:rPr>
        <w:t xml:space="preserve"> </w:t>
      </w: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энергообеспечение района.. </w:t>
      </w:r>
    </w:p>
    <w:p w14:paraId="059647D7" w14:textId="77777777" w:rsidR="00A26BF7" w:rsidRPr="00A26BF7" w:rsidRDefault="00A26BF7" w:rsidP="00A26B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Категория дороги – магистральная улица общегородского значения регулируемого движения, эквивалентная по интенсивности движения дороге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Iб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 технической категории и по ширине полос движения II категории (таблица 5.1 СП РК 3.01-101-2013*); 2. Количество полос движения – 4; 3.Номер расчетной полосы – 1. 4. Тип дорожной одежды – капитальный; 5. Срок службы покрытия – 12 лет; 6. Поперечный профиль покрытия – двускатный; 7. Ширина полосы движения – 3,5м; 8. Ширина тротуара – 3,0м; 9. Ширина велосипедной дорожки - 3,0м; 10. Тип местности по увлажнению – I; 11. Грунт земляного полотна – суглинок легкий, пылеватый (нулевые места). Перспективная суточная интенсивность на 2034 год (12 год службы) для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ул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Жубанова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 составляет– 10533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авт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>/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сут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. Приведённая к легковому транспорту, перспективная интенсивность движения на 2034 год (12 год службы) для данного участка улицы составила – 14074 приведенных транспортных единиц. </w:t>
      </w:r>
    </w:p>
    <w:p w14:paraId="714EC6D7" w14:textId="77777777" w:rsidR="00A26BF7" w:rsidRPr="00A26BF7" w:rsidRDefault="00A26BF7" w:rsidP="00A26B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За начало трассы 2 очереди принята кромка улицы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Бегалиева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 на пересечении с трассой проектируемого участка улицы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Жубанова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 (проектируемый перекресток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ул.Бегалиева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-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ул.Жубанова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). Конец трассы – кромка проезжей части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ул.Момышулы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 на существующем перекрестке. Протяженность 2 очереди между границами проектирования от улицы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Бегалиева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 до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ул.Момышулы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 составляет 2,72 км. Ширина ул.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Жубанова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 в красных линиях составляет 40,0 м. В пределах красных линий, рабочим проектом предусматривается изъятие и снос существующих строений. В сметной стоимости строительства учтены затраты на снос строений и вывоз строительного мусора на свалку. Через реку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Карагайлы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 запроектирован железобетонный мост по схеме 1х21 м. Ширина проезжей части на мосту – 17,56м. Для пропуска пешеходов и велосипедистов по мосту, проектом предусмотрено устройство тротуаров и велодорожек. Проектирование продольного профиля производилось из условий движения автомобилей с расчетной скоростью с обеспечением безопасности движения, требуемой видимости, минимизации объёмов земляных работ, в увязке с планировочными отметками территории застройки, с учетом размещения водопропускных труб, обеспечивающих пропуск ливневого стока через дорогу (профильное положение верха звена трубы от верха проезжей части не менее 0,5м), с использованием автоматизированной системы "CREDO Дороги". Продольный профиль запроектирован с вписыванием вертикальных кривых в местах перелома профиля. При проектировании были приняты следующие параметры: минимальный радиус вертикальной кривой вогнутой - 2000 м, выпуклой - 5000 м, наибольший продольный уклон - 33‰.. </w:t>
      </w:r>
    </w:p>
    <w:p w14:paraId="762F07BC" w14:textId="77777777" w:rsidR="00A26BF7" w:rsidRPr="00A26BF7" w:rsidRDefault="00A26BF7" w:rsidP="00A26B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lastRenderedPageBreak/>
        <w:t xml:space="preserve">Предположительные сроки – 20 месяцев. Начало строительства – 3-й квартал 2024 года; 2024 год– 26 % 2025 год– 62 % 2025 год– 12 %. </w:t>
      </w:r>
    </w:p>
    <w:p w14:paraId="0548AB37" w14:textId="77777777" w:rsidR="00A26BF7" w:rsidRPr="00A26BF7" w:rsidRDefault="00A26BF7" w:rsidP="00A26B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b/>
          <w:bCs/>
          <w:color w:val="000000"/>
          <w:sz w:val="28"/>
          <w:szCs w:val="28"/>
          <w:lang w:val="ru-KZ"/>
        </w:rPr>
        <w:t xml:space="preserve">Краткая характеристика компонентов окружающей среды </w:t>
      </w:r>
    </w:p>
    <w:p w14:paraId="2F0E6728" w14:textId="77777777" w:rsidR="00A26BF7" w:rsidRPr="00A26BF7" w:rsidRDefault="00A26BF7" w:rsidP="00A26BF7">
      <w:pPr>
        <w:pStyle w:val="Default"/>
        <w:ind w:firstLine="567"/>
        <w:jc w:val="both"/>
        <w:rPr>
          <w:lang w:val="ru-KZ"/>
        </w:rPr>
      </w:pPr>
      <w:r w:rsidRPr="00A26BF7">
        <w:rPr>
          <w:sz w:val="28"/>
          <w:szCs w:val="28"/>
          <w:lang w:val="ru-KZ"/>
        </w:rPr>
        <w:t>Описание видов ресурсов, необходимых для осуществления намечаемой деятельности:</w:t>
      </w:r>
    </w:p>
    <w:p w14:paraId="569827CC" w14:textId="77777777" w:rsidR="00A26BF7" w:rsidRPr="00A26BF7" w:rsidRDefault="00A26BF7" w:rsidP="00A26BF7">
      <w:pPr>
        <w:autoSpaceDE w:val="0"/>
        <w:autoSpaceDN w:val="0"/>
        <w:adjustRightInd w:val="0"/>
        <w:spacing w:after="38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1) земельных участков: постановления Акима города Алматы №3/387 от 27 июля 2021г. </w:t>
      </w:r>
    </w:p>
    <w:p w14:paraId="263B94C7" w14:textId="77777777" w:rsidR="00A26BF7" w:rsidRPr="00A26BF7" w:rsidRDefault="00A26BF7" w:rsidP="00A26BF7">
      <w:pPr>
        <w:autoSpaceDE w:val="0"/>
        <w:autoSpaceDN w:val="0"/>
        <w:adjustRightInd w:val="0"/>
        <w:spacing w:after="38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2) водных ресурсов: через реку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Карагайлы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 запроектирован железобетонный мост по схеме 1х21 м. Ширина проезжей части на мосту – 17,66 м. Объемов потребления воды: Вода питьевого качества: 2145 м3/период, технического качества: 29282,57073 м3/период. </w:t>
      </w:r>
    </w:p>
    <w:p w14:paraId="56C75DB3" w14:textId="77777777" w:rsidR="00A26BF7" w:rsidRPr="00A26BF7" w:rsidRDefault="00A26BF7" w:rsidP="00A26BF7">
      <w:pPr>
        <w:autoSpaceDE w:val="0"/>
        <w:autoSpaceDN w:val="0"/>
        <w:adjustRightInd w:val="0"/>
        <w:spacing w:after="38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3) участков недр: недропользование не производится. Закуп производится у специализированных организациях. </w:t>
      </w:r>
    </w:p>
    <w:p w14:paraId="396279D7" w14:textId="77777777" w:rsidR="00A26BF7" w:rsidRPr="00A26BF7" w:rsidRDefault="00A26BF7" w:rsidP="00A26BF7">
      <w:pPr>
        <w:autoSpaceDE w:val="0"/>
        <w:autoSpaceDN w:val="0"/>
        <w:adjustRightInd w:val="0"/>
        <w:spacing w:after="38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4) растительных ресурсов: под вынужденную вырубку удовлетворительного состояния: - 894 деревьев; - 19 кустарников; - 11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кв.м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. дикорастущей поросли; - 52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кв.м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. лианы; - 19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кв.м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. цветника; - 219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п.м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>. живой изгороди. •</w:t>
      </w:r>
      <w:r w:rsidRPr="00A26BF7">
        <w:rPr>
          <w:rFonts w:hint="eastAsia"/>
          <w:color w:val="000000"/>
          <w:sz w:val="28"/>
          <w:szCs w:val="28"/>
          <w:lang w:val="ru-KZ"/>
        </w:rPr>
        <w:t>􀀀</w:t>
      </w:r>
      <w:r w:rsidRPr="00A26BF7">
        <w:rPr>
          <w:rFonts w:eastAsiaTheme="minorHAnsi"/>
          <w:color w:val="000000"/>
          <w:sz w:val="28"/>
          <w:szCs w:val="28"/>
          <w:lang w:val="ru-KZ"/>
        </w:rPr>
        <w:t>под санитарную вырубку неудовлетворительного состояния: - 65 деревьев; - 4 кустарника. •</w:t>
      </w:r>
      <w:r w:rsidRPr="00A26BF7">
        <w:rPr>
          <w:rFonts w:hint="eastAsia"/>
          <w:color w:val="000000"/>
          <w:sz w:val="28"/>
          <w:szCs w:val="28"/>
          <w:lang w:val="ru-KZ"/>
        </w:rPr>
        <w:t>􀀀</w:t>
      </w: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под пересадку удовлетворительного состояния: - 588 деревьев; - 222 кустарников; - 16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кв.м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. лианы; - 475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кв.м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. цветника; - 76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п.м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. живой изгороди; - 23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кв.м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.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ежемалины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; - 247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кв.м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. малины; - 18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кв.м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>. смородины. •</w:t>
      </w:r>
      <w:r w:rsidRPr="00A26BF7">
        <w:rPr>
          <w:rFonts w:hint="eastAsia"/>
          <w:color w:val="000000"/>
          <w:sz w:val="28"/>
          <w:szCs w:val="28"/>
          <w:lang w:val="ru-KZ"/>
        </w:rPr>
        <w:t>􀀀</w:t>
      </w: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требуется сохранение: - 196 деревьев. - 36 кустарников; - 18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кв.м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. лианы; - 15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кв.м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. цветника; - 20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п.м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. живой изгороди; - 2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кв.м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. ежевики; - 14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кв.м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. малины; - 11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кв.м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. смородины. • под корчевание: - 14 пней. </w:t>
      </w:r>
    </w:p>
    <w:p w14:paraId="11E8F078" w14:textId="77777777" w:rsidR="00A26BF7" w:rsidRPr="00A26BF7" w:rsidRDefault="00A26BF7" w:rsidP="00A26BF7">
      <w:pPr>
        <w:autoSpaceDE w:val="0"/>
        <w:autoSpaceDN w:val="0"/>
        <w:adjustRightInd w:val="0"/>
        <w:spacing w:after="38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5) видов объектов животного мира: животный мир не используется. </w:t>
      </w:r>
    </w:p>
    <w:p w14:paraId="305DEA63" w14:textId="77777777" w:rsidR="00A26BF7" w:rsidRPr="00A26BF7" w:rsidRDefault="00A26BF7" w:rsidP="00A26BF7">
      <w:pPr>
        <w:autoSpaceDE w:val="0"/>
        <w:autoSpaceDN w:val="0"/>
        <w:adjustRightInd w:val="0"/>
        <w:spacing w:after="38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6) иных ресурсов: материалы для проведения строительных работ будут закупаться у специализированных предприятий расположенных в районе проведения работ. </w:t>
      </w:r>
    </w:p>
    <w:p w14:paraId="1DF593AF" w14:textId="77777777" w:rsidR="00A26BF7" w:rsidRPr="00A26BF7" w:rsidRDefault="00A26BF7" w:rsidP="00A26B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7) риски истощения используемых природных ресурсов, обусловленные их дефицитностью, уникальностью и (или)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невозобновляемостью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: риск истощения используемых природных ресурсов низкие. </w:t>
      </w:r>
    </w:p>
    <w:p w14:paraId="207CA0F2" w14:textId="03ED8760" w:rsidR="00A26BF7" w:rsidRPr="00A26BF7" w:rsidRDefault="00A26BF7" w:rsidP="00A26BF7">
      <w:pPr>
        <w:pStyle w:val="Default"/>
        <w:ind w:firstLine="567"/>
        <w:jc w:val="both"/>
        <w:rPr>
          <w:sz w:val="28"/>
          <w:szCs w:val="28"/>
          <w:lang w:val="ru-KZ"/>
        </w:rPr>
      </w:pPr>
      <w:r w:rsidRPr="00A26BF7">
        <w:rPr>
          <w:sz w:val="28"/>
          <w:szCs w:val="28"/>
          <w:lang w:val="ru-KZ"/>
        </w:rPr>
        <w:t xml:space="preserve">Описание ожидаемых выбросов загрязняющих веществ в атмосферу: На период строительства ожидаются выбросы 22 наименований: Железо (II, III) оксиды - 0.132945 т/период (3 класс), Марганец и его соединения - 0.004987 т/период (2 класс), Олово оксид - 0.000036 т/период (3 класс), Свинец и его неорганические соединения - 0.000055 т/период (1 класс), Азота (IV) диоксид (Азота диоксид) - 8.475327 т/период (2 класс), Азот (II) оксид (Азота оксид) - 1.3684925 т/период (3 класс), Углерод (Сажа, Углерод черный) - 0.732666 т/период (3 класс), Сера диоксид (Ангидрид сернистый) - 1.177599 т/период (3 класс), Углерод оксид (Окись углерода) - 7.588991 т/период (4 класс), Фтористые газообразные соединения (в пересчете на фтор) - 0.001948 т/период (2 класс), Фториды неорганические плохо растворимые - 0.006695 т/период (2 класс), Диметилбензол - 0.20249 т/период (3 класс), Метилбензол - 0.47361 т/период (3 класс), </w:t>
      </w:r>
      <w:proofErr w:type="spellStart"/>
      <w:r w:rsidRPr="00A26BF7">
        <w:rPr>
          <w:sz w:val="28"/>
          <w:szCs w:val="28"/>
          <w:lang w:val="ru-KZ"/>
        </w:rPr>
        <w:t>Бенз</w:t>
      </w:r>
      <w:proofErr w:type="spellEnd"/>
      <w:r w:rsidRPr="00A26BF7">
        <w:rPr>
          <w:sz w:val="28"/>
          <w:szCs w:val="28"/>
          <w:lang w:val="ru-KZ"/>
        </w:rPr>
        <w:t xml:space="preserve">/а/пирен (3,4-Бензпирен) - 0.00001301 т/период (1 класс), </w:t>
      </w:r>
      <w:proofErr w:type="spellStart"/>
      <w:r w:rsidRPr="00A26BF7">
        <w:rPr>
          <w:sz w:val="28"/>
          <w:szCs w:val="28"/>
          <w:lang w:val="ru-KZ"/>
        </w:rPr>
        <w:t>Хлорэтилен</w:t>
      </w:r>
      <w:proofErr w:type="spellEnd"/>
      <w:r w:rsidRPr="00A26BF7">
        <w:rPr>
          <w:sz w:val="28"/>
          <w:szCs w:val="28"/>
          <w:lang w:val="ru-KZ"/>
        </w:rPr>
        <w:t xml:space="preserve"> (Винилхлорид) - 0.0000123 т/период (1 класс), Бутан-1-ол (Бутиловый спирт) - 0.26353 т/период (3 класс), 2-Метилпропан-1-ол (Изобутиловый) - 0.01628 т/период (4 класс), Этанол - 0.12465 т/период (4 класс), 2-Этоксиэтанол - 0.00329 т/период, Бутилацетат (Уксусной кислоты) - 0.64785 т/период (4 класс), Формальдегид (</w:t>
      </w:r>
      <w:proofErr w:type="spellStart"/>
      <w:r w:rsidRPr="00A26BF7">
        <w:rPr>
          <w:sz w:val="28"/>
          <w:szCs w:val="28"/>
          <w:lang w:val="ru-KZ"/>
        </w:rPr>
        <w:t>Метаналь</w:t>
      </w:r>
      <w:proofErr w:type="spellEnd"/>
      <w:r w:rsidRPr="00A26BF7">
        <w:rPr>
          <w:sz w:val="28"/>
          <w:szCs w:val="28"/>
          <w:lang w:val="ru-KZ"/>
        </w:rPr>
        <w:t>) - 0.1458132 т/период (2 класс), Пропан-2-он (Ацетон) - 0.09177 т/период (4 класс), Бензин (нефтяной, малосернистый) - 0.00716 т/период (4 класс), Уайт-спирит - 7.32784 т/период,</w:t>
      </w:r>
      <w:r w:rsidRPr="00A26BF7">
        <w:rPr>
          <w:sz w:val="28"/>
          <w:szCs w:val="28"/>
        </w:rPr>
        <w:t xml:space="preserve"> </w:t>
      </w:r>
      <w:proofErr w:type="spellStart"/>
      <w:r w:rsidRPr="00A26BF7">
        <w:rPr>
          <w:sz w:val="28"/>
          <w:szCs w:val="28"/>
          <w:lang w:val="ru-KZ"/>
        </w:rPr>
        <w:lastRenderedPageBreak/>
        <w:t>Алканы</w:t>
      </w:r>
      <w:proofErr w:type="spellEnd"/>
      <w:r w:rsidRPr="00A26BF7">
        <w:rPr>
          <w:sz w:val="28"/>
          <w:szCs w:val="28"/>
          <w:lang w:val="ru-KZ"/>
        </w:rPr>
        <w:t xml:space="preserve"> С12-19 - 5.28273 т/период (4 класс), Взвешенные частицы - 1.75398 т/период (3 класс), Пыль неорганическая, содержащая двуокись кремния в %: 70-20 - 5.5848824 т/период (3 класс), Пыль абразивная - 0.0082 т/период, Пыль древесная - 0.0514 т/период. Валовое количество выбрасываемых вредных веществ на период строительства – 41.47524241 т/период; Выбросы, подлежащие внесению в регистр, отсутствуют. </w:t>
      </w:r>
    </w:p>
    <w:p w14:paraId="683721CD" w14:textId="77777777" w:rsidR="00A26BF7" w:rsidRPr="00A26BF7" w:rsidRDefault="00A26BF7" w:rsidP="00A26B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Описание сбросов загрязняющих веществ: сбросы загрязняющих веществ отсутствуют. </w:t>
      </w:r>
    </w:p>
    <w:p w14:paraId="2618B707" w14:textId="77777777" w:rsidR="00A26BF7" w:rsidRPr="00A26BF7" w:rsidRDefault="00A26BF7" w:rsidP="00A26B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Описание отходов: На период строительства ожидается образование 142679,3952 т/период, из них: Смешанные коммунальные отходы – 20,625 т/период, Отходы от красок и лаков, содержащие органические растворители или другие опасные вещества – 7,635943 т/период, Отходы сварки – 0,039 т/период, Абсорбенты, фильтровальные материалы (включая масляные фильтры иначе не определенные), ткани для вытирания защитная одежда, загрязненные опасными материалами – 0,0953 т/период. Смешанные отходы строительства и сноса – 142651 т/период. Отходы, подлежащие утилизации, передаются специализированным организациям, остальные вывозятся на полигон ТБО. </w:t>
      </w:r>
    </w:p>
    <w:p w14:paraId="1D323D32" w14:textId="77777777" w:rsidR="00A26BF7" w:rsidRPr="00A26BF7" w:rsidRDefault="00A26BF7" w:rsidP="00A26B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Перечень разрешений, наличие которых, предположительно, потребуется для осуществления намечаемой деятельности, и государственных органов, в чью компетенцию входит выдача таких разрешений: согласование с бассейновой инспекцией. </w:t>
      </w:r>
    </w:p>
    <w:p w14:paraId="2B625CBD" w14:textId="77777777" w:rsidR="00A26BF7" w:rsidRPr="00A26BF7" w:rsidRDefault="00A26BF7" w:rsidP="00A26B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Краткое описание текущего состояния компонентов окружающей среды: Согласно справки от 06.10.2022г. о фоновых концентрациях: Азота диоксид - 0.18 мг/м3 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Взвеш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>. в-</w:t>
      </w:r>
      <w:proofErr w:type="spellStart"/>
      <w:r w:rsidRPr="00A26BF7">
        <w:rPr>
          <w:rFonts w:eastAsiaTheme="minorHAnsi"/>
          <w:color w:val="000000"/>
          <w:sz w:val="28"/>
          <w:szCs w:val="28"/>
          <w:lang w:val="ru-KZ"/>
        </w:rPr>
        <w:t>ва</w:t>
      </w:r>
      <w:proofErr w:type="spellEnd"/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 -0.2805 мг/м3 Диоксид серы - 0.0845 мг/м3 Углерода оксид - 2.595 мг/м3 Проведение строительно-монтажных работ и эксплуатация не окажет существенного необратимого воздействия на компоненты окружающей среды. </w:t>
      </w:r>
    </w:p>
    <w:p w14:paraId="778C93A0" w14:textId="77777777" w:rsidR="00A26BF7" w:rsidRPr="00A26BF7" w:rsidRDefault="00A26BF7" w:rsidP="00A26B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Характеристика возможных форм негативного и положительного воздействий на окружающую среду: Проведение строительно-монтажных работ и эксплуатация не окажет существенного необратимого воздействия на компоненты окружающей среды. </w:t>
      </w:r>
    </w:p>
    <w:p w14:paraId="67086093" w14:textId="77777777" w:rsidR="00A26BF7" w:rsidRPr="00A26BF7" w:rsidRDefault="00A26BF7" w:rsidP="00A26B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Характеристика возможных форм трансграничных воздействий на окружающую среду: трансграничное воздействие отсутствует </w:t>
      </w:r>
    </w:p>
    <w:p w14:paraId="476DE68E" w14:textId="77777777" w:rsidR="00A26BF7" w:rsidRPr="00A26BF7" w:rsidRDefault="00A26BF7" w:rsidP="00A26B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inorHAnsi"/>
          <w:color w:val="000000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Предлагаемые меры по предупреждению, исключению и снижению возможных форм неблагоприятного воздействия на окружающую среду, а также по устранению его последствий: выполнение земляных работ с организацией пылеподавления (увлажнение поверхностей); часть отходов строительства реализуются на собственном строительстве, часть отходов передаются специализированным организациям; при перевозке сыпучих (пылящих) материалов предусмотреть укрытие кузовов автомобилей тентом; выгрузка асфальтобетонных смесей на землю запрещается; для сбора бытовых отходов и сбора отходов строительства в зоне бытовых помещений необходимо предусмотреть установку контейнеров для мусора. </w:t>
      </w:r>
    </w:p>
    <w:p w14:paraId="12D876CB" w14:textId="1F7A5843" w:rsidR="00A26BF7" w:rsidRPr="00A26BF7" w:rsidRDefault="00A26BF7" w:rsidP="00A26B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PSMT" w:eastAsiaTheme="minorHAnsi" w:hAnsi="Times New Roman PSMT" w:cs="Times New Roman PSMT"/>
          <w:sz w:val="28"/>
          <w:szCs w:val="28"/>
          <w:lang w:val="ru-KZ"/>
        </w:rPr>
      </w:pPr>
      <w:r w:rsidRPr="00A26BF7">
        <w:rPr>
          <w:rFonts w:eastAsiaTheme="minorHAnsi"/>
          <w:color w:val="000000"/>
          <w:sz w:val="28"/>
          <w:szCs w:val="28"/>
          <w:lang w:val="ru-KZ"/>
        </w:rPr>
        <w:t xml:space="preserve">Описание возможных альтернатив достижения целей указанной </w:t>
      </w:r>
      <w:r w:rsidRPr="00A26BF7">
        <w:rPr>
          <w:rFonts w:ascii="Times New Roman PSMT" w:eastAsiaTheme="minorHAnsi" w:hAnsi="Times New Roman PSMT" w:cs="Times New Roman PSMT"/>
          <w:sz w:val="28"/>
          <w:szCs w:val="28"/>
          <w:lang w:val="ru-KZ"/>
        </w:rPr>
        <w:t>намечаемой</w:t>
      </w:r>
      <w:r w:rsidRPr="00A26BF7">
        <w:rPr>
          <w:rFonts w:ascii="Times New Roman PSMT" w:eastAsiaTheme="minorHAnsi" w:hAnsi="Times New Roman PSMT" w:cs="Times New Roman PSMT"/>
          <w:sz w:val="28"/>
          <w:szCs w:val="28"/>
          <w:lang w:val="ru-KZ"/>
        </w:rPr>
        <w:t xml:space="preserve"> деятельности и вариантов ее осуществления: при проектировании выбраны наиболее приемлемые для данного региона методы проведения строительно-монтажных работ. </w:t>
      </w:r>
    </w:p>
    <w:p w14:paraId="1551FA14" w14:textId="77777777" w:rsidR="00A26BF7" w:rsidRPr="00A26BF7" w:rsidRDefault="00A26BF7" w:rsidP="00A26BF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PSMT" w:eastAsiaTheme="minorHAnsi" w:hAnsi="Times New Roman PSMT" w:cs="Times New Roman PSMT"/>
          <w:sz w:val="28"/>
          <w:szCs w:val="28"/>
          <w:lang w:val="ru-KZ"/>
        </w:rPr>
      </w:pPr>
      <w:r w:rsidRPr="00A26BF7">
        <w:rPr>
          <w:rFonts w:ascii="Times New Roman PSMT" w:eastAsiaTheme="minorHAnsi" w:hAnsi="Times New Roman PSMT" w:cs="Times New Roman PSMT"/>
          <w:sz w:val="28"/>
          <w:szCs w:val="28"/>
          <w:lang w:val="ru-KZ"/>
        </w:rPr>
        <w:t xml:space="preserve">Намечаемая деятельность: проведение строительных операций, продолжительностью более одного года, относятся согласно пп.3 п.11 Инструкции по определению категории объекта, оказывающего негативное воздействие на окружающую среду, утвержденной приказом Министра </w:t>
      </w:r>
      <w:r w:rsidRPr="00A26BF7">
        <w:rPr>
          <w:rFonts w:ascii="Times New Roman PSMT" w:eastAsiaTheme="minorHAnsi" w:hAnsi="Times New Roman PSMT" w:cs="Times New Roman PSMT"/>
          <w:sz w:val="28"/>
          <w:szCs w:val="28"/>
          <w:lang w:val="ru-KZ"/>
        </w:rPr>
        <w:lastRenderedPageBreak/>
        <w:t xml:space="preserve">экологии, геологии и природных ресурсов Республики Казахстан от 13 июля 2021 года № 246 – к II категории. </w:t>
      </w:r>
    </w:p>
    <w:p w14:paraId="3CBBFBFB" w14:textId="3398D1EA" w:rsidR="00A26BF7" w:rsidRPr="005600A6" w:rsidRDefault="00A26BF7" w:rsidP="00A26BF7">
      <w:pPr>
        <w:spacing w:after="0" w:line="240" w:lineRule="auto"/>
        <w:ind w:firstLine="567"/>
        <w:jc w:val="both"/>
        <w:rPr>
          <w:sz w:val="28"/>
          <w:szCs w:val="28"/>
          <w:lang w:val="ru-RU"/>
        </w:rPr>
      </w:pPr>
    </w:p>
    <w:sectPr w:rsidR="00A26BF7" w:rsidRPr="005600A6" w:rsidSect="0040795F">
      <w:pgSz w:w="11906" w:h="16838"/>
      <w:pgMar w:top="426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PSMT">
    <w:altName w:val="Cambria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726C"/>
    <w:rsid w:val="001B206F"/>
    <w:rsid w:val="0027726C"/>
    <w:rsid w:val="003B5705"/>
    <w:rsid w:val="0040795F"/>
    <w:rsid w:val="005600A6"/>
    <w:rsid w:val="00782064"/>
    <w:rsid w:val="00830B1E"/>
    <w:rsid w:val="008B543C"/>
    <w:rsid w:val="00A26BF7"/>
    <w:rsid w:val="00AF28B7"/>
    <w:rsid w:val="00E030E9"/>
    <w:rsid w:val="00ED78A6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98D5A"/>
  <w15:docId w15:val="{F69948B1-59D5-41ED-9370-2827AB649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726C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F28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1499</Words>
  <Characters>8547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2022-08-09T05:38:00Z</dcterms:created>
  <dcterms:modified xsi:type="dcterms:W3CDTF">2022-12-20T06:53:00Z</dcterms:modified>
</cp:coreProperties>
</file>