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2698"/>
        <w:gridCol w:w="3404"/>
      </w:tblGrid>
      <w:tr w:rsidR="00A91AD8" w:rsidRPr="001F5C27" w:rsidTr="007B5EBF">
        <w:tc>
          <w:tcPr>
            <w:tcW w:w="3535" w:type="dxa"/>
          </w:tcPr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b/>
                <w:sz w:val="28"/>
                <w:szCs w:val="28"/>
                <w:lang w:val="kk-KZ"/>
              </w:rPr>
              <w:t>ҚАЗАҚСТАН РЕСПУБЛИКАСЫНЫҢ ИНДУСТРИЯ ЖӘНЕ ИН</w:t>
            </w:r>
            <w:r w:rsidR="00D90BCF" w:rsidRPr="001F5C27">
              <w:rPr>
                <w:b/>
                <w:sz w:val="28"/>
                <w:szCs w:val="28"/>
                <w:lang w:val="kk-KZ"/>
              </w:rPr>
              <w:t>Ф</w:t>
            </w:r>
            <w:r w:rsidRPr="001F5C27">
              <w:rPr>
                <w:b/>
                <w:sz w:val="28"/>
                <w:szCs w:val="28"/>
                <w:lang w:val="kk-KZ"/>
              </w:rPr>
              <w:t>РАҚҰРЫЛЫМДЫҚ ДАМУ МИНИСТРЛІГІ</w:t>
            </w:r>
          </w:p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1F5C27">
              <w:rPr>
                <w:bCs/>
                <w:sz w:val="28"/>
                <w:szCs w:val="28"/>
                <w:lang w:val="kk-KZ"/>
              </w:rPr>
              <w:t>Астана қаласы</w:t>
            </w:r>
          </w:p>
          <w:p w:rsidR="00A91AD8" w:rsidRPr="001F5C27" w:rsidRDefault="00616581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2022 жылғы « 1 » қараша</w:t>
            </w:r>
          </w:p>
          <w:p w:rsidR="00A91AD8" w:rsidRPr="001F5C27" w:rsidRDefault="00616581" w:rsidP="0007419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№ 599/НҚ</w:t>
            </w:r>
          </w:p>
          <w:p w:rsidR="00A91AD8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77DBC" w:rsidRPr="001F5C27" w:rsidRDefault="00577DBC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98" w:type="dxa"/>
          </w:tcPr>
          <w:p w:rsidR="00A91AD8" w:rsidRPr="001F5C27" w:rsidRDefault="00A91AD8" w:rsidP="007B5EBF">
            <w:pPr>
              <w:overflowPunct w:val="0"/>
              <w:autoSpaceDE w:val="0"/>
              <w:autoSpaceDN w:val="0"/>
              <w:adjustRightInd w:val="0"/>
              <w:rPr>
                <w:lang w:val="kk-KZ"/>
              </w:rPr>
            </w:pPr>
            <w:r w:rsidRPr="001F5C2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E61432E" wp14:editId="445AF302">
                  <wp:simplePos x="0" y="0"/>
                  <wp:positionH relativeFrom="margin">
                    <wp:posOffset>392430</wp:posOffset>
                  </wp:positionH>
                  <wp:positionV relativeFrom="paragraph">
                    <wp:posOffset>0</wp:posOffset>
                  </wp:positionV>
                  <wp:extent cx="971550" cy="1000760"/>
                  <wp:effectExtent l="0" t="0" r="0" b="889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00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</w:tcPr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b/>
                <w:sz w:val="28"/>
                <w:szCs w:val="28"/>
                <w:lang w:val="kk-KZ"/>
              </w:rPr>
              <w:t>ҚАЗАҚСТАН РЕСПУБЛИКАСЫНЫҢ ЦИФРЛЫҚ ДАМУ, ИННОВАЦИЯЛАР ЖӘНЕ АЭРОҒАРЫШ ӨНЕРКӘСІБІ МИНИСТРЛІГІ</w:t>
            </w:r>
          </w:p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91AD8" w:rsidRPr="001F5C27" w:rsidRDefault="00A91AD8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1F5C27">
              <w:rPr>
                <w:bCs/>
                <w:sz w:val="28"/>
                <w:szCs w:val="28"/>
                <w:lang w:val="kk-KZ"/>
              </w:rPr>
              <w:t>Астана қаласы</w:t>
            </w:r>
          </w:p>
          <w:p w:rsidR="00A91AD8" w:rsidRPr="001F5C27" w:rsidRDefault="00616581" w:rsidP="00A91AD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2022 жылғы « 1 </w:t>
            </w:r>
            <w:r w:rsidR="00A91AD8" w:rsidRPr="001F5C27">
              <w:rPr>
                <w:bCs/>
                <w:sz w:val="28"/>
                <w:szCs w:val="28"/>
                <w:lang w:val="kk-KZ"/>
              </w:rPr>
              <w:t>»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қараша</w:t>
            </w:r>
          </w:p>
          <w:p w:rsidR="00A91AD8" w:rsidRPr="001F5C27" w:rsidRDefault="00616581" w:rsidP="00C836F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№ 410/НҚ</w:t>
            </w:r>
            <w:bookmarkStart w:id="0" w:name="_GoBack"/>
            <w:bookmarkEnd w:id="0"/>
          </w:p>
          <w:p w:rsidR="00A91AD8" w:rsidRPr="001F5C27" w:rsidRDefault="00A91AD8" w:rsidP="0007419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836F3" w:rsidRDefault="00577DBC" w:rsidP="007B5E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C27">
        <w:rPr>
          <w:rFonts w:ascii="Times New Roman" w:hAnsi="Times New Roman" w:cs="Times New Roman"/>
          <w:b/>
          <w:sz w:val="28"/>
          <w:szCs w:val="28"/>
          <w:lang w:val="kk-KZ"/>
        </w:rPr>
        <w:t>БІРЛЕСКЕН БҰЙРЫҚ</w:t>
      </w:r>
    </w:p>
    <w:p w:rsidR="007B5EBF" w:rsidRPr="007B5EBF" w:rsidRDefault="007B5EBF" w:rsidP="007B5E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D84" w:rsidRPr="001F5C27" w:rsidRDefault="00564D84" w:rsidP="00564D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C27">
        <w:rPr>
          <w:rFonts w:ascii="Times New Roman" w:hAnsi="Times New Roman" w:cs="Times New Roman"/>
          <w:b/>
          <w:sz w:val="28"/>
          <w:szCs w:val="28"/>
          <w:lang w:val="kk-KZ"/>
        </w:rPr>
        <w:t>«Minerals.gov.kz» жер қойнауын пайдаланушылардың</w:t>
      </w:r>
    </w:p>
    <w:p w:rsidR="00564D84" w:rsidRPr="001F5C27" w:rsidRDefault="00564D84" w:rsidP="00564D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бірыңғай платформасы арқылы қатты </w:t>
      </w:r>
      <w:r w:rsidR="00D90BCF" w:rsidRPr="001F5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пайдалы </w:t>
      </w:r>
      <w:r w:rsidRPr="001F5C27">
        <w:rPr>
          <w:rFonts w:ascii="Times New Roman" w:hAnsi="Times New Roman" w:cs="Times New Roman"/>
          <w:b/>
          <w:sz w:val="28"/>
          <w:szCs w:val="28"/>
          <w:lang w:val="kk-KZ"/>
        </w:rPr>
        <w:t>қазбаларды</w:t>
      </w:r>
    </w:p>
    <w:p w:rsidR="00564D84" w:rsidRPr="001F5C27" w:rsidRDefault="00564D84" w:rsidP="00564D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барлауға және өндіруге лицензиялар беру бойынша </w:t>
      </w:r>
      <w:r w:rsidR="00D90BCF" w:rsidRPr="001F5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қызметтерді көрсету жөніндегі </w:t>
      </w:r>
      <w:r w:rsidRPr="001F5C27">
        <w:rPr>
          <w:rFonts w:ascii="Times New Roman" w:hAnsi="Times New Roman" w:cs="Times New Roman"/>
          <w:b/>
          <w:sz w:val="28"/>
          <w:szCs w:val="28"/>
          <w:lang w:val="kk-KZ"/>
        </w:rPr>
        <w:t>пилоттық жобаны іске асыру туралы</w:t>
      </w:r>
      <w:r w:rsidR="00D90BCF" w:rsidRPr="001F5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64D84" w:rsidRPr="001F5C27" w:rsidRDefault="00564D84" w:rsidP="00564D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D84" w:rsidRPr="001F5C27" w:rsidRDefault="00564D84" w:rsidP="00564D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D84" w:rsidRPr="001F5C27" w:rsidRDefault="00564D84" w:rsidP="0056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қызметтер туралы» Қазақстан Республикасы Заңының 22-бабына сәйкес </w:t>
      </w:r>
      <w:r w:rsidRPr="001F5C27">
        <w:rPr>
          <w:rFonts w:ascii="Times New Roman" w:hAnsi="Times New Roman" w:cs="Times New Roman"/>
          <w:b/>
          <w:sz w:val="28"/>
          <w:szCs w:val="28"/>
          <w:lang w:val="kk-KZ"/>
        </w:rPr>
        <w:t>БҰЙЫРАМЫЗ:</w:t>
      </w:r>
    </w:p>
    <w:p w:rsidR="009130B0" w:rsidRPr="001F5C27" w:rsidRDefault="00564D84" w:rsidP="00CC57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C2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 Инвестициялар және даму министрінің 2018 жылғы 23 мамырдағы № 365 бұйрығымен бекітілген Пайдалы қатты қазбаларды барлауға арналған лицензияларды беруге өтініштерді беру және оларды қарау қағидаларын</w:t>
      </w:r>
      <w:r w:rsidR="00D90BCF" w:rsidRPr="001F5C2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>а және Қазақстан Республикасы Инвестициялар және даму министрінің 2018 жылғы 23 мамырдағы № 366 бұйрығымен бекітілген Пайдалы қатты қазбаларды өндіруге арналған лицензия беру үшін өтініш беру және оны қарау қағидаларын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да белгіленген тәртіппен </w:t>
      </w:r>
      <w:r w:rsidR="002F6432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қағаз нұсқаға балама ретінде лицензиялар беруге өтініштерді электрондық нысанда беру және қарау мүмкіндігімен 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6 ай мерзімге </w:t>
      </w:r>
      <w:r w:rsidR="00D90BCF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«Minerals.gov.kz» жер қойнауын пайдаланушылардың бірыңғай платформасы арқылы 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қатты </w:t>
      </w:r>
      <w:r w:rsidR="00D90BCF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пайдалы 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>қазбаларды барлауға және өндіруге лицензиялар беру</w:t>
      </w:r>
      <w:r w:rsidR="00D90BCF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</w:t>
      </w:r>
      <w:r w:rsidR="00D90BCF" w:rsidRPr="001F5C27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көрсету жөніндегі пилоттық жоба (бұдан әрі – пилоттық жоба) </w:t>
      </w:r>
      <w:r w:rsidR="00D90BCF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2022 жылғы 1 қарашадан бастап 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>іске қосылсын.</w:t>
      </w:r>
      <w:r w:rsidR="002F6432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130B0" w:rsidRDefault="00913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61CB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Ғарыш Сапары»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61CB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лттық компаниясы»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кционерлік қоғамы (келісім бойынша) «Ақпараттандыру туралы» Қазақстан Республикасы Заңының </w:t>
      </w:r>
      <w:r w:rsidR="00605CB9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Ақпараттандыру туралы заң) </w:t>
      </w:r>
      <w:r w:rsidR="00D90BCF" w:rsidRPr="001F5C2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49-бабының 2-тармағының 4) тармақшасына және 54-бабының </w:t>
      </w:r>
      <w:r w:rsidR="00D62783" w:rsidRPr="001F5C2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>3-2-тармағына, Қазақстан Республикасы Ақпарат және коммуникациялар министрінің міндетін атқарушының</w:t>
      </w:r>
      <w:r w:rsidR="0094466B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2018 жылғы 29 наурыздағы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№ 123 бұйрығымен бекітілген «Электрондық үкіметтің» ақпараттандыру объектілерін 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интеграциялау қағидаларының 4 және 8-тармақтарына сәйкес пилоттық жобаны іске асыру басталғаннан бастап 6 ай ішінде «Minerals.gov.kz» жер қойнауын пайдаланушылардың бірыңғай платформасының және «Қазақстан Ғарыш Сапары»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61CB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лттық компаниясы»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кционерлік қоғамының ақпараттық жүйесінің ақпараттық қауіпсіздік жөніндегі талаптарға сәйкестігіне оң нәтижесі бар сынақ актісінің және мемлекеттік және мемлекеттік емес ақпараттық жүйелердің ақпараттық қауіпсіздігі жөніндегі бірлескен жұмыстар шартының, </w:t>
      </w:r>
      <w:r w:rsidR="00D627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қауіпсіздіктің меншікті жедел орталығының (бұдан әрі – АҚЖО) 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қауіпсіздіктің ұлттық үйлестіру орталығымен өзара іс-қимылын қамтамасыз ете отырып, </w:t>
      </w:r>
      <w:r w:rsidR="00D627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жеке АҚЖО</w:t>
      </w:r>
      <w:r w:rsidR="00D62783" w:rsidRPr="001F5C27" w:rsidDel="00D627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C27">
        <w:rPr>
          <w:rFonts w:ascii="Times New Roman" w:hAnsi="Times New Roman" w:cs="Times New Roman"/>
          <w:sz w:val="28"/>
          <w:szCs w:val="28"/>
          <w:lang w:val="kk-KZ"/>
        </w:rPr>
        <w:t>болуын қамтамасыз етсін.</w:t>
      </w:r>
    </w:p>
    <w:p w:rsidR="00BB028F" w:rsidRPr="00BB028F" w:rsidRDefault="00BB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«Қазақстан Ғарыш Сапары» Ұлттық компаниясы» А</w:t>
      </w:r>
      <w:r w:rsidR="007B5EBF" w:rsidRPr="007B5EBF">
        <w:rPr>
          <w:rFonts w:ascii="Times New Roman" w:hAnsi="Times New Roman" w:cs="Times New Roman"/>
          <w:sz w:val="28"/>
          <w:szCs w:val="28"/>
          <w:lang w:val="kk-KZ"/>
        </w:rPr>
        <w:t>кционерлік қоғамы (келісім бойынша) пилоттық жоба аяқталғанға дейін мүдделі мемлекеттік органдармен бірлесіп «Мемлекеттік көрсетілетін қызметтер туралы» Қазақстан Республикасы Заңының 5-бабының 2-тармағының 14) тармақшасының екінші бөлігіне сәйкес талап етілітін құжаттар мен мәліметтерді қысқарту мақсатында ақпараттық жүйелердің интеграциясын қамтамасыз етсін</w:t>
      </w:r>
      <w:r w:rsidR="007107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57EC" w:rsidRPr="001F5C27" w:rsidRDefault="007107AE" w:rsidP="00CC5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5EB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. «Қазақстан Ғарыш Сапары»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лттық компаниясы»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кционерлік қоғамы (келісім бойынша) </w:t>
      </w:r>
      <w:r w:rsidR="00D627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«Minerals.gov.kz» жер қойнауын пайдаланушылардың бірыңғай платформасына </w:t>
      </w:r>
      <w:r w:rsidR="00CC57EC" w:rsidRPr="00CC57EC">
        <w:rPr>
          <w:rFonts w:ascii="Times New Roman" w:hAnsi="Times New Roman" w:cs="Times New Roman"/>
          <w:sz w:val="28"/>
          <w:szCs w:val="28"/>
          <w:lang w:val="kk-KZ"/>
        </w:rPr>
        <w:t xml:space="preserve">геологиялық зерделеу есептерінің жүктелуін және </w:t>
      </w:r>
      <w:r w:rsidR="00CC57EC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Жерді қашықтықтан зондтау деректері негізінде </w:t>
      </w:r>
      <w:r w:rsidR="00CC57EC" w:rsidRPr="00CC57EC">
        <w:rPr>
          <w:rFonts w:ascii="Times New Roman" w:hAnsi="Times New Roman" w:cs="Times New Roman"/>
          <w:sz w:val="28"/>
          <w:szCs w:val="28"/>
          <w:lang w:val="kk-KZ"/>
        </w:rPr>
        <w:t xml:space="preserve">кеңістіктік деректерді өзектендіруді қамтамасыз ету </w:t>
      </w:r>
      <w:r w:rsidR="00CC57EC">
        <w:rPr>
          <w:rFonts w:ascii="Times New Roman" w:hAnsi="Times New Roman" w:cs="Times New Roman"/>
          <w:sz w:val="28"/>
          <w:szCs w:val="28"/>
          <w:lang w:val="kk-KZ"/>
        </w:rPr>
        <w:t xml:space="preserve">жөнінде қажетті шаралар қабылдасын. </w:t>
      </w:r>
    </w:p>
    <w:p w:rsidR="00564D84" w:rsidRPr="001F5C27" w:rsidRDefault="0071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. «Ұлттық геологиялық қызмет» </w:t>
      </w:r>
      <w:r w:rsidR="00CC57E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кционерлік қоғамы (келісім бойынша) </w:t>
      </w:r>
      <w:r w:rsidR="00D62783" w:rsidRPr="001F5C27">
        <w:rPr>
          <w:rFonts w:ascii="Times New Roman" w:hAnsi="Times New Roman" w:cs="Times New Roman"/>
          <w:sz w:val="28"/>
          <w:szCs w:val="28"/>
          <w:lang w:val="kk-KZ"/>
        </w:rPr>
        <w:t>«Minerals.gov.kz»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жер қойнауын пайдаланушылардың бірыңғай платформасында толтыруды қамтамасыз ету үшін «Қазақстан Ғарыш Сапары»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лттық компаниясы»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кционерлік қоғамына 2022 жылғы </w:t>
      </w:r>
      <w:r w:rsidR="00D62783" w:rsidRPr="001F5C27">
        <w:rPr>
          <w:rFonts w:ascii="Times New Roman" w:hAnsi="Times New Roman" w:cs="Times New Roman"/>
          <w:sz w:val="28"/>
          <w:szCs w:val="28"/>
          <w:lang w:val="kk-KZ"/>
        </w:rPr>
        <w:br/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>31 желтоқсанға дейін 30 000 геологиялық есептерді беруді қамтамасыз етсін.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="009130B0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Ғарыш Сапары»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лттық компаниясы</w:t>
      </w:r>
      <w:r w:rsidR="00461CB4" w:rsidRPr="001F5C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кционерлік қоғамы (келісім бойынша) «Minerals.gov.kz» жер қойнауын пайдаланушылардың бірыңғай платформаларына геологиялық деректер мен жалпы географиялық мазмұндағы қабаттарды көрсету үшін қажетті шаралар қабылдасын. </w:t>
      </w:r>
    </w:p>
    <w:p w:rsidR="00D37D83" w:rsidRPr="001F5C27" w:rsidRDefault="0071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37D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. «Қазақстан Ғарыш Сапары»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D37D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лттық компаниясы» </w:t>
      </w:r>
      <w:r w:rsidR="003E0B9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37D83" w:rsidRPr="001F5C27">
        <w:rPr>
          <w:rFonts w:ascii="Times New Roman" w:hAnsi="Times New Roman" w:cs="Times New Roman"/>
          <w:sz w:val="28"/>
          <w:szCs w:val="28"/>
          <w:lang w:val="kk-KZ"/>
        </w:rPr>
        <w:t>кционерлік қоғамы (келісім бойынша) «Minerals.gov.kz» жер қойнауын пайдаланушылардың бірыңғай платформасын пайдалану жөніндегі нұсқаулықты әзірлесін.</w:t>
      </w:r>
    </w:p>
    <w:p w:rsidR="00564D84" w:rsidRPr="001F5C27" w:rsidRDefault="0071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37D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</w:t>
      </w:r>
      <w:r w:rsidR="002F6432" w:rsidRPr="001F5C27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6432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Аэроғарыш комитеті 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Ақпараттандыру туралы заңның 39-бабы талаптарының сақталуын қамтамасыз етсін және мерзімі өткеннен кейін пилоттық жобаны техникалық құжаттамада және нормативтік-техникалық құжаттамада жазылған мақсаттарға, міндеттерге және талаптарға сәйкес өнеркәсіптік пайдалануға ауыстырсын.</w:t>
      </w:r>
      <w:r w:rsidR="00D37D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4D84" w:rsidRPr="001F5C27" w:rsidRDefault="007107AE" w:rsidP="0056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0577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EB034B" w:rsidRPr="001F5C2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Индустрия және инфрақұрылымдық даму, Қазақстан Республикасы</w:t>
      </w:r>
      <w:r w:rsidR="00EB034B" w:rsidRPr="001F5C2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 Цифрлық даму, инновациялар және аэроғарыш өнеркәсібі министрліктері осы </w:t>
      </w:r>
      <w:r w:rsidR="00D62783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бірлескен 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бұйрықты өздерінің ресми интернет-ресурстарында орналастыруды қамтамасыз етсін.</w:t>
      </w:r>
    </w:p>
    <w:p w:rsidR="00564D84" w:rsidRPr="001F5C27" w:rsidRDefault="007107AE" w:rsidP="0056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</w:t>
      </w:r>
      <w:r w:rsidR="00A05774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Осы бірлескен бұйрықтың орындалуын бақылау жетекшілік ететін Қазақстан Республикасының Индустрия және инфрақұрылымдық даму, Қазақстан Республикасының Цифрлық даму, инновациялар және аэроғар</w:t>
      </w:r>
      <w:r w:rsidR="00605CB9" w:rsidRPr="001F5C27">
        <w:rPr>
          <w:rFonts w:ascii="Times New Roman" w:hAnsi="Times New Roman" w:cs="Times New Roman"/>
          <w:sz w:val="28"/>
          <w:szCs w:val="28"/>
          <w:lang w:val="kk-KZ"/>
        </w:rPr>
        <w:t xml:space="preserve">ыш өнеркәсібі 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вице-министрлеріне жүктелсін.</w:t>
      </w:r>
    </w:p>
    <w:p w:rsidR="00A91AD8" w:rsidRPr="001F5C27" w:rsidRDefault="007107AE" w:rsidP="00CC57EC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64D84" w:rsidRPr="001F5C27">
        <w:rPr>
          <w:rFonts w:ascii="Times New Roman" w:hAnsi="Times New Roman" w:cs="Times New Roman"/>
          <w:sz w:val="28"/>
          <w:szCs w:val="28"/>
          <w:lang w:val="kk-KZ"/>
        </w:rPr>
        <w:tab/>
        <w:t>Осы бірлескен бұйрық мемлекеттік органдар басшыларының соңғысы қол қойған күннен бастап күшіне енеді</w:t>
      </w:r>
      <w:r w:rsidR="00A91AD8" w:rsidRPr="001F5C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1AD8" w:rsidRPr="001F5C27" w:rsidRDefault="00A91AD8" w:rsidP="00A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3D2" w:rsidRPr="001F5C27" w:rsidRDefault="009E73D2" w:rsidP="00A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6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677"/>
      </w:tblGrid>
      <w:tr w:rsidR="00A91AD8" w:rsidRPr="001F5C27" w:rsidTr="001B4733">
        <w:tc>
          <w:tcPr>
            <w:tcW w:w="4991" w:type="dxa"/>
          </w:tcPr>
          <w:p w:rsidR="00564D84" w:rsidRPr="001F5C27" w:rsidRDefault="00564D84" w:rsidP="00564D84">
            <w:pPr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b/>
                <w:sz w:val="28"/>
                <w:szCs w:val="28"/>
                <w:lang w:val="kk-KZ"/>
              </w:rPr>
              <w:t>Қазақстан Республикасының Индустрия және инфрақұрылымдық даму министрі</w:t>
            </w:r>
          </w:p>
          <w:p w:rsidR="00A91AD8" w:rsidRPr="001F5C27" w:rsidRDefault="00A91AD8" w:rsidP="001B4733">
            <w:pPr>
              <w:rPr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rPr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rPr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sz w:val="28"/>
                <w:szCs w:val="28"/>
                <w:lang w:val="kk-KZ"/>
              </w:rPr>
              <w:t>________</w:t>
            </w:r>
            <w:r w:rsidRPr="001F5C27">
              <w:rPr>
                <w:b/>
                <w:sz w:val="28"/>
                <w:szCs w:val="28"/>
                <w:lang w:val="kk-KZ"/>
              </w:rPr>
              <w:t xml:space="preserve"> Қ. Өскенбаев</w:t>
            </w:r>
          </w:p>
          <w:p w:rsidR="00A91AD8" w:rsidRPr="001F5C27" w:rsidRDefault="00A91AD8" w:rsidP="001B4733">
            <w:pPr>
              <w:rPr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rPr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b/>
                <w:sz w:val="28"/>
                <w:szCs w:val="28"/>
                <w:lang w:val="kk-KZ"/>
              </w:rPr>
              <w:t>КЕЛІСІЛДІ</w:t>
            </w:r>
          </w:p>
          <w:p w:rsidR="00A91AD8" w:rsidRPr="001F5C27" w:rsidRDefault="00A91AD8" w:rsidP="001B4733">
            <w:pPr>
              <w:rPr>
                <w:b/>
                <w:sz w:val="28"/>
                <w:szCs w:val="28"/>
                <w:lang w:val="kk-KZ"/>
              </w:rPr>
            </w:pPr>
          </w:p>
          <w:p w:rsidR="00A91AD8" w:rsidRPr="001F5C27" w:rsidRDefault="00564D84" w:rsidP="001B4733">
            <w:pPr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b/>
                <w:sz w:val="28"/>
                <w:szCs w:val="28"/>
                <w:lang w:val="kk-KZ"/>
              </w:rPr>
              <w:t xml:space="preserve">Қазақстан Республикасының Экология, геология және табиғи ресурстар министрі </w:t>
            </w:r>
          </w:p>
          <w:p w:rsidR="00A91AD8" w:rsidRPr="001F5C27" w:rsidRDefault="00A91AD8" w:rsidP="001B4733">
            <w:pPr>
              <w:rPr>
                <w:b/>
                <w:sz w:val="28"/>
                <w:szCs w:val="28"/>
                <w:lang w:val="kk-KZ"/>
              </w:rPr>
            </w:pPr>
          </w:p>
          <w:p w:rsidR="00564D84" w:rsidRPr="001F5C27" w:rsidRDefault="00564D84" w:rsidP="001B4733">
            <w:pPr>
              <w:rPr>
                <w:b/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b/>
                <w:sz w:val="28"/>
                <w:szCs w:val="28"/>
                <w:lang w:val="kk-KZ"/>
              </w:rPr>
              <w:t>________С. Брекешев</w:t>
            </w:r>
          </w:p>
          <w:p w:rsidR="00A91AD8" w:rsidRPr="001F5C27" w:rsidRDefault="00A91AD8" w:rsidP="001B473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A91AD8" w:rsidRPr="001F5C27" w:rsidRDefault="00F52EE0" w:rsidP="001B4733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1F5C27">
              <w:rPr>
                <w:b/>
                <w:sz w:val="28"/>
                <w:szCs w:val="28"/>
                <w:lang w:val="kk-KZ"/>
              </w:rPr>
              <w:t>Қазақстан Республикасының Ц</w:t>
            </w:r>
            <w:r w:rsidR="00A91AD8" w:rsidRPr="001F5C27">
              <w:rPr>
                <w:b/>
                <w:sz w:val="28"/>
                <w:szCs w:val="28"/>
                <w:lang w:val="kk-KZ"/>
              </w:rPr>
              <w:t>ифрлық даму</w:t>
            </w:r>
            <w:r w:rsidR="00605CB9" w:rsidRPr="001F5C27">
              <w:rPr>
                <w:b/>
                <w:sz w:val="28"/>
                <w:szCs w:val="28"/>
                <w:lang w:val="kk-KZ"/>
              </w:rPr>
              <w:t>, инновациялар</w:t>
            </w:r>
            <w:r w:rsidR="00A91AD8" w:rsidRPr="001F5C27">
              <w:rPr>
                <w:b/>
                <w:sz w:val="28"/>
                <w:szCs w:val="28"/>
                <w:lang w:val="kk-KZ"/>
              </w:rPr>
              <w:t xml:space="preserve"> және аэроғарыш </w:t>
            </w:r>
            <w:r w:rsidR="006A071A">
              <w:rPr>
                <w:b/>
                <w:sz w:val="28"/>
                <w:szCs w:val="28"/>
                <w:lang w:val="kk-KZ"/>
              </w:rPr>
              <w:t xml:space="preserve">өнеркәсібі </w:t>
            </w:r>
            <w:r w:rsidR="00A91AD8" w:rsidRPr="001F5C27">
              <w:rPr>
                <w:b/>
                <w:sz w:val="28"/>
                <w:szCs w:val="28"/>
                <w:lang w:val="kk-KZ"/>
              </w:rPr>
              <w:t>министрі</w:t>
            </w:r>
          </w:p>
          <w:p w:rsidR="00A91AD8" w:rsidRPr="001F5C27" w:rsidRDefault="00A91AD8" w:rsidP="001B473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91AD8" w:rsidRPr="001F5C27" w:rsidRDefault="00A91AD8" w:rsidP="001B4733">
            <w:pPr>
              <w:pStyle w:val="a4"/>
              <w:rPr>
                <w:sz w:val="28"/>
                <w:szCs w:val="28"/>
                <w:lang w:val="kk-KZ"/>
              </w:rPr>
            </w:pPr>
            <w:r w:rsidRPr="001F5C27">
              <w:rPr>
                <w:sz w:val="28"/>
                <w:szCs w:val="28"/>
                <w:lang w:val="kk-KZ"/>
              </w:rPr>
              <w:t>________</w:t>
            </w:r>
            <w:r w:rsidRPr="001F5C27">
              <w:rPr>
                <w:b/>
                <w:sz w:val="28"/>
                <w:szCs w:val="28"/>
                <w:lang w:val="kk-KZ"/>
              </w:rPr>
              <w:t xml:space="preserve"> Б. Мусин</w:t>
            </w:r>
          </w:p>
        </w:tc>
      </w:tr>
    </w:tbl>
    <w:p w:rsidR="00A91AD8" w:rsidRPr="001F5C27" w:rsidRDefault="00A91AD8" w:rsidP="00A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1AD8" w:rsidRPr="001F5C27" w:rsidSect="007107A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98D"/>
    <w:multiLevelType w:val="hybridMultilevel"/>
    <w:tmpl w:val="EC0C2E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F"/>
    <w:rsid w:val="00045840"/>
    <w:rsid w:val="00074198"/>
    <w:rsid w:val="000F2697"/>
    <w:rsid w:val="001F5C27"/>
    <w:rsid w:val="002F6432"/>
    <w:rsid w:val="003B7639"/>
    <w:rsid w:val="003E0B9D"/>
    <w:rsid w:val="003E3B0C"/>
    <w:rsid w:val="00461CB4"/>
    <w:rsid w:val="00564D84"/>
    <w:rsid w:val="00577DBC"/>
    <w:rsid w:val="005D23BF"/>
    <w:rsid w:val="00605CB9"/>
    <w:rsid w:val="00616581"/>
    <w:rsid w:val="00644511"/>
    <w:rsid w:val="006A071A"/>
    <w:rsid w:val="007107AE"/>
    <w:rsid w:val="007B5EBF"/>
    <w:rsid w:val="00882813"/>
    <w:rsid w:val="009130B0"/>
    <w:rsid w:val="0094466B"/>
    <w:rsid w:val="009E73D2"/>
    <w:rsid w:val="00A05774"/>
    <w:rsid w:val="00A47A3B"/>
    <w:rsid w:val="00A91AD8"/>
    <w:rsid w:val="00B56712"/>
    <w:rsid w:val="00B66A94"/>
    <w:rsid w:val="00B974C2"/>
    <w:rsid w:val="00BB028F"/>
    <w:rsid w:val="00C836F3"/>
    <w:rsid w:val="00CC57EC"/>
    <w:rsid w:val="00D37D83"/>
    <w:rsid w:val="00D62783"/>
    <w:rsid w:val="00D640D7"/>
    <w:rsid w:val="00D90BCF"/>
    <w:rsid w:val="00EB034B"/>
    <w:rsid w:val="00F272BD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0D33"/>
  <w15:docId w15:val="{F0501DD4-72EA-4C2C-8581-5EB5C4A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9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91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Откульбаева Дана Апсановна</dc:creator>
  <cp:lastModifiedBy>Asell</cp:lastModifiedBy>
  <cp:revision>6</cp:revision>
  <cp:lastPrinted>2022-10-29T06:34:00Z</cp:lastPrinted>
  <dcterms:created xsi:type="dcterms:W3CDTF">2022-11-01T09:38:00Z</dcterms:created>
  <dcterms:modified xsi:type="dcterms:W3CDTF">2022-11-18T05:33:00Z</dcterms:modified>
</cp:coreProperties>
</file>