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926"/>
        <w:gridCol w:w="3736"/>
      </w:tblGrid>
      <w:tr w:rsidR="00FC5E23" w:rsidRPr="00D34771" w:rsidTr="00D34771">
        <w:trPr>
          <w:trHeight w:val="30"/>
          <w:tblCellSpacing w:w="0" w:type="auto"/>
        </w:trPr>
        <w:tc>
          <w:tcPr>
            <w:tcW w:w="592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Утвержден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постановлением Правительства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Республики Казахстан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от 29 декабря 2018 года № 921</w:t>
            </w:r>
          </w:p>
        </w:tc>
      </w:tr>
    </w:tbl>
    <w:p w:rsidR="00FC5E23" w:rsidRPr="00D34771" w:rsidRDefault="00FC5E23">
      <w:pPr>
        <w:spacing w:after="0"/>
        <w:rPr>
          <w:lang w:val="ru-RU"/>
        </w:rPr>
      </w:pPr>
      <w:bookmarkStart w:id="0" w:name="z54"/>
      <w:r w:rsidRPr="00D34771">
        <w:rPr>
          <w:b/>
          <w:color w:val="000000"/>
          <w:lang w:val="ru-RU"/>
        </w:rPr>
        <w:t xml:space="preserve"> План мероприятий</w:t>
      </w:r>
    </w:p>
    <w:p w:rsidR="00FC5E23" w:rsidRPr="00D34771" w:rsidRDefault="00FC5E23">
      <w:pPr>
        <w:spacing w:after="0"/>
        <w:rPr>
          <w:lang w:val="ru-RU"/>
        </w:rPr>
      </w:pPr>
      <w:bookmarkStart w:id="1" w:name="z55"/>
      <w:bookmarkEnd w:id="0"/>
      <w:r w:rsidRPr="00D34771">
        <w:rPr>
          <w:b/>
          <w:color w:val="000000"/>
          <w:lang w:val="ru-RU"/>
        </w:rPr>
        <w:t xml:space="preserve"> по противодействию теневой экономике на 2019</w:t>
      </w:r>
      <w:r>
        <w:rPr>
          <w:b/>
          <w:color w:val="000000"/>
        </w:rPr>
        <w:t> </w:t>
      </w:r>
      <w:r w:rsidRPr="00D34771">
        <w:rPr>
          <w:b/>
          <w:color w:val="000000"/>
          <w:lang w:val="ru-RU"/>
        </w:rPr>
        <w:t>-</w:t>
      </w:r>
      <w:r>
        <w:rPr>
          <w:b/>
          <w:color w:val="000000"/>
        </w:rPr>
        <w:t> </w:t>
      </w:r>
      <w:r w:rsidRPr="00D34771">
        <w:rPr>
          <w:b/>
          <w:color w:val="000000"/>
          <w:lang w:val="ru-RU"/>
        </w:rPr>
        <w:t>2021 годы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30"/>
        <w:gridCol w:w="273"/>
        <w:gridCol w:w="2080"/>
        <w:gridCol w:w="1560"/>
        <w:gridCol w:w="1243"/>
        <w:gridCol w:w="1511"/>
        <w:gridCol w:w="1482"/>
        <w:gridCol w:w="1483"/>
      </w:tblGrid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Наименование мероприятия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Форма завершения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Сроки исполнения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Ответственные исполнители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Предполагаемые расходы (тыс.тенге)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Источники финансирования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0" w:type="auto"/>
            <w:gridSpan w:val="8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Показатель результата: уровень теневого оборота в экономике в % к ВВП в 2019 году составит не более 23</w:t>
            </w:r>
            <w:r>
              <w:rPr>
                <w:color w:val="000000"/>
                <w:sz w:val="20"/>
              </w:rPr>
              <w:t> </w:t>
            </w:r>
            <w:r w:rsidRPr="00D34771">
              <w:rPr>
                <w:color w:val="000000"/>
                <w:sz w:val="20"/>
                <w:lang w:val="ru-RU"/>
              </w:rPr>
              <w:t>%, в 2020 году – не более 20</w:t>
            </w:r>
            <w:r>
              <w:rPr>
                <w:color w:val="000000"/>
                <w:sz w:val="20"/>
              </w:rPr>
              <w:t> </w:t>
            </w:r>
            <w:r w:rsidRPr="00D34771">
              <w:rPr>
                <w:color w:val="000000"/>
                <w:sz w:val="20"/>
                <w:lang w:val="ru-RU"/>
              </w:rPr>
              <w:t>%, в 2021 году – не более 15</w:t>
            </w:r>
            <w:r>
              <w:rPr>
                <w:color w:val="000000"/>
                <w:sz w:val="20"/>
              </w:rPr>
              <w:t> </w:t>
            </w:r>
            <w:r w:rsidRPr="00D34771">
              <w:rPr>
                <w:color w:val="000000"/>
                <w:sz w:val="20"/>
                <w:lang w:val="ru-RU"/>
              </w:rPr>
              <w:t>%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Совершенствование методологии статистики теневой экономики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предложения в Комитет по статистике МНЭ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МФ, НБ (по согласованию), ГП (по согласованию), МВД, МТСЗН, МЗ, МИИР,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внесения изменений в законодательство для стимулирования населения и бизнеса к использованию безналичного расчета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МНЭ, МФ, НБ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внесения изменений в законодательство для развития альтернативных пластиковым картам платежных систем (в частности, операторов электронных денег)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НБ (по согласованию), МФ, НПП (по согласованию), АФК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внедрения налогового бонуса по проведенным безналичным расчетам для физических лиц на базе налогового кабинета налогоплательщика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МФ, МНЭ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Проведение ежегодного розыгрыша по чекам контрольно</w:t>
            </w:r>
            <w:r>
              <w:rPr>
                <w:color w:val="000000"/>
                <w:sz w:val="20"/>
              </w:rPr>
              <w:t> </w:t>
            </w:r>
            <w:r w:rsidRPr="00D34771">
              <w:rPr>
                <w:color w:val="000000"/>
                <w:sz w:val="20"/>
                <w:lang w:val="ru-RU"/>
              </w:rPr>
              <w:t>–</w:t>
            </w:r>
            <w:r>
              <w:rPr>
                <w:color w:val="000000"/>
                <w:sz w:val="20"/>
              </w:rPr>
              <w:t> </w:t>
            </w:r>
            <w:r w:rsidRPr="00D34771">
              <w:rPr>
                <w:color w:val="000000"/>
                <w:sz w:val="20"/>
                <w:lang w:val="ru-RU"/>
              </w:rPr>
              <w:t>кассовых машин в целях стимулирования граждан требовать чеки при денежном расчете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увеличения порогового значения по постановке на регистрационный учет по налогу на добавленную стоимость и предельного дохода для применения специальных налоговых режимов по безналичным платежам с учетом введения налогового вычета на сумму приобретения онлайн-ККМ либо трехкомпонентной интегрированной системы для лиц, осуществляющих деятельность на основе патента или упрощенной декларации МНЭ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МНЭ, МФ,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Выработка стимулирующих мер по снижению кратности пени, начисляемой на неуплаченную в срок сумму налога и платежа в бюджет в случае представления налогоплательщиком дополнительных деклараций за отчетный налоговый период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дальнейшего совершенствования администрирования налога на добавленную стоимость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МФ, МНЭ,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Обеспечение представления данных по средним ценам товаров, ввозимых в рамках контрактов на недропользование либо соглашений о разделе продукции, в сравнении с товарами, ввозимыми прочими участниками внешнеэкономической деятельности, для использования при согласовании и утверждении расходов недропользователей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МЭ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ежеквартально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Согласование проектов Правил (методики) ценообразования по отдельным экспортным товарам в целях выработки единой правоприменительной практики и устранения разногласий между участниками международных деловых операций и органами государственных доходов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2019-2020 годы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bookmarkStart w:id="2" w:name="z56"/>
            <w:r w:rsidRPr="00D34771">
              <w:rPr>
                <w:color w:val="000000"/>
                <w:sz w:val="20"/>
                <w:lang w:val="ru-RU"/>
              </w:rPr>
              <w:t>МНЭ, заинтересованные государственные органы,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НПП (по согласованию)</w:t>
            </w:r>
          </w:p>
        </w:tc>
        <w:bookmarkEnd w:id="2"/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Принятие мер по заключению соглашения с уполномоченными органами Турции, Ирана по обмену предварительными сведениями о перемещаемых товарах и транспортных средствах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соглашения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МФ, МНЭ, МИД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Интеграция информационных систем МФ с информационными системами других государственных органов в соответствии с законодательством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акт ввода в эксплуатацию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2020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bookmarkStart w:id="3" w:name="z57"/>
            <w:r>
              <w:rPr>
                <w:color w:val="000000"/>
                <w:sz w:val="20"/>
              </w:rPr>
              <w:t>МФ,</w:t>
            </w:r>
            <w:r>
              <w:br/>
            </w:r>
            <w:r>
              <w:rPr>
                <w:color w:val="000000"/>
                <w:sz w:val="20"/>
              </w:rPr>
              <w:t>заинтересованные государственные органы</w:t>
            </w:r>
          </w:p>
        </w:tc>
        <w:bookmarkEnd w:id="3"/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Обеспечение широкополосным доступом сельских населенных пунктов Республики Казахстан по технологии волоконно-оптических линий связи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ежегодно,</w:t>
            </w:r>
            <w:r>
              <w:br/>
            </w:r>
            <w:r>
              <w:rPr>
                <w:color w:val="000000"/>
                <w:sz w:val="20"/>
              </w:rPr>
              <w:t>4 квартал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 рамках государст-венно-частного партнерства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Совершенствование процедуры субсидирования сельского хозяйства и агропромышленного комплекса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МСХ, МНЭ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Проведение мониторинга с принятием мер к работодателям, использующим труд работников без заключения трудовых договоров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по итогам полугодия, не позднее 20 января и 20 июля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МТСЗН, МСХ, МИО,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Совершенствование механизма закупок квазигосударственного сектора в целях повышения их прозрачности, в том числе путем публикации исчерпывающей информации о выигравшем тендер лице, цене, с детальным описанием товара или услуги, а также информации о производителе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проект Закона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МФ, МНЭ, МИО, СК (по согласованию), ГП (по согласованию), НПП (по согласованию), НУХ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Разработка механизмов по стимулированию осуществления сделок с недвижимостью в безналичной форме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НБ (по согласованию), МИК, МНЭ, АФК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в налоговое законодательство в части невозможности отнесения на вычеты по КПН, ИПН расходов по приобретенным товарам, произведенным работам, оказанным услугам, оплата за наличный расчет которых превышает 1000-кратный размер МРП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в Налоговый кодекс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 квартал 2020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bookmarkStart w:id="4" w:name="z58"/>
            <w:r w:rsidRPr="00D34771">
              <w:rPr>
                <w:color w:val="000000"/>
                <w:sz w:val="20"/>
                <w:lang w:val="ru-RU"/>
              </w:rPr>
              <w:t>МФ, МНЭ, НБ (по согласованию),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НПП (по согласованию)</w:t>
            </w:r>
            <w:r w:rsidRPr="00D34771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"/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Обеспечение поэтапного перехода индивидуальных предпринимателей и юридических лиц на применение ККМ с функцией фиксации и передачи данных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2019-2020 годы, 4 квартал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по срокам введения обязательного внедрения и применения автоматизированных учетных систем в торговле и средств приема безналичных платежей к определенным видам деятельности в розничной торговле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МФ, МИК,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целесообразности усиления ответственности сторон за сделки и действия в сфере теневой экономики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ГП (по согласованию), МЮ, МНЭ,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Рассмотрение вопроса включения в Банк данных минеральных ресурсов Республики Казахстан данных по общераспространенным полезным ископаемым, подземным водам и лечебной грязи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МИИР, МИК, МИО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Принятие мер, направленных на снижение рисков отмывания денег/финансирования терроризма, выработанных по результатам оценки рисков отмывания денег/финансирования терроризма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постановление Правительства Республики Казахстан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МФ, АДГСПК (по согласованию), КНБ (по согласованию), ГП (по согласованию), МВД, НБ (по согласованию), МЮ, МНЭ, МКС, АФК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совершенствования электронной торговли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МНЭ, МИК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Поэтапное внедрение маркировки товаров в целях всестороннего контроля товаров на всех этапах его движения (ввоз, производство, реализация)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bookmarkStart w:id="5" w:name="z60"/>
            <w:r>
              <w:rPr>
                <w:color w:val="000000"/>
                <w:sz w:val="20"/>
              </w:rPr>
              <w:t>ежегодно, 4 квартал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"/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МФ, МНЭ, МИК,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 xml:space="preserve"> Разработка методических рекомендаций по выявлению "товаров риска – товаров прикрытия" при осуществлении ВЭД и создание на основании имеющихся данных перечня таких товаров 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методические рекомендации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bookmarkStart w:id="6" w:name="z61"/>
            <w:r w:rsidRPr="00D34771">
              <w:rPr>
                <w:color w:val="000000"/>
                <w:sz w:val="20"/>
                <w:lang w:val="ru-RU"/>
              </w:rPr>
              <w:t xml:space="preserve"> Разработка на основании результатов оценки рисков методических рекомендаций по отбору участников внешнеэкономической деятельности для проведения: 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1) камеральных таможенных проверок;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2) выездных таможенных проверок</w:t>
            </w:r>
          </w:p>
        </w:tc>
        <w:bookmarkEnd w:id="6"/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методические рекомендации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совершенствования законодательства в части создания по опыту Южной Кореи единой базы данных третьих лиц для целей налогового администрирования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2020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МНЭ, МИК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bookmarkStart w:id="7" w:name="z63"/>
            <w:r w:rsidRPr="00D34771">
              <w:rPr>
                <w:color w:val="000000"/>
                <w:sz w:val="20"/>
                <w:lang w:val="ru-RU"/>
              </w:rPr>
              <w:t>Проработка вопроса совершенствования законодательства в части обеспечения: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 xml:space="preserve">запуска процедур камерального контроля с использованием сведений онлайн ККМ; 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внедрения моделей СУР по назначению хронометражных обследований и рейдов;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внедрения электронных (дистанционных) хронометражных обследований</w:t>
            </w:r>
          </w:p>
        </w:tc>
        <w:bookmarkEnd w:id="7"/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МНЭ, МФ,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Ратификация Конвенции по выполнению мер, относящихся к налоговым соглашениям, в целях противодействия размыванию налоговой базы и выводу прибыли из-под налогообложения (с учетом оговорок и уведомлений)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проект Закона Республики Казахстан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Расширение перечня товаров в модуле "Виртуальный склад" информационной системы "Электронные счета фактуры"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Рассмотрение вопроса перевода на обязательное применение контрольного счета НДС всеми плательщиками НДС по результатам добровольного применения контрольного счета НДС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Расширение применения системы управления рисками в пилотном проекте по казначейскому сопровождению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 xml:space="preserve"> Совершенствование формы налоговой отчетности для целей камерального контроля 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bookmarkStart w:id="8" w:name="z66"/>
            <w:r w:rsidRPr="00D34771">
              <w:rPr>
                <w:color w:val="000000"/>
                <w:sz w:val="20"/>
                <w:lang w:val="ru-RU"/>
              </w:rPr>
              <w:t>Рассмотрение вопроса реализации проекта "Налоговое администрирование налогоплательщиков с использованием аэрокосмического мониторинга" в части: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- противодействия незаконной добыче общераспространҰнных полезных ископаемых;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- мониторинга фактического использования земель сельскохозяйственного назначения</w:t>
            </w:r>
          </w:p>
        </w:tc>
        <w:bookmarkEnd w:id="8"/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пилотный проект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МФ, МИИР, МНЭ, МСХ, МИО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Продолжение работ по актуализации базы данных автоматизированной информационной системы "Государственного земельного кадастра"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МСХ, МНЭ, МИО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Усиление работы по выявлению и последующей постановке на учҰт в органах государственных доходов лиц, нелегально предоставляющих жилище внаем, с учетом передового зарубежного опыта. Мониторинг СМИ, Интернет-ресурсов, работа с ассоциацией риелторов по операциям с недвижимостью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совместный 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МФ, МВД, МНЭ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Активизация работы в рамках Протокола между таможенными службами государств-членов ШОС об обмене информацией в области контроля за перемещением энергоресурсов от 30 октября 2008 года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технические условия по обмену информации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441" w:type="dxa"/>
            <w:gridSpan w:val="2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bookmarkStart w:id="9" w:name="z68"/>
            <w:r w:rsidRPr="00D34771">
              <w:rPr>
                <w:color w:val="000000"/>
                <w:sz w:val="20"/>
                <w:lang w:val="ru-RU"/>
              </w:rPr>
              <w:t>Выработка новых процедур камерального контроля, в том числе: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 xml:space="preserve">1) процедуры сквозного контроля от импорта до конечного потребителя; 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 xml:space="preserve"> 2) процедуры с использованием данных по импорту и другие </w:t>
            </w:r>
          </w:p>
        </w:tc>
        <w:bookmarkEnd w:id="9"/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реестр процедур камерального контроля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ежегодно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bookmarkStart w:id="10" w:name="z70"/>
            <w:r w:rsidRPr="00D34771">
              <w:rPr>
                <w:color w:val="000000"/>
                <w:sz w:val="20"/>
                <w:lang w:val="ru-RU"/>
              </w:rPr>
              <w:t>Совершенствование законодательства в части: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- действующих процедур направления субъектам финансового мониторинга информации о подозрительных операциях с деньгами и (или) иным имуществом и порядка их приостановления;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- режима противодействия легализации (отмыванию) доходов, полученных преступным путем, и финансированию терроризма для международных операторов платежных систем (</w:t>
            </w:r>
            <w:r>
              <w:rPr>
                <w:color w:val="000000"/>
                <w:sz w:val="20"/>
              </w:rPr>
              <w:t>Moneygram</w:t>
            </w:r>
            <w:r w:rsidRPr="00D34771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Contact</w:t>
            </w:r>
            <w:r w:rsidRPr="00D34771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Faster</w:t>
            </w:r>
            <w:r w:rsidRPr="00D34771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Western</w:t>
            </w:r>
            <w:r w:rsidRPr="00D34771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Union</w:t>
            </w:r>
            <w:r w:rsidRPr="00D34771">
              <w:rPr>
                <w:color w:val="000000"/>
                <w:sz w:val="20"/>
                <w:lang w:val="ru-RU"/>
              </w:rPr>
              <w:t>, Золотая Корона и.т.п.)</w:t>
            </w:r>
          </w:p>
        </w:tc>
        <w:bookmarkEnd w:id="10"/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МФ, АФК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Внедрение систем электронного билетирования пассажиров на городских (пригородных) маршрутах регулярных автомобильных перевозках пассажиров и багажа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МИИР, МИО, НБ (по согласованию),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Разработка единого электронного товарно-транспортного документа, интеграция с ИС "ЭСФ"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разработка системы и интеграция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МИИР, 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Выработка предложений по интеграции САИС (система авто измерительных систем) с информационными системами Комитета государственных доходов МФ в части передачи данных о перемещаемых грузах и перевозчиках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совместный 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МИИР, 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Выработка предложений по автоматизации системы взимания платы за использование особо охраняемых природных территорий (автотранспорт)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Совершенствование процесса межведомственного информационного взаимодействия по операциям, подлежащим финансовому мониторингу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межведомственное соглашение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МФ, НБ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bookmarkStart w:id="11" w:name="z72"/>
            <w:r w:rsidRPr="00D34771">
              <w:rPr>
                <w:color w:val="000000"/>
                <w:sz w:val="20"/>
                <w:lang w:val="ru-RU"/>
              </w:rPr>
              <w:t>Проработка механизма отзыва паспортов производства нефтеперерабатывающих заводов в случаях: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1) установления фактов несоответствия фактических показателей производства показателям паспорта производства;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2) систематического непредставления установленных отчетов по поступившим, переработанным, остаточным и отгруженным объемам нефти;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3) установления фактов приобретения, а также принятия на переработку сырой нефти и (или) газового конденсата, и (или) продуктов переработки у поставщиков нефти при отсутствии документов, подтверждающих происхождение приобретаемых (принимаемых) сырой нефти и (или) газового конденсата, и (или) продуктов переработки, а также качество поставляемых сырой нефти и (или) газового конденсата, и (или) продуктов переработки;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4) наличия разницы в приобретенных (принимаемых) объемах сырой нефти и (или) газового конденсата с объемами, указанными в отчетах недропользователей и поставщиков;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5) установления фактов реализации сырой нефти и (или) газового конденсата, и (или) продуктов переработки, полученных (приобретенных) с целью переработки;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6) установления фактов производства бензина и дизельного топлива с использованием металлосодержащих присадок (железо, марганец, свинец и другие, кроме антистатических присадок для дизельного топлива);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7) установления фактов использованию одного и того же оборудования для производства нефтепродуктов двумя и более производителями нефтепродуктов;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8) наличия фактов банкротства, процедуры реабилитации и/или простаивания производства, продажи объекта, изменения наименования юридического лица, передачи объекта в счет погашения задолженности</w:t>
            </w:r>
          </w:p>
        </w:tc>
        <w:bookmarkEnd w:id="11"/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целесообразности установления ответственности в Кодекс Республики Казахстан об административных правонарушениях (штраф) при приобретении и переработке сырья без документов, подтверждающих законность их происхождения, в случае отсутствия признаков уголовного наказания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концепция проекта Закона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2020-2021 годы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целесообразности усиления ответственности в Кодексе Республики Казахстан об административных правонарушениях (увеличение штрафа) за необеспечение достоверного учета добытых углеводородов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концепция проекта Закона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2020-2021 годы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 xml:space="preserve"> Совершенствование системы управления рисками таможенных органов, в том числе субъектно-ориентированный подход, и проведение пост-таможенного контроля 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Утверждение принципов формирования ценовой информации, используемой для выявления рисков при таможенном контроле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Реализация комплекса мер по расширению в международных автомобильных перевозках практики применения системы МДП с обязательным предварительным электронным информированием (</w:t>
            </w:r>
            <w:r>
              <w:rPr>
                <w:color w:val="000000"/>
                <w:sz w:val="20"/>
              </w:rPr>
              <w:t>TIR</w:t>
            </w:r>
            <w:r w:rsidRPr="00D34771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EPD</w:t>
            </w:r>
            <w:r w:rsidRPr="00D34771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52.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возможности освобождения субъектов малого предпринимательства по всем специальным налоговым режимам для малого бизнеса от обязательства по ведению бухгалтерского учета и упрощения сдачи налоговой отчетности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МФ, МНЭ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53.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по определению механизма казначейского сопровождения договоров исполнителей государственного оборонного заказа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МОАП, МНЭ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54.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Организация в установленном законодательством порядке проведения проверок в отношении недобросовестных налогоплательщиков в сфере оборота подакцизной продукции, а также участников внешнеэкономической деятельности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акты о результатах проверок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по итогам полугодия, не позднее 20 января и 20 июля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55.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 w:rsidRPr="00D34771">
              <w:rPr>
                <w:color w:val="000000"/>
                <w:sz w:val="20"/>
                <w:lang w:val="ru-RU"/>
              </w:rPr>
              <w:t xml:space="preserve">Рассмотрение вопроса по установлению системы связи и слежения в отношении товаров и транспортных средств при транзите через территорию </w:t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совместный приказ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МФ, МОАП, МИИР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56.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 xml:space="preserve"> Проработка вопроса создания эффективного механизма привлечения к ответственности участников формирования бюджета и разграничения ответственности на всех этапах планирования и реализации мероприятий 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информация в МФ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МНЭ, МИО, ГП (по согласованию), СК (по согласованию), НПП (по согласованию)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57.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Проработка вопроса внесения предложений в налоговое законодательство в части возможности определения налоговыми органами фактической поставки товаров, выполнения работ и услуг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внесение изменений и дополнений в НПА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МФ, МНЭ, заинтересованные государственные органы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58.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bookmarkStart w:id="12" w:name="z80"/>
            <w:r w:rsidRPr="00D34771">
              <w:rPr>
                <w:color w:val="000000"/>
                <w:sz w:val="20"/>
                <w:lang w:val="ru-RU"/>
              </w:rPr>
              <w:t>Повышение эффективности налогового администрирования путем расширения использования СУР при: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1) назначении хронометражных обследований;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2) прогнозировании пособничества в уклонении от уплаты налогов</w:t>
            </w:r>
          </w:p>
        </w:tc>
        <w:bookmarkEnd w:id="12"/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jc w:val="center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акт ввода в промышленную эксплуатацию модуля информационной системы управления рисками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59.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 xml:space="preserve"> Обеспечение внедрения контрольных приборов учета на автозаправочных станциях, расположенных на территориях столицы, городов республиканского, областного и районного значения 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акты ввода в эксплуатацию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 квартал 2019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  <w:tr w:rsidR="00FC5E23">
        <w:trPr>
          <w:gridBefore w:val="1"/>
          <w:trHeight w:val="30"/>
          <w:tblCellSpacing w:w="0" w:type="auto"/>
        </w:trPr>
        <w:tc>
          <w:tcPr>
            <w:tcW w:w="441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60.</w:t>
            </w:r>
          </w:p>
        </w:tc>
        <w:tc>
          <w:tcPr>
            <w:tcW w:w="63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 xml:space="preserve"> Проведение мониторинга и принятие мер по внедрению обязательного социального медицинского страхования </w:t>
            </w:r>
          </w:p>
        </w:tc>
        <w:tc>
          <w:tcPr>
            <w:tcW w:w="6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проведение мониторинга</w:t>
            </w:r>
          </w:p>
        </w:tc>
        <w:tc>
          <w:tcPr>
            <w:tcW w:w="148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 квартал 2020 года</w:t>
            </w:r>
          </w:p>
        </w:tc>
        <w:tc>
          <w:tcPr>
            <w:tcW w:w="25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МЗ (созыв), МНЭ, МТСЗН</w:t>
            </w:r>
          </w:p>
        </w:tc>
        <w:tc>
          <w:tcPr>
            <w:tcW w:w="38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не требуются</w:t>
            </w:r>
          </w:p>
        </w:tc>
        <w:tc>
          <w:tcPr>
            <w:tcW w:w="4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0"/>
            </w:pPr>
            <w:r>
              <w:br/>
            </w:r>
          </w:p>
        </w:tc>
      </w:tr>
    </w:tbl>
    <w:p w:rsidR="00FC5E23" w:rsidRDefault="00FC5E23">
      <w:pPr>
        <w:spacing w:after="0"/>
      </w:pPr>
      <w:r>
        <w:br/>
      </w:r>
    </w:p>
    <w:p w:rsidR="00FC5E23" w:rsidRDefault="00FC5E23">
      <w:pPr>
        <w:spacing w:after="0"/>
      </w:pPr>
      <w:bookmarkStart w:id="13" w:name="z82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Примечание: расшифровка аббревиатур: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2817"/>
        <w:gridCol w:w="1625"/>
        <w:gridCol w:w="5220"/>
      </w:tblGrid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Министерство сельского хозяйства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МИК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Министерство информации и коммуникаций Республики Казахстан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МЮ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Министерство юстиции Республики Казахстан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ГП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Генеральная прокуратура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bookmarkStart w:id="14" w:name="z83"/>
            <w:r>
              <w:rPr>
                <w:color w:val="000000"/>
                <w:sz w:val="20"/>
              </w:rPr>
              <w:t>МЗ</w:t>
            </w:r>
            <w:r>
              <w:br/>
            </w:r>
            <w:r>
              <w:rPr>
                <w:color w:val="000000"/>
                <w:sz w:val="20"/>
              </w:rPr>
              <w:t>СК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bookmarkStart w:id="15" w:name="z84"/>
            <w:bookmarkEnd w:id="14"/>
            <w:r>
              <w:rPr>
                <w:color w:val="000000"/>
                <w:sz w:val="20"/>
              </w:rPr>
              <w:t>–</w:t>
            </w:r>
            <w:r>
              <w:br/>
            </w: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bookmarkStart w:id="16" w:name="z85"/>
            <w:bookmarkEnd w:id="15"/>
            <w:r w:rsidRPr="00D34771">
              <w:rPr>
                <w:color w:val="000000"/>
                <w:sz w:val="20"/>
                <w:lang w:val="ru-RU"/>
              </w:rPr>
              <w:t>Министерство здравоохранения Республики Казахстан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Счетный комитет по контролю за исполнением республиканского бюджета</w:t>
            </w:r>
          </w:p>
        </w:tc>
        <w:bookmarkEnd w:id="16"/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Министерство труда и социальной защиты населения Республики Казахстан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ВС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Верховный Суд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МИИР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Министерство индустрии и инфраструктурного развития Республики Казахстан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Министерство финансов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МОАП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Министерство оборонной и аэрокосмической промышленности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Министерство культуры и спорта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bookmarkStart w:id="17" w:name="z86"/>
            <w:r>
              <w:rPr>
                <w:color w:val="000000"/>
                <w:sz w:val="20"/>
              </w:rPr>
              <w:t>АДГСПК</w:t>
            </w:r>
            <w:r>
              <w:br/>
            </w: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bookmarkStart w:id="18" w:name="z87"/>
            <w:bookmarkEnd w:id="17"/>
            <w:r>
              <w:rPr>
                <w:color w:val="000000"/>
                <w:sz w:val="20"/>
              </w:rPr>
              <w:t>–</w:t>
            </w:r>
            <w:r>
              <w:br/>
            </w: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bookmarkStart w:id="19" w:name="z88"/>
            <w:bookmarkEnd w:id="18"/>
            <w:r w:rsidRPr="00D34771">
              <w:rPr>
                <w:color w:val="000000"/>
                <w:sz w:val="20"/>
                <w:lang w:val="ru-RU"/>
              </w:rPr>
              <w:t>Агентство Республики Казахстан по делам государственной службы и противодействию коррупции</w:t>
            </w:r>
            <w:r w:rsidRPr="00D34771">
              <w:rPr>
                <w:lang w:val="ru-RU"/>
              </w:rPr>
              <w:br/>
            </w:r>
            <w:r w:rsidRPr="00D34771">
              <w:rPr>
                <w:color w:val="000000"/>
                <w:sz w:val="20"/>
                <w:lang w:val="ru-RU"/>
              </w:rPr>
              <w:t>Министерство иностранных дел Республики Казахстан</w:t>
            </w:r>
          </w:p>
        </w:tc>
        <w:bookmarkEnd w:id="19"/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НБ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Национальный банк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КНБ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Комитет национальной безопасности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Министерство национальной экономики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Министерство внутренних дел Республики Казахстан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МЭ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Министерство энергетики Республики Казахстан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НПП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Национальная палата предпринимателей Республики Казахстан "Атамекен"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АФК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ассоциация финансистов Казахстана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ШОС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Шанхайская организация сотрудничества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МРП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месячный расчетный показатель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ККМ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контрольно-кассовые машины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СМИ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средства массовой информации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ИПН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индивидуальный подоходный налог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местные исполнительные органы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КПН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корпоративный подоходный налог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НДС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налог на добавленную стоимость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НПА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нормативно-правовой акт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ВЭД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внешнеэкономическая деятельность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СУР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система управления рисками</w:t>
            </w:r>
          </w:p>
        </w:tc>
      </w:tr>
      <w:tr w:rsidR="00FC5E23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НУХ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национальные управляющие холдинги</w:t>
            </w:r>
          </w:p>
        </w:tc>
      </w:tr>
      <w:tr w:rsidR="00FC5E23" w:rsidRPr="00D34771">
        <w:trPr>
          <w:trHeight w:val="30"/>
          <w:tblCellSpacing w:w="0" w:type="auto"/>
        </w:trPr>
        <w:tc>
          <w:tcPr>
            <w:tcW w:w="359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ИС "ЭСФ"</w:t>
            </w:r>
          </w:p>
        </w:tc>
        <w:tc>
          <w:tcPr>
            <w:tcW w:w="22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Default="00FC5E23">
            <w:pPr>
              <w:spacing w:after="20"/>
              <w:ind w:left="20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5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5E23" w:rsidRPr="00D34771" w:rsidRDefault="00FC5E23">
            <w:pPr>
              <w:spacing w:after="20"/>
              <w:ind w:left="20"/>
              <w:rPr>
                <w:lang w:val="ru-RU"/>
              </w:rPr>
            </w:pPr>
            <w:r w:rsidRPr="00D34771">
              <w:rPr>
                <w:color w:val="000000"/>
                <w:sz w:val="20"/>
                <w:lang w:val="ru-RU"/>
              </w:rPr>
              <w:t>информационная система электронных счетов-фактур</w:t>
            </w:r>
          </w:p>
        </w:tc>
      </w:tr>
    </w:tbl>
    <w:p w:rsidR="00FC5E23" w:rsidRPr="00D34771" w:rsidRDefault="00FC5E23">
      <w:pPr>
        <w:spacing w:after="0"/>
        <w:rPr>
          <w:lang w:val="ru-RU"/>
        </w:rPr>
      </w:pPr>
      <w:r w:rsidRPr="00D34771">
        <w:rPr>
          <w:lang w:val="ru-RU"/>
        </w:rPr>
        <w:br/>
      </w:r>
    </w:p>
    <w:p w:rsidR="00FC5E23" w:rsidRPr="00D34771" w:rsidRDefault="00FC5E23">
      <w:pPr>
        <w:spacing w:after="0"/>
        <w:rPr>
          <w:lang w:val="ru-RU"/>
        </w:rPr>
      </w:pPr>
      <w:r w:rsidRPr="00D34771">
        <w:rPr>
          <w:lang w:val="ru-RU"/>
        </w:rPr>
        <w:br/>
      </w:r>
      <w:r w:rsidRPr="00D34771">
        <w:rPr>
          <w:lang w:val="ru-RU"/>
        </w:rPr>
        <w:br/>
      </w:r>
    </w:p>
    <w:p w:rsidR="00FC5E23" w:rsidRPr="00D34771" w:rsidRDefault="00FC5E23">
      <w:pPr>
        <w:pStyle w:val="disclaimer"/>
        <w:rPr>
          <w:lang w:val="ru-RU"/>
        </w:rPr>
      </w:pPr>
      <w:r w:rsidRPr="00D34771">
        <w:rPr>
          <w:color w:val="000000"/>
          <w:lang w:val="ru-RU"/>
        </w:rPr>
        <w:t>© 2012. РГП на ПХВ Республиканский центр правовой информации Министерства юстиции Республики Казахстан</w:t>
      </w:r>
    </w:p>
    <w:sectPr w:rsidR="00FC5E23" w:rsidRPr="00D34771" w:rsidSect="004512BA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2BA"/>
    <w:rsid w:val="004512BA"/>
    <w:rsid w:val="0092750C"/>
    <w:rsid w:val="00C43266"/>
    <w:rsid w:val="00D34771"/>
    <w:rsid w:val="00FC5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Times New Roman" w:eastAsia="Times New Roman" w:hAnsi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Times New Roman" w:hAnsi="Times New Roman" w:cs="Times New Roman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/>
      <w:contextualSpacing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4512BA"/>
    <w:rPr>
      <w:rFonts w:ascii="Times New Roman" w:hAnsi="Times New Roman" w:cs="Times New Roman"/>
    </w:rPr>
  </w:style>
  <w:style w:type="table" w:styleId="TableGrid">
    <w:name w:val="Table Grid"/>
    <w:basedOn w:val="TableNormal"/>
    <w:uiPriority w:val="99"/>
    <w:rsid w:val="004512B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</w:style>
  <w:style w:type="paragraph" w:customStyle="1" w:styleId="disclaimer">
    <w:name w:val="disclaimer"/>
    <w:basedOn w:val="Normal"/>
    <w:uiPriority w:val="99"/>
    <w:rsid w:val="004512BA"/>
    <w:pPr>
      <w:jc w:val="center"/>
    </w:pPr>
    <w:rPr>
      <w:sz w:val="18"/>
      <w:szCs w:val="18"/>
    </w:rPr>
  </w:style>
  <w:style w:type="paragraph" w:customStyle="1" w:styleId="DocDefaults">
    <w:name w:val="DocDefaults"/>
    <w:uiPriority w:val="99"/>
    <w:rsid w:val="004512BA"/>
    <w:pPr>
      <w:spacing w:after="200" w:line="276" w:lineRule="auto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16</Pages>
  <Words>2966</Words>
  <Characters>16911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аквываыв</cp:lastModifiedBy>
  <cp:revision>2</cp:revision>
  <dcterms:created xsi:type="dcterms:W3CDTF">2019-02-01T06:36:00Z</dcterms:created>
  <dcterms:modified xsi:type="dcterms:W3CDTF">2019-02-01T06:36:00Z</dcterms:modified>
</cp:coreProperties>
</file>