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17D" w:rsidRPr="0000579E" w:rsidRDefault="00EF617D">
      <w:pPr>
        <w:rPr>
          <w:sz w:val="28"/>
        </w:rPr>
      </w:pPr>
    </w:p>
    <w:p w:rsidR="00DB7B26" w:rsidRPr="0000579E" w:rsidRDefault="00DB7B26" w:rsidP="00DB7B26">
      <w:pPr>
        <w:pStyle w:val="1"/>
        <w:jc w:val="center"/>
        <w:rPr>
          <w:rFonts w:ascii="Times New Roman" w:hAnsi="Times New Roman"/>
          <w:b/>
          <w:sz w:val="28"/>
          <w:szCs w:val="24"/>
        </w:rPr>
      </w:pPr>
      <w:r w:rsidRPr="0000579E">
        <w:rPr>
          <w:rFonts w:ascii="Times New Roman" w:hAnsi="Times New Roman"/>
          <w:b/>
          <w:sz w:val="28"/>
          <w:szCs w:val="24"/>
          <w:lang w:val="kk-KZ"/>
        </w:rPr>
        <w:t xml:space="preserve">2. </w:t>
      </w:r>
      <w:r w:rsidRPr="0000579E">
        <w:rPr>
          <w:rFonts w:ascii="Times New Roman" w:hAnsi="Times New Roman"/>
          <w:b/>
          <w:sz w:val="28"/>
          <w:szCs w:val="24"/>
        </w:rPr>
        <w:t>Анализ межведомственного взаимодействия</w:t>
      </w:r>
    </w:p>
    <w:p w:rsidR="00DB7B26" w:rsidRPr="0000579E" w:rsidRDefault="00DB7B26" w:rsidP="00DB7B26">
      <w:pPr>
        <w:pStyle w:val="1"/>
        <w:jc w:val="both"/>
        <w:rPr>
          <w:rFonts w:ascii="Times New Roman" w:hAnsi="Times New Roman"/>
          <w:bCs/>
          <w:sz w:val="28"/>
          <w:szCs w:val="24"/>
        </w:rPr>
      </w:pPr>
    </w:p>
    <w:tbl>
      <w:tblPr>
        <w:tblW w:w="156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1446"/>
        <w:gridCol w:w="8647"/>
      </w:tblGrid>
      <w:tr w:rsidR="00EA027F" w:rsidRPr="0000579E" w:rsidTr="004C5E88">
        <w:trPr>
          <w:trHeight w:val="322"/>
        </w:trPr>
        <w:tc>
          <w:tcPr>
            <w:tcW w:w="5529" w:type="dxa"/>
            <w:vMerge w:val="restart"/>
            <w:shd w:val="clear" w:color="auto" w:fill="auto"/>
          </w:tcPr>
          <w:p w:rsidR="00DB7B26" w:rsidRPr="0000579E" w:rsidRDefault="00DB7B26" w:rsidP="009F16DD">
            <w:pPr>
              <w:pStyle w:val="1"/>
              <w:jc w:val="both"/>
              <w:rPr>
                <w:rFonts w:ascii="Times New Roman" w:hAnsi="Times New Roman"/>
                <w:b/>
                <w:bCs/>
                <w:sz w:val="28"/>
                <w:szCs w:val="24"/>
              </w:rPr>
            </w:pPr>
            <w:r w:rsidRPr="0000579E">
              <w:rPr>
                <w:rFonts w:ascii="Times New Roman" w:hAnsi="Times New Roman"/>
                <w:b/>
                <w:bCs/>
                <w:sz w:val="28"/>
                <w:szCs w:val="24"/>
              </w:rPr>
              <w:t>Наименование целевого индикатора/показателя результата</w:t>
            </w:r>
          </w:p>
        </w:tc>
        <w:tc>
          <w:tcPr>
            <w:tcW w:w="1446" w:type="dxa"/>
            <w:vMerge w:val="restart"/>
            <w:shd w:val="clear" w:color="auto" w:fill="auto"/>
          </w:tcPr>
          <w:p w:rsidR="00DB7B26" w:rsidRPr="0000579E" w:rsidRDefault="00DB7B26" w:rsidP="009F16DD">
            <w:pPr>
              <w:pStyle w:val="1"/>
              <w:jc w:val="both"/>
              <w:rPr>
                <w:rFonts w:ascii="Times New Roman" w:hAnsi="Times New Roman"/>
                <w:b/>
                <w:bCs/>
                <w:sz w:val="28"/>
                <w:szCs w:val="24"/>
              </w:rPr>
            </w:pPr>
            <w:r w:rsidRPr="0000579E">
              <w:rPr>
                <w:rFonts w:ascii="Times New Roman" w:hAnsi="Times New Roman"/>
                <w:b/>
                <w:bCs/>
                <w:sz w:val="28"/>
                <w:szCs w:val="24"/>
              </w:rPr>
              <w:t>Орган-соисполнитель</w:t>
            </w:r>
          </w:p>
        </w:tc>
        <w:tc>
          <w:tcPr>
            <w:tcW w:w="8647" w:type="dxa"/>
            <w:vMerge w:val="restart"/>
            <w:shd w:val="clear" w:color="auto" w:fill="auto"/>
          </w:tcPr>
          <w:p w:rsidR="00DB7B26" w:rsidRPr="0000579E" w:rsidRDefault="00DB7B26" w:rsidP="009F16DD">
            <w:pPr>
              <w:pStyle w:val="1"/>
              <w:jc w:val="center"/>
              <w:rPr>
                <w:rFonts w:ascii="Times New Roman" w:hAnsi="Times New Roman"/>
                <w:b/>
                <w:bCs/>
                <w:sz w:val="28"/>
                <w:szCs w:val="24"/>
              </w:rPr>
            </w:pPr>
            <w:r w:rsidRPr="0000579E">
              <w:rPr>
                <w:rFonts w:ascii="Times New Roman" w:hAnsi="Times New Roman"/>
                <w:b/>
                <w:bCs/>
                <w:sz w:val="28"/>
                <w:szCs w:val="24"/>
              </w:rPr>
              <w:t>Анализ взаимодействия</w:t>
            </w:r>
          </w:p>
        </w:tc>
      </w:tr>
      <w:tr w:rsidR="00EA027F" w:rsidRPr="0000579E" w:rsidTr="004C5E88">
        <w:trPr>
          <w:trHeight w:val="322"/>
        </w:trPr>
        <w:tc>
          <w:tcPr>
            <w:tcW w:w="5529" w:type="dxa"/>
            <w:vMerge/>
            <w:shd w:val="clear" w:color="auto" w:fill="auto"/>
          </w:tcPr>
          <w:p w:rsidR="00DB7B26" w:rsidRPr="0000579E" w:rsidRDefault="00DB7B26" w:rsidP="009F16DD">
            <w:pPr>
              <w:pStyle w:val="1"/>
              <w:jc w:val="both"/>
              <w:rPr>
                <w:rFonts w:ascii="Times New Roman" w:hAnsi="Times New Roman"/>
                <w:b/>
                <w:bCs/>
                <w:sz w:val="28"/>
                <w:szCs w:val="24"/>
              </w:rPr>
            </w:pPr>
          </w:p>
        </w:tc>
        <w:tc>
          <w:tcPr>
            <w:tcW w:w="1446" w:type="dxa"/>
            <w:vMerge/>
            <w:shd w:val="clear" w:color="auto" w:fill="auto"/>
          </w:tcPr>
          <w:p w:rsidR="00DB7B26" w:rsidRPr="0000579E" w:rsidRDefault="00DB7B26" w:rsidP="009F16DD">
            <w:pPr>
              <w:pStyle w:val="1"/>
              <w:jc w:val="both"/>
              <w:rPr>
                <w:rFonts w:ascii="Times New Roman" w:hAnsi="Times New Roman"/>
                <w:b/>
                <w:bCs/>
                <w:sz w:val="28"/>
                <w:szCs w:val="24"/>
              </w:rPr>
            </w:pPr>
          </w:p>
        </w:tc>
        <w:tc>
          <w:tcPr>
            <w:tcW w:w="8647" w:type="dxa"/>
            <w:vMerge/>
            <w:shd w:val="clear" w:color="auto" w:fill="auto"/>
          </w:tcPr>
          <w:p w:rsidR="00DB7B26" w:rsidRPr="0000579E" w:rsidRDefault="00DB7B26" w:rsidP="009F16DD">
            <w:pPr>
              <w:pStyle w:val="1"/>
              <w:jc w:val="both"/>
              <w:rPr>
                <w:rFonts w:ascii="Times New Roman" w:hAnsi="Times New Roman"/>
                <w:b/>
                <w:bCs/>
                <w:sz w:val="28"/>
                <w:szCs w:val="24"/>
              </w:rPr>
            </w:pPr>
          </w:p>
        </w:tc>
      </w:tr>
      <w:tr w:rsidR="00EA027F" w:rsidRPr="0000579E" w:rsidTr="004C5E88">
        <w:trPr>
          <w:trHeight w:val="322"/>
        </w:trPr>
        <w:tc>
          <w:tcPr>
            <w:tcW w:w="5529" w:type="dxa"/>
            <w:vMerge/>
            <w:shd w:val="clear" w:color="auto" w:fill="auto"/>
          </w:tcPr>
          <w:p w:rsidR="003D5235" w:rsidRPr="0000579E" w:rsidRDefault="003D5235" w:rsidP="009F16DD">
            <w:pPr>
              <w:pStyle w:val="1"/>
              <w:jc w:val="both"/>
              <w:rPr>
                <w:rFonts w:ascii="Times New Roman" w:hAnsi="Times New Roman"/>
                <w:b/>
                <w:bCs/>
                <w:sz w:val="28"/>
                <w:szCs w:val="24"/>
              </w:rPr>
            </w:pPr>
          </w:p>
        </w:tc>
        <w:tc>
          <w:tcPr>
            <w:tcW w:w="1446" w:type="dxa"/>
            <w:vMerge/>
            <w:shd w:val="clear" w:color="auto" w:fill="auto"/>
          </w:tcPr>
          <w:p w:rsidR="003D5235" w:rsidRPr="0000579E" w:rsidRDefault="003D5235" w:rsidP="009F16DD">
            <w:pPr>
              <w:pStyle w:val="1"/>
              <w:jc w:val="both"/>
              <w:rPr>
                <w:rFonts w:ascii="Times New Roman" w:hAnsi="Times New Roman"/>
                <w:b/>
                <w:bCs/>
                <w:sz w:val="28"/>
                <w:szCs w:val="24"/>
              </w:rPr>
            </w:pPr>
          </w:p>
        </w:tc>
        <w:tc>
          <w:tcPr>
            <w:tcW w:w="8647" w:type="dxa"/>
            <w:vMerge/>
            <w:shd w:val="clear" w:color="auto" w:fill="auto"/>
          </w:tcPr>
          <w:p w:rsidR="003D5235" w:rsidRPr="0000579E" w:rsidRDefault="003D5235" w:rsidP="009F16DD">
            <w:pPr>
              <w:pStyle w:val="1"/>
              <w:jc w:val="both"/>
              <w:rPr>
                <w:rFonts w:ascii="Times New Roman" w:hAnsi="Times New Roman"/>
                <w:b/>
                <w:bCs/>
                <w:sz w:val="28"/>
                <w:szCs w:val="24"/>
              </w:rPr>
            </w:pPr>
          </w:p>
        </w:tc>
      </w:tr>
      <w:tr w:rsidR="00EA027F" w:rsidRPr="0000579E" w:rsidTr="004C5E88">
        <w:trPr>
          <w:trHeight w:val="322"/>
        </w:trPr>
        <w:tc>
          <w:tcPr>
            <w:tcW w:w="5529" w:type="dxa"/>
            <w:vMerge/>
            <w:shd w:val="clear" w:color="auto" w:fill="auto"/>
          </w:tcPr>
          <w:p w:rsidR="00DB7B26" w:rsidRPr="0000579E" w:rsidRDefault="00DB7B26" w:rsidP="009F16DD">
            <w:pPr>
              <w:pStyle w:val="1"/>
              <w:jc w:val="both"/>
              <w:rPr>
                <w:rFonts w:ascii="Times New Roman" w:hAnsi="Times New Roman"/>
                <w:bCs/>
                <w:sz w:val="28"/>
                <w:szCs w:val="24"/>
              </w:rPr>
            </w:pPr>
          </w:p>
        </w:tc>
        <w:tc>
          <w:tcPr>
            <w:tcW w:w="1446" w:type="dxa"/>
            <w:vMerge/>
            <w:shd w:val="clear" w:color="auto" w:fill="auto"/>
          </w:tcPr>
          <w:p w:rsidR="00DB7B26" w:rsidRPr="0000579E" w:rsidRDefault="00DB7B26" w:rsidP="009F16DD">
            <w:pPr>
              <w:pStyle w:val="1"/>
              <w:jc w:val="both"/>
              <w:rPr>
                <w:rFonts w:ascii="Times New Roman" w:hAnsi="Times New Roman"/>
                <w:bCs/>
                <w:sz w:val="28"/>
                <w:szCs w:val="24"/>
              </w:rPr>
            </w:pPr>
          </w:p>
        </w:tc>
        <w:tc>
          <w:tcPr>
            <w:tcW w:w="8647" w:type="dxa"/>
            <w:vMerge/>
            <w:shd w:val="clear" w:color="auto" w:fill="auto"/>
          </w:tcPr>
          <w:p w:rsidR="00DB7B26" w:rsidRPr="0000579E" w:rsidRDefault="00DB7B26" w:rsidP="009F16DD">
            <w:pPr>
              <w:pStyle w:val="1"/>
              <w:jc w:val="both"/>
              <w:rPr>
                <w:rFonts w:ascii="Times New Roman" w:hAnsi="Times New Roman"/>
                <w:bCs/>
                <w:sz w:val="28"/>
                <w:szCs w:val="24"/>
              </w:rPr>
            </w:pPr>
          </w:p>
        </w:tc>
      </w:tr>
      <w:tr w:rsidR="00EA027F" w:rsidRPr="0000579E" w:rsidTr="004C5E88">
        <w:trPr>
          <w:trHeight w:val="322"/>
        </w:trPr>
        <w:tc>
          <w:tcPr>
            <w:tcW w:w="5529" w:type="dxa"/>
            <w:shd w:val="clear" w:color="auto" w:fill="auto"/>
          </w:tcPr>
          <w:p w:rsidR="003D5235" w:rsidRPr="0000579E" w:rsidRDefault="003D5235" w:rsidP="003D5235">
            <w:pPr>
              <w:pStyle w:val="1"/>
              <w:jc w:val="center"/>
              <w:rPr>
                <w:rFonts w:ascii="Times New Roman" w:hAnsi="Times New Roman"/>
                <w:bCs/>
                <w:sz w:val="28"/>
                <w:szCs w:val="24"/>
                <w:lang w:val="kk-KZ"/>
              </w:rPr>
            </w:pPr>
            <w:r w:rsidRPr="0000579E">
              <w:rPr>
                <w:rFonts w:ascii="Times New Roman" w:hAnsi="Times New Roman"/>
                <w:bCs/>
                <w:sz w:val="28"/>
                <w:szCs w:val="24"/>
                <w:lang w:val="kk-KZ"/>
              </w:rPr>
              <w:t>1</w:t>
            </w:r>
          </w:p>
        </w:tc>
        <w:tc>
          <w:tcPr>
            <w:tcW w:w="1446" w:type="dxa"/>
            <w:shd w:val="clear" w:color="auto" w:fill="auto"/>
          </w:tcPr>
          <w:p w:rsidR="003D5235" w:rsidRPr="0000579E" w:rsidRDefault="003D5235" w:rsidP="003D5235">
            <w:pPr>
              <w:pStyle w:val="1"/>
              <w:jc w:val="center"/>
              <w:rPr>
                <w:rFonts w:ascii="Times New Roman" w:hAnsi="Times New Roman"/>
                <w:bCs/>
                <w:sz w:val="28"/>
                <w:szCs w:val="24"/>
                <w:lang w:val="kk-KZ"/>
              </w:rPr>
            </w:pPr>
            <w:r w:rsidRPr="0000579E">
              <w:rPr>
                <w:rFonts w:ascii="Times New Roman" w:hAnsi="Times New Roman"/>
                <w:bCs/>
                <w:sz w:val="28"/>
                <w:szCs w:val="24"/>
                <w:lang w:val="kk-KZ"/>
              </w:rPr>
              <w:t>2</w:t>
            </w:r>
          </w:p>
        </w:tc>
        <w:tc>
          <w:tcPr>
            <w:tcW w:w="8647" w:type="dxa"/>
            <w:shd w:val="clear" w:color="auto" w:fill="auto"/>
          </w:tcPr>
          <w:p w:rsidR="003D5235" w:rsidRPr="0000579E" w:rsidRDefault="003D5235" w:rsidP="003D5235">
            <w:pPr>
              <w:pStyle w:val="1"/>
              <w:jc w:val="center"/>
              <w:rPr>
                <w:rFonts w:ascii="Times New Roman" w:hAnsi="Times New Roman"/>
                <w:bCs/>
                <w:sz w:val="28"/>
                <w:szCs w:val="24"/>
                <w:lang w:val="kk-KZ"/>
              </w:rPr>
            </w:pPr>
            <w:r w:rsidRPr="0000579E">
              <w:rPr>
                <w:rFonts w:ascii="Times New Roman" w:hAnsi="Times New Roman"/>
                <w:bCs/>
                <w:sz w:val="28"/>
                <w:szCs w:val="24"/>
                <w:lang w:val="kk-KZ"/>
              </w:rPr>
              <w:t>3</w:t>
            </w:r>
          </w:p>
        </w:tc>
      </w:tr>
      <w:tr w:rsidR="00EA027F" w:rsidRPr="0000579E" w:rsidTr="004C5E88">
        <w:trPr>
          <w:trHeight w:val="322"/>
        </w:trPr>
        <w:tc>
          <w:tcPr>
            <w:tcW w:w="5529" w:type="dxa"/>
            <w:shd w:val="clear" w:color="auto" w:fill="auto"/>
          </w:tcPr>
          <w:p w:rsidR="00DB7B26" w:rsidRPr="0000579E" w:rsidRDefault="00DB7B26" w:rsidP="009F16DD">
            <w:pPr>
              <w:pStyle w:val="1"/>
              <w:jc w:val="both"/>
              <w:rPr>
                <w:rFonts w:ascii="Times New Roman" w:hAnsi="Times New Roman"/>
                <w:b/>
                <w:sz w:val="28"/>
                <w:szCs w:val="24"/>
              </w:rPr>
            </w:pPr>
            <w:r w:rsidRPr="0000579E">
              <w:rPr>
                <w:rFonts w:ascii="Times New Roman" w:hAnsi="Times New Roman"/>
                <w:b/>
                <w:sz w:val="28"/>
                <w:szCs w:val="24"/>
              </w:rPr>
              <w:t xml:space="preserve">Целевой индикатор: </w:t>
            </w:r>
          </w:p>
          <w:p w:rsidR="0000579E" w:rsidRDefault="00EA027F" w:rsidP="009F16DD">
            <w:pPr>
              <w:pStyle w:val="1"/>
              <w:jc w:val="both"/>
              <w:rPr>
                <w:rFonts w:ascii="Times New Roman" w:hAnsi="Times New Roman"/>
                <w:sz w:val="28"/>
                <w:szCs w:val="24"/>
              </w:rPr>
            </w:pPr>
            <w:r w:rsidRPr="0000579E">
              <w:rPr>
                <w:rFonts w:ascii="Times New Roman" w:hAnsi="Times New Roman"/>
                <w:sz w:val="28"/>
                <w:szCs w:val="24"/>
              </w:rPr>
              <w:t>Охват дошкольным воспитанием и обучением детей:</w:t>
            </w:r>
          </w:p>
          <w:p w:rsidR="00DB7B26" w:rsidRPr="0000579E" w:rsidRDefault="00EA027F" w:rsidP="009F16DD">
            <w:pPr>
              <w:pStyle w:val="1"/>
              <w:jc w:val="both"/>
              <w:rPr>
                <w:rFonts w:ascii="Times New Roman" w:hAnsi="Times New Roman"/>
                <w:sz w:val="28"/>
                <w:szCs w:val="24"/>
              </w:rPr>
            </w:pPr>
            <w:r w:rsidRPr="0000579E">
              <w:rPr>
                <w:rFonts w:ascii="Times New Roman" w:hAnsi="Times New Roman"/>
                <w:sz w:val="28"/>
                <w:szCs w:val="24"/>
              </w:rPr>
              <w:t>от 1 до 6 лет (план – 81%, факт – 81,6%);</w:t>
            </w:r>
          </w:p>
          <w:p w:rsidR="00EA027F" w:rsidRPr="0000579E" w:rsidRDefault="00EA027F" w:rsidP="009F16DD">
            <w:pPr>
              <w:pStyle w:val="1"/>
              <w:jc w:val="both"/>
              <w:rPr>
                <w:rFonts w:ascii="Times New Roman" w:hAnsi="Times New Roman"/>
                <w:b/>
                <w:sz w:val="28"/>
                <w:szCs w:val="24"/>
              </w:rPr>
            </w:pPr>
            <w:r w:rsidRPr="0000579E">
              <w:rPr>
                <w:rFonts w:ascii="Times New Roman" w:hAnsi="Times New Roman"/>
                <w:sz w:val="28"/>
                <w:szCs w:val="24"/>
              </w:rPr>
              <w:t>от 3 до 6 лет (план – 100%, факт – 98,7%)</w:t>
            </w:r>
          </w:p>
        </w:tc>
        <w:tc>
          <w:tcPr>
            <w:tcW w:w="1446" w:type="dxa"/>
            <w:shd w:val="clear" w:color="auto" w:fill="auto"/>
          </w:tcPr>
          <w:p w:rsidR="00DB7B26" w:rsidRPr="0000579E" w:rsidRDefault="00EA027F" w:rsidP="004C5E88">
            <w:pPr>
              <w:pStyle w:val="1"/>
              <w:jc w:val="both"/>
              <w:rPr>
                <w:rFonts w:ascii="Times New Roman" w:hAnsi="Times New Roman"/>
                <w:sz w:val="28"/>
                <w:szCs w:val="24"/>
              </w:rPr>
            </w:pPr>
            <w:r w:rsidRPr="0000579E">
              <w:rPr>
                <w:rFonts w:ascii="Times New Roman" w:hAnsi="Times New Roman"/>
                <w:bCs/>
                <w:sz w:val="28"/>
                <w:szCs w:val="24"/>
                <w:lang w:val="kk-KZ"/>
              </w:rPr>
              <w:t>МИО, МОН</w:t>
            </w:r>
          </w:p>
        </w:tc>
        <w:tc>
          <w:tcPr>
            <w:tcW w:w="8647" w:type="dxa"/>
            <w:shd w:val="clear" w:color="auto" w:fill="auto"/>
          </w:tcPr>
          <w:p w:rsidR="0000579E" w:rsidRPr="0000579E" w:rsidRDefault="0000579E" w:rsidP="0000579E">
            <w:pPr>
              <w:ind w:firstLine="459"/>
              <w:jc w:val="both"/>
              <w:rPr>
                <w:b/>
                <w:bCs/>
                <w:sz w:val="28"/>
                <w:lang w:eastAsia="en-US"/>
              </w:rPr>
            </w:pPr>
            <w:r>
              <w:rPr>
                <w:b/>
                <w:bCs/>
                <w:sz w:val="28"/>
                <w:lang w:eastAsia="en-US"/>
              </w:rPr>
              <w:t>Ч</w:t>
            </w:r>
            <w:r w:rsidRPr="0000579E">
              <w:rPr>
                <w:b/>
                <w:bCs/>
                <w:sz w:val="28"/>
                <w:lang w:eastAsia="en-US"/>
              </w:rPr>
              <w:t>астично исполнен</w:t>
            </w:r>
          </w:p>
          <w:p w:rsidR="0000579E" w:rsidRPr="0000579E" w:rsidRDefault="0000579E" w:rsidP="0000579E">
            <w:pPr>
              <w:ind w:firstLine="459"/>
              <w:jc w:val="both"/>
              <w:rPr>
                <w:bCs/>
                <w:sz w:val="28"/>
                <w:lang w:eastAsia="en-US"/>
              </w:rPr>
            </w:pPr>
            <w:r w:rsidRPr="0000579E">
              <w:rPr>
                <w:bCs/>
                <w:sz w:val="28"/>
                <w:lang w:eastAsia="en-US"/>
              </w:rPr>
              <w:t>«Охват дошкольным воспитанием и обучением детей от 3-6 лет» не исполнен.</w:t>
            </w:r>
          </w:p>
          <w:p w:rsidR="0000579E" w:rsidRPr="0000579E" w:rsidRDefault="0000579E" w:rsidP="0000579E">
            <w:pPr>
              <w:ind w:firstLine="459"/>
              <w:jc w:val="both"/>
              <w:rPr>
                <w:bCs/>
                <w:sz w:val="28"/>
                <w:lang w:eastAsia="en-US"/>
              </w:rPr>
            </w:pPr>
            <w:r w:rsidRPr="0000579E">
              <w:rPr>
                <w:bCs/>
                <w:sz w:val="28"/>
                <w:lang w:eastAsia="en-US"/>
              </w:rPr>
              <w:t>100% охват детей 3-6 лет дошкольным воспитанием и обучением не достигнут в Алматинской обл. 97,6%, Костанайской обл. 95,7%, Туркестанской обл. 99,6%, г. Нур-Султан  99,0%, г. Алматы 89,5%.</w:t>
            </w:r>
          </w:p>
          <w:p w:rsidR="0000579E" w:rsidRPr="0000579E" w:rsidRDefault="0000579E" w:rsidP="0000579E">
            <w:pPr>
              <w:ind w:firstLine="459"/>
              <w:jc w:val="both"/>
              <w:rPr>
                <w:bCs/>
                <w:sz w:val="28"/>
                <w:lang w:eastAsia="en-US"/>
              </w:rPr>
            </w:pPr>
            <w:r w:rsidRPr="0000579E">
              <w:rPr>
                <w:bCs/>
                <w:sz w:val="28"/>
                <w:lang w:eastAsia="en-US"/>
              </w:rPr>
              <w:t>Количество детей в возрасте:</w:t>
            </w:r>
          </w:p>
          <w:p w:rsidR="0000579E" w:rsidRPr="0000579E" w:rsidRDefault="0000579E" w:rsidP="0000579E">
            <w:pPr>
              <w:ind w:firstLine="459"/>
              <w:jc w:val="both"/>
              <w:rPr>
                <w:bCs/>
                <w:sz w:val="28"/>
                <w:lang w:eastAsia="en-US"/>
              </w:rPr>
            </w:pPr>
            <w:r w:rsidRPr="0000579E">
              <w:rPr>
                <w:bCs/>
                <w:sz w:val="28"/>
                <w:lang w:eastAsia="en-US"/>
              </w:rPr>
              <w:t>1-6(7) лет – 1 315 908, из них дошкольным воспитанием и обучением охвачены 1 074 019 чел. или 81,6%;</w:t>
            </w:r>
          </w:p>
          <w:p w:rsidR="00DB7B26" w:rsidRPr="0000579E" w:rsidRDefault="0000579E" w:rsidP="0000579E">
            <w:pPr>
              <w:pBdr>
                <w:bottom w:val="single" w:sz="4" w:space="31" w:color="FFFFFF"/>
              </w:pBdr>
              <w:ind w:firstLine="459"/>
              <w:jc w:val="both"/>
              <w:rPr>
                <w:b/>
                <w:bCs/>
                <w:sz w:val="28"/>
              </w:rPr>
            </w:pPr>
            <w:r w:rsidRPr="0000579E">
              <w:rPr>
                <w:bCs/>
                <w:sz w:val="28"/>
                <w:lang w:eastAsia="en-US"/>
              </w:rPr>
              <w:t>3-6 лет – 874 404 чел., из них дошкольным воспитанием и обучением охвачены 862 571 чел. или 98,7%.</w:t>
            </w:r>
          </w:p>
        </w:tc>
      </w:tr>
      <w:tr w:rsidR="00EA027F" w:rsidRPr="0000579E" w:rsidTr="004C5E88">
        <w:trPr>
          <w:trHeight w:val="322"/>
        </w:trPr>
        <w:tc>
          <w:tcPr>
            <w:tcW w:w="5529" w:type="dxa"/>
            <w:shd w:val="clear" w:color="auto" w:fill="auto"/>
          </w:tcPr>
          <w:p w:rsidR="00DB7B26" w:rsidRPr="0000579E" w:rsidRDefault="00DB7B26" w:rsidP="009F16DD">
            <w:pPr>
              <w:pStyle w:val="1"/>
              <w:jc w:val="both"/>
              <w:rPr>
                <w:rFonts w:ascii="Times New Roman" w:hAnsi="Times New Roman"/>
                <w:b/>
                <w:sz w:val="28"/>
                <w:szCs w:val="24"/>
              </w:rPr>
            </w:pPr>
            <w:r w:rsidRPr="0000579E">
              <w:rPr>
                <w:rFonts w:ascii="Times New Roman" w:hAnsi="Times New Roman"/>
                <w:b/>
                <w:sz w:val="28"/>
                <w:szCs w:val="24"/>
              </w:rPr>
              <w:t>Показатель:</w:t>
            </w:r>
          </w:p>
          <w:p w:rsidR="00DB7B26" w:rsidRPr="0000579E" w:rsidRDefault="00EA027F" w:rsidP="00EA027F">
            <w:pPr>
              <w:rPr>
                <w:sz w:val="28"/>
              </w:rPr>
            </w:pPr>
            <w:r w:rsidRPr="0000579E">
              <w:rPr>
                <w:bCs/>
                <w:sz w:val="28"/>
                <w:lang w:eastAsia="en-US"/>
              </w:rPr>
              <w:t xml:space="preserve">Результаты </w:t>
            </w:r>
            <w:proofErr w:type="gramStart"/>
            <w:r w:rsidRPr="0000579E">
              <w:rPr>
                <w:bCs/>
                <w:sz w:val="28"/>
                <w:lang w:eastAsia="en-US"/>
              </w:rPr>
              <w:t>учебных достижений</w:t>
            </w:r>
            <w:proofErr w:type="gramEnd"/>
            <w:r w:rsidRPr="0000579E">
              <w:rPr>
                <w:bCs/>
                <w:sz w:val="28"/>
                <w:lang w:eastAsia="en-US"/>
              </w:rPr>
              <w:t xml:space="preserve"> учащихся начального и основного среднего образования по итогам образовательного мониторинга (план – 4 </w:t>
            </w:r>
            <w:proofErr w:type="spellStart"/>
            <w:r w:rsidRPr="0000579E">
              <w:rPr>
                <w:bCs/>
                <w:sz w:val="28"/>
                <w:lang w:eastAsia="en-US"/>
              </w:rPr>
              <w:t>кл</w:t>
            </w:r>
            <w:proofErr w:type="spellEnd"/>
            <w:r w:rsidRPr="0000579E">
              <w:rPr>
                <w:bCs/>
                <w:sz w:val="28"/>
                <w:lang w:eastAsia="en-US"/>
              </w:rPr>
              <w:t xml:space="preserve">. - 18 баллов, 9 </w:t>
            </w:r>
            <w:proofErr w:type="spellStart"/>
            <w:r w:rsidRPr="0000579E">
              <w:rPr>
                <w:bCs/>
                <w:sz w:val="28"/>
                <w:lang w:eastAsia="en-US"/>
              </w:rPr>
              <w:t>кл</w:t>
            </w:r>
            <w:proofErr w:type="spellEnd"/>
            <w:r w:rsidRPr="0000579E">
              <w:rPr>
                <w:bCs/>
                <w:sz w:val="28"/>
                <w:lang w:eastAsia="en-US"/>
              </w:rPr>
              <w:t>. - 45 баллов, факт – 0)</w:t>
            </w:r>
          </w:p>
        </w:tc>
        <w:tc>
          <w:tcPr>
            <w:tcW w:w="1446" w:type="dxa"/>
            <w:shd w:val="clear" w:color="auto" w:fill="auto"/>
          </w:tcPr>
          <w:p w:rsidR="00DB7B26" w:rsidRPr="0000579E" w:rsidRDefault="00DB7B26" w:rsidP="009F16DD">
            <w:pPr>
              <w:pStyle w:val="1"/>
              <w:jc w:val="both"/>
              <w:rPr>
                <w:rFonts w:ascii="Times New Roman" w:hAnsi="Times New Roman"/>
                <w:bCs/>
                <w:sz w:val="28"/>
                <w:szCs w:val="24"/>
                <w:lang w:val="kk-KZ"/>
              </w:rPr>
            </w:pPr>
            <w:r w:rsidRPr="0000579E">
              <w:rPr>
                <w:rFonts w:ascii="Times New Roman" w:hAnsi="Times New Roman"/>
                <w:bCs/>
                <w:sz w:val="28"/>
                <w:szCs w:val="24"/>
              </w:rPr>
              <w:t>МИО</w:t>
            </w:r>
            <w:r w:rsidR="00CF244E" w:rsidRPr="0000579E">
              <w:rPr>
                <w:rFonts w:ascii="Times New Roman" w:hAnsi="Times New Roman"/>
                <w:bCs/>
                <w:sz w:val="28"/>
                <w:szCs w:val="24"/>
                <w:lang w:val="kk-KZ"/>
              </w:rPr>
              <w:t>, МОН</w:t>
            </w:r>
          </w:p>
        </w:tc>
        <w:tc>
          <w:tcPr>
            <w:tcW w:w="8647" w:type="dxa"/>
            <w:shd w:val="clear" w:color="auto" w:fill="auto"/>
          </w:tcPr>
          <w:p w:rsidR="0000579E" w:rsidRPr="0000579E" w:rsidRDefault="0000579E" w:rsidP="0000579E">
            <w:pPr>
              <w:ind w:firstLine="459"/>
              <w:jc w:val="both"/>
              <w:rPr>
                <w:b/>
                <w:bCs/>
                <w:sz w:val="28"/>
                <w:lang w:eastAsia="en-US"/>
              </w:rPr>
            </w:pPr>
            <w:r>
              <w:rPr>
                <w:b/>
                <w:bCs/>
                <w:sz w:val="28"/>
                <w:lang w:eastAsia="en-US"/>
              </w:rPr>
              <w:t>Не</w:t>
            </w:r>
            <w:r w:rsidRPr="0000579E">
              <w:rPr>
                <w:b/>
                <w:bCs/>
                <w:sz w:val="28"/>
                <w:lang w:eastAsia="en-US"/>
              </w:rPr>
              <w:t xml:space="preserve"> исполнен</w:t>
            </w:r>
          </w:p>
          <w:p w:rsidR="00DB7B26" w:rsidRDefault="0000579E" w:rsidP="0000579E">
            <w:pPr>
              <w:ind w:firstLine="459"/>
              <w:jc w:val="both"/>
              <w:rPr>
                <w:bCs/>
                <w:sz w:val="28"/>
                <w:lang w:eastAsia="en-US"/>
              </w:rPr>
            </w:pPr>
            <w:r w:rsidRPr="0000579E">
              <w:rPr>
                <w:bCs/>
                <w:sz w:val="28"/>
                <w:lang w:eastAsia="en-US"/>
              </w:rPr>
              <w:t xml:space="preserve">Проведение внешней оценки учебных достижений в организациях начального, основного среднего, общего среднего образования в 2019-2020 учебном году отменены согласно Приказа Министра МОН РК от 01.04.2020 года №123 «Об усилении мер по недопущению распространения </w:t>
            </w:r>
            <w:proofErr w:type="spellStart"/>
            <w:r w:rsidRPr="0000579E">
              <w:rPr>
                <w:bCs/>
                <w:sz w:val="28"/>
                <w:lang w:eastAsia="en-US"/>
              </w:rPr>
              <w:t>коронавирусной</w:t>
            </w:r>
            <w:proofErr w:type="spellEnd"/>
            <w:r w:rsidRPr="0000579E">
              <w:rPr>
                <w:bCs/>
                <w:sz w:val="28"/>
                <w:lang w:eastAsia="en-US"/>
              </w:rPr>
              <w:t xml:space="preserve"> инфекции COVID-19 в организациях образования, в период пандемии».</w:t>
            </w:r>
          </w:p>
          <w:p w:rsidR="00DC124B" w:rsidRDefault="00913303" w:rsidP="00913303">
            <w:pPr>
              <w:ind w:firstLine="459"/>
              <w:jc w:val="both"/>
              <w:rPr>
                <w:sz w:val="28"/>
                <w:szCs w:val="28"/>
              </w:rPr>
            </w:pPr>
            <w:r>
              <w:rPr>
                <w:bCs/>
                <w:sz w:val="28"/>
              </w:rPr>
              <w:t xml:space="preserve">В 2020 году в рамках мониторинга </w:t>
            </w:r>
            <w:proofErr w:type="gramStart"/>
            <w:r>
              <w:rPr>
                <w:bCs/>
                <w:sz w:val="28"/>
              </w:rPr>
              <w:t>учебных достижений</w:t>
            </w:r>
            <w:proofErr w:type="gramEnd"/>
            <w:r>
              <w:rPr>
                <w:bCs/>
                <w:sz w:val="28"/>
              </w:rPr>
              <w:t xml:space="preserve"> учащихся 4-х и 9-х классов предложен новый формат </w:t>
            </w:r>
            <w:r w:rsidRPr="00C93737">
              <w:rPr>
                <w:sz w:val="28"/>
                <w:szCs w:val="28"/>
              </w:rPr>
              <w:t xml:space="preserve">внешнего оценивания </w:t>
            </w:r>
            <w:r w:rsidRPr="00C93737">
              <w:rPr>
                <w:sz w:val="28"/>
                <w:szCs w:val="28"/>
              </w:rPr>
              <w:lastRenderedPageBreak/>
              <w:t>учебных достижений</w:t>
            </w:r>
            <w:r>
              <w:rPr>
                <w:sz w:val="28"/>
                <w:szCs w:val="28"/>
              </w:rPr>
              <w:t xml:space="preserve">. Утвержденный </w:t>
            </w:r>
            <w:proofErr w:type="spellStart"/>
            <w:r>
              <w:rPr>
                <w:sz w:val="28"/>
                <w:szCs w:val="28"/>
              </w:rPr>
              <w:t>спефикации</w:t>
            </w:r>
            <w:proofErr w:type="spellEnd"/>
            <w:r>
              <w:rPr>
                <w:sz w:val="28"/>
                <w:szCs w:val="28"/>
              </w:rPr>
              <w:t xml:space="preserve"> теста по предметам, в соответствии обновленного содержания образования.</w:t>
            </w:r>
          </w:p>
          <w:p w:rsidR="00913303" w:rsidRPr="00913303" w:rsidRDefault="00913303" w:rsidP="00913303">
            <w:pPr>
              <w:ind w:firstLine="459"/>
              <w:jc w:val="both"/>
              <w:rPr>
                <w:bCs/>
                <w:sz w:val="28"/>
              </w:rPr>
            </w:pPr>
            <w:r>
              <w:rPr>
                <w:sz w:val="28"/>
                <w:szCs w:val="28"/>
              </w:rPr>
              <w:t>Было разработано 10 200 тестовых заданий, в том числе для 4 класса 1 500 тестовых заданий, для 9 класса – 8 700 тестовых заданий.</w:t>
            </w:r>
          </w:p>
        </w:tc>
      </w:tr>
      <w:tr w:rsidR="00EA027F" w:rsidRPr="0000579E" w:rsidTr="004C5E88">
        <w:trPr>
          <w:trHeight w:val="322"/>
        </w:trPr>
        <w:tc>
          <w:tcPr>
            <w:tcW w:w="5529" w:type="dxa"/>
            <w:shd w:val="clear" w:color="auto" w:fill="auto"/>
          </w:tcPr>
          <w:p w:rsidR="00CF244E" w:rsidRPr="0000579E" w:rsidRDefault="00CF244E" w:rsidP="00CF244E">
            <w:pPr>
              <w:pStyle w:val="1"/>
              <w:jc w:val="both"/>
              <w:rPr>
                <w:rFonts w:ascii="Times New Roman" w:hAnsi="Times New Roman"/>
                <w:b/>
                <w:sz w:val="28"/>
                <w:szCs w:val="24"/>
              </w:rPr>
            </w:pPr>
            <w:r w:rsidRPr="0000579E">
              <w:rPr>
                <w:rFonts w:ascii="Times New Roman" w:hAnsi="Times New Roman"/>
                <w:b/>
                <w:sz w:val="28"/>
                <w:szCs w:val="24"/>
              </w:rPr>
              <w:lastRenderedPageBreak/>
              <w:t>Показатель:</w:t>
            </w:r>
          </w:p>
          <w:p w:rsidR="00EA027F" w:rsidRPr="0000579E" w:rsidRDefault="00EA027F" w:rsidP="00EA027F">
            <w:pPr>
              <w:rPr>
                <w:bCs/>
                <w:sz w:val="28"/>
                <w:lang w:eastAsia="en-US"/>
              </w:rPr>
            </w:pPr>
            <w:r w:rsidRPr="0000579E">
              <w:rPr>
                <w:bCs/>
                <w:sz w:val="28"/>
                <w:lang w:eastAsia="en-US"/>
              </w:rPr>
              <w:t>Доля школ с трехсменным обучением от общего количества дневных государственных школ</w:t>
            </w:r>
          </w:p>
          <w:p w:rsidR="00CF244E" w:rsidRPr="0000579E" w:rsidRDefault="00EA027F" w:rsidP="00EA027F">
            <w:pPr>
              <w:pStyle w:val="1"/>
              <w:jc w:val="both"/>
              <w:rPr>
                <w:rFonts w:ascii="Times New Roman" w:hAnsi="Times New Roman"/>
                <w:b/>
                <w:sz w:val="28"/>
                <w:szCs w:val="24"/>
              </w:rPr>
            </w:pPr>
            <w:r w:rsidRPr="0000579E">
              <w:rPr>
                <w:rFonts w:ascii="Times New Roman" w:hAnsi="Times New Roman"/>
                <w:sz w:val="28"/>
                <w:szCs w:val="24"/>
              </w:rPr>
              <w:t xml:space="preserve"> </w:t>
            </w:r>
            <w:r w:rsidR="00CF244E" w:rsidRPr="0000579E">
              <w:rPr>
                <w:rFonts w:ascii="Times New Roman" w:hAnsi="Times New Roman"/>
                <w:sz w:val="28"/>
                <w:szCs w:val="24"/>
              </w:rPr>
              <w:t xml:space="preserve">(план– </w:t>
            </w:r>
            <w:r w:rsidR="00CF244E" w:rsidRPr="0000579E">
              <w:rPr>
                <w:rFonts w:ascii="Times New Roman" w:hAnsi="Times New Roman"/>
                <w:sz w:val="28"/>
                <w:szCs w:val="24"/>
                <w:lang w:val="kk-KZ"/>
              </w:rPr>
              <w:t>1</w:t>
            </w:r>
            <w:r w:rsidR="00030037" w:rsidRPr="0000579E">
              <w:rPr>
                <w:rFonts w:ascii="Times New Roman" w:hAnsi="Times New Roman"/>
                <w:sz w:val="28"/>
                <w:szCs w:val="24"/>
              </w:rPr>
              <w:t>,5%, факт – 1,9</w:t>
            </w:r>
            <w:r w:rsidR="00CF244E" w:rsidRPr="0000579E">
              <w:rPr>
                <w:rFonts w:ascii="Times New Roman" w:hAnsi="Times New Roman"/>
                <w:sz w:val="28"/>
                <w:szCs w:val="24"/>
              </w:rPr>
              <w:t>%)</w:t>
            </w:r>
          </w:p>
        </w:tc>
        <w:tc>
          <w:tcPr>
            <w:tcW w:w="1446" w:type="dxa"/>
            <w:shd w:val="clear" w:color="auto" w:fill="auto"/>
          </w:tcPr>
          <w:p w:rsidR="00EA027F" w:rsidRPr="0000579E" w:rsidRDefault="00EA027F" w:rsidP="00EA027F">
            <w:pPr>
              <w:pStyle w:val="1"/>
              <w:jc w:val="both"/>
              <w:rPr>
                <w:rFonts w:ascii="Times New Roman" w:hAnsi="Times New Roman"/>
                <w:sz w:val="28"/>
                <w:szCs w:val="24"/>
              </w:rPr>
            </w:pPr>
            <w:r w:rsidRPr="0000579E">
              <w:rPr>
                <w:rFonts w:ascii="Times New Roman" w:hAnsi="Times New Roman"/>
                <w:sz w:val="28"/>
                <w:szCs w:val="24"/>
              </w:rPr>
              <w:t>МИО</w:t>
            </w:r>
          </w:p>
          <w:p w:rsidR="00CF244E" w:rsidRPr="0000579E" w:rsidRDefault="00CF244E" w:rsidP="00CF244E">
            <w:pPr>
              <w:pStyle w:val="1"/>
              <w:jc w:val="both"/>
              <w:rPr>
                <w:rFonts w:ascii="Times New Roman" w:hAnsi="Times New Roman"/>
                <w:sz w:val="28"/>
                <w:szCs w:val="24"/>
              </w:rPr>
            </w:pPr>
          </w:p>
        </w:tc>
        <w:tc>
          <w:tcPr>
            <w:tcW w:w="8647" w:type="dxa"/>
            <w:shd w:val="clear" w:color="auto" w:fill="auto"/>
          </w:tcPr>
          <w:p w:rsidR="0000579E" w:rsidRPr="0000579E" w:rsidRDefault="0000579E" w:rsidP="0000579E">
            <w:pPr>
              <w:ind w:firstLine="459"/>
              <w:jc w:val="both"/>
              <w:rPr>
                <w:b/>
                <w:bCs/>
                <w:sz w:val="28"/>
                <w:lang w:eastAsia="en-US"/>
              </w:rPr>
            </w:pPr>
            <w:r>
              <w:rPr>
                <w:b/>
                <w:bCs/>
                <w:sz w:val="28"/>
                <w:lang w:eastAsia="en-US"/>
              </w:rPr>
              <w:t>Ч</w:t>
            </w:r>
            <w:r w:rsidRPr="0000579E">
              <w:rPr>
                <w:b/>
                <w:bCs/>
                <w:sz w:val="28"/>
                <w:lang w:eastAsia="en-US"/>
              </w:rPr>
              <w:t>астично исполнен</w:t>
            </w:r>
          </w:p>
          <w:p w:rsidR="00EA027F" w:rsidRPr="0000579E" w:rsidRDefault="00EA027F" w:rsidP="00EA027F">
            <w:pPr>
              <w:ind w:firstLine="459"/>
              <w:jc w:val="both"/>
              <w:rPr>
                <w:bCs/>
                <w:sz w:val="28"/>
                <w:lang w:eastAsia="en-US"/>
              </w:rPr>
            </w:pPr>
            <w:r w:rsidRPr="0000579E">
              <w:rPr>
                <w:bCs/>
                <w:sz w:val="28"/>
                <w:lang w:eastAsia="en-US"/>
              </w:rPr>
              <w:t>На начало 2020-2021 учебного года в стране функционировали</w:t>
            </w:r>
            <w:r w:rsidR="0000579E">
              <w:rPr>
                <w:bCs/>
                <w:sz w:val="28"/>
                <w:lang w:eastAsia="en-US"/>
              </w:rPr>
              <w:t xml:space="preserve">                   </w:t>
            </w:r>
            <w:r w:rsidRPr="0000579E">
              <w:rPr>
                <w:bCs/>
                <w:sz w:val="28"/>
                <w:lang w:eastAsia="en-US"/>
              </w:rPr>
              <w:t xml:space="preserve"> 6 956 школ, из них 191 трехсменных школ. По итогам 2020 года количество трехсменных школ уменьшилось до 137:</w:t>
            </w:r>
          </w:p>
          <w:p w:rsidR="00EA027F" w:rsidRPr="0000579E" w:rsidRDefault="00EA027F" w:rsidP="00EA027F">
            <w:pPr>
              <w:ind w:firstLine="459"/>
              <w:jc w:val="both"/>
              <w:rPr>
                <w:bCs/>
                <w:sz w:val="28"/>
                <w:lang w:eastAsia="en-US"/>
              </w:rPr>
            </w:pPr>
            <w:r w:rsidRPr="0000579E">
              <w:rPr>
                <w:bCs/>
                <w:sz w:val="28"/>
                <w:lang w:eastAsia="en-US"/>
              </w:rPr>
              <w:t xml:space="preserve">– построены 43 новые школы (по одной школе в Павлодарской, Туркестанской областях; по две школы в </w:t>
            </w:r>
            <w:proofErr w:type="spellStart"/>
            <w:r w:rsidRPr="0000579E">
              <w:rPr>
                <w:bCs/>
                <w:sz w:val="28"/>
                <w:lang w:eastAsia="en-US"/>
              </w:rPr>
              <w:t>Жамбылской</w:t>
            </w:r>
            <w:proofErr w:type="spellEnd"/>
            <w:r w:rsidRPr="0000579E">
              <w:rPr>
                <w:bCs/>
                <w:sz w:val="28"/>
                <w:lang w:eastAsia="en-US"/>
              </w:rPr>
              <w:t xml:space="preserve"> и Карагандинской областях, по 3 школы в </w:t>
            </w:r>
            <w:proofErr w:type="spellStart"/>
            <w:r w:rsidRPr="0000579E">
              <w:rPr>
                <w:bCs/>
                <w:sz w:val="28"/>
                <w:lang w:eastAsia="en-US"/>
              </w:rPr>
              <w:t>Атырауской</w:t>
            </w:r>
            <w:proofErr w:type="spellEnd"/>
            <w:r w:rsidRPr="0000579E">
              <w:rPr>
                <w:bCs/>
                <w:sz w:val="28"/>
                <w:lang w:eastAsia="en-US"/>
              </w:rPr>
              <w:t xml:space="preserve"> области и </w:t>
            </w:r>
            <w:proofErr w:type="spellStart"/>
            <w:r w:rsidRPr="0000579E">
              <w:rPr>
                <w:bCs/>
                <w:sz w:val="28"/>
                <w:lang w:eastAsia="en-US"/>
              </w:rPr>
              <w:t>г.Нур</w:t>
            </w:r>
            <w:proofErr w:type="spellEnd"/>
            <w:r w:rsidRPr="0000579E">
              <w:rPr>
                <w:bCs/>
                <w:sz w:val="28"/>
                <w:lang w:eastAsia="en-US"/>
              </w:rPr>
              <w:t xml:space="preserve">-Султане; по 4 школы в </w:t>
            </w:r>
            <w:proofErr w:type="spellStart"/>
            <w:r w:rsidRPr="0000579E">
              <w:rPr>
                <w:bCs/>
                <w:sz w:val="28"/>
                <w:lang w:eastAsia="en-US"/>
              </w:rPr>
              <w:t>Алматинской</w:t>
            </w:r>
            <w:proofErr w:type="spellEnd"/>
            <w:r w:rsidRPr="0000579E">
              <w:rPr>
                <w:bCs/>
                <w:sz w:val="28"/>
                <w:lang w:eastAsia="en-US"/>
              </w:rPr>
              <w:t xml:space="preserve">, Актюбинской, Западно-Казахстанской областях </w:t>
            </w:r>
            <w:proofErr w:type="gramStart"/>
            <w:r w:rsidRPr="0000579E">
              <w:rPr>
                <w:bCs/>
                <w:sz w:val="28"/>
                <w:lang w:eastAsia="en-US"/>
              </w:rPr>
              <w:t>и  г.</w:t>
            </w:r>
            <w:proofErr w:type="gramEnd"/>
            <w:r w:rsidRPr="0000579E">
              <w:rPr>
                <w:bCs/>
                <w:sz w:val="28"/>
                <w:lang w:eastAsia="en-US"/>
              </w:rPr>
              <w:t xml:space="preserve"> Шымкенте;  по 5 школ в </w:t>
            </w:r>
            <w:proofErr w:type="spellStart"/>
            <w:r w:rsidRPr="0000579E">
              <w:rPr>
                <w:bCs/>
                <w:sz w:val="28"/>
                <w:lang w:eastAsia="en-US"/>
              </w:rPr>
              <w:t>Акмолинской</w:t>
            </w:r>
            <w:proofErr w:type="spellEnd"/>
            <w:r w:rsidRPr="0000579E">
              <w:rPr>
                <w:bCs/>
                <w:sz w:val="28"/>
                <w:lang w:eastAsia="en-US"/>
              </w:rPr>
              <w:t xml:space="preserve">, </w:t>
            </w:r>
            <w:proofErr w:type="spellStart"/>
            <w:r w:rsidRPr="0000579E">
              <w:rPr>
                <w:bCs/>
                <w:sz w:val="28"/>
                <w:lang w:eastAsia="en-US"/>
              </w:rPr>
              <w:t>Мангистауской</w:t>
            </w:r>
            <w:proofErr w:type="spellEnd"/>
            <w:r w:rsidRPr="0000579E">
              <w:rPr>
                <w:bCs/>
                <w:sz w:val="28"/>
                <w:lang w:eastAsia="en-US"/>
              </w:rPr>
              <w:t>, Северо-Казахстанской областях);</w:t>
            </w:r>
          </w:p>
          <w:p w:rsidR="00EA027F" w:rsidRPr="0000579E" w:rsidRDefault="00EA027F" w:rsidP="00EA027F">
            <w:pPr>
              <w:ind w:firstLine="459"/>
              <w:jc w:val="both"/>
              <w:rPr>
                <w:bCs/>
                <w:sz w:val="28"/>
                <w:lang w:eastAsia="en-US"/>
              </w:rPr>
            </w:pPr>
            <w:r w:rsidRPr="0000579E">
              <w:rPr>
                <w:bCs/>
                <w:sz w:val="28"/>
                <w:lang w:eastAsia="en-US"/>
              </w:rPr>
              <w:t xml:space="preserve">– проблемы 11 школ решены за счет сокращения контингента и перераспределения, учащихся в близлежащие школы (по одной школе в </w:t>
            </w:r>
            <w:proofErr w:type="spellStart"/>
            <w:r w:rsidRPr="0000579E">
              <w:rPr>
                <w:bCs/>
                <w:sz w:val="28"/>
                <w:lang w:eastAsia="en-US"/>
              </w:rPr>
              <w:t>ЗападноКазахстанской</w:t>
            </w:r>
            <w:proofErr w:type="spellEnd"/>
            <w:r w:rsidRPr="0000579E">
              <w:rPr>
                <w:bCs/>
                <w:sz w:val="28"/>
                <w:lang w:eastAsia="en-US"/>
              </w:rPr>
              <w:t xml:space="preserve"> и Северо-Казахстанской областях; две школы в г. </w:t>
            </w:r>
            <w:proofErr w:type="spellStart"/>
            <w:r w:rsidRPr="0000579E">
              <w:rPr>
                <w:bCs/>
                <w:sz w:val="28"/>
                <w:lang w:eastAsia="en-US"/>
              </w:rPr>
              <w:t>Нур</w:t>
            </w:r>
            <w:proofErr w:type="spellEnd"/>
            <w:r w:rsidRPr="0000579E">
              <w:rPr>
                <w:bCs/>
                <w:sz w:val="28"/>
                <w:lang w:eastAsia="en-US"/>
              </w:rPr>
              <w:t xml:space="preserve">-Султане; 7 школ в </w:t>
            </w:r>
            <w:proofErr w:type="spellStart"/>
            <w:r w:rsidRPr="0000579E">
              <w:rPr>
                <w:bCs/>
                <w:sz w:val="28"/>
                <w:lang w:eastAsia="en-US"/>
              </w:rPr>
              <w:t>Алматинской</w:t>
            </w:r>
            <w:proofErr w:type="spellEnd"/>
            <w:r w:rsidRPr="0000579E">
              <w:rPr>
                <w:bCs/>
                <w:sz w:val="28"/>
                <w:lang w:eastAsia="en-US"/>
              </w:rPr>
              <w:t xml:space="preserve"> области).</w:t>
            </w:r>
          </w:p>
          <w:p w:rsidR="00CF244E" w:rsidRPr="0000579E" w:rsidRDefault="00EA027F" w:rsidP="0000579E">
            <w:pPr>
              <w:pStyle w:val="1"/>
              <w:ind w:firstLine="459"/>
              <w:jc w:val="both"/>
              <w:rPr>
                <w:rFonts w:ascii="Times New Roman" w:hAnsi="Times New Roman"/>
                <w:sz w:val="28"/>
                <w:szCs w:val="24"/>
                <w:lang w:val="kk-KZ"/>
              </w:rPr>
            </w:pPr>
            <w:r w:rsidRPr="0000579E">
              <w:rPr>
                <w:rFonts w:ascii="Times New Roman" w:hAnsi="Times New Roman"/>
                <w:bCs/>
                <w:sz w:val="28"/>
                <w:szCs w:val="24"/>
              </w:rPr>
              <w:t xml:space="preserve">Несмотря на хороший темп решения проблемы трехсменных школ, их доля в 2020 году составила 1,9%. Увеличение доли трехсменных школ на 0,4% связано с вновь выявленными 68 трехсменными школами в 2020 году (одна школа в </w:t>
            </w:r>
            <w:proofErr w:type="spellStart"/>
            <w:r w:rsidRPr="0000579E">
              <w:rPr>
                <w:rFonts w:ascii="Times New Roman" w:hAnsi="Times New Roman"/>
                <w:bCs/>
                <w:sz w:val="28"/>
                <w:szCs w:val="24"/>
              </w:rPr>
              <w:t>Атырауской</w:t>
            </w:r>
            <w:proofErr w:type="spellEnd"/>
            <w:r w:rsidRPr="0000579E">
              <w:rPr>
                <w:rFonts w:ascii="Times New Roman" w:hAnsi="Times New Roman"/>
                <w:bCs/>
                <w:sz w:val="28"/>
                <w:szCs w:val="24"/>
              </w:rPr>
              <w:t xml:space="preserve"> области, по две в </w:t>
            </w:r>
            <w:proofErr w:type="spellStart"/>
            <w:r w:rsidRPr="0000579E">
              <w:rPr>
                <w:rFonts w:ascii="Times New Roman" w:hAnsi="Times New Roman"/>
                <w:bCs/>
                <w:sz w:val="28"/>
                <w:szCs w:val="24"/>
              </w:rPr>
              <w:t>Акмолинской</w:t>
            </w:r>
            <w:proofErr w:type="spellEnd"/>
            <w:r w:rsidRPr="0000579E">
              <w:rPr>
                <w:rFonts w:ascii="Times New Roman" w:hAnsi="Times New Roman"/>
                <w:bCs/>
                <w:sz w:val="28"/>
                <w:szCs w:val="24"/>
              </w:rPr>
              <w:t xml:space="preserve"> и </w:t>
            </w:r>
            <w:proofErr w:type="gramStart"/>
            <w:r w:rsidRPr="0000579E">
              <w:rPr>
                <w:rFonts w:ascii="Times New Roman" w:hAnsi="Times New Roman"/>
                <w:bCs/>
                <w:sz w:val="28"/>
                <w:szCs w:val="24"/>
              </w:rPr>
              <w:t>Западно-Казахстанской</w:t>
            </w:r>
            <w:proofErr w:type="gramEnd"/>
            <w:r w:rsidRPr="0000579E">
              <w:rPr>
                <w:rFonts w:ascii="Times New Roman" w:hAnsi="Times New Roman"/>
                <w:bCs/>
                <w:sz w:val="28"/>
                <w:szCs w:val="24"/>
              </w:rPr>
              <w:t xml:space="preserve"> областях, 3 школы в Туркестанской области, 5 школ в Северо-Казахстанской области, 7 школ в </w:t>
            </w:r>
            <w:proofErr w:type="spellStart"/>
            <w:r w:rsidRPr="0000579E">
              <w:rPr>
                <w:rFonts w:ascii="Times New Roman" w:hAnsi="Times New Roman"/>
                <w:bCs/>
                <w:sz w:val="28"/>
                <w:szCs w:val="24"/>
              </w:rPr>
              <w:t>Кызылординской</w:t>
            </w:r>
            <w:proofErr w:type="spellEnd"/>
            <w:r w:rsidRPr="0000579E">
              <w:rPr>
                <w:rFonts w:ascii="Times New Roman" w:hAnsi="Times New Roman"/>
                <w:bCs/>
                <w:sz w:val="28"/>
                <w:szCs w:val="24"/>
              </w:rPr>
              <w:t xml:space="preserve"> области, 8 школ в </w:t>
            </w:r>
            <w:proofErr w:type="spellStart"/>
            <w:r w:rsidRPr="0000579E">
              <w:rPr>
                <w:rFonts w:ascii="Times New Roman" w:hAnsi="Times New Roman"/>
                <w:bCs/>
                <w:sz w:val="28"/>
                <w:szCs w:val="24"/>
              </w:rPr>
              <w:t>Мангыстауской</w:t>
            </w:r>
            <w:proofErr w:type="spellEnd"/>
            <w:r w:rsidRPr="0000579E">
              <w:rPr>
                <w:rFonts w:ascii="Times New Roman" w:hAnsi="Times New Roman"/>
                <w:bCs/>
                <w:sz w:val="28"/>
                <w:szCs w:val="24"/>
              </w:rPr>
              <w:t xml:space="preserve"> области, 9 школ в </w:t>
            </w:r>
            <w:proofErr w:type="spellStart"/>
            <w:r w:rsidRPr="0000579E">
              <w:rPr>
                <w:rFonts w:ascii="Times New Roman" w:hAnsi="Times New Roman"/>
                <w:bCs/>
                <w:sz w:val="28"/>
                <w:szCs w:val="24"/>
              </w:rPr>
              <w:t>Жамбылской</w:t>
            </w:r>
            <w:proofErr w:type="spellEnd"/>
            <w:r w:rsidRPr="0000579E">
              <w:rPr>
                <w:rFonts w:ascii="Times New Roman" w:hAnsi="Times New Roman"/>
                <w:bCs/>
                <w:sz w:val="28"/>
                <w:szCs w:val="24"/>
              </w:rPr>
              <w:t xml:space="preserve"> области, 11 школ в Павлодарской области и 20 школ в </w:t>
            </w:r>
            <w:proofErr w:type="spellStart"/>
            <w:r w:rsidRPr="0000579E">
              <w:rPr>
                <w:rFonts w:ascii="Times New Roman" w:hAnsi="Times New Roman"/>
                <w:bCs/>
                <w:sz w:val="28"/>
                <w:szCs w:val="24"/>
              </w:rPr>
              <w:t>Алматинской</w:t>
            </w:r>
            <w:proofErr w:type="spellEnd"/>
            <w:r w:rsidRPr="0000579E">
              <w:rPr>
                <w:rFonts w:ascii="Times New Roman" w:hAnsi="Times New Roman"/>
                <w:bCs/>
                <w:sz w:val="28"/>
                <w:szCs w:val="24"/>
              </w:rPr>
              <w:t xml:space="preserve"> области).</w:t>
            </w:r>
          </w:p>
        </w:tc>
      </w:tr>
      <w:tr w:rsidR="008A250F" w:rsidRPr="0000579E" w:rsidTr="008A250F">
        <w:trPr>
          <w:trHeight w:val="322"/>
        </w:trPr>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8A250F" w:rsidRPr="0000579E" w:rsidRDefault="008A250F" w:rsidP="00694ABC">
            <w:pPr>
              <w:pStyle w:val="1"/>
              <w:jc w:val="both"/>
              <w:rPr>
                <w:rFonts w:ascii="Times New Roman" w:hAnsi="Times New Roman"/>
                <w:b/>
                <w:sz w:val="28"/>
                <w:szCs w:val="24"/>
              </w:rPr>
            </w:pPr>
            <w:bookmarkStart w:id="0" w:name="_GoBack"/>
            <w:bookmarkEnd w:id="0"/>
            <w:r w:rsidRPr="0000579E">
              <w:rPr>
                <w:rFonts w:ascii="Times New Roman" w:hAnsi="Times New Roman"/>
                <w:b/>
                <w:sz w:val="28"/>
                <w:szCs w:val="24"/>
              </w:rPr>
              <w:t>Показатель:</w:t>
            </w:r>
          </w:p>
          <w:p w:rsidR="008A250F" w:rsidRPr="0000579E" w:rsidRDefault="008A250F" w:rsidP="008A250F">
            <w:pPr>
              <w:pStyle w:val="1"/>
              <w:jc w:val="both"/>
              <w:rPr>
                <w:rFonts w:ascii="Times New Roman" w:hAnsi="Times New Roman"/>
                <w:sz w:val="28"/>
                <w:szCs w:val="24"/>
              </w:rPr>
            </w:pPr>
            <w:r w:rsidRPr="0000579E">
              <w:rPr>
                <w:rFonts w:ascii="Times New Roman" w:hAnsi="Times New Roman"/>
                <w:sz w:val="28"/>
                <w:szCs w:val="24"/>
              </w:rPr>
              <w:t>Доля расходов на образование и науку от ВВП (2019 - 3,8%)</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8A250F" w:rsidRPr="0000579E" w:rsidRDefault="008A250F" w:rsidP="00694ABC">
            <w:pPr>
              <w:pStyle w:val="1"/>
              <w:jc w:val="both"/>
              <w:rPr>
                <w:rFonts w:ascii="Times New Roman" w:hAnsi="Times New Roman"/>
                <w:sz w:val="28"/>
                <w:szCs w:val="24"/>
              </w:rPr>
            </w:pPr>
            <w:r w:rsidRPr="0000579E">
              <w:rPr>
                <w:rFonts w:ascii="Times New Roman" w:hAnsi="Times New Roman"/>
                <w:sz w:val="28"/>
                <w:szCs w:val="24"/>
              </w:rPr>
              <w:t>МФ, МОН</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00579E" w:rsidRPr="0000579E" w:rsidRDefault="0000579E" w:rsidP="0000579E">
            <w:pPr>
              <w:ind w:firstLine="459"/>
              <w:jc w:val="both"/>
              <w:rPr>
                <w:b/>
                <w:bCs/>
                <w:sz w:val="28"/>
                <w:lang w:eastAsia="en-US"/>
              </w:rPr>
            </w:pPr>
            <w:r>
              <w:rPr>
                <w:b/>
                <w:bCs/>
                <w:sz w:val="28"/>
                <w:lang w:eastAsia="en-US"/>
              </w:rPr>
              <w:t>Не</w:t>
            </w:r>
            <w:r w:rsidRPr="0000579E">
              <w:rPr>
                <w:b/>
                <w:bCs/>
                <w:sz w:val="28"/>
                <w:lang w:eastAsia="en-US"/>
              </w:rPr>
              <w:t xml:space="preserve"> исполнен</w:t>
            </w:r>
          </w:p>
          <w:p w:rsidR="00030037" w:rsidRPr="0000579E" w:rsidRDefault="00030037" w:rsidP="00030037">
            <w:pPr>
              <w:pStyle w:val="1"/>
              <w:ind w:firstLine="317"/>
              <w:jc w:val="both"/>
              <w:rPr>
                <w:rFonts w:ascii="Times New Roman" w:hAnsi="Times New Roman"/>
                <w:bCs/>
                <w:sz w:val="28"/>
                <w:szCs w:val="24"/>
              </w:rPr>
            </w:pPr>
            <w:r w:rsidRPr="0000579E">
              <w:rPr>
                <w:rFonts w:ascii="Times New Roman" w:hAnsi="Times New Roman"/>
                <w:bCs/>
                <w:sz w:val="28"/>
                <w:szCs w:val="24"/>
              </w:rPr>
              <w:lastRenderedPageBreak/>
              <w:t>По итогам 2020 года ВВП составило 70 804,0 млрд тенге, из них расходы на образование и науку от ВВП составляет 3 456,3 млрд тенге (4,88%).</w:t>
            </w:r>
          </w:p>
          <w:p w:rsidR="008A250F" w:rsidRDefault="00030037" w:rsidP="00030037">
            <w:pPr>
              <w:pStyle w:val="1"/>
              <w:ind w:firstLine="317"/>
              <w:jc w:val="both"/>
              <w:rPr>
                <w:rFonts w:ascii="Times New Roman" w:hAnsi="Times New Roman"/>
                <w:bCs/>
                <w:sz w:val="28"/>
                <w:szCs w:val="24"/>
              </w:rPr>
            </w:pPr>
            <w:r w:rsidRPr="0000579E">
              <w:rPr>
                <w:rFonts w:ascii="Times New Roman" w:hAnsi="Times New Roman"/>
                <w:bCs/>
                <w:sz w:val="28"/>
                <w:szCs w:val="24"/>
              </w:rPr>
              <w:t>Не исполнение индикатора связано с тем, что в бюджете 2020 года Министерство финансов не поддержало дополнительные расходы на образование и науку ранее одобренные при утверждении ГПРОН на 2020-2025 годы.</w:t>
            </w:r>
          </w:p>
          <w:p w:rsidR="00DC124B" w:rsidRPr="00D26C33" w:rsidRDefault="00B55D63" w:rsidP="00030037">
            <w:pPr>
              <w:pStyle w:val="1"/>
              <w:ind w:firstLine="317"/>
              <w:jc w:val="both"/>
              <w:rPr>
                <w:rFonts w:ascii="Times New Roman" w:hAnsi="Times New Roman"/>
                <w:bCs/>
                <w:sz w:val="28"/>
                <w:szCs w:val="24"/>
              </w:rPr>
            </w:pPr>
            <w:r>
              <w:rPr>
                <w:rFonts w:ascii="Times New Roman" w:hAnsi="Times New Roman"/>
                <w:bCs/>
                <w:sz w:val="28"/>
                <w:szCs w:val="24"/>
              </w:rPr>
              <w:t xml:space="preserve">МОН РК были заявлены подержанные расходы по ГПРОН </w:t>
            </w:r>
            <w:r w:rsidRPr="0000579E">
              <w:rPr>
                <w:rFonts w:ascii="Times New Roman" w:hAnsi="Times New Roman"/>
                <w:bCs/>
                <w:sz w:val="28"/>
                <w:szCs w:val="24"/>
              </w:rPr>
              <w:t>на 2020-2025 годы</w:t>
            </w:r>
            <w:r>
              <w:rPr>
                <w:rFonts w:ascii="Times New Roman" w:hAnsi="Times New Roman"/>
                <w:bCs/>
                <w:sz w:val="28"/>
                <w:szCs w:val="24"/>
              </w:rPr>
              <w:t xml:space="preserve"> при формировании Республиканского бюджета (РБ) на 2020-2022 годы в МФ РК. Однако расходы не нашли отражение в РБ на 2020-2022 годы.</w:t>
            </w:r>
          </w:p>
        </w:tc>
      </w:tr>
    </w:tbl>
    <w:p w:rsidR="00DB7B26" w:rsidRPr="0000579E" w:rsidRDefault="00DB7B26" w:rsidP="00DB7B26">
      <w:pPr>
        <w:pStyle w:val="1"/>
        <w:jc w:val="both"/>
        <w:rPr>
          <w:rFonts w:ascii="Times New Roman" w:hAnsi="Times New Roman"/>
          <w:bCs/>
          <w:sz w:val="28"/>
          <w:szCs w:val="24"/>
        </w:rPr>
      </w:pPr>
    </w:p>
    <w:p w:rsidR="00DB7B26" w:rsidRPr="0000579E" w:rsidRDefault="00DB7B26" w:rsidP="00DB7B26">
      <w:pPr>
        <w:pStyle w:val="1"/>
        <w:jc w:val="both"/>
        <w:rPr>
          <w:rFonts w:ascii="Times New Roman" w:hAnsi="Times New Roman"/>
          <w:bCs/>
          <w:sz w:val="28"/>
          <w:szCs w:val="24"/>
        </w:rPr>
        <w:sectPr w:rsidR="00DB7B26" w:rsidRPr="0000579E" w:rsidSect="00500277">
          <w:pgSz w:w="16838" w:h="11906" w:orient="landscape"/>
          <w:pgMar w:top="1135" w:right="1134" w:bottom="850" w:left="1134" w:header="708" w:footer="708" w:gutter="0"/>
          <w:pgNumType w:start="1"/>
          <w:cols w:space="708"/>
          <w:docGrid w:linePitch="360"/>
        </w:sectPr>
      </w:pPr>
    </w:p>
    <w:p w:rsidR="00DB7B26" w:rsidRPr="0000579E" w:rsidRDefault="00DB7B26" w:rsidP="00DB7B26">
      <w:pPr>
        <w:jc w:val="right"/>
        <w:rPr>
          <w:i/>
          <w:sz w:val="28"/>
        </w:rPr>
      </w:pPr>
      <w:r w:rsidRPr="0000579E">
        <w:rPr>
          <w:i/>
          <w:sz w:val="28"/>
        </w:rPr>
        <w:lastRenderedPageBreak/>
        <w:t>Приложение 3</w:t>
      </w:r>
    </w:p>
    <w:p w:rsidR="00DB7B26" w:rsidRPr="0000579E" w:rsidRDefault="00DB7B26" w:rsidP="00DB7B26">
      <w:pPr>
        <w:jc w:val="right"/>
        <w:rPr>
          <w:i/>
          <w:sz w:val="28"/>
        </w:rPr>
      </w:pPr>
    </w:p>
    <w:p w:rsidR="003D5235" w:rsidRPr="0000579E" w:rsidRDefault="003D5235" w:rsidP="003D5235">
      <w:pPr>
        <w:widowControl w:val="0"/>
        <w:jc w:val="center"/>
        <w:rPr>
          <w:b/>
          <w:sz w:val="28"/>
        </w:rPr>
      </w:pPr>
      <w:r w:rsidRPr="0000579E">
        <w:rPr>
          <w:b/>
          <w:sz w:val="28"/>
        </w:rPr>
        <w:t>3. Анализ внешнего воздействия</w:t>
      </w:r>
    </w:p>
    <w:p w:rsidR="003D5235" w:rsidRPr="0000579E" w:rsidRDefault="003D5235" w:rsidP="00DB7B26">
      <w:pPr>
        <w:jc w:val="right"/>
        <w:rPr>
          <w:i/>
          <w:sz w:val="28"/>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1057"/>
      </w:tblGrid>
      <w:tr w:rsidR="00EA027F" w:rsidRPr="0000579E" w:rsidTr="009F16DD">
        <w:trPr>
          <w:trHeight w:val="322"/>
        </w:trPr>
        <w:tc>
          <w:tcPr>
            <w:tcW w:w="4111" w:type="dxa"/>
            <w:vMerge w:val="restart"/>
            <w:shd w:val="clear" w:color="auto" w:fill="auto"/>
          </w:tcPr>
          <w:p w:rsidR="00DB7B26" w:rsidRPr="0000579E" w:rsidRDefault="00DB7B26" w:rsidP="009F16DD">
            <w:pPr>
              <w:widowControl w:val="0"/>
              <w:jc w:val="center"/>
              <w:rPr>
                <w:b/>
                <w:sz w:val="28"/>
              </w:rPr>
            </w:pPr>
            <w:r w:rsidRPr="0000579E">
              <w:rPr>
                <w:b/>
                <w:sz w:val="28"/>
              </w:rPr>
              <w:t>Факторы внешнего воздействия и их влияние на достижение целевых индикаторов/показателей результата</w:t>
            </w:r>
          </w:p>
        </w:tc>
        <w:tc>
          <w:tcPr>
            <w:tcW w:w="11057" w:type="dxa"/>
            <w:vMerge w:val="restart"/>
            <w:shd w:val="clear" w:color="auto" w:fill="auto"/>
          </w:tcPr>
          <w:p w:rsidR="00DB7B26" w:rsidRPr="0000579E" w:rsidRDefault="00DB7B26" w:rsidP="009F16DD">
            <w:pPr>
              <w:widowControl w:val="0"/>
              <w:jc w:val="center"/>
              <w:rPr>
                <w:b/>
                <w:sz w:val="28"/>
              </w:rPr>
            </w:pPr>
            <w:r w:rsidRPr="0000579E">
              <w:rPr>
                <w:b/>
                <w:sz w:val="28"/>
              </w:rPr>
              <w:t>Принятые меры</w:t>
            </w:r>
          </w:p>
        </w:tc>
      </w:tr>
      <w:tr w:rsidR="00EA027F" w:rsidRPr="0000579E" w:rsidTr="009F16DD">
        <w:trPr>
          <w:trHeight w:val="322"/>
        </w:trPr>
        <w:tc>
          <w:tcPr>
            <w:tcW w:w="4111" w:type="dxa"/>
            <w:vMerge/>
            <w:shd w:val="clear" w:color="auto" w:fill="auto"/>
          </w:tcPr>
          <w:p w:rsidR="00DB7B26" w:rsidRPr="0000579E" w:rsidRDefault="00DB7B26" w:rsidP="009F16DD">
            <w:pPr>
              <w:widowControl w:val="0"/>
              <w:jc w:val="both"/>
              <w:rPr>
                <w:sz w:val="28"/>
              </w:rPr>
            </w:pPr>
          </w:p>
        </w:tc>
        <w:tc>
          <w:tcPr>
            <w:tcW w:w="11057" w:type="dxa"/>
            <w:vMerge/>
            <w:shd w:val="clear" w:color="auto" w:fill="auto"/>
          </w:tcPr>
          <w:p w:rsidR="00DB7B26" w:rsidRPr="0000579E" w:rsidRDefault="00DB7B26" w:rsidP="009F16DD">
            <w:pPr>
              <w:widowControl w:val="0"/>
              <w:jc w:val="both"/>
              <w:rPr>
                <w:sz w:val="28"/>
              </w:rPr>
            </w:pPr>
          </w:p>
        </w:tc>
      </w:tr>
      <w:tr w:rsidR="00EA027F" w:rsidRPr="0000579E" w:rsidTr="009F16DD">
        <w:trPr>
          <w:trHeight w:val="322"/>
        </w:trPr>
        <w:tc>
          <w:tcPr>
            <w:tcW w:w="4111" w:type="dxa"/>
            <w:shd w:val="clear" w:color="auto" w:fill="auto"/>
          </w:tcPr>
          <w:p w:rsidR="003D5235" w:rsidRPr="0000579E" w:rsidRDefault="003D5235" w:rsidP="003D5235">
            <w:pPr>
              <w:widowControl w:val="0"/>
              <w:jc w:val="center"/>
              <w:rPr>
                <w:sz w:val="28"/>
                <w:lang w:val="kk-KZ"/>
              </w:rPr>
            </w:pPr>
            <w:r w:rsidRPr="0000579E">
              <w:rPr>
                <w:sz w:val="28"/>
                <w:lang w:val="kk-KZ"/>
              </w:rPr>
              <w:t>1</w:t>
            </w:r>
          </w:p>
        </w:tc>
        <w:tc>
          <w:tcPr>
            <w:tcW w:w="11057" w:type="dxa"/>
            <w:shd w:val="clear" w:color="auto" w:fill="auto"/>
          </w:tcPr>
          <w:p w:rsidR="003D5235" w:rsidRPr="0000579E" w:rsidRDefault="003D5235" w:rsidP="003D5235">
            <w:pPr>
              <w:widowControl w:val="0"/>
              <w:jc w:val="center"/>
              <w:rPr>
                <w:sz w:val="28"/>
                <w:lang w:val="kk-KZ"/>
              </w:rPr>
            </w:pPr>
            <w:r w:rsidRPr="0000579E">
              <w:rPr>
                <w:sz w:val="28"/>
                <w:lang w:val="kk-KZ"/>
              </w:rPr>
              <w:t>2</w:t>
            </w:r>
          </w:p>
        </w:tc>
      </w:tr>
      <w:tr w:rsidR="00EA027F" w:rsidRPr="0000579E" w:rsidTr="009F16DD">
        <w:trPr>
          <w:trHeight w:val="2263"/>
        </w:trPr>
        <w:tc>
          <w:tcPr>
            <w:tcW w:w="4111" w:type="dxa"/>
            <w:shd w:val="clear" w:color="auto" w:fill="auto"/>
          </w:tcPr>
          <w:p w:rsidR="00DB7B26" w:rsidRPr="0000579E" w:rsidRDefault="00DB7B26" w:rsidP="009F16DD">
            <w:pPr>
              <w:pStyle w:val="a3"/>
              <w:widowControl w:val="0"/>
              <w:ind w:left="33" w:firstLine="426"/>
              <w:jc w:val="both"/>
              <w:rPr>
                <w:sz w:val="28"/>
              </w:rPr>
            </w:pPr>
            <w:r w:rsidRPr="0000579E">
              <w:rPr>
                <w:sz w:val="28"/>
              </w:rPr>
              <w:t>Демографический рост и миграционные процессы, что повлекут увеличение количества трехсменных школ и дефицита  ученических мест</w:t>
            </w:r>
          </w:p>
        </w:tc>
        <w:tc>
          <w:tcPr>
            <w:tcW w:w="11057" w:type="dxa"/>
            <w:shd w:val="clear" w:color="auto" w:fill="auto"/>
          </w:tcPr>
          <w:p w:rsidR="0000579E" w:rsidRPr="0000579E" w:rsidRDefault="0000579E" w:rsidP="0000579E">
            <w:pPr>
              <w:ind w:firstLine="459"/>
              <w:jc w:val="both"/>
              <w:rPr>
                <w:bCs/>
                <w:sz w:val="28"/>
                <w:lang w:eastAsia="en-US"/>
              </w:rPr>
            </w:pPr>
            <w:r w:rsidRPr="0000579E">
              <w:rPr>
                <w:bCs/>
                <w:sz w:val="28"/>
                <w:lang w:eastAsia="en-US"/>
              </w:rPr>
              <w:t xml:space="preserve">Демографический рост и миграционные процессы, является одним из причин увеличения количества трехсменных школ и дефицита ученических мест. </w:t>
            </w:r>
          </w:p>
          <w:p w:rsidR="0000579E" w:rsidRPr="0000579E" w:rsidRDefault="0000579E" w:rsidP="0000579E">
            <w:pPr>
              <w:ind w:firstLine="459"/>
              <w:jc w:val="both"/>
              <w:rPr>
                <w:bCs/>
                <w:sz w:val="28"/>
                <w:lang w:eastAsia="en-US"/>
              </w:rPr>
            </w:pPr>
            <w:r w:rsidRPr="0000579E">
              <w:rPr>
                <w:bCs/>
                <w:sz w:val="28"/>
                <w:lang w:eastAsia="en-US"/>
              </w:rPr>
              <w:t>На начало 2020-2021 учебного года в стране функционировали</w:t>
            </w:r>
            <w:r>
              <w:rPr>
                <w:bCs/>
                <w:sz w:val="28"/>
                <w:lang w:eastAsia="en-US"/>
              </w:rPr>
              <w:t xml:space="preserve"> </w:t>
            </w:r>
            <w:r w:rsidRPr="0000579E">
              <w:rPr>
                <w:bCs/>
                <w:sz w:val="28"/>
                <w:lang w:eastAsia="en-US"/>
              </w:rPr>
              <w:t>6 956 школ, из них 191 трехсменных школ. По итогам 2020 года количество трехсменных школ уменьшилось до 137:</w:t>
            </w:r>
          </w:p>
          <w:p w:rsidR="0000579E" w:rsidRPr="0000579E" w:rsidRDefault="0000579E" w:rsidP="0000579E">
            <w:pPr>
              <w:ind w:firstLine="459"/>
              <w:jc w:val="both"/>
              <w:rPr>
                <w:bCs/>
                <w:sz w:val="28"/>
                <w:lang w:eastAsia="en-US"/>
              </w:rPr>
            </w:pPr>
            <w:r w:rsidRPr="0000579E">
              <w:rPr>
                <w:bCs/>
                <w:sz w:val="28"/>
                <w:lang w:eastAsia="en-US"/>
              </w:rPr>
              <w:t xml:space="preserve">– построены 43 новые школы (по одной школе в Павлодарской, Туркестанской областях; по две школы в </w:t>
            </w:r>
            <w:proofErr w:type="spellStart"/>
            <w:r w:rsidRPr="0000579E">
              <w:rPr>
                <w:bCs/>
                <w:sz w:val="28"/>
                <w:lang w:eastAsia="en-US"/>
              </w:rPr>
              <w:t>Жамбылской</w:t>
            </w:r>
            <w:proofErr w:type="spellEnd"/>
            <w:r w:rsidRPr="0000579E">
              <w:rPr>
                <w:bCs/>
                <w:sz w:val="28"/>
                <w:lang w:eastAsia="en-US"/>
              </w:rPr>
              <w:t xml:space="preserve"> и Карагандинской областях, по 3 школы в </w:t>
            </w:r>
            <w:proofErr w:type="spellStart"/>
            <w:r w:rsidRPr="0000579E">
              <w:rPr>
                <w:bCs/>
                <w:sz w:val="28"/>
                <w:lang w:eastAsia="en-US"/>
              </w:rPr>
              <w:t>Атырауской</w:t>
            </w:r>
            <w:proofErr w:type="spellEnd"/>
            <w:r w:rsidRPr="0000579E">
              <w:rPr>
                <w:bCs/>
                <w:sz w:val="28"/>
                <w:lang w:eastAsia="en-US"/>
              </w:rPr>
              <w:t xml:space="preserve"> области и </w:t>
            </w:r>
            <w:proofErr w:type="spellStart"/>
            <w:r w:rsidRPr="0000579E">
              <w:rPr>
                <w:bCs/>
                <w:sz w:val="28"/>
                <w:lang w:eastAsia="en-US"/>
              </w:rPr>
              <w:t>г.Нур</w:t>
            </w:r>
            <w:proofErr w:type="spellEnd"/>
            <w:r w:rsidRPr="0000579E">
              <w:rPr>
                <w:bCs/>
                <w:sz w:val="28"/>
                <w:lang w:eastAsia="en-US"/>
              </w:rPr>
              <w:t xml:space="preserve">-Султане; по 4 школы в </w:t>
            </w:r>
            <w:proofErr w:type="spellStart"/>
            <w:r w:rsidRPr="0000579E">
              <w:rPr>
                <w:bCs/>
                <w:sz w:val="28"/>
                <w:lang w:eastAsia="en-US"/>
              </w:rPr>
              <w:t>Алматинской</w:t>
            </w:r>
            <w:proofErr w:type="spellEnd"/>
            <w:r w:rsidRPr="0000579E">
              <w:rPr>
                <w:bCs/>
                <w:sz w:val="28"/>
                <w:lang w:eastAsia="en-US"/>
              </w:rPr>
              <w:t xml:space="preserve">, Актюбинской, </w:t>
            </w:r>
            <w:proofErr w:type="gramStart"/>
            <w:r w:rsidRPr="0000579E">
              <w:rPr>
                <w:bCs/>
                <w:sz w:val="28"/>
                <w:lang w:eastAsia="en-US"/>
              </w:rPr>
              <w:t>Западно-Казахстанской</w:t>
            </w:r>
            <w:proofErr w:type="gramEnd"/>
            <w:r w:rsidRPr="0000579E">
              <w:rPr>
                <w:bCs/>
                <w:sz w:val="28"/>
                <w:lang w:eastAsia="en-US"/>
              </w:rPr>
              <w:t xml:space="preserve"> областях и г. Шымкенте; по 5 школ в </w:t>
            </w:r>
            <w:proofErr w:type="spellStart"/>
            <w:r w:rsidRPr="0000579E">
              <w:rPr>
                <w:bCs/>
                <w:sz w:val="28"/>
                <w:lang w:eastAsia="en-US"/>
              </w:rPr>
              <w:t>Акмолинской</w:t>
            </w:r>
            <w:proofErr w:type="spellEnd"/>
            <w:r w:rsidRPr="0000579E">
              <w:rPr>
                <w:bCs/>
                <w:sz w:val="28"/>
                <w:lang w:eastAsia="en-US"/>
              </w:rPr>
              <w:t xml:space="preserve">, </w:t>
            </w:r>
            <w:proofErr w:type="spellStart"/>
            <w:r w:rsidRPr="0000579E">
              <w:rPr>
                <w:bCs/>
                <w:sz w:val="28"/>
                <w:lang w:eastAsia="en-US"/>
              </w:rPr>
              <w:t>Мангистауской</w:t>
            </w:r>
            <w:proofErr w:type="spellEnd"/>
            <w:r w:rsidRPr="0000579E">
              <w:rPr>
                <w:bCs/>
                <w:sz w:val="28"/>
                <w:lang w:eastAsia="en-US"/>
              </w:rPr>
              <w:t>, Северо-Казахстанской областях);</w:t>
            </w:r>
          </w:p>
          <w:p w:rsidR="0000579E" w:rsidRPr="0000579E" w:rsidRDefault="0000579E" w:rsidP="0000579E">
            <w:pPr>
              <w:ind w:firstLine="459"/>
              <w:jc w:val="both"/>
              <w:rPr>
                <w:bCs/>
                <w:sz w:val="28"/>
                <w:lang w:eastAsia="en-US"/>
              </w:rPr>
            </w:pPr>
            <w:r w:rsidRPr="0000579E">
              <w:rPr>
                <w:bCs/>
                <w:sz w:val="28"/>
                <w:lang w:eastAsia="en-US"/>
              </w:rPr>
              <w:t xml:space="preserve">– проблемы 11 школ решены за счет сокращения контингента и перераспределения, учащихся в близлежащие школы (по одной школе в </w:t>
            </w:r>
            <w:proofErr w:type="spellStart"/>
            <w:r w:rsidRPr="0000579E">
              <w:rPr>
                <w:bCs/>
                <w:sz w:val="28"/>
                <w:lang w:eastAsia="en-US"/>
              </w:rPr>
              <w:t>ЗападноКазахстанской</w:t>
            </w:r>
            <w:proofErr w:type="spellEnd"/>
            <w:r w:rsidRPr="0000579E">
              <w:rPr>
                <w:bCs/>
                <w:sz w:val="28"/>
                <w:lang w:eastAsia="en-US"/>
              </w:rPr>
              <w:t xml:space="preserve"> и Северо-Казахстанской областях; две школы в г. </w:t>
            </w:r>
            <w:proofErr w:type="spellStart"/>
            <w:r w:rsidRPr="0000579E">
              <w:rPr>
                <w:bCs/>
                <w:sz w:val="28"/>
                <w:lang w:eastAsia="en-US"/>
              </w:rPr>
              <w:t>Нур</w:t>
            </w:r>
            <w:proofErr w:type="spellEnd"/>
            <w:r w:rsidRPr="0000579E">
              <w:rPr>
                <w:bCs/>
                <w:sz w:val="28"/>
                <w:lang w:eastAsia="en-US"/>
              </w:rPr>
              <w:t xml:space="preserve">-Султане; 7 школ в </w:t>
            </w:r>
            <w:proofErr w:type="spellStart"/>
            <w:r w:rsidRPr="0000579E">
              <w:rPr>
                <w:bCs/>
                <w:sz w:val="28"/>
                <w:lang w:eastAsia="en-US"/>
              </w:rPr>
              <w:t>Алматинской</w:t>
            </w:r>
            <w:proofErr w:type="spellEnd"/>
            <w:r w:rsidRPr="0000579E">
              <w:rPr>
                <w:bCs/>
                <w:sz w:val="28"/>
                <w:lang w:eastAsia="en-US"/>
              </w:rPr>
              <w:t xml:space="preserve"> области).</w:t>
            </w:r>
          </w:p>
          <w:p w:rsidR="0000579E" w:rsidRDefault="0000579E" w:rsidP="0000579E">
            <w:pPr>
              <w:pStyle w:val="a3"/>
              <w:widowControl w:val="0"/>
              <w:tabs>
                <w:tab w:val="left" w:pos="176"/>
              </w:tabs>
              <w:ind w:left="0"/>
              <w:jc w:val="both"/>
              <w:rPr>
                <w:bCs/>
                <w:sz w:val="28"/>
                <w:lang w:eastAsia="en-US"/>
              </w:rPr>
            </w:pPr>
            <w:r w:rsidRPr="0000579E">
              <w:rPr>
                <w:bCs/>
                <w:sz w:val="28"/>
                <w:lang w:eastAsia="en-US"/>
              </w:rPr>
              <w:t xml:space="preserve">Несмотря на хороший темп решения проблемы трехсменных школ, их доля в 2020 году составила 1,9%. </w:t>
            </w:r>
          </w:p>
          <w:p w:rsidR="00DB7B26" w:rsidRPr="0000579E" w:rsidRDefault="0000579E" w:rsidP="0000579E">
            <w:pPr>
              <w:pStyle w:val="a3"/>
              <w:widowControl w:val="0"/>
              <w:tabs>
                <w:tab w:val="left" w:pos="176"/>
              </w:tabs>
              <w:ind w:left="0" w:firstLine="489"/>
              <w:jc w:val="both"/>
              <w:rPr>
                <w:sz w:val="28"/>
              </w:rPr>
            </w:pPr>
            <w:r w:rsidRPr="0000579E">
              <w:rPr>
                <w:bCs/>
                <w:sz w:val="28"/>
                <w:lang w:eastAsia="en-US"/>
              </w:rPr>
              <w:t xml:space="preserve">Увеличение доли трехсменных школ на 0,4% связано с вновь выявленными 68 трехсменными школами в 2020 году (одна школа в </w:t>
            </w:r>
            <w:proofErr w:type="spellStart"/>
            <w:r w:rsidRPr="0000579E">
              <w:rPr>
                <w:bCs/>
                <w:sz w:val="28"/>
                <w:lang w:eastAsia="en-US"/>
              </w:rPr>
              <w:t>Атырауской</w:t>
            </w:r>
            <w:proofErr w:type="spellEnd"/>
            <w:r w:rsidRPr="0000579E">
              <w:rPr>
                <w:bCs/>
                <w:sz w:val="28"/>
                <w:lang w:eastAsia="en-US"/>
              </w:rPr>
              <w:t xml:space="preserve"> области, по две в </w:t>
            </w:r>
            <w:proofErr w:type="spellStart"/>
            <w:r w:rsidRPr="0000579E">
              <w:rPr>
                <w:bCs/>
                <w:sz w:val="28"/>
                <w:lang w:eastAsia="en-US"/>
              </w:rPr>
              <w:t>Акмолинской</w:t>
            </w:r>
            <w:proofErr w:type="spellEnd"/>
            <w:r w:rsidRPr="0000579E">
              <w:rPr>
                <w:bCs/>
                <w:sz w:val="28"/>
                <w:lang w:eastAsia="en-US"/>
              </w:rPr>
              <w:t xml:space="preserve"> и Западно-Казахстанской областях, 3 школы в Туркестанской области, 5 </w:t>
            </w:r>
            <w:r w:rsidRPr="0000579E">
              <w:rPr>
                <w:bCs/>
                <w:sz w:val="28"/>
                <w:lang w:eastAsia="en-US"/>
              </w:rPr>
              <w:lastRenderedPageBreak/>
              <w:t xml:space="preserve">школ в Северо-Казахстанской области, 7 школ в </w:t>
            </w:r>
            <w:proofErr w:type="spellStart"/>
            <w:r w:rsidRPr="0000579E">
              <w:rPr>
                <w:bCs/>
                <w:sz w:val="28"/>
                <w:lang w:eastAsia="en-US"/>
              </w:rPr>
              <w:t>Кызылординской</w:t>
            </w:r>
            <w:proofErr w:type="spellEnd"/>
            <w:r w:rsidRPr="0000579E">
              <w:rPr>
                <w:bCs/>
                <w:sz w:val="28"/>
                <w:lang w:eastAsia="en-US"/>
              </w:rPr>
              <w:t xml:space="preserve"> области, 8 школ в </w:t>
            </w:r>
            <w:proofErr w:type="spellStart"/>
            <w:r w:rsidRPr="0000579E">
              <w:rPr>
                <w:bCs/>
                <w:sz w:val="28"/>
                <w:lang w:eastAsia="en-US"/>
              </w:rPr>
              <w:t>Мангыстауской</w:t>
            </w:r>
            <w:proofErr w:type="spellEnd"/>
            <w:r w:rsidRPr="0000579E">
              <w:rPr>
                <w:bCs/>
                <w:sz w:val="28"/>
                <w:lang w:eastAsia="en-US"/>
              </w:rPr>
              <w:t xml:space="preserve"> области, 9 школ в </w:t>
            </w:r>
            <w:proofErr w:type="spellStart"/>
            <w:r w:rsidRPr="0000579E">
              <w:rPr>
                <w:bCs/>
                <w:sz w:val="28"/>
                <w:lang w:eastAsia="en-US"/>
              </w:rPr>
              <w:t>Жамбылской</w:t>
            </w:r>
            <w:proofErr w:type="spellEnd"/>
            <w:r w:rsidRPr="0000579E">
              <w:rPr>
                <w:bCs/>
                <w:sz w:val="28"/>
                <w:lang w:eastAsia="en-US"/>
              </w:rPr>
              <w:t xml:space="preserve"> области, 11 школ в Павлодарской области и 20 школ в </w:t>
            </w:r>
            <w:proofErr w:type="spellStart"/>
            <w:r w:rsidRPr="0000579E">
              <w:rPr>
                <w:bCs/>
                <w:sz w:val="28"/>
                <w:lang w:eastAsia="en-US"/>
              </w:rPr>
              <w:t>Алматинской</w:t>
            </w:r>
            <w:proofErr w:type="spellEnd"/>
            <w:r w:rsidRPr="0000579E">
              <w:rPr>
                <w:bCs/>
                <w:sz w:val="28"/>
                <w:lang w:eastAsia="en-US"/>
              </w:rPr>
              <w:t xml:space="preserve"> области).</w:t>
            </w:r>
          </w:p>
        </w:tc>
      </w:tr>
      <w:tr w:rsidR="00EA027F" w:rsidRPr="0000579E" w:rsidTr="009F16DD">
        <w:tc>
          <w:tcPr>
            <w:tcW w:w="4111" w:type="dxa"/>
            <w:shd w:val="clear" w:color="auto" w:fill="auto"/>
          </w:tcPr>
          <w:p w:rsidR="00DB7B26" w:rsidRPr="0000579E" w:rsidRDefault="00DB7B26" w:rsidP="009F16DD">
            <w:pPr>
              <w:pStyle w:val="a3"/>
              <w:widowControl w:val="0"/>
              <w:tabs>
                <w:tab w:val="left" w:pos="176"/>
              </w:tabs>
              <w:ind w:left="0" w:firstLine="460"/>
              <w:jc w:val="both"/>
              <w:rPr>
                <w:sz w:val="28"/>
              </w:rPr>
            </w:pPr>
            <w:r w:rsidRPr="0000579E">
              <w:rPr>
                <w:sz w:val="28"/>
              </w:rPr>
              <w:lastRenderedPageBreak/>
              <w:t>Не престижность рабочей профессии среди молодежи</w:t>
            </w:r>
          </w:p>
        </w:tc>
        <w:tc>
          <w:tcPr>
            <w:tcW w:w="11057" w:type="dxa"/>
            <w:shd w:val="clear" w:color="auto" w:fill="auto"/>
          </w:tcPr>
          <w:p w:rsidR="00844BDC" w:rsidRPr="0000579E" w:rsidRDefault="00844BDC" w:rsidP="00844BDC">
            <w:pPr>
              <w:ind w:firstLine="709"/>
              <w:jc w:val="both"/>
              <w:rPr>
                <w:rStyle w:val="s0"/>
                <w:color w:val="auto"/>
                <w:sz w:val="28"/>
                <w:szCs w:val="24"/>
              </w:rPr>
            </w:pPr>
            <w:r w:rsidRPr="0000579E">
              <w:rPr>
                <w:rStyle w:val="s0"/>
                <w:color w:val="auto"/>
                <w:sz w:val="28"/>
                <w:szCs w:val="24"/>
                <w:lang w:val="kk-KZ"/>
              </w:rPr>
              <w:t>C целью поддержки талантливой молодежи, популяризации рабочих квалификаций и лучших студентов органиазций технического и профессионального образования (ТиПО) реализуется проект «Топ-100 студентов колледжей Республики Казахстан». Лучшим студентам предоставлена возможность познакомиться с наставниками по бизнесу, наладить связи с потенциальными работодателями, принять участие в мастер-классах, тренингах и курсах личностного и профессионального роста для дальнейшего развития.</w:t>
            </w:r>
            <w:r w:rsidRPr="0000579E">
              <w:rPr>
                <w:rStyle w:val="s0"/>
                <w:color w:val="auto"/>
                <w:sz w:val="28"/>
                <w:szCs w:val="24"/>
              </w:rPr>
              <w:t xml:space="preserve"> </w:t>
            </w:r>
          </w:p>
          <w:p w:rsidR="00844BDC" w:rsidRPr="0000579E" w:rsidRDefault="00844BDC" w:rsidP="00844BDC">
            <w:pPr>
              <w:ind w:firstLine="709"/>
              <w:jc w:val="both"/>
              <w:rPr>
                <w:rStyle w:val="s0"/>
                <w:color w:val="auto"/>
                <w:sz w:val="28"/>
                <w:szCs w:val="24"/>
                <w:lang w:val="kk-KZ"/>
              </w:rPr>
            </w:pPr>
            <w:r w:rsidRPr="0000579E">
              <w:rPr>
                <w:rStyle w:val="s0"/>
                <w:color w:val="auto"/>
                <w:sz w:val="28"/>
                <w:szCs w:val="24"/>
                <w:lang w:val="kk-KZ"/>
              </w:rPr>
              <w:t xml:space="preserve">Запущен проект по обучению студентов основам предпринимательства и организации стартапов. Бизнес-план стартапа студенты впоследствии могут использовать как основу для своего собственного бизнеса. </w:t>
            </w:r>
          </w:p>
          <w:p w:rsidR="00844BDC" w:rsidRPr="0000579E" w:rsidRDefault="00844BDC" w:rsidP="00844BDC">
            <w:pPr>
              <w:ind w:firstLine="709"/>
              <w:jc w:val="both"/>
              <w:rPr>
                <w:rStyle w:val="s0"/>
                <w:color w:val="auto"/>
                <w:sz w:val="28"/>
                <w:szCs w:val="24"/>
                <w:lang w:val="kk-KZ"/>
              </w:rPr>
            </w:pPr>
            <w:r w:rsidRPr="0000579E">
              <w:rPr>
                <w:rStyle w:val="s0"/>
                <w:color w:val="auto"/>
                <w:sz w:val="28"/>
                <w:szCs w:val="24"/>
                <w:lang w:val="kk-KZ"/>
              </w:rPr>
              <w:t>По поручению Главы Государства в июне 2019 года увеличена на 30% стипендия для студентов, обучающихся по рабочим специальностям (с 16 769 тенге до 21 787 тенге).</w:t>
            </w:r>
          </w:p>
          <w:p w:rsidR="00844BDC" w:rsidRPr="0000579E" w:rsidRDefault="00844BDC" w:rsidP="00844BDC">
            <w:pPr>
              <w:ind w:firstLine="709"/>
              <w:jc w:val="both"/>
              <w:rPr>
                <w:rStyle w:val="s0"/>
                <w:color w:val="auto"/>
                <w:sz w:val="28"/>
                <w:szCs w:val="24"/>
                <w:lang w:val="kk-KZ"/>
              </w:rPr>
            </w:pPr>
            <w:r w:rsidRPr="0000579E">
              <w:rPr>
                <w:rStyle w:val="s0"/>
                <w:color w:val="auto"/>
                <w:sz w:val="28"/>
                <w:szCs w:val="24"/>
                <w:lang w:val="kk-KZ"/>
              </w:rPr>
              <w:t xml:space="preserve">Важным для системы ТиПО стал проект «Жас маман» разработанный в соответствии с поручением Первого Президента РК Н.А.Назарбаева, данного на торжественной церемонии открытия Года молодежи 23 января 2019 года. Целью проекта «Жас маман» является модернизация 180 колледжей и 20 вузов по 100 наиболее востребованным профессиям и внедрение международного опыта подготовки квалифицированных специалистов. </w:t>
            </w:r>
          </w:p>
          <w:p w:rsidR="00844BDC" w:rsidRPr="0000579E" w:rsidRDefault="00844BDC" w:rsidP="00844BDC">
            <w:pPr>
              <w:ind w:firstLine="709"/>
              <w:jc w:val="both"/>
              <w:rPr>
                <w:rStyle w:val="s0"/>
                <w:color w:val="auto"/>
                <w:sz w:val="28"/>
                <w:szCs w:val="24"/>
                <w:lang w:val="kk-KZ"/>
              </w:rPr>
            </w:pPr>
            <w:r w:rsidRPr="0000579E">
              <w:rPr>
                <w:rStyle w:val="s0"/>
                <w:color w:val="auto"/>
                <w:sz w:val="28"/>
                <w:szCs w:val="24"/>
                <w:lang w:val="kk-KZ"/>
              </w:rPr>
              <w:t xml:space="preserve">Для расширения академической самостоятельности колледжей формируется новый формат ГОСО, который даст возможность изменения содержания образовательных программ, с учетом требований индустриального совета, требований WSK и планом </w:t>
            </w:r>
            <w:r w:rsidRPr="0000579E">
              <w:rPr>
                <w:rStyle w:val="s0"/>
                <w:color w:val="auto"/>
                <w:sz w:val="28"/>
                <w:szCs w:val="24"/>
                <w:lang w:val="kk-KZ"/>
              </w:rPr>
              <w:lastRenderedPageBreak/>
              <w:t xml:space="preserve">регионального развития. Для формирования преемственности между уровнями образования будет внедрятся кредитные технологии обучения в колледжах. </w:t>
            </w:r>
          </w:p>
          <w:p w:rsidR="00844BDC" w:rsidRPr="0000579E" w:rsidRDefault="00844BDC" w:rsidP="00844BDC">
            <w:pPr>
              <w:ind w:firstLine="709"/>
              <w:jc w:val="both"/>
              <w:rPr>
                <w:rStyle w:val="s0"/>
                <w:color w:val="auto"/>
                <w:sz w:val="28"/>
                <w:szCs w:val="24"/>
                <w:lang w:val="kk-KZ"/>
              </w:rPr>
            </w:pPr>
            <w:r w:rsidRPr="0000579E">
              <w:rPr>
                <w:rStyle w:val="s0"/>
                <w:color w:val="auto"/>
                <w:sz w:val="28"/>
                <w:szCs w:val="24"/>
                <w:lang w:val="kk-KZ"/>
              </w:rPr>
              <w:t>В организациях ТиПО будет адаптирована европейская кредитная технология для профессионального образования и обучения ECVET.</w:t>
            </w:r>
          </w:p>
          <w:p w:rsidR="00844BDC" w:rsidRPr="0000579E" w:rsidRDefault="00844BDC" w:rsidP="00844BDC">
            <w:pPr>
              <w:ind w:firstLine="709"/>
              <w:jc w:val="both"/>
              <w:rPr>
                <w:rStyle w:val="s0"/>
                <w:color w:val="auto"/>
                <w:sz w:val="28"/>
                <w:szCs w:val="24"/>
                <w:lang w:val="kk-KZ"/>
              </w:rPr>
            </w:pPr>
            <w:r w:rsidRPr="0000579E">
              <w:rPr>
                <w:rStyle w:val="s0"/>
                <w:color w:val="auto"/>
                <w:sz w:val="28"/>
                <w:szCs w:val="24"/>
                <w:lang w:val="kk-KZ"/>
              </w:rPr>
              <w:t>Содержание образовательных программ будет обеспечивать преемственность уровней образования и перезачет результатов обучения и кредитов на следующем уровне образования по родственным квалификациям.</w:t>
            </w:r>
          </w:p>
          <w:p w:rsidR="00844BDC" w:rsidRPr="0000579E" w:rsidRDefault="00844BDC" w:rsidP="00844BDC">
            <w:pPr>
              <w:ind w:firstLine="709"/>
              <w:jc w:val="both"/>
              <w:rPr>
                <w:rStyle w:val="s0"/>
                <w:color w:val="auto"/>
                <w:sz w:val="28"/>
                <w:szCs w:val="24"/>
                <w:lang w:val="kk-KZ"/>
              </w:rPr>
            </w:pPr>
            <w:r w:rsidRPr="0000579E">
              <w:rPr>
                <w:rStyle w:val="s0"/>
                <w:color w:val="auto"/>
                <w:sz w:val="28"/>
                <w:szCs w:val="24"/>
                <w:lang w:val="kk-KZ"/>
              </w:rPr>
              <w:t>При этом в случае совпадения профиля образовательной программы, результаты обучения предыдущего уровня формального и неформального образования признаются автоматически и срок обучения сокращается.</w:t>
            </w:r>
            <w:r w:rsidRPr="0000579E">
              <w:rPr>
                <w:rStyle w:val="s0"/>
                <w:color w:val="auto"/>
                <w:sz w:val="28"/>
                <w:szCs w:val="24"/>
              </w:rPr>
              <w:t xml:space="preserve"> </w:t>
            </w:r>
            <w:r w:rsidRPr="0000579E">
              <w:rPr>
                <w:rStyle w:val="s0"/>
                <w:color w:val="auto"/>
                <w:sz w:val="28"/>
                <w:szCs w:val="24"/>
                <w:lang w:val="kk-KZ"/>
              </w:rPr>
              <w:t>Такой подход дает возможность реализации образовательных программ по выбранной специальности с учетом сочетания квалификаций, а также получения дополнительных компетенций необходимых для подготовки выпускника в соответствии с запросами рынка труда.</w:t>
            </w:r>
          </w:p>
          <w:p w:rsidR="00844BDC" w:rsidRPr="0000579E" w:rsidRDefault="00844BDC" w:rsidP="00844BDC">
            <w:pPr>
              <w:ind w:firstLine="709"/>
              <w:jc w:val="both"/>
              <w:rPr>
                <w:rStyle w:val="s0"/>
                <w:color w:val="auto"/>
                <w:sz w:val="28"/>
                <w:szCs w:val="24"/>
                <w:lang w:val="kk-KZ"/>
              </w:rPr>
            </w:pPr>
            <w:r w:rsidRPr="0000579E">
              <w:rPr>
                <w:rStyle w:val="s0"/>
                <w:color w:val="auto"/>
                <w:sz w:val="28"/>
                <w:szCs w:val="24"/>
                <w:lang w:val="kk-KZ"/>
              </w:rPr>
              <w:t>Таким образом студенты сегодня получат право самостоятельно выбирать курс, сроки изучения в зависимости от значимости выбираемых курсов для будущей профессиональной деятельности. То есть конкретные сроки обучения будут отменены. Студенты будут обучаться по индивидуальной траектории и в любое время смогут выйти на рынок труда с определенной квалификацией.</w:t>
            </w:r>
          </w:p>
          <w:p w:rsidR="00DB7B26" w:rsidRPr="0000579E" w:rsidRDefault="00844BDC" w:rsidP="00844BDC">
            <w:pPr>
              <w:jc w:val="both"/>
              <w:rPr>
                <w:sz w:val="28"/>
              </w:rPr>
            </w:pPr>
            <w:r w:rsidRPr="0000579E">
              <w:rPr>
                <w:rStyle w:val="s0"/>
                <w:color w:val="auto"/>
                <w:sz w:val="28"/>
                <w:szCs w:val="24"/>
                <w:lang w:val="kk-KZ"/>
              </w:rPr>
              <w:t>Все эти меры, несомненно повышает привлекательность и престижность обучения в колледжах нашей молодежи.</w:t>
            </w:r>
          </w:p>
        </w:tc>
      </w:tr>
      <w:tr w:rsidR="00EA027F" w:rsidRPr="0000579E" w:rsidTr="009F16DD">
        <w:tc>
          <w:tcPr>
            <w:tcW w:w="4111" w:type="dxa"/>
            <w:shd w:val="clear" w:color="auto" w:fill="auto"/>
          </w:tcPr>
          <w:p w:rsidR="00844BDC" w:rsidRPr="0000579E" w:rsidRDefault="00844BDC" w:rsidP="00844BDC">
            <w:pPr>
              <w:pStyle w:val="aa"/>
              <w:ind w:firstLine="489"/>
              <w:jc w:val="both"/>
              <w:rPr>
                <w:rFonts w:cs="Times New Roman"/>
                <w:szCs w:val="24"/>
                <w:lang w:val="kk-KZ"/>
              </w:rPr>
            </w:pPr>
            <w:r w:rsidRPr="0000579E">
              <w:rPr>
                <w:rFonts w:cs="Times New Roman"/>
                <w:szCs w:val="24"/>
                <w:lang w:val="kk-KZ"/>
              </w:rPr>
              <w:lastRenderedPageBreak/>
              <w:t xml:space="preserve">Не востребованность квалификаций </w:t>
            </w:r>
          </w:p>
        </w:tc>
        <w:tc>
          <w:tcPr>
            <w:tcW w:w="11057" w:type="dxa"/>
            <w:shd w:val="clear" w:color="auto" w:fill="auto"/>
          </w:tcPr>
          <w:p w:rsidR="00844BDC" w:rsidRPr="0000579E" w:rsidRDefault="00844BDC" w:rsidP="00844BDC">
            <w:pPr>
              <w:pStyle w:val="aa"/>
              <w:ind w:firstLine="460"/>
              <w:jc w:val="both"/>
              <w:rPr>
                <w:rFonts w:cs="Times New Roman"/>
                <w:szCs w:val="24"/>
                <w:lang w:val="ru-RU"/>
              </w:rPr>
            </w:pPr>
            <w:r w:rsidRPr="0000579E">
              <w:rPr>
                <w:rFonts w:cs="Times New Roman"/>
                <w:szCs w:val="24"/>
                <w:lang w:val="ru-RU"/>
              </w:rPr>
              <w:t>Государственный образовательный заказ на подготовку кадров формируется на основе среднесрочного прогноза в потребности в кадрах для отраслей экономики страны, предоставленного Министерством труда и социальной защиты населения РК (МТЗСН).</w:t>
            </w:r>
          </w:p>
          <w:p w:rsidR="00844BDC" w:rsidRPr="0000579E" w:rsidRDefault="00844BDC" w:rsidP="00844BDC">
            <w:pPr>
              <w:pStyle w:val="aa"/>
              <w:ind w:firstLine="460"/>
              <w:jc w:val="both"/>
              <w:rPr>
                <w:rFonts w:cs="Times New Roman"/>
                <w:szCs w:val="24"/>
                <w:lang w:val="ru-RU"/>
              </w:rPr>
            </w:pPr>
            <w:r w:rsidRPr="0000579E">
              <w:rPr>
                <w:rFonts w:cs="Times New Roman"/>
                <w:szCs w:val="24"/>
                <w:lang w:val="ru-RU"/>
              </w:rPr>
              <w:t xml:space="preserve">МТСЗН проводится анализ по выявлению наиболее востребованных кадров и кадров, по которым наблюдается избыток, производятся расчеты прогнозирования потребности в квалифицированных кадрах с учетом социально-экономического развития регионов и в целом республики, оценка состояния спроса на трудовые ресурсы в разрезе отраслей, в том числе по регионам и направлениям подготовки. </w:t>
            </w:r>
          </w:p>
          <w:p w:rsidR="00844BDC" w:rsidRPr="0000579E" w:rsidRDefault="00844BDC" w:rsidP="00844BDC">
            <w:pPr>
              <w:pStyle w:val="aa"/>
              <w:ind w:firstLine="460"/>
              <w:jc w:val="both"/>
              <w:rPr>
                <w:rFonts w:cs="Times New Roman"/>
                <w:szCs w:val="24"/>
                <w:lang w:val="ru-RU"/>
              </w:rPr>
            </w:pPr>
            <w:r w:rsidRPr="0000579E">
              <w:rPr>
                <w:rFonts w:cs="Times New Roman"/>
                <w:szCs w:val="24"/>
                <w:lang w:val="ru-RU"/>
              </w:rPr>
              <w:lastRenderedPageBreak/>
              <w:t>Кроме того, при формировании государственного заказа, в том числе при распределении мест в докторантуру учитываются показатели государственных программ Республики Казахстан, тенденции отраслей экономики, а также потребность, представленная Национальной палатой предпринимателей «</w:t>
            </w:r>
            <w:proofErr w:type="spellStart"/>
            <w:r w:rsidRPr="0000579E">
              <w:rPr>
                <w:rFonts w:cs="Times New Roman"/>
                <w:szCs w:val="24"/>
                <w:lang w:val="ru-RU"/>
              </w:rPr>
              <w:t>Атамекен</w:t>
            </w:r>
            <w:proofErr w:type="spellEnd"/>
            <w:r w:rsidRPr="0000579E">
              <w:rPr>
                <w:rFonts w:cs="Times New Roman"/>
                <w:szCs w:val="24"/>
                <w:lang w:val="ru-RU"/>
              </w:rPr>
              <w:t xml:space="preserve">». </w:t>
            </w:r>
          </w:p>
          <w:p w:rsidR="00844BDC" w:rsidRPr="0000579E" w:rsidRDefault="00844BDC" w:rsidP="00844BDC">
            <w:pPr>
              <w:pStyle w:val="aa"/>
              <w:ind w:firstLine="460"/>
              <w:jc w:val="both"/>
              <w:rPr>
                <w:rFonts w:cs="Times New Roman"/>
                <w:szCs w:val="24"/>
                <w:lang w:val="ru-RU"/>
              </w:rPr>
            </w:pPr>
            <w:r w:rsidRPr="0000579E">
              <w:rPr>
                <w:rFonts w:cs="Times New Roman"/>
                <w:szCs w:val="24"/>
                <w:lang w:val="ru-RU"/>
              </w:rPr>
              <w:t xml:space="preserve">Начата работа по анализу образовательных программ с учетом перспективных профессий. </w:t>
            </w:r>
          </w:p>
          <w:p w:rsidR="00844BDC" w:rsidRPr="0000579E" w:rsidRDefault="00844BDC" w:rsidP="00844BDC">
            <w:pPr>
              <w:pStyle w:val="aa"/>
              <w:ind w:firstLine="460"/>
              <w:jc w:val="both"/>
              <w:rPr>
                <w:rFonts w:cs="Times New Roman"/>
                <w:szCs w:val="24"/>
                <w:lang w:val="ru-RU"/>
              </w:rPr>
            </w:pPr>
            <w:r w:rsidRPr="0000579E">
              <w:rPr>
                <w:rFonts w:cs="Times New Roman"/>
                <w:szCs w:val="24"/>
                <w:lang w:val="ru-RU"/>
              </w:rPr>
              <w:t>В рамках реализации Государственной программы развития образования и науки Республики Казахстан на 2020-2025 годы (ГПРОН) принимаются меры по совершенствованию государственных стандартов высшего образования:</w:t>
            </w:r>
          </w:p>
          <w:p w:rsidR="00844BDC" w:rsidRPr="0000579E" w:rsidRDefault="00844BDC" w:rsidP="00844BDC">
            <w:pPr>
              <w:pStyle w:val="aa"/>
              <w:ind w:firstLine="460"/>
              <w:jc w:val="both"/>
              <w:rPr>
                <w:rFonts w:cs="Times New Roman"/>
                <w:szCs w:val="24"/>
                <w:lang w:val="ru-RU"/>
              </w:rPr>
            </w:pPr>
            <w:r w:rsidRPr="0000579E">
              <w:rPr>
                <w:rFonts w:cs="Times New Roman"/>
                <w:szCs w:val="24"/>
                <w:lang w:val="ru-RU"/>
              </w:rPr>
              <w:t>– расширена академическая и управленческая самостоятельность высших учебных заведений;</w:t>
            </w:r>
          </w:p>
          <w:p w:rsidR="00844BDC" w:rsidRPr="0000579E" w:rsidRDefault="00844BDC" w:rsidP="00844BDC">
            <w:pPr>
              <w:pStyle w:val="aa"/>
              <w:ind w:firstLine="460"/>
              <w:jc w:val="both"/>
              <w:rPr>
                <w:rFonts w:cs="Times New Roman"/>
                <w:szCs w:val="24"/>
                <w:lang w:val="ru-RU"/>
              </w:rPr>
            </w:pPr>
            <w:r w:rsidRPr="0000579E">
              <w:rPr>
                <w:rFonts w:cs="Times New Roman"/>
                <w:szCs w:val="24"/>
                <w:lang w:val="ru-RU"/>
              </w:rPr>
              <w:t xml:space="preserve">– обеспечено дальнейшее развитие академической мобильности во всех субъектах образовательного процесса и увеличение количества </w:t>
            </w:r>
            <w:proofErr w:type="spellStart"/>
            <w:r w:rsidRPr="0000579E">
              <w:rPr>
                <w:rFonts w:cs="Times New Roman"/>
                <w:szCs w:val="24"/>
                <w:lang w:val="ru-RU"/>
              </w:rPr>
              <w:t>двудипломных</w:t>
            </w:r>
            <w:proofErr w:type="spellEnd"/>
            <w:r w:rsidRPr="0000579E">
              <w:rPr>
                <w:rFonts w:cs="Times New Roman"/>
                <w:szCs w:val="24"/>
                <w:lang w:val="ru-RU"/>
              </w:rPr>
              <w:t xml:space="preserve"> программ;</w:t>
            </w:r>
          </w:p>
          <w:p w:rsidR="00844BDC" w:rsidRPr="0000579E" w:rsidRDefault="00844BDC" w:rsidP="00844BDC">
            <w:pPr>
              <w:pStyle w:val="aa"/>
              <w:ind w:firstLine="460"/>
              <w:jc w:val="both"/>
              <w:rPr>
                <w:rFonts w:cs="Times New Roman"/>
                <w:szCs w:val="24"/>
                <w:lang w:val="ru-RU"/>
              </w:rPr>
            </w:pPr>
            <w:r w:rsidRPr="0000579E">
              <w:rPr>
                <w:rFonts w:cs="Times New Roman"/>
                <w:szCs w:val="24"/>
                <w:lang w:val="ru-RU"/>
              </w:rPr>
              <w:t>– расширен экспорт образовательных услуг через функционирование филиалов ведущих казахстанских вузов за рубежом.</w:t>
            </w:r>
          </w:p>
          <w:p w:rsidR="00844BDC" w:rsidRPr="0000579E" w:rsidRDefault="00844BDC" w:rsidP="00844BDC">
            <w:pPr>
              <w:jc w:val="both"/>
              <w:rPr>
                <w:sz w:val="28"/>
              </w:rPr>
            </w:pPr>
            <w:r w:rsidRPr="0000579E">
              <w:rPr>
                <w:rFonts w:eastAsia="Calibri"/>
                <w:sz w:val="28"/>
                <w:lang w:eastAsia="en-US"/>
              </w:rPr>
              <w:t>Для обеспечения качества высшего образования и повышения мотивации талантливой молодежи с 2019 года ведется Реестр образовательных программ (ОП), предусматривающий реализацию только востребованных ОП с учетом требований рынка труда и экономики будущего.</w:t>
            </w:r>
          </w:p>
        </w:tc>
      </w:tr>
      <w:tr w:rsidR="00EA027F" w:rsidRPr="0000579E" w:rsidTr="009F16DD">
        <w:tc>
          <w:tcPr>
            <w:tcW w:w="4111" w:type="dxa"/>
            <w:shd w:val="clear" w:color="auto" w:fill="auto"/>
          </w:tcPr>
          <w:p w:rsidR="00DB7B26" w:rsidRPr="0000579E" w:rsidRDefault="00DB7B26" w:rsidP="009F16DD">
            <w:pPr>
              <w:pStyle w:val="a3"/>
              <w:widowControl w:val="0"/>
              <w:tabs>
                <w:tab w:val="left" w:pos="176"/>
              </w:tabs>
              <w:ind w:left="0" w:firstLine="460"/>
              <w:jc w:val="both"/>
              <w:rPr>
                <w:sz w:val="28"/>
              </w:rPr>
            </w:pPr>
            <w:r w:rsidRPr="0000579E">
              <w:rPr>
                <w:sz w:val="28"/>
              </w:rPr>
              <w:lastRenderedPageBreak/>
              <w:t>Образовательная миграция, отток молодежи в зарубежные вузы</w:t>
            </w:r>
          </w:p>
        </w:tc>
        <w:tc>
          <w:tcPr>
            <w:tcW w:w="11057" w:type="dxa"/>
            <w:shd w:val="clear" w:color="auto" w:fill="auto"/>
          </w:tcPr>
          <w:p w:rsidR="00844BDC" w:rsidRPr="0000579E" w:rsidRDefault="00844BDC" w:rsidP="00844BDC">
            <w:pPr>
              <w:ind w:firstLine="460"/>
              <w:jc w:val="both"/>
              <w:rPr>
                <w:rFonts w:eastAsia="Calibri"/>
                <w:sz w:val="28"/>
                <w:lang w:eastAsia="en-US"/>
              </w:rPr>
            </w:pPr>
            <w:r w:rsidRPr="0000579E">
              <w:rPr>
                <w:rFonts w:eastAsia="Calibri"/>
                <w:sz w:val="28"/>
                <w:lang w:eastAsia="en-US"/>
              </w:rPr>
              <w:t>В Казахстане функционируют 128 высших учебных заведении.</w:t>
            </w:r>
          </w:p>
          <w:p w:rsidR="00844BDC" w:rsidRPr="0000579E" w:rsidRDefault="00844BDC" w:rsidP="00844BDC">
            <w:pPr>
              <w:ind w:firstLine="460"/>
              <w:jc w:val="both"/>
              <w:rPr>
                <w:rFonts w:eastAsia="Calibri"/>
                <w:sz w:val="28"/>
                <w:lang w:eastAsia="en-US"/>
              </w:rPr>
            </w:pPr>
            <w:r w:rsidRPr="0000579E">
              <w:rPr>
                <w:rFonts w:eastAsia="Calibri"/>
                <w:sz w:val="28"/>
                <w:lang w:eastAsia="en-US"/>
              </w:rPr>
              <w:t>Контингент обучающихся в 2019-2020 учебном году составил всего 618 090 чел.</w:t>
            </w:r>
            <w:r w:rsidRPr="0000579E">
              <w:rPr>
                <w:rFonts w:eastAsia="Calibri"/>
                <w:i/>
                <w:sz w:val="28"/>
                <w:lang w:eastAsia="en-US"/>
              </w:rPr>
              <w:t>,</w:t>
            </w:r>
            <w:r w:rsidRPr="0000579E">
              <w:rPr>
                <w:rFonts w:eastAsia="Calibri"/>
                <w:sz w:val="28"/>
                <w:lang w:eastAsia="en-US"/>
              </w:rPr>
              <w:t xml:space="preserve"> в том числе по госзаказу 215 224 чел. </w:t>
            </w:r>
            <w:r w:rsidRPr="0000579E">
              <w:rPr>
                <w:rFonts w:eastAsia="Calibri"/>
                <w:i/>
                <w:sz w:val="28"/>
                <w:lang w:eastAsia="en-US"/>
              </w:rPr>
              <w:t>(в 2018-2019 учебном году контингент 646 398 - чел., в том числе по госзаказу 200 642 чел.).</w:t>
            </w:r>
          </w:p>
          <w:p w:rsidR="00844BDC" w:rsidRPr="0000579E" w:rsidRDefault="00844BDC" w:rsidP="00844BDC">
            <w:pPr>
              <w:ind w:firstLine="460"/>
              <w:jc w:val="both"/>
              <w:rPr>
                <w:rFonts w:eastAsia="Calibri"/>
                <w:sz w:val="28"/>
                <w:lang w:eastAsia="en-US"/>
              </w:rPr>
            </w:pPr>
            <w:r w:rsidRPr="0000579E">
              <w:rPr>
                <w:rFonts w:eastAsia="Calibri"/>
                <w:sz w:val="28"/>
                <w:lang w:eastAsia="en-US"/>
              </w:rPr>
              <w:t xml:space="preserve">Во исполнение поручения Главы государства К.К. </w:t>
            </w:r>
            <w:proofErr w:type="spellStart"/>
            <w:r w:rsidRPr="0000579E">
              <w:rPr>
                <w:rFonts w:eastAsia="Calibri"/>
                <w:sz w:val="28"/>
                <w:lang w:eastAsia="en-US"/>
              </w:rPr>
              <w:t>Токаева</w:t>
            </w:r>
            <w:proofErr w:type="spellEnd"/>
            <w:r w:rsidRPr="0000579E">
              <w:rPr>
                <w:rFonts w:eastAsia="Calibri"/>
                <w:sz w:val="28"/>
                <w:lang w:eastAsia="en-US"/>
              </w:rPr>
              <w:t xml:space="preserve"> от 10 октября 2019 года с января </w:t>
            </w:r>
            <w:r w:rsidRPr="0000579E">
              <w:rPr>
                <w:rFonts w:eastAsia="Calibri"/>
                <w:sz w:val="28"/>
                <w:lang w:val="kk-KZ" w:eastAsia="en-US"/>
              </w:rPr>
              <w:t>2020</w:t>
            </w:r>
            <w:r w:rsidRPr="0000579E">
              <w:rPr>
                <w:rFonts w:eastAsia="Calibri"/>
                <w:sz w:val="28"/>
                <w:lang w:eastAsia="en-US"/>
              </w:rPr>
              <w:t xml:space="preserve"> года увеличен размер стипендии обучающимся по образовательным программам технического и профессионального (</w:t>
            </w:r>
            <w:r w:rsidRPr="0000579E">
              <w:rPr>
                <w:rFonts w:eastAsia="Calibri"/>
                <w:i/>
                <w:sz w:val="28"/>
                <w:lang w:eastAsia="en-US"/>
              </w:rPr>
              <w:t xml:space="preserve">специалист среднего звена), </w:t>
            </w:r>
            <w:proofErr w:type="spellStart"/>
            <w:r w:rsidRPr="0000579E">
              <w:rPr>
                <w:rFonts w:eastAsia="Calibri"/>
                <w:sz w:val="28"/>
                <w:lang w:eastAsia="en-US"/>
              </w:rPr>
              <w:t>послесреднего</w:t>
            </w:r>
            <w:proofErr w:type="spellEnd"/>
            <w:r w:rsidRPr="0000579E">
              <w:rPr>
                <w:rFonts w:eastAsia="Calibri"/>
                <w:sz w:val="28"/>
                <w:lang w:eastAsia="en-US"/>
              </w:rPr>
              <w:t xml:space="preserve"> образования, а также по образовательным программам высшего и послевузовского образования на 25% от уровня 2019 года. С 1 сентября 2020 года повышен </w:t>
            </w:r>
            <w:r w:rsidRPr="0000579E">
              <w:rPr>
                <w:rFonts w:eastAsia="Calibri"/>
                <w:sz w:val="28"/>
                <w:lang w:eastAsia="en-US"/>
              </w:rPr>
              <w:lastRenderedPageBreak/>
              <w:t>также размер стипендии будущих педагогов с 26 186 тенге до 42 000 тенге и докторантов с 102 498 тенге до 150 000 тенге.</w:t>
            </w:r>
          </w:p>
          <w:p w:rsidR="00844BDC" w:rsidRPr="0000579E" w:rsidRDefault="00844BDC" w:rsidP="00844BDC">
            <w:pPr>
              <w:ind w:firstLine="460"/>
              <w:jc w:val="both"/>
              <w:rPr>
                <w:rFonts w:eastAsia="Calibri"/>
                <w:sz w:val="28"/>
                <w:lang w:eastAsia="en-US"/>
              </w:rPr>
            </w:pPr>
            <w:r w:rsidRPr="0000579E">
              <w:rPr>
                <w:rFonts w:eastAsia="Calibri"/>
                <w:sz w:val="28"/>
                <w:lang w:eastAsia="en-US"/>
              </w:rPr>
              <w:t>В этом году в рамках ГПРОН</w:t>
            </w:r>
            <w:r w:rsidR="002A5ED7">
              <w:rPr>
                <w:rFonts w:eastAsia="Calibri"/>
                <w:sz w:val="28"/>
                <w:lang w:eastAsia="en-US"/>
              </w:rPr>
              <w:t xml:space="preserve"> на 2020-2025 годы</w:t>
            </w:r>
            <w:r w:rsidRPr="0000579E">
              <w:rPr>
                <w:rFonts w:eastAsia="Calibri"/>
                <w:sz w:val="28"/>
                <w:lang w:eastAsia="en-US"/>
              </w:rPr>
              <w:t xml:space="preserve"> повышена стоимость государственного образовательного заказа, что позволит обновить учебно-методическую базу вузов и укрепить их материально-техническую базу, повысить заработную плату профессорско-преподавательскому составу, привлечь высококвалифицированных специалистов и тем самым повысить конкурентоспособность и качество высшего образования.   </w:t>
            </w:r>
          </w:p>
          <w:p w:rsidR="00844BDC" w:rsidRPr="0000579E" w:rsidRDefault="00844BDC" w:rsidP="00844BDC">
            <w:pPr>
              <w:ind w:firstLine="460"/>
              <w:jc w:val="both"/>
              <w:rPr>
                <w:rFonts w:eastAsia="Calibri"/>
                <w:sz w:val="28"/>
                <w:lang w:eastAsia="en-US"/>
              </w:rPr>
            </w:pPr>
            <w:r w:rsidRPr="0000579E">
              <w:rPr>
                <w:rFonts w:eastAsia="Calibri"/>
                <w:sz w:val="28"/>
                <w:lang w:eastAsia="en-US"/>
              </w:rPr>
              <w:t>В целях предотвращения оттока талантливой молодежи МОН РК принимается ряд мер по расширению доступа к высшему образованию и повышению его качества:</w:t>
            </w:r>
          </w:p>
          <w:p w:rsidR="00844BDC" w:rsidRPr="0000579E" w:rsidRDefault="00844BDC" w:rsidP="00844BDC">
            <w:pPr>
              <w:ind w:firstLine="460"/>
              <w:jc w:val="both"/>
              <w:rPr>
                <w:rFonts w:eastAsia="Calibri"/>
                <w:sz w:val="28"/>
                <w:lang w:eastAsia="en-US"/>
              </w:rPr>
            </w:pPr>
            <w:r w:rsidRPr="0000579E">
              <w:rPr>
                <w:rFonts w:eastAsia="Calibri"/>
                <w:sz w:val="28"/>
                <w:lang w:eastAsia="en-US"/>
              </w:rPr>
              <w:t xml:space="preserve">1. Введено многократное проведение ЕНТ, то есть ЕНТ проводится 4 раза в год, что позволило в 2019 году зачислить в вузы 97,5 тыс. выпускников школ. Кроме того, с 2021 года ЕНТ будет проводиться в электронном формате. При этом будут изменены сроки приема заявлений и проведения тестирования. Так, тестирование будет проводиться с 10 марта по 15 июня (100 дней). За </w:t>
            </w:r>
            <w:r w:rsidR="002A5ED7" w:rsidRPr="0000579E">
              <w:rPr>
                <w:rFonts w:eastAsia="Calibri"/>
                <w:sz w:val="28"/>
                <w:lang w:eastAsia="en-US"/>
              </w:rPr>
              <w:t>этот период,</w:t>
            </w:r>
            <w:r w:rsidRPr="0000579E">
              <w:rPr>
                <w:rFonts w:eastAsia="Calibri"/>
                <w:sz w:val="28"/>
                <w:lang w:eastAsia="en-US"/>
              </w:rPr>
              <w:t xml:space="preserve"> поступающий может сдать ЕНТ два раза и с наилучшим результатом участвовать в конкурсе на присуждение образовательного гранта. Преимуществом такого формата тестирования является возможность самостоятельного выбора дня и времени тестирования, две попытки тестируемого, ранние сроки проведения ЕНТ.</w:t>
            </w:r>
          </w:p>
          <w:p w:rsidR="00844BDC" w:rsidRPr="0000579E" w:rsidRDefault="00844BDC" w:rsidP="00844BDC">
            <w:pPr>
              <w:ind w:firstLine="460"/>
              <w:jc w:val="both"/>
              <w:rPr>
                <w:rFonts w:eastAsia="Calibri"/>
                <w:sz w:val="28"/>
                <w:lang w:eastAsia="en-US"/>
              </w:rPr>
            </w:pPr>
            <w:r w:rsidRPr="0000579E">
              <w:rPr>
                <w:rFonts w:eastAsia="Calibri"/>
                <w:sz w:val="28"/>
                <w:lang w:eastAsia="en-US"/>
              </w:rPr>
              <w:t>2. Продолжается практика условного зачисления в вузы, в том числе с аннулированными результатами ЕНТ, до завершения первого академического периода, что позволило дополнительно предоставить возможность зачислиться 3 тыс. человек. Кроме того, с 2020 года лица, зачисленные до завершения академического периода, могут в течение года сдавать ЕНТ.</w:t>
            </w:r>
          </w:p>
          <w:p w:rsidR="00844BDC" w:rsidRPr="0000579E" w:rsidRDefault="00844BDC" w:rsidP="00844BDC">
            <w:pPr>
              <w:ind w:firstLine="460"/>
              <w:jc w:val="both"/>
              <w:rPr>
                <w:rFonts w:eastAsia="Calibri"/>
                <w:sz w:val="28"/>
                <w:lang w:eastAsia="en-US"/>
              </w:rPr>
            </w:pPr>
            <w:r w:rsidRPr="0000579E">
              <w:rPr>
                <w:rFonts w:eastAsia="Calibri"/>
                <w:sz w:val="28"/>
                <w:lang w:eastAsia="en-US"/>
              </w:rPr>
              <w:t xml:space="preserve">3. Освобождены от ЕНТ выпускники организаций </w:t>
            </w:r>
            <w:proofErr w:type="spellStart"/>
            <w:r w:rsidRPr="0000579E">
              <w:rPr>
                <w:rFonts w:eastAsia="Calibri"/>
                <w:sz w:val="28"/>
                <w:lang w:eastAsia="en-US"/>
              </w:rPr>
              <w:t>ТиПО</w:t>
            </w:r>
            <w:proofErr w:type="spellEnd"/>
            <w:r w:rsidRPr="0000579E">
              <w:rPr>
                <w:rFonts w:eastAsia="Calibri"/>
                <w:sz w:val="28"/>
                <w:lang w:eastAsia="en-US"/>
              </w:rPr>
              <w:t xml:space="preserve"> при поступлении по профилю подготовки на платное обучение.</w:t>
            </w:r>
          </w:p>
          <w:p w:rsidR="00844BDC" w:rsidRPr="0000579E" w:rsidRDefault="00844BDC" w:rsidP="00844BDC">
            <w:pPr>
              <w:ind w:firstLine="460"/>
              <w:jc w:val="both"/>
              <w:rPr>
                <w:rFonts w:eastAsia="Calibri"/>
                <w:sz w:val="28"/>
                <w:lang w:eastAsia="en-US"/>
              </w:rPr>
            </w:pPr>
            <w:r w:rsidRPr="0000579E">
              <w:rPr>
                <w:rFonts w:eastAsia="Calibri"/>
                <w:sz w:val="28"/>
                <w:lang w:eastAsia="en-US"/>
              </w:rPr>
              <w:lastRenderedPageBreak/>
              <w:t>4. Ежегодно увеличивается объем госзаказа на подготовку кадров с высшим образованием. За последние три года госзаказ увеличился в 1,8 раз и составил более 58,5 тыс. грантов.</w:t>
            </w:r>
          </w:p>
          <w:p w:rsidR="00844BDC" w:rsidRPr="0000579E" w:rsidRDefault="00844BDC" w:rsidP="00844BDC">
            <w:pPr>
              <w:ind w:firstLine="460"/>
              <w:jc w:val="both"/>
              <w:rPr>
                <w:rFonts w:eastAsia="Calibri"/>
                <w:sz w:val="28"/>
                <w:lang w:eastAsia="en-US"/>
              </w:rPr>
            </w:pPr>
            <w:r w:rsidRPr="0000579E">
              <w:rPr>
                <w:rFonts w:eastAsia="Calibri"/>
                <w:sz w:val="28"/>
                <w:lang w:eastAsia="en-US"/>
              </w:rPr>
              <w:t xml:space="preserve">5. С 2017 года на законодательном уровне закреплена норма по выделению грантов местными исполнительными органами (МИО). В период с 2017 по 2020 год МИО выделено более 8 тысяч грантов. </w:t>
            </w:r>
          </w:p>
          <w:p w:rsidR="00844BDC" w:rsidRPr="0000579E" w:rsidRDefault="00844BDC" w:rsidP="00844BDC">
            <w:pPr>
              <w:ind w:firstLine="460"/>
              <w:jc w:val="both"/>
              <w:rPr>
                <w:rFonts w:eastAsia="Calibri"/>
                <w:sz w:val="28"/>
                <w:lang w:eastAsia="en-US"/>
              </w:rPr>
            </w:pPr>
            <w:r w:rsidRPr="0000579E">
              <w:rPr>
                <w:rFonts w:eastAsia="Calibri"/>
                <w:sz w:val="28"/>
                <w:lang w:eastAsia="en-US"/>
              </w:rPr>
              <w:t>6. Создаются условия для студентов, на период обучения они обеспечиваются местами в общежитиях.</w:t>
            </w:r>
          </w:p>
          <w:p w:rsidR="00844BDC" w:rsidRPr="0000579E" w:rsidRDefault="00844BDC" w:rsidP="00844BDC">
            <w:pPr>
              <w:ind w:firstLine="460"/>
              <w:jc w:val="both"/>
              <w:rPr>
                <w:rFonts w:eastAsia="Calibri"/>
                <w:sz w:val="28"/>
                <w:lang w:eastAsia="en-US"/>
              </w:rPr>
            </w:pPr>
            <w:r w:rsidRPr="0000579E">
              <w:rPr>
                <w:rFonts w:eastAsia="Calibri"/>
                <w:sz w:val="28"/>
                <w:lang w:eastAsia="en-US"/>
              </w:rPr>
              <w:t>7. Для перевода студентов из зарубежных вузов в казахстанские вузы снято требование сдачи ЕНТ. Освобождены от сдачи ЕНТ лица, имеющие международные сертификаты стандартизированных тестов SAT, ACТ и IB.</w:t>
            </w:r>
          </w:p>
          <w:p w:rsidR="00844BDC" w:rsidRPr="0000579E" w:rsidRDefault="00844BDC" w:rsidP="00844BDC">
            <w:pPr>
              <w:ind w:firstLine="460"/>
              <w:jc w:val="both"/>
              <w:rPr>
                <w:rFonts w:eastAsia="Calibri"/>
                <w:sz w:val="28"/>
                <w:lang w:eastAsia="en-US"/>
              </w:rPr>
            </w:pPr>
            <w:r w:rsidRPr="0000579E">
              <w:rPr>
                <w:rFonts w:eastAsia="Calibri"/>
                <w:sz w:val="28"/>
                <w:lang w:eastAsia="en-US"/>
              </w:rPr>
              <w:t>8. Государственной программой развития продуктивной занятости и массового предпринимательства на 2017-2021 годы «</w:t>
            </w:r>
            <w:proofErr w:type="spellStart"/>
            <w:r w:rsidRPr="0000579E">
              <w:rPr>
                <w:rFonts w:eastAsia="Calibri"/>
                <w:sz w:val="28"/>
                <w:lang w:eastAsia="en-US"/>
              </w:rPr>
              <w:t>Еңбек</w:t>
            </w:r>
            <w:proofErr w:type="spellEnd"/>
            <w:r w:rsidRPr="0000579E">
              <w:rPr>
                <w:rFonts w:eastAsia="Calibri"/>
                <w:sz w:val="28"/>
                <w:lang w:eastAsia="en-US"/>
              </w:rPr>
              <w:t>» для молодежи предусмотрены государственные гранты (до 200 МРП) на реализацию новых бизнес-идей.</w:t>
            </w:r>
          </w:p>
          <w:p w:rsidR="00844BDC" w:rsidRPr="0000579E" w:rsidRDefault="00844BDC" w:rsidP="00844BDC">
            <w:pPr>
              <w:ind w:firstLine="460"/>
              <w:jc w:val="both"/>
              <w:rPr>
                <w:rFonts w:eastAsia="Calibri"/>
                <w:sz w:val="28"/>
                <w:lang w:eastAsia="en-US"/>
              </w:rPr>
            </w:pPr>
            <w:r w:rsidRPr="0000579E">
              <w:rPr>
                <w:rFonts w:eastAsia="Calibri"/>
                <w:sz w:val="28"/>
                <w:lang w:eastAsia="en-US"/>
              </w:rPr>
              <w:t>9. По инициативе Фонда Первого Президента Республики Казахстан-</w:t>
            </w:r>
            <w:proofErr w:type="spellStart"/>
            <w:r w:rsidRPr="0000579E">
              <w:rPr>
                <w:rFonts w:eastAsia="Calibri"/>
                <w:sz w:val="28"/>
                <w:lang w:eastAsia="en-US"/>
              </w:rPr>
              <w:t>Елбасы</w:t>
            </w:r>
            <w:proofErr w:type="spellEnd"/>
            <w:r w:rsidRPr="0000579E">
              <w:rPr>
                <w:rFonts w:eastAsia="Calibri"/>
                <w:sz w:val="28"/>
                <w:lang w:eastAsia="en-US"/>
              </w:rPr>
              <w:t xml:space="preserve"> «ЕЛ ҮМІТІ» создана единая система выявления и поддержки талантов от их раскрытия до трудоустройства. Во всех регионах созданы центры по поддержке одаренных детей и талантливой молодежи, ведется работа по созданию сети специализированных школ гуманитарного направления имени Абая.</w:t>
            </w:r>
          </w:p>
          <w:p w:rsidR="00844BDC" w:rsidRPr="0000579E" w:rsidRDefault="00844BDC" w:rsidP="00844BDC">
            <w:pPr>
              <w:ind w:firstLine="460"/>
              <w:jc w:val="both"/>
              <w:rPr>
                <w:rFonts w:eastAsia="Calibri"/>
                <w:sz w:val="28"/>
                <w:lang w:eastAsia="en-US"/>
              </w:rPr>
            </w:pPr>
            <w:r w:rsidRPr="0000579E">
              <w:rPr>
                <w:rFonts w:eastAsia="Calibri"/>
                <w:sz w:val="28"/>
                <w:lang w:eastAsia="en-US"/>
              </w:rPr>
              <w:t>Кроме того, в целях стимулирования талантливой молодежи МОН РК прорабатывается вопрос о расширении видов грантов в зависимости от учебных достижений, обучающихся с их дифференцированным финансированием.</w:t>
            </w:r>
          </w:p>
          <w:p w:rsidR="00844BDC" w:rsidRPr="0000579E" w:rsidRDefault="00844BDC" w:rsidP="00844BDC">
            <w:pPr>
              <w:ind w:firstLine="460"/>
              <w:jc w:val="both"/>
              <w:rPr>
                <w:rFonts w:eastAsia="Calibri"/>
                <w:sz w:val="28"/>
                <w:lang w:eastAsia="en-US"/>
              </w:rPr>
            </w:pPr>
            <w:r w:rsidRPr="0000579E">
              <w:rPr>
                <w:rFonts w:eastAsia="Calibri"/>
                <w:sz w:val="28"/>
                <w:lang w:eastAsia="en-US"/>
              </w:rPr>
              <w:t xml:space="preserve">В рамках проекта Закона РК «О внесении изменений и дополнений в некоторые законодательные акты РК по вопросам восстановления экономического роста» </w:t>
            </w:r>
            <w:proofErr w:type="spellStart"/>
            <w:r w:rsidRPr="0000579E">
              <w:rPr>
                <w:rFonts w:eastAsia="Calibri"/>
                <w:sz w:val="28"/>
                <w:lang w:eastAsia="en-US"/>
              </w:rPr>
              <w:t>предусматрена</w:t>
            </w:r>
            <w:proofErr w:type="spellEnd"/>
            <w:r w:rsidRPr="0000579E">
              <w:rPr>
                <w:rFonts w:eastAsia="Calibri"/>
                <w:sz w:val="28"/>
                <w:lang w:eastAsia="en-US"/>
              </w:rPr>
              <w:t xml:space="preserve"> квота приема для детей из семей, в которых воспитываются четыре и более несовершеннолетних детей, из числа неполных семей, имеющих данный статус не менее трех лет, из семей, воспитывающих детей-инвалидов с детства, инвалидов І/ ІІ группы.</w:t>
            </w:r>
          </w:p>
          <w:p w:rsidR="00DB7B26" w:rsidRPr="0000579E" w:rsidRDefault="00844BDC" w:rsidP="00844BDC">
            <w:pPr>
              <w:jc w:val="both"/>
              <w:rPr>
                <w:sz w:val="28"/>
              </w:rPr>
            </w:pPr>
            <w:r w:rsidRPr="0000579E">
              <w:rPr>
                <w:rFonts w:eastAsia="Calibri"/>
                <w:sz w:val="28"/>
                <w:lang w:eastAsia="en-US"/>
              </w:rPr>
              <w:lastRenderedPageBreak/>
              <w:t>Это позволит детям из числа многодетных, малообеспеченных семей участвовать в конкурсе на присуждение образовательного гранта в пределах установленной квоты приема. При этом выделение дополнительных средств не требуется.</w:t>
            </w:r>
          </w:p>
        </w:tc>
      </w:tr>
      <w:tr w:rsidR="00EA027F" w:rsidRPr="0000579E" w:rsidTr="009F16DD">
        <w:tc>
          <w:tcPr>
            <w:tcW w:w="4111" w:type="dxa"/>
            <w:shd w:val="clear" w:color="auto" w:fill="auto"/>
          </w:tcPr>
          <w:p w:rsidR="00DB7B26" w:rsidRPr="0000579E" w:rsidRDefault="00DB7B26" w:rsidP="009F16DD">
            <w:pPr>
              <w:pStyle w:val="a3"/>
              <w:widowControl w:val="0"/>
              <w:tabs>
                <w:tab w:val="left" w:pos="176"/>
              </w:tabs>
              <w:ind w:left="0" w:firstLine="460"/>
              <w:jc w:val="both"/>
              <w:rPr>
                <w:sz w:val="28"/>
              </w:rPr>
            </w:pPr>
            <w:r w:rsidRPr="0000579E">
              <w:rPr>
                <w:sz w:val="28"/>
              </w:rPr>
              <w:lastRenderedPageBreak/>
              <w:t>Низкая результативность НИОКР</w:t>
            </w:r>
          </w:p>
        </w:tc>
        <w:tc>
          <w:tcPr>
            <w:tcW w:w="11057" w:type="dxa"/>
            <w:shd w:val="clear" w:color="auto" w:fill="auto"/>
          </w:tcPr>
          <w:p w:rsidR="00844BDC" w:rsidRPr="0000579E" w:rsidRDefault="00844BDC" w:rsidP="00844BDC">
            <w:pPr>
              <w:ind w:firstLine="461"/>
              <w:jc w:val="both"/>
              <w:rPr>
                <w:sz w:val="28"/>
                <w:lang w:val="kk-KZ"/>
              </w:rPr>
            </w:pPr>
            <w:r w:rsidRPr="0000579E">
              <w:rPr>
                <w:sz w:val="28"/>
                <w:lang w:val="kk-KZ"/>
              </w:rPr>
              <w:t>В целях с</w:t>
            </w:r>
            <w:r w:rsidRPr="0000579E">
              <w:rPr>
                <w:sz w:val="28"/>
              </w:rPr>
              <w:t>совершенствования механизм</w:t>
            </w:r>
            <w:r w:rsidRPr="0000579E">
              <w:rPr>
                <w:sz w:val="28"/>
                <w:lang w:val="kk-KZ"/>
              </w:rPr>
              <w:t>ов</w:t>
            </w:r>
            <w:r w:rsidRPr="0000579E">
              <w:rPr>
                <w:sz w:val="28"/>
              </w:rPr>
              <w:t xml:space="preserve"> управления научными и научно-техническими проектами </w:t>
            </w:r>
            <w:r w:rsidRPr="0000579E">
              <w:rPr>
                <w:sz w:val="28"/>
                <w:lang w:val="kk-KZ"/>
              </w:rPr>
              <w:t>у</w:t>
            </w:r>
            <w:r w:rsidRPr="0000579E">
              <w:rPr>
                <w:sz w:val="28"/>
              </w:rPr>
              <w:t>совершенствована нормативно-правовая база науки</w:t>
            </w:r>
            <w:r w:rsidRPr="0000579E">
              <w:rPr>
                <w:sz w:val="28"/>
                <w:lang w:val="kk-KZ"/>
              </w:rPr>
              <w:t>:</w:t>
            </w:r>
          </w:p>
          <w:p w:rsidR="00844BDC" w:rsidRPr="0000579E" w:rsidRDefault="00844BDC" w:rsidP="00844BDC">
            <w:pPr>
              <w:ind w:firstLine="461"/>
              <w:jc w:val="both"/>
              <w:rPr>
                <w:sz w:val="28"/>
              </w:rPr>
            </w:pPr>
            <w:r w:rsidRPr="0000579E">
              <w:rPr>
                <w:sz w:val="28"/>
              </w:rPr>
              <w:t xml:space="preserve">- Положение о национальных научных советах, Правила организации и проведения государственной научно-технической экспертизы, Правила финансирования науки. </w:t>
            </w:r>
          </w:p>
          <w:p w:rsidR="00844BDC" w:rsidRPr="0000579E" w:rsidRDefault="00844BDC" w:rsidP="00844BDC">
            <w:pPr>
              <w:ind w:firstLine="461"/>
              <w:jc w:val="both"/>
              <w:rPr>
                <w:sz w:val="28"/>
              </w:rPr>
            </w:pPr>
            <w:r w:rsidRPr="0000579E">
              <w:rPr>
                <w:sz w:val="28"/>
              </w:rPr>
              <w:t>Определены четкие критерии отбора проектов, введена оценка обоснованности запрашиваемого объема финансирования. Осуществляется суммирование баллов государственной научно-технической экспертизы и баллов ННС, ранжирование проектов по суммарному баллу для их утверждения к финансированию. ННС не имеют права снижать объем финансирования проектов на более чем 25% относительно запрошенного.</w:t>
            </w:r>
          </w:p>
          <w:p w:rsidR="00844BDC" w:rsidRPr="0000579E" w:rsidRDefault="00844BDC" w:rsidP="00844BDC">
            <w:pPr>
              <w:ind w:firstLine="461"/>
              <w:jc w:val="both"/>
              <w:rPr>
                <w:sz w:val="28"/>
              </w:rPr>
            </w:pPr>
            <w:r w:rsidRPr="0000579E">
              <w:rPr>
                <w:sz w:val="28"/>
              </w:rPr>
              <w:t xml:space="preserve">Повышена прозрачность принимаемых решений по </w:t>
            </w:r>
            <w:proofErr w:type="spellStart"/>
            <w:r w:rsidRPr="0000579E">
              <w:rPr>
                <w:sz w:val="28"/>
              </w:rPr>
              <w:t>грантовому</w:t>
            </w:r>
            <w:proofErr w:type="spellEnd"/>
            <w:r w:rsidRPr="0000579E">
              <w:rPr>
                <w:sz w:val="28"/>
              </w:rPr>
              <w:t xml:space="preserve"> и программно-целевому финансированию проектов путем онлайн-трансляции заседаний ННС.</w:t>
            </w:r>
          </w:p>
          <w:p w:rsidR="00844BDC" w:rsidRPr="0000579E" w:rsidRDefault="00844BDC" w:rsidP="00844BDC">
            <w:pPr>
              <w:ind w:firstLine="461"/>
              <w:jc w:val="both"/>
              <w:rPr>
                <w:sz w:val="28"/>
              </w:rPr>
            </w:pPr>
            <w:r w:rsidRPr="0000579E">
              <w:rPr>
                <w:sz w:val="28"/>
              </w:rPr>
              <w:t xml:space="preserve">Актуализирован состав национальных научных советов на основе новых требований к членам ННС, которые отбирались по их </w:t>
            </w:r>
            <w:proofErr w:type="spellStart"/>
            <w:r w:rsidRPr="0000579E">
              <w:rPr>
                <w:sz w:val="28"/>
              </w:rPr>
              <w:t>наукометрическим</w:t>
            </w:r>
            <w:proofErr w:type="spellEnd"/>
            <w:r w:rsidRPr="0000579E">
              <w:rPr>
                <w:sz w:val="28"/>
              </w:rPr>
              <w:t xml:space="preserve"> показателям. 62% (123) новых члена ранее никогда не являлись членами ННС. Представительство ученых обновлено на 80%.</w:t>
            </w:r>
          </w:p>
          <w:p w:rsidR="00844BDC" w:rsidRPr="0000579E" w:rsidRDefault="00844BDC" w:rsidP="00844BDC">
            <w:pPr>
              <w:ind w:firstLine="461"/>
              <w:jc w:val="both"/>
              <w:rPr>
                <w:sz w:val="28"/>
                <w:lang w:val="kk-KZ"/>
              </w:rPr>
            </w:pPr>
            <w:r w:rsidRPr="0000579E">
              <w:rPr>
                <w:sz w:val="28"/>
              </w:rPr>
              <w:t xml:space="preserve">Внесены изменения в Правила финансирования науки, согласно которым научный руководитель проекта может вносить коррективы в методологию исследований, перераспределять сэкономленные средства в пределах лимитов без направления на ННС, исключено предоставление трех ценовых предложений по всем статьям расходов на этапе внесения заявки на конкурс и </w:t>
            </w:r>
            <w:proofErr w:type="spellStart"/>
            <w:r w:rsidRPr="0000579E">
              <w:rPr>
                <w:sz w:val="28"/>
              </w:rPr>
              <w:t>т.д</w:t>
            </w:r>
            <w:proofErr w:type="spellEnd"/>
          </w:p>
          <w:p w:rsidR="00844BDC" w:rsidRPr="002A5ED7" w:rsidRDefault="00844BDC" w:rsidP="00844BDC">
            <w:pPr>
              <w:jc w:val="both"/>
              <w:rPr>
                <w:i/>
                <w:lang w:val="kk-KZ"/>
              </w:rPr>
            </w:pPr>
            <w:r w:rsidRPr="002A5ED7">
              <w:rPr>
                <w:i/>
                <w:lang w:val="kk-KZ"/>
              </w:rPr>
              <w:t>Справочно:</w:t>
            </w:r>
          </w:p>
          <w:p w:rsidR="00844BDC" w:rsidRPr="002A5ED7" w:rsidRDefault="00844BDC" w:rsidP="00844BDC">
            <w:pPr>
              <w:pStyle w:val="a3"/>
              <w:numPr>
                <w:ilvl w:val="0"/>
                <w:numId w:val="1"/>
              </w:numPr>
              <w:tabs>
                <w:tab w:val="left" w:pos="885"/>
              </w:tabs>
              <w:ind w:left="0" w:firstLine="709"/>
              <w:jc w:val="both"/>
              <w:rPr>
                <w:i/>
                <w:lang w:val="ru-RU"/>
              </w:rPr>
            </w:pPr>
            <w:r w:rsidRPr="002A5ED7">
              <w:rPr>
                <w:i/>
                <w:lang w:val="ru-RU"/>
              </w:rPr>
              <w:t>ПП РК № 785 «Об утверждении состава национальных научных советов» от 12 июля 2020 года;</w:t>
            </w:r>
          </w:p>
          <w:p w:rsidR="00844BDC" w:rsidRPr="002A5ED7" w:rsidRDefault="00844BDC" w:rsidP="00844BDC">
            <w:pPr>
              <w:pStyle w:val="a3"/>
              <w:numPr>
                <w:ilvl w:val="0"/>
                <w:numId w:val="1"/>
              </w:numPr>
              <w:tabs>
                <w:tab w:val="left" w:pos="885"/>
              </w:tabs>
              <w:ind w:left="0" w:firstLine="602"/>
              <w:jc w:val="both"/>
              <w:rPr>
                <w:lang w:val="kk-KZ"/>
              </w:rPr>
            </w:pPr>
            <w:r w:rsidRPr="002A5ED7">
              <w:rPr>
                <w:i/>
                <w:lang w:val="ru-RU"/>
              </w:rPr>
              <w:t>ПП РК № 519 «О национальных научных советах» от 23 июля 2020 года;</w:t>
            </w:r>
          </w:p>
          <w:p w:rsidR="00DB7B26" w:rsidRPr="0000579E" w:rsidRDefault="00844BDC" w:rsidP="00844BDC">
            <w:pPr>
              <w:pStyle w:val="western"/>
              <w:pBdr>
                <w:bottom w:val="single" w:sz="6" w:space="23" w:color="FFFFFF"/>
              </w:pBdr>
              <w:tabs>
                <w:tab w:val="left" w:pos="0"/>
              </w:tabs>
              <w:spacing w:before="0" w:after="0"/>
              <w:jc w:val="both"/>
              <w:rPr>
                <w:rFonts w:ascii="Times New Roman" w:hAnsi="Times New Roman"/>
                <w:color w:val="auto"/>
                <w:sz w:val="28"/>
              </w:rPr>
            </w:pPr>
            <w:r w:rsidRPr="002A5ED7">
              <w:rPr>
                <w:rFonts w:ascii="Times New Roman" w:hAnsi="Times New Roman"/>
                <w:i/>
                <w:color w:val="auto"/>
                <w:sz w:val="24"/>
              </w:rPr>
              <w:t>ПП РК № 891 «Об утверждении Правил организации и проведения государственной научно-технической экспертизы» (на согласовании в госорганах).</w:t>
            </w:r>
          </w:p>
        </w:tc>
      </w:tr>
      <w:tr w:rsidR="00EA027F" w:rsidRPr="0000579E" w:rsidTr="009F16DD">
        <w:tc>
          <w:tcPr>
            <w:tcW w:w="4111" w:type="dxa"/>
            <w:shd w:val="clear" w:color="auto" w:fill="auto"/>
          </w:tcPr>
          <w:p w:rsidR="00DB7B26" w:rsidRPr="0000579E" w:rsidRDefault="00DB7B26" w:rsidP="009F16DD">
            <w:pPr>
              <w:pStyle w:val="a3"/>
              <w:widowControl w:val="0"/>
              <w:tabs>
                <w:tab w:val="left" w:pos="176"/>
              </w:tabs>
              <w:ind w:left="0" w:firstLine="460"/>
              <w:jc w:val="both"/>
              <w:rPr>
                <w:sz w:val="28"/>
              </w:rPr>
            </w:pPr>
            <w:r w:rsidRPr="0000579E">
              <w:rPr>
                <w:sz w:val="28"/>
              </w:rPr>
              <w:lastRenderedPageBreak/>
              <w:t>Отток ученых из страны вследствие более благоприятных перспектив реализации своего научно-интеллектуального потенциала</w:t>
            </w:r>
          </w:p>
        </w:tc>
        <w:tc>
          <w:tcPr>
            <w:tcW w:w="11057" w:type="dxa"/>
            <w:shd w:val="clear" w:color="auto" w:fill="auto"/>
          </w:tcPr>
          <w:p w:rsidR="00DF206E" w:rsidRPr="0000579E" w:rsidRDefault="00DF206E" w:rsidP="00DF206E">
            <w:pPr>
              <w:ind w:firstLine="708"/>
              <w:jc w:val="both"/>
              <w:rPr>
                <w:bCs/>
                <w:sz w:val="28"/>
                <w:lang w:val="kk-KZ"/>
              </w:rPr>
            </w:pPr>
            <w:r w:rsidRPr="0000579E">
              <w:rPr>
                <w:sz w:val="28"/>
                <w:lang w:val="kk-KZ"/>
              </w:rPr>
              <w:t xml:space="preserve">В целях обновления научно-технической базы в 2020 году на материально-техническое оснащение 22-х подведомственных НИИ выделены средства в сумме 2,8 млрд. тенге. </w:t>
            </w:r>
            <w:r w:rsidRPr="0000579E">
              <w:rPr>
                <w:sz w:val="28"/>
              </w:rPr>
              <w:t xml:space="preserve">На 2021-2022 годы запланированы расходы в сумме </w:t>
            </w:r>
            <w:r w:rsidRPr="0000579E">
              <w:rPr>
                <w:bCs/>
                <w:sz w:val="28"/>
              </w:rPr>
              <w:t>7, 7 млрд. тенге</w:t>
            </w:r>
            <w:r w:rsidRPr="0000579E">
              <w:rPr>
                <w:bCs/>
                <w:sz w:val="28"/>
                <w:lang w:val="kk-KZ"/>
              </w:rPr>
              <w:t>.</w:t>
            </w:r>
          </w:p>
          <w:p w:rsidR="00DF206E" w:rsidRPr="0000579E" w:rsidRDefault="00DF206E" w:rsidP="00DF206E">
            <w:pPr>
              <w:ind w:firstLine="708"/>
              <w:jc w:val="both"/>
              <w:rPr>
                <w:sz w:val="28"/>
              </w:rPr>
            </w:pPr>
            <w:r w:rsidRPr="0000579E">
              <w:rPr>
                <w:bCs/>
                <w:sz w:val="28"/>
              </w:rPr>
              <w:t xml:space="preserve">Двум НИИ биологического профиля (НИИПББ, НЦБ) приобретено современное оборудование на 1 </w:t>
            </w:r>
            <w:proofErr w:type="spellStart"/>
            <w:r w:rsidRPr="0000579E">
              <w:rPr>
                <w:bCs/>
                <w:sz w:val="28"/>
              </w:rPr>
              <w:t>млрд.тенге</w:t>
            </w:r>
            <w:proofErr w:type="spellEnd"/>
            <w:r w:rsidRPr="0000579E">
              <w:rPr>
                <w:bCs/>
                <w:sz w:val="28"/>
              </w:rPr>
              <w:t xml:space="preserve">. </w:t>
            </w:r>
          </w:p>
          <w:p w:rsidR="00DF206E" w:rsidRPr="0000579E" w:rsidRDefault="00DF206E" w:rsidP="00DF206E">
            <w:pPr>
              <w:pStyle w:val="a3"/>
              <w:ind w:left="0" w:firstLine="425"/>
              <w:jc w:val="both"/>
              <w:rPr>
                <w:sz w:val="28"/>
                <w:lang w:val="ru-RU"/>
              </w:rPr>
            </w:pPr>
            <w:r w:rsidRPr="0000579E">
              <w:rPr>
                <w:bCs/>
                <w:sz w:val="28"/>
                <w:lang w:val="ru-RU"/>
              </w:rPr>
              <w:t>- Сумма</w:t>
            </w:r>
            <w:r w:rsidRPr="0000579E">
              <w:rPr>
                <w:b/>
                <w:bCs/>
                <w:sz w:val="28"/>
                <w:lang w:val="ru-RU"/>
              </w:rPr>
              <w:t xml:space="preserve"> </w:t>
            </w:r>
            <w:r w:rsidRPr="0000579E">
              <w:rPr>
                <w:bCs/>
                <w:sz w:val="28"/>
                <w:lang w:val="ru-RU"/>
              </w:rPr>
              <w:t>базового финансирования н</w:t>
            </w:r>
            <w:r w:rsidRPr="0000579E">
              <w:rPr>
                <w:sz w:val="28"/>
                <w:lang w:val="ru-RU"/>
              </w:rPr>
              <w:t xml:space="preserve">а 2020 год составило </w:t>
            </w:r>
            <w:r w:rsidRPr="0000579E">
              <w:rPr>
                <w:bCs/>
                <w:sz w:val="28"/>
                <w:lang w:val="ru-RU"/>
              </w:rPr>
              <w:t>5 620 млн. тенге и</w:t>
            </w:r>
            <w:r w:rsidRPr="0000579E">
              <w:rPr>
                <w:sz w:val="28"/>
                <w:lang w:val="ru-RU"/>
              </w:rPr>
              <w:t xml:space="preserve"> по сравнению с 2019 годам увеличена на </w:t>
            </w:r>
            <w:r w:rsidRPr="0000579E">
              <w:rPr>
                <w:bCs/>
                <w:sz w:val="28"/>
                <w:lang w:val="ru-RU"/>
              </w:rPr>
              <w:t>13,58%</w:t>
            </w:r>
            <w:r w:rsidRPr="0000579E">
              <w:rPr>
                <w:sz w:val="28"/>
                <w:lang w:val="ru-RU"/>
              </w:rPr>
              <w:t>;</w:t>
            </w:r>
          </w:p>
          <w:p w:rsidR="00DF206E" w:rsidRPr="0000579E" w:rsidRDefault="00DF206E" w:rsidP="00DF206E">
            <w:pPr>
              <w:pStyle w:val="a3"/>
              <w:ind w:left="0" w:firstLine="425"/>
              <w:jc w:val="both"/>
              <w:rPr>
                <w:sz w:val="28"/>
                <w:lang w:val="ru-RU"/>
              </w:rPr>
            </w:pPr>
            <w:r w:rsidRPr="0000579E">
              <w:rPr>
                <w:sz w:val="28"/>
                <w:lang w:val="ru-RU"/>
              </w:rPr>
              <w:t xml:space="preserve">- Объем </w:t>
            </w:r>
            <w:proofErr w:type="spellStart"/>
            <w:r w:rsidRPr="0000579E">
              <w:rPr>
                <w:sz w:val="28"/>
                <w:lang w:val="ru-RU"/>
              </w:rPr>
              <w:t>грантового</w:t>
            </w:r>
            <w:proofErr w:type="spellEnd"/>
            <w:r w:rsidRPr="0000579E">
              <w:rPr>
                <w:sz w:val="28"/>
                <w:lang w:val="ru-RU"/>
              </w:rPr>
              <w:t xml:space="preserve"> финансирования составил </w:t>
            </w:r>
            <w:r w:rsidRPr="0000579E">
              <w:rPr>
                <w:bCs/>
                <w:sz w:val="28"/>
                <w:lang w:val="ru-RU"/>
              </w:rPr>
              <w:t>20 402 млн. тенге и прирост</w:t>
            </w:r>
            <w:r w:rsidRPr="0000579E">
              <w:rPr>
                <w:sz w:val="28"/>
                <w:lang w:val="ru-RU"/>
              </w:rPr>
              <w:t xml:space="preserve"> на 114,94% по сравнению с 2018 годом;</w:t>
            </w:r>
          </w:p>
          <w:p w:rsidR="00DF206E" w:rsidRPr="0000579E" w:rsidRDefault="00DF206E" w:rsidP="00DF206E">
            <w:pPr>
              <w:pStyle w:val="a3"/>
              <w:tabs>
                <w:tab w:val="left" w:pos="1169"/>
              </w:tabs>
              <w:ind w:left="0" w:firstLine="425"/>
              <w:jc w:val="both"/>
              <w:rPr>
                <w:rFonts w:eastAsiaTheme="minorEastAsia"/>
                <w:sz w:val="28"/>
              </w:rPr>
            </w:pPr>
            <w:r w:rsidRPr="0000579E">
              <w:rPr>
                <w:rFonts w:eastAsiaTheme="minorEastAsia"/>
                <w:sz w:val="28"/>
                <w:lang w:val="ru-RU"/>
              </w:rPr>
              <w:t xml:space="preserve">- На программно-целевое финансирование выделено </w:t>
            </w:r>
            <w:r w:rsidRPr="0000579E">
              <w:rPr>
                <w:bCs/>
                <w:sz w:val="28"/>
              </w:rPr>
              <w:t>– 31 934 млн. тенге</w:t>
            </w:r>
            <w:r w:rsidRPr="0000579E">
              <w:rPr>
                <w:bCs/>
                <w:sz w:val="28"/>
                <w:lang w:val="kk-KZ"/>
              </w:rPr>
              <w:t xml:space="preserve">, </w:t>
            </w:r>
            <w:r w:rsidRPr="0000579E">
              <w:rPr>
                <w:bCs/>
                <w:sz w:val="28"/>
                <w:lang w:val="ru-RU"/>
              </w:rPr>
              <w:t>прирост 45,14% по сравнению с 2018 годом.</w:t>
            </w:r>
          </w:p>
          <w:p w:rsidR="00DF206E" w:rsidRPr="0000579E" w:rsidRDefault="00DF206E" w:rsidP="00DF206E">
            <w:pPr>
              <w:pStyle w:val="a3"/>
              <w:ind w:left="0" w:firstLine="425"/>
              <w:jc w:val="both"/>
              <w:rPr>
                <w:sz w:val="28"/>
                <w:lang w:val="kk-KZ"/>
              </w:rPr>
            </w:pPr>
            <w:r w:rsidRPr="0000579E">
              <w:rPr>
                <w:sz w:val="28"/>
                <w:lang w:val="ru-RU"/>
              </w:rPr>
              <w:t xml:space="preserve">- </w:t>
            </w:r>
            <w:r w:rsidRPr="0000579E">
              <w:rPr>
                <w:sz w:val="28"/>
                <w:lang w:val="kk-KZ"/>
              </w:rPr>
              <w:t xml:space="preserve">Проведено 5 конкурсов на грантового финансирования научных и научно-технических проектов. </w:t>
            </w:r>
          </w:p>
          <w:p w:rsidR="00DB7B26" w:rsidRPr="0000579E" w:rsidRDefault="00DF206E" w:rsidP="00DF206E">
            <w:pPr>
              <w:pStyle w:val="a3"/>
              <w:widowControl w:val="0"/>
              <w:tabs>
                <w:tab w:val="left" w:pos="176"/>
              </w:tabs>
              <w:ind w:left="-107" w:firstLine="283"/>
              <w:jc w:val="both"/>
              <w:rPr>
                <w:sz w:val="28"/>
              </w:rPr>
            </w:pPr>
            <w:r w:rsidRPr="0000579E">
              <w:rPr>
                <w:sz w:val="28"/>
                <w:lang w:val="kk-KZ"/>
              </w:rPr>
              <w:t>- Введены новые виды грантов (на коллаборацию, краткосрочные, индивидуальные, для молодых ученых)</w:t>
            </w:r>
          </w:p>
        </w:tc>
      </w:tr>
    </w:tbl>
    <w:p w:rsidR="00DB7B26" w:rsidRPr="0000579E" w:rsidRDefault="00DB7B26">
      <w:pPr>
        <w:rPr>
          <w:sz w:val="28"/>
        </w:rPr>
      </w:pPr>
    </w:p>
    <w:sectPr w:rsidR="00DB7B26" w:rsidRPr="0000579E" w:rsidSect="00DB7B2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124E23"/>
    <w:multiLevelType w:val="hybridMultilevel"/>
    <w:tmpl w:val="93B895AC"/>
    <w:lvl w:ilvl="0" w:tplc="0B38E31C">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8C"/>
    <w:rsid w:val="0000579E"/>
    <w:rsid w:val="00030037"/>
    <w:rsid w:val="000F2FA4"/>
    <w:rsid w:val="00190D73"/>
    <w:rsid w:val="002A5ED7"/>
    <w:rsid w:val="003A35AC"/>
    <w:rsid w:val="003D5235"/>
    <w:rsid w:val="004C5E88"/>
    <w:rsid w:val="004D5866"/>
    <w:rsid w:val="00526E8C"/>
    <w:rsid w:val="00745A27"/>
    <w:rsid w:val="00844BDC"/>
    <w:rsid w:val="008A250F"/>
    <w:rsid w:val="00913303"/>
    <w:rsid w:val="00A14AC2"/>
    <w:rsid w:val="00B55D63"/>
    <w:rsid w:val="00B71749"/>
    <w:rsid w:val="00CD6E1F"/>
    <w:rsid w:val="00CD7821"/>
    <w:rsid w:val="00CF244E"/>
    <w:rsid w:val="00D26C33"/>
    <w:rsid w:val="00D54C74"/>
    <w:rsid w:val="00DB7B26"/>
    <w:rsid w:val="00DC124B"/>
    <w:rsid w:val="00DF206E"/>
    <w:rsid w:val="00EA027F"/>
    <w:rsid w:val="00EF6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BBE49-101F-40A7-B863-E3A7AA52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B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NUMBERED PARAGRAPH,List Paragraph 1,Bullets,List_Paragraph,Multilevel para_II,List Paragraph1,Akapit z listą BS,List Paragraph (numbered (a)),IBL List Paragraph,List Paragraph nowy,Numbered List Paragraph,Bullet1,Te"/>
    <w:basedOn w:val="a"/>
    <w:link w:val="a4"/>
    <w:uiPriority w:val="34"/>
    <w:qFormat/>
    <w:rsid w:val="00DB7B26"/>
    <w:pPr>
      <w:ind w:left="720"/>
      <w:contextualSpacing/>
    </w:pPr>
    <w:rPr>
      <w:lang w:val="x-none"/>
    </w:r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3"/>
    <w:uiPriority w:val="34"/>
    <w:qFormat/>
    <w:rsid w:val="00DB7B26"/>
    <w:rPr>
      <w:rFonts w:ascii="Times New Roman" w:eastAsia="Times New Roman" w:hAnsi="Times New Roman" w:cs="Times New Roman"/>
      <w:sz w:val="24"/>
      <w:szCs w:val="24"/>
      <w:lang w:val="x-none" w:eastAsia="ru-RU"/>
    </w:rPr>
  </w:style>
  <w:style w:type="paragraph" w:customStyle="1" w:styleId="1">
    <w:name w:val="Без интервала1"/>
    <w:aliases w:val="Без интервала111,Эльдар,No Spacing11,СНОС"/>
    <w:link w:val="NoSpacingChar"/>
    <w:qFormat/>
    <w:rsid w:val="00DB7B26"/>
    <w:pPr>
      <w:spacing w:after="0" w:line="240" w:lineRule="auto"/>
    </w:pPr>
    <w:rPr>
      <w:rFonts w:ascii="Calibri" w:eastAsia="Times New Roman" w:hAnsi="Calibri" w:cs="Times New Roman"/>
    </w:rPr>
  </w:style>
  <w:style w:type="character" w:customStyle="1" w:styleId="NoSpacingChar">
    <w:name w:val="No Spacing Char"/>
    <w:aliases w:val="Айгерим Char"/>
    <w:link w:val="1"/>
    <w:locked/>
    <w:rsid w:val="00DB7B26"/>
    <w:rPr>
      <w:rFonts w:ascii="Calibri" w:eastAsia="Times New Roman" w:hAnsi="Calibri" w:cs="Times New Roman"/>
    </w:rPr>
  </w:style>
  <w:style w:type="paragraph" w:styleId="a5">
    <w:name w:val="Body Text Indent"/>
    <w:basedOn w:val="a"/>
    <w:link w:val="a6"/>
    <w:unhideWhenUsed/>
    <w:rsid w:val="00DB7B26"/>
    <w:pPr>
      <w:spacing w:after="120" w:line="276" w:lineRule="auto"/>
      <w:ind w:left="283"/>
    </w:pPr>
    <w:rPr>
      <w:rFonts w:ascii="Calibri" w:hAnsi="Calibri"/>
      <w:sz w:val="20"/>
      <w:szCs w:val="20"/>
      <w:lang w:val="x-none"/>
    </w:rPr>
  </w:style>
  <w:style w:type="character" w:customStyle="1" w:styleId="a6">
    <w:name w:val="Основной текст с отступом Знак"/>
    <w:basedOn w:val="a0"/>
    <w:link w:val="a5"/>
    <w:rsid w:val="00DB7B26"/>
    <w:rPr>
      <w:rFonts w:ascii="Calibri" w:eastAsia="Times New Roman" w:hAnsi="Calibri" w:cs="Times New Roman"/>
      <w:sz w:val="20"/>
      <w:szCs w:val="20"/>
      <w:lang w:val="x-none" w:eastAsia="ru-RU"/>
    </w:rPr>
  </w:style>
  <w:style w:type="character" w:customStyle="1" w:styleId="s0">
    <w:name w:val="s0"/>
    <w:rsid w:val="00DB7B26"/>
    <w:rPr>
      <w:rFonts w:ascii="Times New Roman" w:hAnsi="Times New Roman" w:cs="Times New Roman" w:hint="default"/>
      <w:b w:val="0"/>
      <w:bCs w:val="0"/>
      <w:i w:val="0"/>
      <w:iCs w:val="0"/>
      <w:strike w:val="0"/>
      <w:dstrike w:val="0"/>
      <w:color w:val="000000"/>
      <w:sz w:val="20"/>
      <w:szCs w:val="20"/>
      <w:u w:val="none"/>
      <w:effect w:val="none"/>
    </w:rPr>
  </w:style>
  <w:style w:type="character" w:styleId="a7">
    <w:name w:val="Emphasis"/>
    <w:uiPriority w:val="20"/>
    <w:qFormat/>
    <w:rsid w:val="00DB7B26"/>
    <w:rPr>
      <w:i/>
      <w:iCs/>
    </w:rPr>
  </w:style>
  <w:style w:type="paragraph" w:customStyle="1" w:styleId="western">
    <w:name w:val="western"/>
    <w:basedOn w:val="a"/>
    <w:rsid w:val="00DB7B26"/>
    <w:pPr>
      <w:widowControl w:val="0"/>
      <w:suppressAutoHyphens/>
      <w:spacing w:before="280" w:after="119"/>
    </w:pPr>
    <w:rPr>
      <w:rFonts w:ascii="Arial" w:eastAsia="Lucida Sans Unicode" w:hAnsi="Arial"/>
      <w:color w:val="000000"/>
      <w:kern w:val="2"/>
      <w:sz w:val="20"/>
      <w:lang w:eastAsia="en-US"/>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9"/>
    <w:uiPriority w:val="99"/>
    <w:unhideWhenUsed/>
    <w:qFormat/>
    <w:rsid w:val="004C5E88"/>
    <w:pPr>
      <w:spacing w:before="100" w:beforeAutospacing="1" w:after="100" w:afterAutospacing="1"/>
    </w:pPr>
    <w:rPr>
      <w:lang w:eastAsia="en-US"/>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uiPriority w:val="99"/>
    <w:locked/>
    <w:rsid w:val="004C5E88"/>
    <w:rPr>
      <w:rFonts w:ascii="Times New Roman" w:eastAsia="Times New Roman" w:hAnsi="Times New Roman" w:cs="Times New Roman"/>
      <w:sz w:val="24"/>
      <w:szCs w:val="24"/>
    </w:rPr>
  </w:style>
  <w:style w:type="paragraph" w:styleId="aa">
    <w:name w:val="No Spacing"/>
    <w:aliases w:val="ТекстОтчета,Алия,мелкий,мой рабочий,No Spacing,Обя,норма,Айгерим,СНОСКИ,No Spacing1,Без интервала3,свой,Без интервала11,14 TNR,без интервала,Елжан,МОЙ СТИЛЬ,Без интеБез интервала,Article,Ерк!н,ARSH_N,Интервалсыз,Без интервала6,исполнитель"/>
    <w:link w:val="ab"/>
    <w:uiPriority w:val="1"/>
    <w:qFormat/>
    <w:rsid w:val="004C5E88"/>
    <w:pPr>
      <w:spacing w:after="0" w:line="240" w:lineRule="auto"/>
    </w:pPr>
    <w:rPr>
      <w:rFonts w:ascii="Times New Roman" w:eastAsia="Arial" w:hAnsi="Times New Roman" w:cs="Arial"/>
      <w:sz w:val="28"/>
      <w:lang w:val="en-US" w:eastAsia="ru-RU"/>
    </w:rPr>
  </w:style>
  <w:style w:type="character" w:customStyle="1" w:styleId="ab">
    <w:name w:val="Без интервала Знак"/>
    <w:aliases w:val="ТекстОтчета Знак,Алия Знак,мелкий Знак,мой рабочий Знак,No Spacing Знак,Обя Знак,норма Знак,Айгерим Знак,СНОСКИ Знак,No Spacing1 Знак,Без интервала3 Знак,свой Знак,Без интервала11 Знак,14 TNR Знак,без интервала Знак,Елжан Знак"/>
    <w:link w:val="aa"/>
    <w:uiPriority w:val="1"/>
    <w:rsid w:val="004C5E88"/>
    <w:rPr>
      <w:rFonts w:ascii="Times New Roman" w:eastAsia="Arial" w:hAnsi="Times New Roman" w:cs="Arial"/>
      <w:sz w:val="28"/>
      <w:lang w:val="en-US" w:eastAsia="ru-RU"/>
    </w:rPr>
  </w:style>
  <w:style w:type="character" w:customStyle="1" w:styleId="s2">
    <w:name w:val="s2"/>
    <w:rsid w:val="00844BDC"/>
    <w:rPr>
      <w:rFonts w:ascii="Times New Roman" w:hAnsi="Times New Roman" w:cs="Times New Roman" w:hint="default"/>
      <w:b/>
      <w:bCs/>
      <w:i w:val="0"/>
      <w:iCs w:val="0"/>
      <w:strike w:val="0"/>
      <w:dstrike w:val="0"/>
      <w:color w:val="000080"/>
      <w:sz w:val="32"/>
      <w:szCs w:val="32"/>
      <w:u w:val="none"/>
      <w:effect w:val="none"/>
    </w:rPr>
  </w:style>
  <w:style w:type="character" w:styleId="ac">
    <w:name w:val="Hyperlink"/>
    <w:unhideWhenUsed/>
    <w:rsid w:val="00DF206E"/>
    <w:rPr>
      <w:rFonts w:ascii="Times New Roman" w:hAnsi="Times New Roman" w:cs="Times New Roman" w:hint="default"/>
      <w:b/>
      <w:bCs/>
      <w:i w:val="0"/>
      <w:iCs w:val="0"/>
      <w:color w:val="000080"/>
      <w:sz w:val="32"/>
      <w:szCs w:val="32"/>
      <w:u w:val="single"/>
    </w:rPr>
  </w:style>
  <w:style w:type="table" w:styleId="ad">
    <w:name w:val="Table Grid"/>
    <w:basedOn w:val="a1"/>
    <w:uiPriority w:val="59"/>
    <w:rsid w:val="00EA027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D26C33"/>
    <w:rPr>
      <w:rFonts w:ascii="Segoe UI" w:hAnsi="Segoe UI" w:cs="Segoe UI"/>
      <w:sz w:val="18"/>
      <w:szCs w:val="18"/>
    </w:rPr>
  </w:style>
  <w:style w:type="character" w:customStyle="1" w:styleId="af">
    <w:name w:val="Текст выноски Знак"/>
    <w:basedOn w:val="a0"/>
    <w:link w:val="ae"/>
    <w:uiPriority w:val="99"/>
    <w:semiHidden/>
    <w:rsid w:val="00D26C3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2618</Words>
  <Characters>14926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Султанова Гульмира Жолдыбаевна</dc:creator>
  <cp:keywords/>
  <dc:description/>
  <cp:lastModifiedBy>Султанова Гульмира Жолдыбаевна</cp:lastModifiedBy>
  <cp:revision>5</cp:revision>
  <cp:lastPrinted>2021-02-26T09:34:00Z</cp:lastPrinted>
  <dcterms:created xsi:type="dcterms:W3CDTF">2021-02-26T09:30:00Z</dcterms:created>
  <dcterms:modified xsi:type="dcterms:W3CDTF">2021-02-26T10:47:00Z</dcterms:modified>
</cp:coreProperties>
</file>