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F41" w:rsidRPr="00A202DF" w:rsidRDefault="00C23043" w:rsidP="00DA3532">
      <w:pPr>
        <w:pStyle w:val="a3"/>
        <w:keepNext/>
        <w:rPr>
          <w:color w:val="000000"/>
        </w:rPr>
      </w:pPr>
      <w:r>
        <w:rPr>
          <w:b/>
          <w:bCs/>
          <w:color w:val="000000"/>
        </w:rPr>
        <w:t>2</w:t>
      </w:r>
      <w:r w:rsidR="00240F41" w:rsidRPr="00A202DF">
        <w:rPr>
          <w:b/>
          <w:bCs/>
          <w:color w:val="000000"/>
        </w:rPr>
        <w:t>. Анализ межведомственного взаимодействия</w:t>
      </w:r>
    </w:p>
    <w:tbl>
      <w:tblPr>
        <w:tblW w:w="10346" w:type="dxa"/>
        <w:jc w:val="center"/>
        <w:tblInd w:w="-694" w:type="dxa"/>
        <w:tblCellMar>
          <w:left w:w="0" w:type="dxa"/>
          <w:right w:w="0" w:type="dxa"/>
        </w:tblCellMar>
        <w:tblLook w:val="0000" w:firstRow="0" w:lastRow="0" w:firstColumn="0" w:lastColumn="0" w:noHBand="0" w:noVBand="0"/>
      </w:tblPr>
      <w:tblGrid>
        <w:gridCol w:w="2869"/>
        <w:gridCol w:w="2308"/>
        <w:gridCol w:w="5169"/>
      </w:tblGrid>
      <w:tr w:rsidR="00C23043" w:rsidRPr="00A202DF" w:rsidTr="00701D19">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lang w:val="kk-KZ"/>
              </w:rPr>
            </w:pPr>
            <w:r w:rsidRPr="00A202DF">
              <w:rPr>
                <w:b/>
              </w:rPr>
              <w:t>Наименование</w:t>
            </w:r>
            <w:r w:rsidRPr="00A202DF">
              <w:rPr>
                <w:b/>
                <w:lang w:val="kk-KZ"/>
              </w:rPr>
              <w:t xml:space="preserve"> целевого индикатора</w:t>
            </w:r>
          </w:p>
        </w:tc>
        <w:tc>
          <w:tcPr>
            <w:tcW w:w="2308" w:type="dxa"/>
            <w:tcBorders>
              <w:top w:val="outset" w:sz="8" w:space="0" w:color="000000"/>
              <w:left w:val="outset" w:sz="8" w:space="0" w:color="000000"/>
              <w:bottom w:val="outset" w:sz="8" w:space="0" w:color="000000"/>
              <w:right w:val="inset" w:sz="8" w:space="0" w:color="000000"/>
            </w:tcBorders>
          </w:tcPr>
          <w:p w:rsidR="00C23043" w:rsidRPr="00A202DF" w:rsidRDefault="00DB16CD" w:rsidP="00DA3532">
            <w:pPr>
              <w:pStyle w:val="a3"/>
              <w:keepNext/>
              <w:spacing w:before="0" w:beforeAutospacing="0" w:after="0" w:afterAutospacing="0"/>
              <w:jc w:val="center"/>
              <w:rPr>
                <w:b/>
              </w:rPr>
            </w:pPr>
            <w:r>
              <w:rPr>
                <w:b/>
              </w:rPr>
              <w:t>С</w:t>
            </w:r>
            <w:r w:rsidR="00C23043" w:rsidRPr="00A202DF">
              <w:rPr>
                <w:b/>
              </w:rPr>
              <w:t>оисполнитель</w:t>
            </w:r>
          </w:p>
        </w:tc>
        <w:tc>
          <w:tcPr>
            <w:tcW w:w="516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rPr>
            </w:pPr>
            <w:r w:rsidRPr="00A202DF">
              <w:rPr>
                <w:b/>
              </w:rPr>
              <w:t>Анализ взаимодействия</w:t>
            </w:r>
          </w:p>
        </w:tc>
      </w:tr>
      <w:tr w:rsidR="00701D19" w:rsidRPr="00000CD6" w:rsidTr="00701D19">
        <w:trPr>
          <w:jc w:val="center"/>
        </w:trPr>
        <w:tc>
          <w:tcPr>
            <w:tcW w:w="2869" w:type="dxa"/>
            <w:tcBorders>
              <w:top w:val="outset" w:sz="8" w:space="0" w:color="000000"/>
              <w:left w:val="outset" w:sz="8" w:space="0" w:color="000000"/>
              <w:bottom w:val="outset" w:sz="8" w:space="0" w:color="000000"/>
              <w:right w:val="outset" w:sz="8" w:space="0" w:color="000000"/>
            </w:tcBorders>
            <w:shd w:val="clear" w:color="auto" w:fill="auto"/>
            <w:tcMar>
              <w:top w:w="15" w:type="dxa"/>
              <w:left w:w="15" w:type="dxa"/>
              <w:bottom w:w="15" w:type="dxa"/>
              <w:right w:w="15" w:type="dxa"/>
            </w:tcMar>
          </w:tcPr>
          <w:p w:rsidR="00701D19" w:rsidRPr="00000CD6" w:rsidRDefault="00701D19" w:rsidP="007D7622">
            <w:pPr>
              <w:pStyle w:val="a3"/>
              <w:ind w:left="124" w:right="21" w:firstLine="284"/>
            </w:pPr>
            <w:r>
              <w:t xml:space="preserve">Рост численности населения </w:t>
            </w:r>
            <w:r w:rsidRPr="00000CD6">
              <w:t xml:space="preserve">в </w:t>
            </w:r>
            <w:proofErr w:type="gramStart"/>
            <w:r w:rsidRPr="00000CD6">
              <w:t>опорных</w:t>
            </w:r>
            <w:proofErr w:type="gramEnd"/>
            <w:r w:rsidRPr="00000CD6">
              <w:t xml:space="preserve"> СНП</w:t>
            </w:r>
          </w:p>
        </w:tc>
        <w:tc>
          <w:tcPr>
            <w:tcW w:w="2308" w:type="dxa"/>
            <w:tcBorders>
              <w:top w:val="outset" w:sz="8" w:space="0" w:color="000000"/>
              <w:left w:val="outset" w:sz="8" w:space="0" w:color="000000"/>
              <w:bottom w:val="outset" w:sz="8" w:space="0" w:color="000000"/>
              <w:right w:val="inset" w:sz="8" w:space="0" w:color="000000"/>
            </w:tcBorders>
            <w:shd w:val="clear" w:color="auto" w:fill="auto"/>
          </w:tcPr>
          <w:p w:rsidR="00701D19" w:rsidRPr="00E90C5E" w:rsidRDefault="00701D19" w:rsidP="007D7622">
            <w:pPr>
              <w:pStyle w:val="a3"/>
              <w:ind w:left="124" w:right="21"/>
              <w:jc w:val="both"/>
              <w:rPr>
                <w:lang w:val="kk-KZ"/>
              </w:rPr>
            </w:pPr>
            <w:r w:rsidRPr="00E90C5E">
              <w:rPr>
                <w:lang w:val="kk-KZ"/>
              </w:rPr>
              <w:t>Акимы районов</w:t>
            </w:r>
          </w:p>
        </w:tc>
        <w:tc>
          <w:tcPr>
            <w:tcW w:w="5169" w:type="dxa"/>
            <w:vMerge w:val="restart"/>
            <w:tcBorders>
              <w:top w:val="outset" w:sz="8" w:space="0" w:color="000000"/>
              <w:left w:val="inset" w:sz="8" w:space="0" w:color="000000"/>
              <w:right w:val="outset" w:sz="8" w:space="0" w:color="000000"/>
            </w:tcBorders>
            <w:shd w:val="clear" w:color="auto" w:fill="auto"/>
            <w:tcMar>
              <w:top w:w="15" w:type="dxa"/>
              <w:left w:w="15" w:type="dxa"/>
              <w:bottom w:w="15" w:type="dxa"/>
              <w:right w:w="15" w:type="dxa"/>
            </w:tcMar>
          </w:tcPr>
          <w:p w:rsidR="00701D19" w:rsidRPr="00E90C5E" w:rsidRDefault="00701D19" w:rsidP="000820D9">
            <w:pPr>
              <w:pStyle w:val="a3"/>
              <w:ind w:left="124" w:right="21" w:firstLine="210"/>
              <w:jc w:val="both"/>
              <w:rPr>
                <w:lang w:val="kk-KZ"/>
              </w:rPr>
            </w:pPr>
            <w:r w:rsidRPr="00E90C5E">
              <w:rPr>
                <w:lang w:val="kk-KZ"/>
              </w:rPr>
              <w:t>В целях обеспечения достижения целевого  индикатора в опорных сельских населенных пунктах по данным районных акиматов в 2019 году реализованы 104 мероприятия, создано 173 рабочих места, в том числе в приграничных опорных селах  5 мероприятий</w:t>
            </w:r>
            <w:r>
              <w:rPr>
                <w:lang w:val="kk-KZ"/>
              </w:rPr>
              <w:t xml:space="preserve"> с созданием 5 рабочих мест. </w:t>
            </w:r>
            <w:r w:rsidRPr="00E90C5E">
              <w:rPr>
                <w:lang w:val="kk-KZ"/>
              </w:rPr>
              <w:t>Основной причиной убыли населения является переезд трудоспособного населения в областной центр г. Петропавловск, г. Астана, отток граждан некоренной национальности на историческую родину.</w:t>
            </w:r>
          </w:p>
        </w:tc>
      </w:tr>
      <w:tr w:rsidR="00701D19" w:rsidRPr="00000CD6" w:rsidTr="00701D19">
        <w:trPr>
          <w:jc w:val="center"/>
        </w:trPr>
        <w:tc>
          <w:tcPr>
            <w:tcW w:w="2869" w:type="dxa"/>
            <w:tcBorders>
              <w:top w:val="outset" w:sz="8" w:space="0" w:color="000000"/>
              <w:left w:val="outset" w:sz="8" w:space="0" w:color="000000"/>
              <w:bottom w:val="outset" w:sz="8" w:space="0" w:color="000000"/>
              <w:right w:val="outset" w:sz="8" w:space="0" w:color="000000"/>
            </w:tcBorders>
            <w:shd w:val="clear" w:color="auto" w:fill="auto"/>
            <w:tcMar>
              <w:top w:w="15" w:type="dxa"/>
              <w:left w:w="15" w:type="dxa"/>
              <w:bottom w:w="15" w:type="dxa"/>
              <w:right w:w="15" w:type="dxa"/>
            </w:tcMar>
          </w:tcPr>
          <w:p w:rsidR="00701D19" w:rsidRPr="00000CD6" w:rsidRDefault="00701D19" w:rsidP="007D7622">
            <w:pPr>
              <w:pStyle w:val="a3"/>
              <w:ind w:left="124" w:right="21" w:firstLine="284"/>
            </w:pPr>
            <w:r w:rsidRPr="00000CD6">
              <w:t xml:space="preserve">Рост численности населения </w:t>
            </w:r>
            <w:proofErr w:type="gramStart"/>
            <w:r w:rsidRPr="00000CD6">
              <w:t>в</w:t>
            </w:r>
            <w:proofErr w:type="gramEnd"/>
            <w:r w:rsidRPr="00000CD6">
              <w:t xml:space="preserve"> опорных СНП, расположенных на приграничных территориях</w:t>
            </w:r>
          </w:p>
        </w:tc>
        <w:tc>
          <w:tcPr>
            <w:tcW w:w="2308" w:type="dxa"/>
            <w:tcBorders>
              <w:top w:val="outset" w:sz="8" w:space="0" w:color="000000"/>
              <w:left w:val="outset" w:sz="8" w:space="0" w:color="000000"/>
              <w:bottom w:val="outset" w:sz="8" w:space="0" w:color="000000"/>
              <w:right w:val="inset" w:sz="8" w:space="0" w:color="000000"/>
            </w:tcBorders>
            <w:shd w:val="clear" w:color="auto" w:fill="auto"/>
          </w:tcPr>
          <w:p w:rsidR="00701D19" w:rsidRPr="00E90C5E" w:rsidRDefault="00701D19" w:rsidP="007D7622">
            <w:pPr>
              <w:pStyle w:val="a3"/>
              <w:ind w:left="124" w:right="21"/>
              <w:jc w:val="both"/>
              <w:rPr>
                <w:lang w:val="kk-KZ"/>
              </w:rPr>
            </w:pPr>
            <w:r w:rsidRPr="00E90C5E">
              <w:rPr>
                <w:lang w:val="kk-KZ"/>
              </w:rPr>
              <w:t>Акимы районов</w:t>
            </w:r>
          </w:p>
        </w:tc>
        <w:tc>
          <w:tcPr>
            <w:tcW w:w="5169" w:type="dxa"/>
            <w:vMerge/>
            <w:tcBorders>
              <w:left w:val="inset" w:sz="8" w:space="0" w:color="000000"/>
              <w:bottom w:val="outset" w:sz="8" w:space="0" w:color="000000"/>
              <w:right w:val="outset" w:sz="8" w:space="0" w:color="000000"/>
            </w:tcBorders>
            <w:shd w:val="clear" w:color="auto" w:fill="auto"/>
            <w:tcMar>
              <w:top w:w="15" w:type="dxa"/>
              <w:left w:w="15" w:type="dxa"/>
              <w:bottom w:w="15" w:type="dxa"/>
              <w:right w:w="15" w:type="dxa"/>
            </w:tcMar>
          </w:tcPr>
          <w:p w:rsidR="00701D19" w:rsidRPr="00E90C5E" w:rsidRDefault="00701D19" w:rsidP="00701D19">
            <w:pPr>
              <w:pStyle w:val="a3"/>
              <w:ind w:left="124" w:right="21" w:firstLine="210"/>
              <w:jc w:val="both"/>
              <w:rPr>
                <w:lang w:val="kk-KZ"/>
              </w:rPr>
            </w:pPr>
          </w:p>
        </w:tc>
      </w:tr>
      <w:tr w:rsidR="00523F08" w:rsidRPr="00A202DF" w:rsidTr="00701D19">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23F08" w:rsidRPr="00523F08" w:rsidRDefault="00523F08" w:rsidP="006F74BA">
            <w:pPr>
              <w:pStyle w:val="a3"/>
              <w:ind w:left="124" w:right="21" w:firstLine="284"/>
              <w:jc w:val="both"/>
            </w:pPr>
            <w:r w:rsidRPr="00523F08">
              <w:t>Количество функционирующих аварийных и трехсменных школ</w:t>
            </w:r>
          </w:p>
        </w:tc>
        <w:tc>
          <w:tcPr>
            <w:tcW w:w="2308" w:type="dxa"/>
            <w:tcBorders>
              <w:top w:val="outset" w:sz="8" w:space="0" w:color="000000"/>
              <w:left w:val="outset" w:sz="8" w:space="0" w:color="000000"/>
              <w:bottom w:val="outset" w:sz="8" w:space="0" w:color="000000"/>
              <w:right w:val="inset" w:sz="8" w:space="0" w:color="000000"/>
            </w:tcBorders>
          </w:tcPr>
          <w:p w:rsidR="00523F08" w:rsidRPr="00523F08" w:rsidRDefault="003829A9" w:rsidP="003829A9">
            <w:pPr>
              <w:pStyle w:val="a3"/>
              <w:ind w:left="124" w:right="21"/>
              <w:jc w:val="both"/>
              <w:rPr>
                <w:lang w:val="kk-KZ"/>
              </w:rPr>
            </w:pPr>
            <w:r>
              <w:rPr>
                <w:lang w:val="kk-KZ"/>
              </w:rPr>
              <w:t>А</w:t>
            </w:r>
            <w:r w:rsidR="00523F08" w:rsidRPr="00523F08">
              <w:rPr>
                <w:lang w:val="kk-KZ"/>
              </w:rPr>
              <w:t>кимы районов и г.Петропавловска</w:t>
            </w:r>
          </w:p>
        </w:tc>
        <w:tc>
          <w:tcPr>
            <w:tcW w:w="5169"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523F08" w:rsidRPr="00523F08" w:rsidRDefault="007473EF" w:rsidP="00701D19">
            <w:pPr>
              <w:pStyle w:val="a3"/>
              <w:ind w:left="124" w:right="21" w:firstLine="210"/>
              <w:jc w:val="both"/>
              <w:rPr>
                <w:lang w:val="kk-KZ"/>
              </w:rPr>
            </w:pPr>
            <w:r w:rsidRPr="007473EF">
              <w:rPr>
                <w:lang w:val="kk-KZ"/>
              </w:rPr>
              <w:t>В области 3 школы с трехсменным обучением: 2 школы в г.Петропавловске: №6, №10).  Количество обучающихся в три смены в СШ № 6 -152 учащихся. При проектной мощности 231, фактически обучаются – 656.</w:t>
            </w:r>
            <w:r w:rsidR="00701D19">
              <w:rPr>
                <w:lang w:val="kk-KZ"/>
              </w:rPr>
              <w:t xml:space="preserve"> </w:t>
            </w:r>
            <w:r w:rsidRPr="007473EF">
              <w:rPr>
                <w:lang w:val="kk-KZ"/>
              </w:rPr>
              <w:t>Количество обучающихся в три смены СШ №10 – 193 учащихся. При проектной мощности 455, фактически обучаются 1202.                                                                               1 школа в а.Бесколь Кызылжарского района  (школа-лицей "Парасат"). Количество обучающихся в три смены – 95. При проектной мощности 3501, фактически обучаются – 592.</w:t>
            </w:r>
            <w:r w:rsidR="00701D19">
              <w:rPr>
                <w:lang w:val="kk-KZ"/>
              </w:rPr>
              <w:t xml:space="preserve"> </w:t>
            </w:r>
            <w:r w:rsidRPr="007473EF">
              <w:rPr>
                <w:lang w:val="kk-KZ"/>
              </w:rPr>
              <w:t>Пути решения: Для ликвидации трехсменного обучения ведется строительство новых школ. В августе 2019 года в микрорайоне «Береке» г.Петропавловска введена в эксплуатацию общеобразовательная школа на 600 мест. В  2020 году планируется сдача в эксплуатацию общеобразовательной школы на 900 мест в микрорайоне «Жас-Өркен».</w:t>
            </w:r>
            <w:r w:rsidR="00701D19">
              <w:rPr>
                <w:lang w:val="kk-KZ"/>
              </w:rPr>
              <w:t xml:space="preserve"> </w:t>
            </w:r>
            <w:r w:rsidRPr="007473EF">
              <w:rPr>
                <w:lang w:val="kk-KZ"/>
              </w:rPr>
              <w:t>Кроме того, начато строительство школы на 900 мест по улице Уалиханово – Чкалово г.Петропавловска и школы на 300 мест в а. Бесколь Кызылжарского района. Строительство объектов ведётся  из средств Республиканского бюджета. Сдача объектов в эксплуатацию планируется к 1 сентября 2020 года.</w:t>
            </w:r>
          </w:p>
        </w:tc>
      </w:tr>
      <w:tr w:rsidR="00701D19" w:rsidRPr="00A202DF" w:rsidTr="00701D19">
        <w:trPr>
          <w:jc w:val="center"/>
        </w:trPr>
        <w:tc>
          <w:tcPr>
            <w:tcW w:w="2869" w:type="dxa"/>
            <w:tcBorders>
              <w:top w:val="outset" w:sz="8" w:space="0" w:color="000000"/>
              <w:left w:val="outset" w:sz="8" w:space="0" w:color="000000"/>
              <w:bottom w:val="outset" w:sz="8" w:space="0" w:color="000000"/>
              <w:right w:val="outset" w:sz="8" w:space="0" w:color="000000"/>
            </w:tcBorders>
            <w:shd w:val="clear" w:color="auto" w:fill="auto"/>
            <w:tcMar>
              <w:top w:w="15" w:type="dxa"/>
              <w:left w:w="15" w:type="dxa"/>
              <w:bottom w:w="15" w:type="dxa"/>
              <w:right w:w="15" w:type="dxa"/>
            </w:tcMar>
          </w:tcPr>
          <w:p w:rsidR="00701D19" w:rsidRPr="00701D19" w:rsidRDefault="00701D19" w:rsidP="00E10572">
            <w:pPr>
              <w:pStyle w:val="a3"/>
              <w:ind w:left="124" w:right="21" w:firstLine="284"/>
              <w:jc w:val="both"/>
              <w:rPr>
                <w:highlight w:val="yellow"/>
              </w:rPr>
            </w:pPr>
            <w:r w:rsidRPr="00E10572">
              <w:t>Доля объектов размещения твердых бытовых отходов, соответствующих экологическим требованиям и санитарным правилам (от общего количества мест их размещения) %</w:t>
            </w:r>
            <w:r w:rsidR="00E10572">
              <w:t>.</w:t>
            </w:r>
          </w:p>
        </w:tc>
        <w:tc>
          <w:tcPr>
            <w:tcW w:w="2308" w:type="dxa"/>
            <w:tcBorders>
              <w:top w:val="outset" w:sz="8" w:space="0" w:color="000000"/>
              <w:left w:val="outset" w:sz="8" w:space="0" w:color="000000"/>
              <w:bottom w:val="outset" w:sz="8" w:space="0" w:color="000000"/>
              <w:right w:val="inset" w:sz="8" w:space="0" w:color="000000"/>
            </w:tcBorders>
            <w:shd w:val="clear" w:color="auto" w:fill="auto"/>
          </w:tcPr>
          <w:p w:rsidR="00701D19" w:rsidRPr="00E10572" w:rsidRDefault="00701D19" w:rsidP="00E10572">
            <w:pPr>
              <w:pStyle w:val="a3"/>
              <w:ind w:left="124" w:right="21"/>
              <w:jc w:val="center"/>
              <w:rPr>
                <w:lang w:val="kk-KZ"/>
              </w:rPr>
            </w:pPr>
            <w:r w:rsidRPr="00E10572">
              <w:rPr>
                <w:lang w:val="kk-KZ"/>
              </w:rPr>
              <w:t>Акиматы районов</w:t>
            </w:r>
          </w:p>
        </w:tc>
        <w:tc>
          <w:tcPr>
            <w:tcW w:w="5169" w:type="dxa"/>
            <w:tcBorders>
              <w:top w:val="outset" w:sz="8" w:space="0" w:color="000000"/>
              <w:left w:val="inset" w:sz="8" w:space="0" w:color="000000"/>
              <w:bottom w:val="outset" w:sz="8" w:space="0" w:color="000000"/>
              <w:right w:val="outset" w:sz="8" w:space="0" w:color="000000"/>
            </w:tcBorders>
            <w:shd w:val="clear" w:color="auto" w:fill="auto"/>
            <w:tcMar>
              <w:top w:w="15" w:type="dxa"/>
              <w:left w:w="15" w:type="dxa"/>
              <w:bottom w:w="15" w:type="dxa"/>
              <w:right w:w="15" w:type="dxa"/>
            </w:tcMar>
          </w:tcPr>
          <w:p w:rsidR="00701D19" w:rsidRPr="00E94650" w:rsidRDefault="00701D19" w:rsidP="00E10572">
            <w:pPr>
              <w:pStyle w:val="a3"/>
              <w:ind w:left="124" w:right="21" w:firstLine="210"/>
              <w:jc w:val="both"/>
              <w:rPr>
                <w:lang w:val="kk-KZ"/>
              </w:rPr>
            </w:pPr>
            <w:r w:rsidRPr="00E10572">
              <w:rPr>
                <w:lang w:val="kk-KZ"/>
              </w:rPr>
              <w:t>Целевой индикатор не достигнут по причине недостаточного выделения средств на разработку разрешительной документации для объектов размещения ТБО.</w:t>
            </w:r>
            <w:r w:rsidR="0078417B" w:rsidRPr="00E10572">
              <w:rPr>
                <w:lang w:val="kk-KZ"/>
              </w:rPr>
              <w:t xml:space="preserve"> </w:t>
            </w:r>
            <w:r w:rsidRPr="00E10572">
              <w:rPr>
                <w:lang w:val="kk-KZ"/>
              </w:rPr>
              <w:t>Управлением природных ресурсов неоднократно направлялись письма в акиматы районов, с приложением протокольных поручений заместителей акима и акима области, с целю предусмотрения средств на оформление объектов размещения ТБО.</w:t>
            </w:r>
          </w:p>
        </w:tc>
      </w:tr>
    </w:tbl>
    <w:p w:rsidR="0078417B" w:rsidRDefault="0078417B" w:rsidP="003829A9">
      <w:pPr>
        <w:keepNext/>
        <w:rPr>
          <w:color w:val="7030A0"/>
        </w:rPr>
      </w:pPr>
      <w:bookmarkStart w:id="0" w:name="_GoBack"/>
      <w:bookmarkEnd w:id="0"/>
    </w:p>
    <w:sectPr w:rsidR="0078417B" w:rsidSect="00EA5C80">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2A7"/>
    <w:multiLevelType w:val="hybridMultilevel"/>
    <w:tmpl w:val="366648E4"/>
    <w:lvl w:ilvl="0" w:tplc="EC4A8574">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41"/>
    <w:rsid w:val="00000CD6"/>
    <w:rsid w:val="00016B37"/>
    <w:rsid w:val="000409C1"/>
    <w:rsid w:val="00064607"/>
    <w:rsid w:val="000820D9"/>
    <w:rsid w:val="000A1407"/>
    <w:rsid w:val="000A24ED"/>
    <w:rsid w:val="000D7A53"/>
    <w:rsid w:val="001007AF"/>
    <w:rsid w:val="0010543A"/>
    <w:rsid w:val="001123F8"/>
    <w:rsid w:val="001734A2"/>
    <w:rsid w:val="00180987"/>
    <w:rsid w:val="00185236"/>
    <w:rsid w:val="0018586B"/>
    <w:rsid w:val="0019534D"/>
    <w:rsid w:val="001A6364"/>
    <w:rsid w:val="001C3667"/>
    <w:rsid w:val="001C6B1B"/>
    <w:rsid w:val="001E3EBD"/>
    <w:rsid w:val="00204F6E"/>
    <w:rsid w:val="00213D7F"/>
    <w:rsid w:val="002227BB"/>
    <w:rsid w:val="00240F41"/>
    <w:rsid w:val="00241C92"/>
    <w:rsid w:val="00257D97"/>
    <w:rsid w:val="00275514"/>
    <w:rsid w:val="002B2319"/>
    <w:rsid w:val="002B5944"/>
    <w:rsid w:val="002C263D"/>
    <w:rsid w:val="002F65F0"/>
    <w:rsid w:val="00316C24"/>
    <w:rsid w:val="00354035"/>
    <w:rsid w:val="003829A9"/>
    <w:rsid w:val="003B5352"/>
    <w:rsid w:val="003D344E"/>
    <w:rsid w:val="003D5908"/>
    <w:rsid w:val="004048B2"/>
    <w:rsid w:val="00423C4F"/>
    <w:rsid w:val="00427B28"/>
    <w:rsid w:val="00442F6A"/>
    <w:rsid w:val="00445C6A"/>
    <w:rsid w:val="00472A1B"/>
    <w:rsid w:val="00490B09"/>
    <w:rsid w:val="004B0575"/>
    <w:rsid w:val="004C6D05"/>
    <w:rsid w:val="004F29AA"/>
    <w:rsid w:val="00523F08"/>
    <w:rsid w:val="00530D91"/>
    <w:rsid w:val="00535EB5"/>
    <w:rsid w:val="0055075D"/>
    <w:rsid w:val="005608BE"/>
    <w:rsid w:val="005739A2"/>
    <w:rsid w:val="00592454"/>
    <w:rsid w:val="005C03DF"/>
    <w:rsid w:val="005C4205"/>
    <w:rsid w:val="005E0A71"/>
    <w:rsid w:val="005E4921"/>
    <w:rsid w:val="00611EE4"/>
    <w:rsid w:val="0061392D"/>
    <w:rsid w:val="00666AF9"/>
    <w:rsid w:val="00695698"/>
    <w:rsid w:val="0069691D"/>
    <w:rsid w:val="00701D19"/>
    <w:rsid w:val="007217EE"/>
    <w:rsid w:val="007356D5"/>
    <w:rsid w:val="007473EF"/>
    <w:rsid w:val="00767448"/>
    <w:rsid w:val="0078417B"/>
    <w:rsid w:val="00786C66"/>
    <w:rsid w:val="007A1468"/>
    <w:rsid w:val="007D510F"/>
    <w:rsid w:val="008145E0"/>
    <w:rsid w:val="00833EC7"/>
    <w:rsid w:val="00847AF3"/>
    <w:rsid w:val="0086356A"/>
    <w:rsid w:val="00882457"/>
    <w:rsid w:val="008D2CE1"/>
    <w:rsid w:val="008F350B"/>
    <w:rsid w:val="00906FC7"/>
    <w:rsid w:val="009149B8"/>
    <w:rsid w:val="009253D1"/>
    <w:rsid w:val="00931289"/>
    <w:rsid w:val="009D2830"/>
    <w:rsid w:val="00A06DA8"/>
    <w:rsid w:val="00A10EE1"/>
    <w:rsid w:val="00A15D68"/>
    <w:rsid w:val="00A202DF"/>
    <w:rsid w:val="00A25475"/>
    <w:rsid w:val="00A4118B"/>
    <w:rsid w:val="00A427D7"/>
    <w:rsid w:val="00A44676"/>
    <w:rsid w:val="00A60C47"/>
    <w:rsid w:val="00A86CED"/>
    <w:rsid w:val="00A954B4"/>
    <w:rsid w:val="00A97215"/>
    <w:rsid w:val="00AD3CA5"/>
    <w:rsid w:val="00AD74D7"/>
    <w:rsid w:val="00AE021C"/>
    <w:rsid w:val="00AE7762"/>
    <w:rsid w:val="00B07C63"/>
    <w:rsid w:val="00B516B5"/>
    <w:rsid w:val="00BF0FAD"/>
    <w:rsid w:val="00C23043"/>
    <w:rsid w:val="00C42C09"/>
    <w:rsid w:val="00C54EC8"/>
    <w:rsid w:val="00C62E19"/>
    <w:rsid w:val="00CA11D5"/>
    <w:rsid w:val="00D00D05"/>
    <w:rsid w:val="00D20289"/>
    <w:rsid w:val="00D269D0"/>
    <w:rsid w:val="00D66955"/>
    <w:rsid w:val="00D70380"/>
    <w:rsid w:val="00D709FC"/>
    <w:rsid w:val="00D77AD2"/>
    <w:rsid w:val="00D941B4"/>
    <w:rsid w:val="00DA3532"/>
    <w:rsid w:val="00DB16CD"/>
    <w:rsid w:val="00DB7C98"/>
    <w:rsid w:val="00DC058D"/>
    <w:rsid w:val="00DC18C2"/>
    <w:rsid w:val="00E10572"/>
    <w:rsid w:val="00E26311"/>
    <w:rsid w:val="00E56970"/>
    <w:rsid w:val="00E63660"/>
    <w:rsid w:val="00E85347"/>
    <w:rsid w:val="00E90C5E"/>
    <w:rsid w:val="00E913B3"/>
    <w:rsid w:val="00EA5C80"/>
    <w:rsid w:val="00F207F3"/>
    <w:rsid w:val="00F4388A"/>
    <w:rsid w:val="00F718B0"/>
    <w:rsid w:val="00F92D01"/>
    <w:rsid w:val="00FA087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993873">
      <w:bodyDiv w:val="1"/>
      <w:marLeft w:val="0"/>
      <w:marRight w:val="0"/>
      <w:marTop w:val="0"/>
      <w:marBottom w:val="0"/>
      <w:divBdr>
        <w:top w:val="none" w:sz="0" w:space="0" w:color="auto"/>
        <w:left w:val="none" w:sz="0" w:space="0" w:color="auto"/>
        <w:bottom w:val="none" w:sz="0" w:space="0" w:color="auto"/>
        <w:right w:val="none" w:sz="0" w:space="0" w:color="auto"/>
      </w:divBdr>
    </w:div>
    <w:div w:id="1037045109">
      <w:bodyDiv w:val="1"/>
      <w:marLeft w:val="0"/>
      <w:marRight w:val="0"/>
      <w:marTop w:val="0"/>
      <w:marBottom w:val="0"/>
      <w:divBdr>
        <w:top w:val="none" w:sz="0" w:space="0" w:color="auto"/>
        <w:left w:val="none" w:sz="0" w:space="0" w:color="auto"/>
        <w:bottom w:val="none" w:sz="0" w:space="0" w:color="auto"/>
        <w:right w:val="none" w:sz="0" w:space="0" w:color="auto"/>
      </w:divBdr>
    </w:div>
    <w:div w:id="1321933040">
      <w:bodyDiv w:val="1"/>
      <w:marLeft w:val="0"/>
      <w:marRight w:val="0"/>
      <w:marTop w:val="0"/>
      <w:marBottom w:val="0"/>
      <w:divBdr>
        <w:top w:val="none" w:sz="0" w:space="0" w:color="auto"/>
        <w:left w:val="none" w:sz="0" w:space="0" w:color="auto"/>
        <w:bottom w:val="none" w:sz="0" w:space="0" w:color="auto"/>
        <w:right w:val="none" w:sz="0" w:space="0" w:color="auto"/>
      </w:divBdr>
    </w:div>
    <w:div w:id="1412701963">
      <w:bodyDiv w:val="1"/>
      <w:marLeft w:val="0"/>
      <w:marRight w:val="0"/>
      <w:marTop w:val="0"/>
      <w:marBottom w:val="0"/>
      <w:divBdr>
        <w:top w:val="none" w:sz="0" w:space="0" w:color="auto"/>
        <w:left w:val="none" w:sz="0" w:space="0" w:color="auto"/>
        <w:bottom w:val="none" w:sz="0" w:space="0" w:color="auto"/>
        <w:right w:val="none" w:sz="0" w:space="0" w:color="auto"/>
      </w:divBdr>
    </w:div>
    <w:div w:id="1598636561">
      <w:bodyDiv w:val="1"/>
      <w:marLeft w:val="0"/>
      <w:marRight w:val="0"/>
      <w:marTop w:val="0"/>
      <w:marBottom w:val="0"/>
      <w:divBdr>
        <w:top w:val="none" w:sz="0" w:space="0" w:color="auto"/>
        <w:left w:val="none" w:sz="0" w:space="0" w:color="auto"/>
        <w:bottom w:val="none" w:sz="0" w:space="0" w:color="auto"/>
        <w:right w:val="none" w:sz="0" w:space="0" w:color="auto"/>
      </w:divBdr>
    </w:div>
    <w:div w:id="1948417023">
      <w:bodyDiv w:val="1"/>
      <w:marLeft w:val="0"/>
      <w:marRight w:val="0"/>
      <w:marTop w:val="0"/>
      <w:marBottom w:val="0"/>
      <w:divBdr>
        <w:top w:val="none" w:sz="0" w:space="0" w:color="auto"/>
        <w:left w:val="none" w:sz="0" w:space="0" w:color="auto"/>
        <w:bottom w:val="none" w:sz="0" w:space="0" w:color="auto"/>
        <w:right w:val="none" w:sz="0" w:space="0" w:color="auto"/>
      </w:divBdr>
    </w:div>
    <w:div w:id="2068333524">
      <w:bodyDiv w:val="1"/>
      <w:marLeft w:val="0"/>
      <w:marRight w:val="0"/>
      <w:marTop w:val="0"/>
      <w:marBottom w:val="0"/>
      <w:divBdr>
        <w:top w:val="none" w:sz="0" w:space="0" w:color="auto"/>
        <w:left w:val="none" w:sz="0" w:space="0" w:color="auto"/>
        <w:bottom w:val="none" w:sz="0" w:space="0" w:color="auto"/>
        <w:right w:val="none" w:sz="0" w:space="0" w:color="auto"/>
      </w:divBdr>
    </w:div>
    <w:div w:id="211729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27669-CB93-4A4C-944D-C1AA2401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Асия Р. Дулатова</cp:lastModifiedBy>
  <cp:revision>37</cp:revision>
  <cp:lastPrinted>2019-02-25T11:31:00Z</cp:lastPrinted>
  <dcterms:created xsi:type="dcterms:W3CDTF">2019-02-25T12:14:00Z</dcterms:created>
  <dcterms:modified xsi:type="dcterms:W3CDTF">2020-02-27T05:42:00Z</dcterms:modified>
</cp:coreProperties>
</file>