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C1E" w:rsidRPr="00666047" w:rsidRDefault="00AC7375" w:rsidP="00FB4588">
      <w:pPr>
        <w:pStyle w:val="a3"/>
        <w:keepNext/>
        <w:keepLines/>
      </w:pPr>
      <w:bookmarkStart w:id="0" w:name="_GoBack"/>
      <w:bookmarkEnd w:id="0"/>
      <w:r w:rsidRPr="00666047">
        <w:rPr>
          <w:b/>
          <w:bCs/>
        </w:rPr>
        <w:t>3</w:t>
      </w:r>
      <w:r w:rsidR="00022C1E" w:rsidRPr="00666047">
        <w:rPr>
          <w:b/>
          <w:bCs/>
        </w:rPr>
        <w:t>. Анализ внешнего воздействия</w:t>
      </w:r>
    </w:p>
    <w:tbl>
      <w:tblPr>
        <w:tblW w:w="9520" w:type="dxa"/>
        <w:jc w:val="center"/>
        <w:tblCellMar>
          <w:left w:w="0" w:type="dxa"/>
          <w:right w:w="0" w:type="dxa"/>
        </w:tblCellMar>
        <w:tblLook w:val="0000" w:firstRow="0" w:lastRow="0" w:firstColumn="0" w:lastColumn="0" w:noHBand="0" w:noVBand="0"/>
      </w:tblPr>
      <w:tblGrid>
        <w:gridCol w:w="3686"/>
        <w:gridCol w:w="5834"/>
      </w:tblGrid>
      <w:tr w:rsidR="00666047" w:rsidRPr="00666047" w:rsidTr="00666047">
        <w:trPr>
          <w:trHeight w:val="20"/>
          <w:jc w:val="center"/>
        </w:trPr>
        <w:tc>
          <w:tcPr>
            <w:tcW w:w="3686" w:type="dxa"/>
            <w:tcBorders>
              <w:top w:val="single" w:sz="4" w:space="0" w:color="auto"/>
              <w:left w:val="single" w:sz="4" w:space="0" w:color="auto"/>
              <w:bottom w:val="outset" w:sz="8" w:space="0" w:color="000000"/>
              <w:right w:val="single" w:sz="4" w:space="0" w:color="auto"/>
            </w:tcBorders>
          </w:tcPr>
          <w:p w:rsidR="00666047" w:rsidRPr="00666047" w:rsidRDefault="00666047" w:rsidP="00921136">
            <w:pPr>
              <w:pStyle w:val="a3"/>
              <w:widowControl w:val="0"/>
              <w:ind w:firstLine="284"/>
              <w:jc w:val="center"/>
              <w:rPr>
                <w:b/>
              </w:rPr>
            </w:pPr>
            <w:r w:rsidRPr="00666047">
              <w:rPr>
                <w:b/>
              </w:rPr>
              <w:t>Факторы внешнего воздействия и их влияние на достижение целевых индикаторов</w:t>
            </w:r>
          </w:p>
        </w:tc>
        <w:tc>
          <w:tcPr>
            <w:tcW w:w="5834"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666047" w:rsidRPr="00666047" w:rsidRDefault="00666047" w:rsidP="00921136">
            <w:pPr>
              <w:pStyle w:val="a3"/>
              <w:widowControl w:val="0"/>
              <w:ind w:firstLine="284"/>
              <w:jc w:val="center"/>
              <w:rPr>
                <w:b/>
              </w:rPr>
            </w:pPr>
            <w:r w:rsidRPr="00666047">
              <w:rPr>
                <w:b/>
              </w:rPr>
              <w:t>Принятые меры</w:t>
            </w:r>
          </w:p>
        </w:tc>
      </w:tr>
      <w:tr w:rsidR="00666047" w:rsidRPr="00666047" w:rsidTr="00666047">
        <w:trPr>
          <w:trHeight w:val="20"/>
          <w:jc w:val="center"/>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66047" w:rsidRPr="00737E99" w:rsidRDefault="00666047" w:rsidP="00921136">
            <w:pPr>
              <w:widowControl w:val="0"/>
              <w:ind w:left="84" w:right="58" w:firstLine="200"/>
              <w:jc w:val="both"/>
            </w:pPr>
            <w:r w:rsidRPr="00737E99">
              <w:t>Погодные условия (засуха, заморозки, излишнее увлажнение, град)</w:t>
            </w:r>
          </w:p>
        </w:tc>
        <w:tc>
          <w:tcPr>
            <w:tcW w:w="5834" w:type="dxa"/>
            <w:tcBorders>
              <w:top w:val="outset" w:sz="8" w:space="0" w:color="000000"/>
              <w:left w:val="single" w:sz="4" w:space="0" w:color="auto"/>
              <w:bottom w:val="outset" w:sz="8" w:space="0" w:color="000000"/>
              <w:right w:val="outset" w:sz="8" w:space="0" w:color="000000"/>
            </w:tcBorders>
            <w:shd w:val="clear" w:color="auto" w:fill="auto"/>
            <w:tcMar>
              <w:top w:w="15" w:type="dxa"/>
              <w:left w:w="15" w:type="dxa"/>
              <w:bottom w:w="15" w:type="dxa"/>
              <w:right w:w="15" w:type="dxa"/>
            </w:tcMar>
            <w:vAlign w:val="center"/>
          </w:tcPr>
          <w:p w:rsidR="00666047" w:rsidRPr="00666047" w:rsidRDefault="00666047" w:rsidP="00921136">
            <w:pPr>
              <w:widowControl w:val="0"/>
              <w:ind w:left="84" w:right="58" w:firstLine="200"/>
              <w:jc w:val="both"/>
            </w:pPr>
            <w:r w:rsidRPr="00737E99">
              <w:t>Обеспечение агротехнического цикла производства.</w:t>
            </w:r>
          </w:p>
          <w:p w:rsidR="00666047" w:rsidRPr="00666047" w:rsidRDefault="00666047" w:rsidP="00921136">
            <w:pPr>
              <w:widowControl w:val="0"/>
              <w:ind w:left="84" w:right="58" w:firstLine="200"/>
              <w:jc w:val="both"/>
            </w:pPr>
            <w:r w:rsidRPr="00737E99">
              <w:t>Обеспечение правильного соотношения в посевах сортов по группам спелости.</w:t>
            </w:r>
          </w:p>
          <w:p w:rsidR="00666047" w:rsidRPr="00737E99" w:rsidRDefault="00666047" w:rsidP="00921136">
            <w:pPr>
              <w:widowControl w:val="0"/>
              <w:ind w:left="84" w:right="58" w:firstLine="200"/>
              <w:jc w:val="both"/>
            </w:pPr>
            <w:r w:rsidRPr="00737E99">
              <w:t>Правильный подбор сортов, обладающих высокой зимостойкостью, засухоустойчивостью, устойчивостью к болезням и вредителям.</w:t>
            </w:r>
          </w:p>
        </w:tc>
      </w:tr>
      <w:tr w:rsidR="00666047" w:rsidRPr="00666047" w:rsidTr="00666047">
        <w:trPr>
          <w:trHeight w:val="20"/>
          <w:jc w:val="center"/>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66047" w:rsidRPr="00737E99" w:rsidRDefault="00666047" w:rsidP="00921136">
            <w:pPr>
              <w:widowControl w:val="0"/>
              <w:ind w:left="84" w:right="58" w:firstLine="200"/>
              <w:jc w:val="both"/>
            </w:pPr>
            <w:r w:rsidRPr="00737E99">
              <w:t>Заболевание растений и животных</w:t>
            </w:r>
          </w:p>
        </w:tc>
        <w:tc>
          <w:tcPr>
            <w:tcW w:w="5834" w:type="dxa"/>
            <w:tcBorders>
              <w:top w:val="outset" w:sz="8" w:space="0" w:color="000000"/>
              <w:left w:val="single" w:sz="4" w:space="0" w:color="auto"/>
              <w:bottom w:val="outset" w:sz="8" w:space="0" w:color="000000"/>
              <w:right w:val="outset" w:sz="8" w:space="0" w:color="000000"/>
            </w:tcBorders>
            <w:shd w:val="clear" w:color="auto" w:fill="auto"/>
            <w:tcMar>
              <w:top w:w="15" w:type="dxa"/>
              <w:left w:w="15" w:type="dxa"/>
              <w:bottom w:w="15" w:type="dxa"/>
              <w:right w:w="15" w:type="dxa"/>
            </w:tcMar>
            <w:vAlign w:val="center"/>
          </w:tcPr>
          <w:p w:rsidR="00666047" w:rsidRPr="00666047" w:rsidRDefault="00666047" w:rsidP="00921136">
            <w:pPr>
              <w:widowControl w:val="0"/>
              <w:ind w:left="84" w:right="58" w:firstLine="200"/>
              <w:jc w:val="both"/>
            </w:pPr>
            <w:r w:rsidRPr="00737E99">
              <w:t>Своевременное проведение химической борьбы с сорняками, вредными организмами и болезнями растений.</w:t>
            </w:r>
          </w:p>
          <w:p w:rsidR="00666047" w:rsidRPr="00737E99" w:rsidRDefault="00666047" w:rsidP="00921136">
            <w:pPr>
              <w:widowControl w:val="0"/>
              <w:ind w:left="84" w:right="58" w:firstLine="200"/>
              <w:jc w:val="both"/>
            </w:pPr>
            <w:r w:rsidRPr="00737E99">
              <w:rPr>
                <w:color w:val="000000"/>
              </w:rPr>
              <w:t>Проведение профилактических, противоэпизоотических мероприятий.</w:t>
            </w:r>
          </w:p>
        </w:tc>
      </w:tr>
      <w:tr w:rsidR="00FD1D48" w:rsidRPr="00921136" w:rsidTr="007D7622">
        <w:trPr>
          <w:trHeight w:val="20"/>
          <w:jc w:val="center"/>
        </w:trPr>
        <w:tc>
          <w:tcPr>
            <w:tcW w:w="3686" w:type="dxa"/>
            <w:tcBorders>
              <w:top w:val="single" w:sz="4" w:space="0" w:color="auto"/>
              <w:left w:val="single" w:sz="4" w:space="0" w:color="auto"/>
              <w:bottom w:val="single" w:sz="4" w:space="0" w:color="auto"/>
              <w:right w:val="single" w:sz="4" w:space="0" w:color="auto"/>
            </w:tcBorders>
            <w:shd w:val="clear" w:color="auto" w:fill="auto"/>
          </w:tcPr>
          <w:p w:rsidR="00FD1D48" w:rsidRPr="00921136" w:rsidRDefault="00FD1D48" w:rsidP="00921136">
            <w:pPr>
              <w:widowControl w:val="0"/>
              <w:ind w:left="84" w:right="58" w:firstLine="200"/>
              <w:jc w:val="both"/>
            </w:pPr>
            <w:r w:rsidRPr="00921136">
              <w:t>Снижение качества экономического пространства, как последствие сокращение объёмов производства</w:t>
            </w:r>
          </w:p>
        </w:tc>
        <w:tc>
          <w:tcPr>
            <w:tcW w:w="5834" w:type="dxa"/>
            <w:tcBorders>
              <w:top w:val="outset" w:sz="8" w:space="0" w:color="000000"/>
              <w:left w:val="single" w:sz="4" w:space="0" w:color="auto"/>
              <w:bottom w:val="outset" w:sz="8" w:space="0" w:color="000000"/>
              <w:right w:val="outset" w:sz="8" w:space="0" w:color="000000"/>
            </w:tcBorders>
            <w:shd w:val="clear" w:color="auto" w:fill="auto"/>
            <w:tcMar>
              <w:top w:w="15" w:type="dxa"/>
              <w:left w:w="15" w:type="dxa"/>
              <w:bottom w:w="15" w:type="dxa"/>
              <w:right w:w="15" w:type="dxa"/>
            </w:tcMar>
          </w:tcPr>
          <w:p w:rsidR="00FD1D48" w:rsidRPr="00921136" w:rsidRDefault="00FD1D48" w:rsidP="00921136">
            <w:pPr>
              <w:widowControl w:val="0"/>
              <w:ind w:left="84" w:right="58" w:firstLine="200"/>
              <w:jc w:val="both"/>
            </w:pPr>
            <w:r w:rsidRPr="00921136">
              <w:t xml:space="preserve">В </w:t>
            </w:r>
            <w:proofErr w:type="gramStart"/>
            <w:r w:rsidRPr="00921136">
              <w:t>рамках</w:t>
            </w:r>
            <w:proofErr w:type="gramEnd"/>
            <w:r w:rsidRPr="00921136">
              <w:t xml:space="preserve"> принятие мер по предотвращению высвобождения рабочей силы заключены меморандумы,  с предприятиями по стабилизации производственных процессов и социальной защите работников, Дорожные карты по управляемому </w:t>
            </w:r>
            <w:proofErr w:type="spellStart"/>
            <w:r w:rsidRPr="00921136">
              <w:t>перетоку</w:t>
            </w:r>
            <w:proofErr w:type="spellEnd"/>
            <w:r w:rsidRPr="00921136">
              <w:t xml:space="preserve"> работников. В настоящее время действует 5478 меморандумов и 22 Дорожные карты. </w:t>
            </w:r>
          </w:p>
        </w:tc>
      </w:tr>
      <w:tr w:rsidR="00FD1D48" w:rsidRPr="00A669EE" w:rsidTr="007D7622">
        <w:trPr>
          <w:trHeight w:val="20"/>
          <w:jc w:val="center"/>
        </w:trPr>
        <w:tc>
          <w:tcPr>
            <w:tcW w:w="3686" w:type="dxa"/>
            <w:tcBorders>
              <w:top w:val="single" w:sz="4" w:space="0" w:color="auto"/>
              <w:left w:val="single" w:sz="4" w:space="0" w:color="auto"/>
              <w:bottom w:val="outset" w:sz="8" w:space="0" w:color="000000"/>
              <w:right w:val="single" w:sz="4" w:space="0" w:color="auto"/>
            </w:tcBorders>
            <w:shd w:val="clear" w:color="auto" w:fill="auto"/>
          </w:tcPr>
          <w:p w:rsidR="00FD1D48" w:rsidRPr="00921136" w:rsidRDefault="00FD1D48" w:rsidP="00921136">
            <w:pPr>
              <w:widowControl w:val="0"/>
              <w:ind w:left="84" w:right="58" w:firstLine="200"/>
              <w:jc w:val="both"/>
            </w:pPr>
            <w:r w:rsidRPr="00921136">
              <w:t xml:space="preserve">В период 2016-2019 годов из Республиканского бюджета средства на  ремонт МЖД не выделялись. Ведется за счет возвратных средств собственников квартир, которых не достаточно для достижения индикатора. </w:t>
            </w:r>
          </w:p>
        </w:tc>
        <w:tc>
          <w:tcPr>
            <w:tcW w:w="5834" w:type="dxa"/>
            <w:tcBorders>
              <w:top w:val="outset" w:sz="8" w:space="0" w:color="000000"/>
              <w:left w:val="single" w:sz="4" w:space="0" w:color="auto"/>
              <w:bottom w:val="outset" w:sz="8" w:space="0" w:color="000000"/>
              <w:right w:val="outset" w:sz="8" w:space="0" w:color="000000"/>
            </w:tcBorders>
            <w:shd w:val="clear" w:color="auto" w:fill="auto"/>
            <w:tcMar>
              <w:top w:w="15" w:type="dxa"/>
              <w:left w:w="15" w:type="dxa"/>
              <w:bottom w:w="15" w:type="dxa"/>
              <w:right w:w="15" w:type="dxa"/>
            </w:tcMar>
          </w:tcPr>
          <w:p w:rsidR="00FD1D48" w:rsidRPr="00921136" w:rsidRDefault="00FD1D48" w:rsidP="00921136">
            <w:pPr>
              <w:widowControl w:val="0"/>
              <w:ind w:left="84" w:right="58" w:firstLine="200"/>
              <w:jc w:val="both"/>
            </w:pPr>
            <w:r w:rsidRPr="00921136">
              <w:t xml:space="preserve">В </w:t>
            </w:r>
            <w:proofErr w:type="gramStart"/>
            <w:r w:rsidRPr="00921136">
              <w:t>декабре</w:t>
            </w:r>
            <w:proofErr w:type="gramEnd"/>
            <w:r w:rsidRPr="00921136">
              <w:t xml:space="preserve"> 2019 года в Министерство индустрии и инфраструктурного развития РК Управлением энергетики и ЖКХ СКО направлена бюджетная заявка на ремонт 52 МЖД на сумму 2,6 </w:t>
            </w:r>
            <w:proofErr w:type="spellStart"/>
            <w:r w:rsidRPr="00921136">
              <w:t>млдр</w:t>
            </w:r>
            <w:proofErr w:type="spellEnd"/>
            <w:r w:rsidRPr="00921136">
              <w:t>. тенге, заявка находится на рассмотрении.</w:t>
            </w:r>
          </w:p>
        </w:tc>
      </w:tr>
      <w:tr w:rsidR="00666047" w:rsidRPr="00666047" w:rsidTr="00666945">
        <w:trPr>
          <w:trHeight w:val="3651"/>
          <w:jc w:val="center"/>
        </w:trPr>
        <w:tc>
          <w:tcPr>
            <w:tcW w:w="3686" w:type="dxa"/>
            <w:tcBorders>
              <w:top w:val="single" w:sz="4" w:space="0" w:color="auto"/>
              <w:left w:val="single" w:sz="4" w:space="0" w:color="auto"/>
              <w:bottom w:val="single" w:sz="4" w:space="0" w:color="auto"/>
              <w:right w:val="single" w:sz="4" w:space="0" w:color="auto"/>
            </w:tcBorders>
            <w:shd w:val="clear" w:color="auto" w:fill="auto"/>
          </w:tcPr>
          <w:p w:rsidR="00666047" w:rsidRPr="00666047" w:rsidRDefault="00666047" w:rsidP="00921136">
            <w:pPr>
              <w:widowControl w:val="0"/>
              <w:ind w:left="84" w:right="58" w:firstLine="200"/>
              <w:jc w:val="both"/>
              <w:rPr>
                <w:lang w:val="kk-KZ" w:eastAsia="en-US"/>
              </w:rPr>
            </w:pPr>
            <w:r w:rsidRPr="00666047">
              <w:rPr>
                <w:lang w:val="kk-KZ" w:eastAsia="en-US"/>
              </w:rPr>
              <w:t>Паводкаопасный период пройден в нормальным режиме.</w:t>
            </w:r>
          </w:p>
          <w:p w:rsidR="00666047" w:rsidRPr="00666047" w:rsidRDefault="00666047" w:rsidP="00921136">
            <w:pPr>
              <w:widowControl w:val="0"/>
              <w:ind w:left="84" w:right="58" w:firstLine="200"/>
              <w:jc w:val="both"/>
              <w:rPr>
                <w:lang w:val="kk-KZ" w:eastAsia="en-US"/>
              </w:rPr>
            </w:pPr>
          </w:p>
        </w:tc>
        <w:tc>
          <w:tcPr>
            <w:tcW w:w="5834" w:type="dxa"/>
            <w:tcBorders>
              <w:top w:val="outset" w:sz="8" w:space="0" w:color="000000"/>
              <w:left w:val="single" w:sz="4" w:space="0" w:color="auto"/>
              <w:bottom w:val="outset" w:sz="8" w:space="0" w:color="000000"/>
              <w:right w:val="outset" w:sz="8" w:space="0" w:color="000000"/>
            </w:tcBorders>
            <w:shd w:val="clear" w:color="auto" w:fill="auto"/>
            <w:tcMar>
              <w:top w:w="15" w:type="dxa"/>
              <w:left w:w="15" w:type="dxa"/>
              <w:bottom w:w="15" w:type="dxa"/>
              <w:right w:w="15" w:type="dxa"/>
            </w:tcMar>
          </w:tcPr>
          <w:p w:rsidR="00666047" w:rsidRPr="00666047" w:rsidRDefault="00666047" w:rsidP="00921136">
            <w:pPr>
              <w:widowControl w:val="0"/>
              <w:pBdr>
                <w:bottom w:val="single" w:sz="4" w:space="31" w:color="FFFFFF"/>
              </w:pBdr>
              <w:ind w:left="84" w:right="58" w:firstLine="200"/>
              <w:jc w:val="both"/>
              <w:rPr>
                <w:rFonts w:eastAsia="Calibri"/>
                <w:lang w:val="kk-KZ"/>
              </w:rPr>
            </w:pPr>
            <w:r w:rsidRPr="00666047">
              <w:rPr>
                <w:rFonts w:eastAsia="Calibri"/>
              </w:rPr>
              <w:t xml:space="preserve">По итогам проведенного анализа совместно с заинтересованными государственными органами и организациями было разработано 24 мероприятия по предупреждению и устранению паводковых угроз на 2017-2020 годы, вошедшие в республиканскую Дорожную карту «Комплекс мер по предупреждению и устранению паводковых угроз на 2017-2020 годы». В которой предусмотрены </w:t>
            </w:r>
            <w:proofErr w:type="spellStart"/>
            <w:r w:rsidRPr="00666047">
              <w:rPr>
                <w:rFonts w:eastAsia="Calibri"/>
              </w:rPr>
              <w:t>противопаводковые</w:t>
            </w:r>
            <w:proofErr w:type="spellEnd"/>
            <w:r w:rsidRPr="00666047">
              <w:rPr>
                <w:rFonts w:eastAsia="Calibri"/>
              </w:rPr>
              <w:t xml:space="preserve"> мероприятия по ремонту водопропускных труб, ограждающих дамб, позволяющие защитить от паводковых явлений 57 населенных пунктов области с численностью населения свыше 94 тыс. человек.</w:t>
            </w:r>
          </w:p>
          <w:p w:rsidR="00666047" w:rsidRPr="00666047" w:rsidRDefault="00666047" w:rsidP="00921136">
            <w:pPr>
              <w:widowControl w:val="0"/>
              <w:pBdr>
                <w:bottom w:val="single" w:sz="4" w:space="31" w:color="FFFFFF"/>
              </w:pBdr>
              <w:ind w:left="84" w:right="58" w:firstLine="200"/>
              <w:jc w:val="both"/>
              <w:rPr>
                <w:rFonts w:eastAsia="Calibri"/>
              </w:rPr>
            </w:pPr>
            <w:r w:rsidRPr="00666047">
              <w:rPr>
                <w:rFonts w:eastAsia="Calibri"/>
              </w:rPr>
              <w:t xml:space="preserve">В 2018 году также в полном объеме </w:t>
            </w:r>
            <w:r w:rsidRPr="00666047">
              <w:rPr>
                <w:rFonts w:eastAsia="Calibri"/>
                <w:lang w:val="kk-KZ"/>
              </w:rPr>
              <w:t xml:space="preserve">реализовано </w:t>
            </w:r>
            <w:r w:rsidRPr="00666047">
              <w:rPr>
                <w:rFonts w:eastAsia="Calibri"/>
              </w:rPr>
              <w:t xml:space="preserve">8 мероприятий </w:t>
            </w:r>
            <w:r w:rsidRPr="00666047">
              <w:rPr>
                <w:rFonts w:eastAsia="Calibri"/>
                <w:lang w:val="kk-KZ"/>
              </w:rPr>
              <w:t xml:space="preserve">на сумму </w:t>
            </w:r>
            <w:r w:rsidRPr="00666047">
              <w:rPr>
                <w:rFonts w:eastAsia="Calibri"/>
              </w:rPr>
              <w:t xml:space="preserve">394 млн. тенге </w:t>
            </w:r>
            <w:r w:rsidRPr="00666047">
              <w:rPr>
                <w:rFonts w:eastAsia="Calibri"/>
                <w:i/>
              </w:rPr>
              <w:t>(в том числе капремонт ГТС «</w:t>
            </w:r>
            <w:proofErr w:type="spellStart"/>
            <w:r w:rsidRPr="00666047">
              <w:rPr>
                <w:rFonts w:eastAsia="Calibri"/>
                <w:i/>
              </w:rPr>
              <w:t>Сегіз</w:t>
            </w:r>
            <w:proofErr w:type="spellEnd"/>
            <w:r w:rsidRPr="00666047">
              <w:rPr>
                <w:rFonts w:eastAsia="Calibri"/>
                <w:i/>
              </w:rPr>
              <w:t xml:space="preserve"> </w:t>
            </w:r>
            <w:proofErr w:type="spellStart"/>
            <w:r w:rsidRPr="00666047">
              <w:rPr>
                <w:rFonts w:eastAsia="Calibri"/>
                <w:i/>
              </w:rPr>
              <w:t>көз</w:t>
            </w:r>
            <w:proofErr w:type="spellEnd"/>
            <w:r w:rsidRPr="00666047">
              <w:rPr>
                <w:rFonts w:eastAsia="Calibri"/>
                <w:i/>
              </w:rPr>
              <w:t xml:space="preserve">» в </w:t>
            </w:r>
            <w:proofErr w:type="spellStart"/>
            <w:r w:rsidRPr="00666047">
              <w:rPr>
                <w:rFonts w:eastAsia="Calibri"/>
                <w:i/>
              </w:rPr>
              <w:t>Уалихановском</w:t>
            </w:r>
            <w:proofErr w:type="spellEnd"/>
            <w:r w:rsidRPr="00666047">
              <w:rPr>
                <w:rFonts w:eastAsia="Calibri"/>
                <w:i/>
              </w:rPr>
              <w:t xml:space="preserve"> районе – </w:t>
            </w:r>
            <w:r w:rsidRPr="00666047">
              <w:rPr>
                <w:rFonts w:eastAsia="Calibri"/>
                <w:b/>
                <w:i/>
              </w:rPr>
              <w:t xml:space="preserve">88 </w:t>
            </w:r>
            <w:r w:rsidRPr="00666047">
              <w:rPr>
                <w:rFonts w:eastAsia="Calibri"/>
                <w:i/>
              </w:rPr>
              <w:t xml:space="preserve">млн. тенге, капремонт водопропускной трубы на автодороге областного значения «Покровка-Корнеевка-Горное» – </w:t>
            </w:r>
            <w:r w:rsidRPr="00666047">
              <w:rPr>
                <w:rFonts w:eastAsia="Calibri"/>
                <w:b/>
                <w:i/>
              </w:rPr>
              <w:t xml:space="preserve">136,7 </w:t>
            </w:r>
            <w:r w:rsidRPr="00666047">
              <w:rPr>
                <w:rFonts w:eastAsia="Calibri"/>
                <w:i/>
              </w:rPr>
              <w:t>млн. тенге</w:t>
            </w:r>
            <w:proofErr w:type="gramStart"/>
            <w:r w:rsidRPr="00666047">
              <w:rPr>
                <w:rFonts w:eastAsia="Calibri"/>
                <w:i/>
              </w:rPr>
              <w:t xml:space="preserve"> )</w:t>
            </w:r>
            <w:proofErr w:type="gramEnd"/>
            <w:r w:rsidRPr="00666047">
              <w:rPr>
                <w:rFonts w:eastAsia="Calibri"/>
              </w:rPr>
              <w:t>.</w:t>
            </w:r>
          </w:p>
          <w:p w:rsidR="00666047" w:rsidRPr="00666047" w:rsidRDefault="00666047" w:rsidP="00921136">
            <w:pPr>
              <w:widowControl w:val="0"/>
              <w:pBdr>
                <w:bottom w:val="single" w:sz="4" w:space="31" w:color="FFFFFF"/>
              </w:pBdr>
              <w:ind w:left="84" w:right="58" w:firstLine="200"/>
              <w:jc w:val="both"/>
              <w:rPr>
                <w:rFonts w:eastAsia="Calibri"/>
              </w:rPr>
            </w:pPr>
            <w:r w:rsidRPr="00666047">
              <w:rPr>
                <w:rFonts w:eastAsia="Calibri"/>
              </w:rPr>
              <w:t>В 2019 году  реализован</w:t>
            </w:r>
            <w:r w:rsidRPr="00666047">
              <w:rPr>
                <w:rFonts w:eastAsia="Calibri"/>
                <w:lang w:val="kk-KZ"/>
              </w:rPr>
              <w:t>ы</w:t>
            </w:r>
            <w:r w:rsidRPr="00666047">
              <w:rPr>
                <w:rFonts w:eastAsia="Calibri"/>
              </w:rPr>
              <w:t xml:space="preserve"> 4 мероприятия на сумму </w:t>
            </w:r>
            <w:r w:rsidRPr="00666047">
              <w:rPr>
                <w:rFonts w:eastAsia="Calibri"/>
              </w:rPr>
              <w:lastRenderedPageBreak/>
              <w:t>140,5 млн. тенге.</w:t>
            </w:r>
            <w:r w:rsidRPr="00666047">
              <w:rPr>
                <w:rFonts w:eastAsia="Calibri"/>
                <w:lang w:val="kk-KZ"/>
              </w:rPr>
              <w:t xml:space="preserve"> </w:t>
            </w:r>
          </w:p>
          <w:p w:rsidR="00666047" w:rsidRPr="00666047" w:rsidRDefault="00666047" w:rsidP="00921136">
            <w:pPr>
              <w:widowControl w:val="0"/>
              <w:pBdr>
                <w:bottom w:val="single" w:sz="4" w:space="31" w:color="FFFFFF"/>
              </w:pBdr>
              <w:ind w:left="84" w:right="58" w:firstLine="200"/>
              <w:jc w:val="both"/>
              <w:rPr>
                <w:lang w:val="kk-KZ" w:eastAsia="en-US"/>
              </w:rPr>
            </w:pPr>
            <w:r w:rsidRPr="00666047">
              <w:rPr>
                <w:rFonts w:eastAsia="Calibri"/>
                <w:lang w:val="kk-KZ"/>
              </w:rPr>
              <w:t>Также</w:t>
            </w:r>
            <w:r w:rsidRPr="00666047">
              <w:rPr>
                <w:rFonts w:eastAsia="Calibri"/>
              </w:rPr>
              <w:t>, в 20</w:t>
            </w:r>
            <w:r w:rsidRPr="00666047">
              <w:rPr>
                <w:rFonts w:eastAsia="Calibri"/>
                <w:lang w:val="kk-KZ"/>
              </w:rPr>
              <w:t>19</w:t>
            </w:r>
            <w:r w:rsidRPr="00666047">
              <w:rPr>
                <w:rFonts w:eastAsia="Calibri"/>
              </w:rPr>
              <w:t xml:space="preserve"> год</w:t>
            </w:r>
            <w:r w:rsidRPr="00666047">
              <w:rPr>
                <w:rFonts w:eastAsia="Calibri"/>
                <w:lang w:val="kk-KZ"/>
              </w:rPr>
              <w:t>у</w:t>
            </w:r>
            <w:r w:rsidRPr="00666047">
              <w:rPr>
                <w:rFonts w:eastAsia="Calibri"/>
              </w:rPr>
              <w:t xml:space="preserve"> был разработан План мероприятий по защите населенных пунктов области от паводковых вод, в который вошли </w:t>
            </w:r>
            <w:r w:rsidRPr="00666047">
              <w:rPr>
                <w:rFonts w:eastAsia="Calibri"/>
                <w:lang w:val="kk-KZ"/>
              </w:rPr>
              <w:t>34</w:t>
            </w:r>
            <w:r w:rsidRPr="00666047">
              <w:rPr>
                <w:rFonts w:eastAsia="Calibri"/>
              </w:rPr>
              <w:t xml:space="preserve"> мероприятия, направленных на защиту </w:t>
            </w:r>
            <w:r w:rsidRPr="00666047">
              <w:rPr>
                <w:rFonts w:eastAsia="Calibri"/>
                <w:lang w:val="kk-KZ"/>
              </w:rPr>
              <w:t xml:space="preserve">108 </w:t>
            </w:r>
            <w:r w:rsidRPr="00666047">
              <w:rPr>
                <w:rFonts w:eastAsia="Calibri"/>
              </w:rPr>
              <w:t xml:space="preserve">населенных пунктов с численностью населения более </w:t>
            </w:r>
            <w:r w:rsidRPr="00666047">
              <w:rPr>
                <w:rFonts w:eastAsia="Calibri"/>
                <w:lang w:val="kk-KZ"/>
              </w:rPr>
              <w:t>36</w:t>
            </w:r>
            <w:r w:rsidRPr="00666047">
              <w:rPr>
                <w:rFonts w:eastAsia="Calibri"/>
              </w:rPr>
              <w:t xml:space="preserve"> тыс. человек. В </w:t>
            </w:r>
            <w:proofErr w:type="gramStart"/>
            <w:r w:rsidRPr="00666047">
              <w:rPr>
                <w:rFonts w:eastAsia="Calibri"/>
              </w:rPr>
              <w:t>рамках</w:t>
            </w:r>
            <w:proofErr w:type="gramEnd"/>
            <w:r w:rsidRPr="00666047">
              <w:rPr>
                <w:rFonts w:eastAsia="Calibri"/>
              </w:rPr>
              <w:t xml:space="preserve"> запланированных мероприятий проведено укрепление и возведение земляных обвалований</w:t>
            </w:r>
            <w:r w:rsidRPr="00666047">
              <w:t>, строительство и углубление каналов, котлованов, установка водопропускных труб</w:t>
            </w:r>
            <w:r w:rsidRPr="00666047">
              <w:rPr>
                <w:lang w:val="kk-KZ"/>
              </w:rPr>
              <w:t xml:space="preserve">. </w:t>
            </w:r>
            <w:r w:rsidRPr="00666047">
              <w:rPr>
                <w:rFonts w:eastAsia="Calibri"/>
              </w:rPr>
              <w:t xml:space="preserve">Общая протяженность инженерных сооружений составила </w:t>
            </w:r>
            <w:r w:rsidRPr="00666047">
              <w:rPr>
                <w:rFonts w:eastAsia="Calibri"/>
                <w:lang w:val="kk-KZ"/>
              </w:rPr>
              <w:t>33</w:t>
            </w:r>
            <w:r w:rsidRPr="00666047">
              <w:rPr>
                <w:rFonts w:eastAsia="Calibri"/>
              </w:rPr>
              <w:t xml:space="preserve"> км.</w:t>
            </w:r>
          </w:p>
        </w:tc>
      </w:tr>
      <w:tr w:rsidR="00FD1D48" w:rsidRPr="00666047" w:rsidTr="007D7622">
        <w:trPr>
          <w:trHeight w:val="20"/>
          <w:jc w:val="center"/>
        </w:trPr>
        <w:tc>
          <w:tcPr>
            <w:tcW w:w="3686" w:type="dxa"/>
            <w:tcBorders>
              <w:top w:val="single" w:sz="4" w:space="0" w:color="auto"/>
              <w:left w:val="single" w:sz="4" w:space="0" w:color="auto"/>
              <w:bottom w:val="single" w:sz="4" w:space="0" w:color="auto"/>
              <w:right w:val="single" w:sz="4" w:space="0" w:color="auto"/>
            </w:tcBorders>
            <w:shd w:val="clear" w:color="auto" w:fill="auto"/>
          </w:tcPr>
          <w:p w:rsidR="00FD1D48" w:rsidRPr="00666047" w:rsidRDefault="00FD1D48" w:rsidP="00921136">
            <w:pPr>
              <w:widowControl w:val="0"/>
              <w:tabs>
                <w:tab w:val="left" w:pos="1703"/>
              </w:tabs>
              <w:ind w:left="84" w:right="58" w:firstLine="200"/>
              <w:jc w:val="both"/>
              <w:rPr>
                <w:rFonts w:eastAsia="Batang"/>
                <w:lang w:eastAsia="ko-KR"/>
              </w:rPr>
            </w:pPr>
            <w:r w:rsidRPr="00666047">
              <w:rPr>
                <w:rFonts w:eastAsia="Batang"/>
                <w:lang w:eastAsia="ko-KR"/>
              </w:rPr>
              <w:lastRenderedPageBreak/>
              <w:t>Отсутствие в регионе мусороперерабатывающего/ мусоросжигательного завода.</w:t>
            </w:r>
          </w:p>
          <w:p w:rsidR="00FD1D48" w:rsidRPr="00666047" w:rsidRDefault="00FD1D48" w:rsidP="00921136">
            <w:pPr>
              <w:widowControl w:val="0"/>
              <w:tabs>
                <w:tab w:val="left" w:pos="1703"/>
              </w:tabs>
              <w:ind w:left="84" w:right="58" w:firstLine="200"/>
              <w:jc w:val="both"/>
              <w:rPr>
                <w:rFonts w:eastAsia="Batang"/>
                <w:lang w:eastAsia="ko-KR"/>
              </w:rPr>
            </w:pPr>
            <w:r w:rsidRPr="00666047">
              <w:rPr>
                <w:rFonts w:eastAsia="Batang"/>
                <w:lang w:eastAsia="ko-KR"/>
              </w:rPr>
              <w:t>Отсутствие Государственной программы по управлению ТБО. Отсутствие учета объема образования  ТБО в районах.</w:t>
            </w:r>
          </w:p>
          <w:p w:rsidR="00FD1D48" w:rsidRPr="00666047" w:rsidRDefault="00FD1D48" w:rsidP="00921136">
            <w:pPr>
              <w:widowControl w:val="0"/>
              <w:tabs>
                <w:tab w:val="left" w:pos="1703"/>
              </w:tabs>
              <w:ind w:left="84" w:right="58" w:firstLine="200"/>
              <w:jc w:val="both"/>
              <w:rPr>
                <w:lang w:eastAsia="en-US"/>
              </w:rPr>
            </w:pPr>
            <w:r w:rsidRPr="00666047">
              <w:rPr>
                <w:rFonts w:eastAsia="Batang"/>
                <w:lang w:eastAsia="ko-KR"/>
              </w:rPr>
              <w:t xml:space="preserve">Человеческий фактор: низкий уровень экологического образования и мировоззрения, </w:t>
            </w:r>
            <w:proofErr w:type="gramStart"/>
            <w:r w:rsidRPr="00666047">
              <w:rPr>
                <w:rFonts w:eastAsia="Batang"/>
                <w:lang w:eastAsia="ko-KR"/>
              </w:rPr>
              <w:t>потребительское</w:t>
            </w:r>
            <w:proofErr w:type="gramEnd"/>
            <w:r w:rsidRPr="00666047">
              <w:rPr>
                <w:rFonts w:eastAsia="Batang"/>
                <w:lang w:eastAsia="ko-KR"/>
              </w:rPr>
              <w:t xml:space="preserve"> отношения к окружающей среде.</w:t>
            </w:r>
          </w:p>
        </w:tc>
        <w:tc>
          <w:tcPr>
            <w:tcW w:w="5834" w:type="dxa"/>
            <w:tcBorders>
              <w:top w:val="outset" w:sz="8" w:space="0" w:color="000000"/>
              <w:left w:val="single" w:sz="4" w:space="0" w:color="auto"/>
              <w:bottom w:val="outset" w:sz="8" w:space="0" w:color="000000"/>
              <w:right w:val="outset" w:sz="8" w:space="0" w:color="000000"/>
            </w:tcBorders>
            <w:shd w:val="clear" w:color="auto" w:fill="auto"/>
            <w:tcMar>
              <w:top w:w="15" w:type="dxa"/>
              <w:left w:w="15" w:type="dxa"/>
              <w:bottom w:w="15" w:type="dxa"/>
              <w:right w:w="15" w:type="dxa"/>
            </w:tcMar>
          </w:tcPr>
          <w:p w:rsidR="00FD1D48" w:rsidRPr="00666047" w:rsidRDefault="00FD1D48" w:rsidP="00921136">
            <w:pPr>
              <w:widowControl w:val="0"/>
              <w:ind w:left="84" w:right="58" w:firstLine="200"/>
              <w:jc w:val="both"/>
            </w:pPr>
            <w:r w:rsidRPr="00666047">
              <w:t xml:space="preserve">Развитие раздельного сбора ТБО, развитие инфраструктуры: установка контейнеров для раздельного сбора ТБО (в 2019 году установлено 330 </w:t>
            </w:r>
            <w:proofErr w:type="spellStart"/>
            <w:proofErr w:type="gramStart"/>
            <w:r w:rsidRPr="00666047">
              <w:t>шт</w:t>
            </w:r>
            <w:proofErr w:type="spellEnd"/>
            <w:proofErr w:type="gramEnd"/>
            <w:r w:rsidRPr="00666047">
              <w:t>), пунктов приема вторсырья (установлено 6 шт.), пропаганда раздельного сбора и переработки ТБО  среди населения (совместно со СМИ проведено 11 акций и мероприятий, в печатных изданиях опубликовано 5 статей).</w:t>
            </w:r>
          </w:p>
          <w:p w:rsidR="00FD1D48" w:rsidRPr="00666047" w:rsidRDefault="00FD1D48" w:rsidP="00921136">
            <w:pPr>
              <w:widowControl w:val="0"/>
              <w:ind w:left="84" w:right="58" w:firstLine="200"/>
              <w:jc w:val="both"/>
              <w:rPr>
                <w:lang w:eastAsia="en-US"/>
              </w:rPr>
            </w:pPr>
            <w:r w:rsidRPr="00666047">
              <w:t>Увеличение мощностей, количества предприятий занимающихся переработкой вторсырья с получением готовой продукции (организована линия по переработке ПЭТ бутылки в сырье мощность 3000 тонн/год).</w:t>
            </w:r>
          </w:p>
        </w:tc>
      </w:tr>
    </w:tbl>
    <w:p w:rsidR="00E65E95" w:rsidRPr="00666047" w:rsidRDefault="00E65E95" w:rsidP="00666047">
      <w:pPr>
        <w:keepNext/>
        <w:keepLines/>
        <w:ind w:firstLine="284"/>
        <w:rPr>
          <w:color w:val="7030A0"/>
        </w:rPr>
      </w:pPr>
    </w:p>
    <w:p w:rsidR="00A71193" w:rsidRPr="00666047" w:rsidRDefault="00A71193" w:rsidP="00666047">
      <w:pPr>
        <w:keepNext/>
        <w:keepLines/>
        <w:ind w:firstLine="284"/>
        <w:rPr>
          <w:color w:val="7030A0"/>
        </w:rPr>
      </w:pPr>
    </w:p>
    <w:sectPr w:rsidR="00A71193" w:rsidRPr="00666047" w:rsidSect="00666047">
      <w:footerReference w:type="default" r:id="rId8"/>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0D3" w:rsidRDefault="001420D3" w:rsidP="00516B1B">
      <w:r>
        <w:separator/>
      </w:r>
    </w:p>
  </w:endnote>
  <w:endnote w:type="continuationSeparator" w:id="0">
    <w:p w:rsidR="001420D3" w:rsidRDefault="001420D3" w:rsidP="0051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944066"/>
      <w:docPartObj>
        <w:docPartGallery w:val="Page Numbers (Bottom of Page)"/>
        <w:docPartUnique/>
      </w:docPartObj>
    </w:sdtPr>
    <w:sdtEndPr/>
    <w:sdtContent>
      <w:p w:rsidR="00516B1B" w:rsidRDefault="00516B1B">
        <w:pPr>
          <w:pStyle w:val="a9"/>
          <w:jc w:val="center"/>
        </w:pPr>
        <w:r>
          <w:fldChar w:fldCharType="begin"/>
        </w:r>
        <w:r>
          <w:instrText>PAGE   \* MERGEFORMAT</w:instrText>
        </w:r>
        <w:r>
          <w:fldChar w:fldCharType="separate"/>
        </w:r>
        <w:r w:rsidR="00666945">
          <w:rPr>
            <w:noProof/>
          </w:rPr>
          <w:t>2</w:t>
        </w:r>
        <w:r>
          <w:fldChar w:fldCharType="end"/>
        </w:r>
      </w:p>
    </w:sdtContent>
  </w:sdt>
  <w:p w:rsidR="00516B1B" w:rsidRDefault="00516B1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0D3" w:rsidRDefault="001420D3" w:rsidP="00516B1B">
      <w:r>
        <w:separator/>
      </w:r>
    </w:p>
  </w:footnote>
  <w:footnote w:type="continuationSeparator" w:id="0">
    <w:p w:rsidR="001420D3" w:rsidRDefault="001420D3" w:rsidP="00516B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22B"/>
    <w:multiLevelType w:val="hybridMultilevel"/>
    <w:tmpl w:val="776CD4E6"/>
    <w:lvl w:ilvl="0" w:tplc="04190001">
      <w:start w:val="1"/>
      <w:numFmt w:val="bullet"/>
      <w:lvlText w:val=""/>
      <w:lvlJc w:val="left"/>
      <w:pPr>
        <w:tabs>
          <w:tab w:val="num" w:pos="1580"/>
        </w:tabs>
        <w:ind w:left="1580" w:hanging="360"/>
      </w:pPr>
      <w:rPr>
        <w:rFonts w:ascii="Symbol" w:hAnsi="Symbol" w:hint="default"/>
      </w:rPr>
    </w:lvl>
    <w:lvl w:ilvl="1" w:tplc="04190003">
      <w:start w:val="1"/>
      <w:numFmt w:val="bullet"/>
      <w:lvlText w:val="o"/>
      <w:lvlJc w:val="left"/>
      <w:pPr>
        <w:tabs>
          <w:tab w:val="num" w:pos="2300"/>
        </w:tabs>
        <w:ind w:left="230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D88136E"/>
    <w:multiLevelType w:val="hybridMultilevel"/>
    <w:tmpl w:val="2BC8DEAC"/>
    <w:lvl w:ilvl="0" w:tplc="7310D0D6">
      <w:start w:val="1"/>
      <w:numFmt w:val="decimal"/>
      <w:lvlText w:val="%1."/>
      <w:lvlJc w:val="left"/>
      <w:pPr>
        <w:ind w:left="655" w:hanging="360"/>
      </w:pPr>
      <w:rPr>
        <w:rFonts w:hint="default"/>
      </w:r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2">
    <w:nsid w:val="4A0A38C4"/>
    <w:multiLevelType w:val="hybridMultilevel"/>
    <w:tmpl w:val="2050088C"/>
    <w:lvl w:ilvl="0" w:tplc="E880F7F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
    <w:nsid w:val="5F9C3565"/>
    <w:multiLevelType w:val="hybridMultilevel"/>
    <w:tmpl w:val="4BB490D8"/>
    <w:lvl w:ilvl="0" w:tplc="04190001">
      <w:start w:val="1"/>
      <w:numFmt w:val="bullet"/>
      <w:lvlText w:val=""/>
      <w:lvlJc w:val="left"/>
      <w:pPr>
        <w:tabs>
          <w:tab w:val="num" w:pos="1580"/>
        </w:tabs>
        <w:ind w:left="15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C1E"/>
    <w:rsid w:val="000118B4"/>
    <w:rsid w:val="00014141"/>
    <w:rsid w:val="00016961"/>
    <w:rsid w:val="00022C1E"/>
    <w:rsid w:val="00057A4B"/>
    <w:rsid w:val="00067754"/>
    <w:rsid w:val="00077E5B"/>
    <w:rsid w:val="00090C26"/>
    <w:rsid w:val="001420D3"/>
    <w:rsid w:val="00156D0B"/>
    <w:rsid w:val="001815B5"/>
    <w:rsid w:val="00182D19"/>
    <w:rsid w:val="001D5399"/>
    <w:rsid w:val="001F7FEC"/>
    <w:rsid w:val="002227BB"/>
    <w:rsid w:val="002410B3"/>
    <w:rsid w:val="002472BD"/>
    <w:rsid w:val="00250201"/>
    <w:rsid w:val="002629CB"/>
    <w:rsid w:val="0028105D"/>
    <w:rsid w:val="002A24E0"/>
    <w:rsid w:val="002A2ED5"/>
    <w:rsid w:val="002A3DEF"/>
    <w:rsid w:val="002B0928"/>
    <w:rsid w:val="002C3A44"/>
    <w:rsid w:val="002D1D4F"/>
    <w:rsid w:val="002E4BA6"/>
    <w:rsid w:val="0030002D"/>
    <w:rsid w:val="00302F77"/>
    <w:rsid w:val="0034287C"/>
    <w:rsid w:val="00362FD2"/>
    <w:rsid w:val="00366C87"/>
    <w:rsid w:val="003705EA"/>
    <w:rsid w:val="0037127E"/>
    <w:rsid w:val="00386954"/>
    <w:rsid w:val="003926D5"/>
    <w:rsid w:val="00394622"/>
    <w:rsid w:val="003A1D00"/>
    <w:rsid w:val="003A38FB"/>
    <w:rsid w:val="003A5263"/>
    <w:rsid w:val="0040230B"/>
    <w:rsid w:val="00475453"/>
    <w:rsid w:val="00486377"/>
    <w:rsid w:val="00491DA0"/>
    <w:rsid w:val="004A4241"/>
    <w:rsid w:val="004A5FCB"/>
    <w:rsid w:val="004C47CD"/>
    <w:rsid w:val="004C7B82"/>
    <w:rsid w:val="004D467A"/>
    <w:rsid w:val="004D609C"/>
    <w:rsid w:val="004F70F2"/>
    <w:rsid w:val="00501310"/>
    <w:rsid w:val="00511722"/>
    <w:rsid w:val="005153E1"/>
    <w:rsid w:val="00516B1B"/>
    <w:rsid w:val="00557595"/>
    <w:rsid w:val="00566344"/>
    <w:rsid w:val="005756EA"/>
    <w:rsid w:val="00591AA7"/>
    <w:rsid w:val="005F1244"/>
    <w:rsid w:val="00613BBC"/>
    <w:rsid w:val="00650369"/>
    <w:rsid w:val="0065471B"/>
    <w:rsid w:val="00663AC1"/>
    <w:rsid w:val="00666047"/>
    <w:rsid w:val="00666945"/>
    <w:rsid w:val="006742C1"/>
    <w:rsid w:val="00684C48"/>
    <w:rsid w:val="006A6E72"/>
    <w:rsid w:val="006C0C76"/>
    <w:rsid w:val="006E3CAE"/>
    <w:rsid w:val="006E7CFB"/>
    <w:rsid w:val="006F5DF3"/>
    <w:rsid w:val="00710248"/>
    <w:rsid w:val="00723CB9"/>
    <w:rsid w:val="00731E81"/>
    <w:rsid w:val="00732B0B"/>
    <w:rsid w:val="007336B9"/>
    <w:rsid w:val="007365AB"/>
    <w:rsid w:val="00737E99"/>
    <w:rsid w:val="0077733C"/>
    <w:rsid w:val="00777D08"/>
    <w:rsid w:val="007A483F"/>
    <w:rsid w:val="007F56C9"/>
    <w:rsid w:val="00805553"/>
    <w:rsid w:val="00853E08"/>
    <w:rsid w:val="00860E01"/>
    <w:rsid w:val="0086438B"/>
    <w:rsid w:val="008A038B"/>
    <w:rsid w:val="008C24AF"/>
    <w:rsid w:val="008E1416"/>
    <w:rsid w:val="008F5F68"/>
    <w:rsid w:val="009103B6"/>
    <w:rsid w:val="00921136"/>
    <w:rsid w:val="00926B8C"/>
    <w:rsid w:val="0095187F"/>
    <w:rsid w:val="00993E7D"/>
    <w:rsid w:val="009A38C8"/>
    <w:rsid w:val="009F36C0"/>
    <w:rsid w:val="009F6503"/>
    <w:rsid w:val="00A014C1"/>
    <w:rsid w:val="00A669EE"/>
    <w:rsid w:val="00A71193"/>
    <w:rsid w:val="00AC39A0"/>
    <w:rsid w:val="00AC7375"/>
    <w:rsid w:val="00AD68CA"/>
    <w:rsid w:val="00AE431B"/>
    <w:rsid w:val="00B05D8E"/>
    <w:rsid w:val="00B1012A"/>
    <w:rsid w:val="00B22A21"/>
    <w:rsid w:val="00B25E68"/>
    <w:rsid w:val="00B43860"/>
    <w:rsid w:val="00B57E2A"/>
    <w:rsid w:val="00B7083E"/>
    <w:rsid w:val="00B82E73"/>
    <w:rsid w:val="00BA0E8D"/>
    <w:rsid w:val="00BA6BAD"/>
    <w:rsid w:val="00C0745F"/>
    <w:rsid w:val="00C109AA"/>
    <w:rsid w:val="00C164F2"/>
    <w:rsid w:val="00C2547B"/>
    <w:rsid w:val="00C90D53"/>
    <w:rsid w:val="00CB782E"/>
    <w:rsid w:val="00CC6B94"/>
    <w:rsid w:val="00D073C0"/>
    <w:rsid w:val="00D7409A"/>
    <w:rsid w:val="00D7744C"/>
    <w:rsid w:val="00D84D4B"/>
    <w:rsid w:val="00DB4A5A"/>
    <w:rsid w:val="00DC569D"/>
    <w:rsid w:val="00DE4A7B"/>
    <w:rsid w:val="00DF7F0D"/>
    <w:rsid w:val="00E4252E"/>
    <w:rsid w:val="00E46FA5"/>
    <w:rsid w:val="00E65E95"/>
    <w:rsid w:val="00E70EA5"/>
    <w:rsid w:val="00EE3C3D"/>
    <w:rsid w:val="00EF0513"/>
    <w:rsid w:val="00EF1906"/>
    <w:rsid w:val="00F01700"/>
    <w:rsid w:val="00F36E80"/>
    <w:rsid w:val="00F44F40"/>
    <w:rsid w:val="00F57A37"/>
    <w:rsid w:val="00F6443E"/>
    <w:rsid w:val="00F77CB1"/>
    <w:rsid w:val="00F917F3"/>
    <w:rsid w:val="00FA5DF7"/>
    <w:rsid w:val="00FB45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C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336B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qFormat/>
    <w:rsid w:val="00022C1E"/>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rsid w:val="00C109AA"/>
    <w:rPr>
      <w:rFonts w:ascii="Times New Roman" w:eastAsia="Times New Roman" w:hAnsi="Times New Roman" w:cs="Times New Roman"/>
      <w:sz w:val="24"/>
      <w:szCs w:val="24"/>
      <w:lang w:eastAsia="ru-RU"/>
    </w:rPr>
  </w:style>
  <w:style w:type="paragraph" w:styleId="a5">
    <w:name w:val="No Spacing"/>
    <w:link w:val="a6"/>
    <w:uiPriority w:val="99"/>
    <w:qFormat/>
    <w:rsid w:val="00C109AA"/>
    <w:pPr>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 Знак Знак Знак Знак Знак Знак Знак Знак Знак Знак Знак Знак1 Знак"/>
    <w:basedOn w:val="a"/>
    <w:autoRedefine/>
    <w:rsid w:val="00805553"/>
    <w:pPr>
      <w:spacing w:after="160" w:line="240" w:lineRule="exact"/>
    </w:pPr>
    <w:rPr>
      <w:sz w:val="28"/>
      <w:szCs w:val="20"/>
      <w:lang w:val="en-US" w:eastAsia="en-US"/>
    </w:rPr>
  </w:style>
  <w:style w:type="character" w:customStyle="1" w:styleId="10">
    <w:name w:val="Заголовок 1 Знак"/>
    <w:basedOn w:val="a0"/>
    <w:link w:val="1"/>
    <w:uiPriority w:val="99"/>
    <w:rsid w:val="007336B9"/>
    <w:rPr>
      <w:rFonts w:ascii="Cambria" w:eastAsia="Times New Roman" w:hAnsi="Cambria" w:cs="Cambria"/>
      <w:b/>
      <w:bCs/>
      <w:kern w:val="32"/>
      <w:sz w:val="32"/>
      <w:szCs w:val="32"/>
      <w:lang w:eastAsia="ru-RU"/>
    </w:rPr>
  </w:style>
  <w:style w:type="paragraph" w:customStyle="1" w:styleId="12">
    <w:name w:val="Стиль1"/>
    <w:basedOn w:val="a"/>
    <w:rsid w:val="007336B9"/>
    <w:pPr>
      <w:spacing w:line="276" w:lineRule="auto"/>
      <w:ind w:firstLine="708"/>
      <w:jc w:val="both"/>
    </w:pPr>
    <w:rPr>
      <w:rFonts w:eastAsia="Calibri"/>
      <w:sz w:val="28"/>
      <w:szCs w:val="28"/>
      <w:lang w:eastAsia="en-US"/>
    </w:rPr>
  </w:style>
  <w:style w:type="character" w:customStyle="1" w:styleId="a6">
    <w:name w:val="Без интервала Знак"/>
    <w:link w:val="a5"/>
    <w:uiPriority w:val="1"/>
    <w:locked/>
    <w:rsid w:val="00F917F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6B1B"/>
    <w:pPr>
      <w:tabs>
        <w:tab w:val="center" w:pos="4677"/>
        <w:tab w:val="right" w:pos="9355"/>
      </w:tabs>
    </w:pPr>
  </w:style>
  <w:style w:type="character" w:customStyle="1" w:styleId="a8">
    <w:name w:val="Верхний колонтитул Знак"/>
    <w:basedOn w:val="a0"/>
    <w:link w:val="a7"/>
    <w:uiPriority w:val="99"/>
    <w:rsid w:val="00516B1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16B1B"/>
    <w:pPr>
      <w:tabs>
        <w:tab w:val="center" w:pos="4677"/>
        <w:tab w:val="right" w:pos="9355"/>
      </w:tabs>
    </w:pPr>
  </w:style>
  <w:style w:type="character" w:customStyle="1" w:styleId="aa">
    <w:name w:val="Нижний колонтитул Знак"/>
    <w:basedOn w:val="a0"/>
    <w:link w:val="a9"/>
    <w:uiPriority w:val="99"/>
    <w:rsid w:val="00516B1B"/>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9F6503"/>
    <w:rPr>
      <w:rFonts w:ascii="Arial" w:hAnsi="Arial" w:cs="Arial"/>
      <w:sz w:val="28"/>
      <w:szCs w:val="28"/>
    </w:rPr>
  </w:style>
  <w:style w:type="paragraph" w:customStyle="1" w:styleId="2">
    <w:name w:val="Стиль2"/>
    <w:basedOn w:val="a"/>
    <w:uiPriority w:val="99"/>
    <w:rsid w:val="009F6503"/>
    <w:pPr>
      <w:ind w:firstLine="708"/>
      <w:jc w:val="both"/>
    </w:pPr>
  </w:style>
  <w:style w:type="character" w:customStyle="1" w:styleId="s0">
    <w:name w:val="s0"/>
    <w:rsid w:val="009F6503"/>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9F6503"/>
    <w:pPr>
      <w:ind w:left="720"/>
      <w:contextualSpacing/>
    </w:pPr>
  </w:style>
  <w:style w:type="character" w:customStyle="1" w:styleId="13">
    <w:name w:val="Без интервала Знак1"/>
    <w:uiPriority w:val="99"/>
    <w:locked/>
    <w:rsid w:val="00710248"/>
    <w:rPr>
      <w:rFonts w:ascii="Times New Roman" w:hAnsi="Times New Roman" w:cs="Times New Roman"/>
      <w:sz w:val="24"/>
      <w:szCs w:val="24"/>
      <w:lang w:eastAsia="ru-RU"/>
    </w:rPr>
  </w:style>
  <w:style w:type="paragraph" w:customStyle="1" w:styleId="3">
    <w:name w:val="Без интервала3"/>
    <w:rsid w:val="00AC39A0"/>
    <w:pPr>
      <w:spacing w:after="0" w:line="240" w:lineRule="auto"/>
    </w:pPr>
    <w:rPr>
      <w:rFonts w:ascii="Calibri" w:eastAsia="Times New Roman" w:hAnsi="Calibri" w:cs="Calibri"/>
    </w:rPr>
  </w:style>
  <w:style w:type="paragraph" w:customStyle="1" w:styleId="4">
    <w:name w:val="Без интервала4"/>
    <w:rsid w:val="00AC39A0"/>
    <w:pPr>
      <w:spacing w:after="0" w:line="240" w:lineRule="auto"/>
    </w:pPr>
    <w:rPr>
      <w:rFonts w:ascii="Calibri" w:eastAsia="Times New Roman" w:hAnsi="Calibri" w:cs="Calibri"/>
    </w:rPr>
  </w:style>
  <w:style w:type="paragraph" w:styleId="ac">
    <w:name w:val="Balloon Text"/>
    <w:basedOn w:val="a"/>
    <w:link w:val="ad"/>
    <w:uiPriority w:val="99"/>
    <w:semiHidden/>
    <w:unhideWhenUsed/>
    <w:rsid w:val="00B05D8E"/>
    <w:rPr>
      <w:rFonts w:ascii="Tahoma" w:hAnsi="Tahoma" w:cs="Tahoma"/>
      <w:sz w:val="16"/>
      <w:szCs w:val="16"/>
    </w:rPr>
  </w:style>
  <w:style w:type="character" w:customStyle="1" w:styleId="ad">
    <w:name w:val="Текст выноски Знак"/>
    <w:basedOn w:val="a0"/>
    <w:link w:val="ac"/>
    <w:uiPriority w:val="99"/>
    <w:semiHidden/>
    <w:rsid w:val="00B05D8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C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336B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qFormat/>
    <w:rsid w:val="00022C1E"/>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rsid w:val="00C109AA"/>
    <w:rPr>
      <w:rFonts w:ascii="Times New Roman" w:eastAsia="Times New Roman" w:hAnsi="Times New Roman" w:cs="Times New Roman"/>
      <w:sz w:val="24"/>
      <w:szCs w:val="24"/>
      <w:lang w:eastAsia="ru-RU"/>
    </w:rPr>
  </w:style>
  <w:style w:type="paragraph" w:styleId="a5">
    <w:name w:val="No Spacing"/>
    <w:link w:val="a6"/>
    <w:uiPriority w:val="99"/>
    <w:qFormat/>
    <w:rsid w:val="00C109AA"/>
    <w:pPr>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 Знак Знак Знак Знак Знак Знак Знак Знак Знак Знак Знак Знак1 Знак"/>
    <w:basedOn w:val="a"/>
    <w:autoRedefine/>
    <w:rsid w:val="00805553"/>
    <w:pPr>
      <w:spacing w:after="160" w:line="240" w:lineRule="exact"/>
    </w:pPr>
    <w:rPr>
      <w:sz w:val="28"/>
      <w:szCs w:val="20"/>
      <w:lang w:val="en-US" w:eastAsia="en-US"/>
    </w:rPr>
  </w:style>
  <w:style w:type="character" w:customStyle="1" w:styleId="10">
    <w:name w:val="Заголовок 1 Знак"/>
    <w:basedOn w:val="a0"/>
    <w:link w:val="1"/>
    <w:uiPriority w:val="99"/>
    <w:rsid w:val="007336B9"/>
    <w:rPr>
      <w:rFonts w:ascii="Cambria" w:eastAsia="Times New Roman" w:hAnsi="Cambria" w:cs="Cambria"/>
      <w:b/>
      <w:bCs/>
      <w:kern w:val="32"/>
      <w:sz w:val="32"/>
      <w:szCs w:val="32"/>
      <w:lang w:eastAsia="ru-RU"/>
    </w:rPr>
  </w:style>
  <w:style w:type="paragraph" w:customStyle="1" w:styleId="12">
    <w:name w:val="Стиль1"/>
    <w:basedOn w:val="a"/>
    <w:rsid w:val="007336B9"/>
    <w:pPr>
      <w:spacing w:line="276" w:lineRule="auto"/>
      <w:ind w:firstLine="708"/>
      <w:jc w:val="both"/>
    </w:pPr>
    <w:rPr>
      <w:rFonts w:eastAsia="Calibri"/>
      <w:sz w:val="28"/>
      <w:szCs w:val="28"/>
      <w:lang w:eastAsia="en-US"/>
    </w:rPr>
  </w:style>
  <w:style w:type="character" w:customStyle="1" w:styleId="a6">
    <w:name w:val="Без интервала Знак"/>
    <w:link w:val="a5"/>
    <w:uiPriority w:val="1"/>
    <w:locked/>
    <w:rsid w:val="00F917F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6B1B"/>
    <w:pPr>
      <w:tabs>
        <w:tab w:val="center" w:pos="4677"/>
        <w:tab w:val="right" w:pos="9355"/>
      </w:tabs>
    </w:pPr>
  </w:style>
  <w:style w:type="character" w:customStyle="1" w:styleId="a8">
    <w:name w:val="Верхний колонтитул Знак"/>
    <w:basedOn w:val="a0"/>
    <w:link w:val="a7"/>
    <w:uiPriority w:val="99"/>
    <w:rsid w:val="00516B1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16B1B"/>
    <w:pPr>
      <w:tabs>
        <w:tab w:val="center" w:pos="4677"/>
        <w:tab w:val="right" w:pos="9355"/>
      </w:tabs>
    </w:pPr>
  </w:style>
  <w:style w:type="character" w:customStyle="1" w:styleId="aa">
    <w:name w:val="Нижний колонтитул Знак"/>
    <w:basedOn w:val="a0"/>
    <w:link w:val="a9"/>
    <w:uiPriority w:val="99"/>
    <w:rsid w:val="00516B1B"/>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9F6503"/>
    <w:rPr>
      <w:rFonts w:ascii="Arial" w:hAnsi="Arial" w:cs="Arial"/>
      <w:sz w:val="28"/>
      <w:szCs w:val="28"/>
    </w:rPr>
  </w:style>
  <w:style w:type="paragraph" w:customStyle="1" w:styleId="2">
    <w:name w:val="Стиль2"/>
    <w:basedOn w:val="a"/>
    <w:uiPriority w:val="99"/>
    <w:rsid w:val="009F6503"/>
    <w:pPr>
      <w:ind w:firstLine="708"/>
      <w:jc w:val="both"/>
    </w:pPr>
  </w:style>
  <w:style w:type="character" w:customStyle="1" w:styleId="s0">
    <w:name w:val="s0"/>
    <w:rsid w:val="009F6503"/>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9F6503"/>
    <w:pPr>
      <w:ind w:left="720"/>
      <w:contextualSpacing/>
    </w:pPr>
  </w:style>
  <w:style w:type="character" w:customStyle="1" w:styleId="13">
    <w:name w:val="Без интервала Знак1"/>
    <w:uiPriority w:val="99"/>
    <w:locked/>
    <w:rsid w:val="00710248"/>
    <w:rPr>
      <w:rFonts w:ascii="Times New Roman" w:hAnsi="Times New Roman" w:cs="Times New Roman"/>
      <w:sz w:val="24"/>
      <w:szCs w:val="24"/>
      <w:lang w:eastAsia="ru-RU"/>
    </w:rPr>
  </w:style>
  <w:style w:type="paragraph" w:customStyle="1" w:styleId="3">
    <w:name w:val="Без интервала3"/>
    <w:rsid w:val="00AC39A0"/>
    <w:pPr>
      <w:spacing w:after="0" w:line="240" w:lineRule="auto"/>
    </w:pPr>
    <w:rPr>
      <w:rFonts w:ascii="Calibri" w:eastAsia="Times New Roman" w:hAnsi="Calibri" w:cs="Calibri"/>
    </w:rPr>
  </w:style>
  <w:style w:type="paragraph" w:customStyle="1" w:styleId="4">
    <w:name w:val="Без интервала4"/>
    <w:rsid w:val="00AC39A0"/>
    <w:pPr>
      <w:spacing w:after="0" w:line="240" w:lineRule="auto"/>
    </w:pPr>
    <w:rPr>
      <w:rFonts w:ascii="Calibri" w:eastAsia="Times New Roman" w:hAnsi="Calibri" w:cs="Calibri"/>
    </w:rPr>
  </w:style>
  <w:style w:type="paragraph" w:styleId="ac">
    <w:name w:val="Balloon Text"/>
    <w:basedOn w:val="a"/>
    <w:link w:val="ad"/>
    <w:uiPriority w:val="99"/>
    <w:semiHidden/>
    <w:unhideWhenUsed/>
    <w:rsid w:val="00B05D8E"/>
    <w:rPr>
      <w:rFonts w:ascii="Tahoma" w:hAnsi="Tahoma" w:cs="Tahoma"/>
      <w:sz w:val="16"/>
      <w:szCs w:val="16"/>
    </w:rPr>
  </w:style>
  <w:style w:type="character" w:customStyle="1" w:styleId="ad">
    <w:name w:val="Текст выноски Знак"/>
    <w:basedOn w:val="a0"/>
    <w:link w:val="ac"/>
    <w:uiPriority w:val="99"/>
    <w:semiHidden/>
    <w:rsid w:val="00B05D8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6873">
      <w:bodyDiv w:val="1"/>
      <w:marLeft w:val="0"/>
      <w:marRight w:val="0"/>
      <w:marTop w:val="0"/>
      <w:marBottom w:val="0"/>
      <w:divBdr>
        <w:top w:val="none" w:sz="0" w:space="0" w:color="auto"/>
        <w:left w:val="none" w:sz="0" w:space="0" w:color="auto"/>
        <w:bottom w:val="none" w:sz="0" w:space="0" w:color="auto"/>
        <w:right w:val="none" w:sz="0" w:space="0" w:color="auto"/>
      </w:divBdr>
    </w:div>
    <w:div w:id="92866260">
      <w:bodyDiv w:val="1"/>
      <w:marLeft w:val="0"/>
      <w:marRight w:val="0"/>
      <w:marTop w:val="0"/>
      <w:marBottom w:val="0"/>
      <w:divBdr>
        <w:top w:val="none" w:sz="0" w:space="0" w:color="auto"/>
        <w:left w:val="none" w:sz="0" w:space="0" w:color="auto"/>
        <w:bottom w:val="none" w:sz="0" w:space="0" w:color="auto"/>
        <w:right w:val="none" w:sz="0" w:space="0" w:color="auto"/>
      </w:divBdr>
    </w:div>
    <w:div w:id="230700992">
      <w:bodyDiv w:val="1"/>
      <w:marLeft w:val="0"/>
      <w:marRight w:val="0"/>
      <w:marTop w:val="0"/>
      <w:marBottom w:val="0"/>
      <w:divBdr>
        <w:top w:val="none" w:sz="0" w:space="0" w:color="auto"/>
        <w:left w:val="none" w:sz="0" w:space="0" w:color="auto"/>
        <w:bottom w:val="none" w:sz="0" w:space="0" w:color="auto"/>
        <w:right w:val="none" w:sz="0" w:space="0" w:color="auto"/>
      </w:divBdr>
    </w:div>
    <w:div w:id="331419202">
      <w:bodyDiv w:val="1"/>
      <w:marLeft w:val="0"/>
      <w:marRight w:val="0"/>
      <w:marTop w:val="0"/>
      <w:marBottom w:val="0"/>
      <w:divBdr>
        <w:top w:val="none" w:sz="0" w:space="0" w:color="auto"/>
        <w:left w:val="none" w:sz="0" w:space="0" w:color="auto"/>
        <w:bottom w:val="none" w:sz="0" w:space="0" w:color="auto"/>
        <w:right w:val="none" w:sz="0" w:space="0" w:color="auto"/>
      </w:divBdr>
    </w:div>
    <w:div w:id="403525937">
      <w:bodyDiv w:val="1"/>
      <w:marLeft w:val="0"/>
      <w:marRight w:val="0"/>
      <w:marTop w:val="0"/>
      <w:marBottom w:val="0"/>
      <w:divBdr>
        <w:top w:val="none" w:sz="0" w:space="0" w:color="auto"/>
        <w:left w:val="none" w:sz="0" w:space="0" w:color="auto"/>
        <w:bottom w:val="none" w:sz="0" w:space="0" w:color="auto"/>
        <w:right w:val="none" w:sz="0" w:space="0" w:color="auto"/>
      </w:divBdr>
    </w:div>
    <w:div w:id="429663512">
      <w:bodyDiv w:val="1"/>
      <w:marLeft w:val="0"/>
      <w:marRight w:val="0"/>
      <w:marTop w:val="0"/>
      <w:marBottom w:val="0"/>
      <w:divBdr>
        <w:top w:val="none" w:sz="0" w:space="0" w:color="auto"/>
        <w:left w:val="none" w:sz="0" w:space="0" w:color="auto"/>
        <w:bottom w:val="none" w:sz="0" w:space="0" w:color="auto"/>
        <w:right w:val="none" w:sz="0" w:space="0" w:color="auto"/>
      </w:divBdr>
    </w:div>
    <w:div w:id="547374158">
      <w:bodyDiv w:val="1"/>
      <w:marLeft w:val="0"/>
      <w:marRight w:val="0"/>
      <w:marTop w:val="0"/>
      <w:marBottom w:val="0"/>
      <w:divBdr>
        <w:top w:val="none" w:sz="0" w:space="0" w:color="auto"/>
        <w:left w:val="none" w:sz="0" w:space="0" w:color="auto"/>
        <w:bottom w:val="none" w:sz="0" w:space="0" w:color="auto"/>
        <w:right w:val="none" w:sz="0" w:space="0" w:color="auto"/>
      </w:divBdr>
    </w:div>
    <w:div w:id="556933656">
      <w:bodyDiv w:val="1"/>
      <w:marLeft w:val="0"/>
      <w:marRight w:val="0"/>
      <w:marTop w:val="0"/>
      <w:marBottom w:val="0"/>
      <w:divBdr>
        <w:top w:val="none" w:sz="0" w:space="0" w:color="auto"/>
        <w:left w:val="none" w:sz="0" w:space="0" w:color="auto"/>
        <w:bottom w:val="none" w:sz="0" w:space="0" w:color="auto"/>
        <w:right w:val="none" w:sz="0" w:space="0" w:color="auto"/>
      </w:divBdr>
    </w:div>
    <w:div w:id="856238042">
      <w:bodyDiv w:val="1"/>
      <w:marLeft w:val="0"/>
      <w:marRight w:val="0"/>
      <w:marTop w:val="0"/>
      <w:marBottom w:val="0"/>
      <w:divBdr>
        <w:top w:val="none" w:sz="0" w:space="0" w:color="auto"/>
        <w:left w:val="none" w:sz="0" w:space="0" w:color="auto"/>
        <w:bottom w:val="none" w:sz="0" w:space="0" w:color="auto"/>
        <w:right w:val="none" w:sz="0" w:space="0" w:color="auto"/>
      </w:divBdr>
    </w:div>
    <w:div w:id="1078209424">
      <w:bodyDiv w:val="1"/>
      <w:marLeft w:val="0"/>
      <w:marRight w:val="0"/>
      <w:marTop w:val="0"/>
      <w:marBottom w:val="0"/>
      <w:divBdr>
        <w:top w:val="none" w:sz="0" w:space="0" w:color="auto"/>
        <w:left w:val="none" w:sz="0" w:space="0" w:color="auto"/>
        <w:bottom w:val="none" w:sz="0" w:space="0" w:color="auto"/>
        <w:right w:val="none" w:sz="0" w:space="0" w:color="auto"/>
      </w:divBdr>
    </w:div>
    <w:div w:id="1200430888">
      <w:bodyDiv w:val="1"/>
      <w:marLeft w:val="0"/>
      <w:marRight w:val="0"/>
      <w:marTop w:val="0"/>
      <w:marBottom w:val="0"/>
      <w:divBdr>
        <w:top w:val="none" w:sz="0" w:space="0" w:color="auto"/>
        <w:left w:val="none" w:sz="0" w:space="0" w:color="auto"/>
        <w:bottom w:val="none" w:sz="0" w:space="0" w:color="auto"/>
        <w:right w:val="none" w:sz="0" w:space="0" w:color="auto"/>
      </w:divBdr>
    </w:div>
    <w:div w:id="1439520934">
      <w:bodyDiv w:val="1"/>
      <w:marLeft w:val="0"/>
      <w:marRight w:val="0"/>
      <w:marTop w:val="0"/>
      <w:marBottom w:val="0"/>
      <w:divBdr>
        <w:top w:val="none" w:sz="0" w:space="0" w:color="auto"/>
        <w:left w:val="none" w:sz="0" w:space="0" w:color="auto"/>
        <w:bottom w:val="none" w:sz="0" w:space="0" w:color="auto"/>
        <w:right w:val="none" w:sz="0" w:space="0" w:color="auto"/>
      </w:divBdr>
    </w:div>
    <w:div w:id="1473519844">
      <w:bodyDiv w:val="1"/>
      <w:marLeft w:val="0"/>
      <w:marRight w:val="0"/>
      <w:marTop w:val="0"/>
      <w:marBottom w:val="0"/>
      <w:divBdr>
        <w:top w:val="none" w:sz="0" w:space="0" w:color="auto"/>
        <w:left w:val="none" w:sz="0" w:space="0" w:color="auto"/>
        <w:bottom w:val="none" w:sz="0" w:space="0" w:color="auto"/>
        <w:right w:val="none" w:sz="0" w:space="0" w:color="auto"/>
      </w:divBdr>
    </w:div>
    <w:div w:id="1527601163">
      <w:bodyDiv w:val="1"/>
      <w:marLeft w:val="0"/>
      <w:marRight w:val="0"/>
      <w:marTop w:val="0"/>
      <w:marBottom w:val="0"/>
      <w:divBdr>
        <w:top w:val="none" w:sz="0" w:space="0" w:color="auto"/>
        <w:left w:val="none" w:sz="0" w:space="0" w:color="auto"/>
        <w:bottom w:val="none" w:sz="0" w:space="0" w:color="auto"/>
        <w:right w:val="none" w:sz="0" w:space="0" w:color="auto"/>
      </w:divBdr>
    </w:div>
    <w:div w:id="1631939657">
      <w:bodyDiv w:val="1"/>
      <w:marLeft w:val="0"/>
      <w:marRight w:val="0"/>
      <w:marTop w:val="0"/>
      <w:marBottom w:val="0"/>
      <w:divBdr>
        <w:top w:val="none" w:sz="0" w:space="0" w:color="auto"/>
        <w:left w:val="none" w:sz="0" w:space="0" w:color="auto"/>
        <w:bottom w:val="none" w:sz="0" w:space="0" w:color="auto"/>
        <w:right w:val="none" w:sz="0" w:space="0" w:color="auto"/>
      </w:divBdr>
    </w:div>
    <w:div w:id="1636330038">
      <w:bodyDiv w:val="1"/>
      <w:marLeft w:val="0"/>
      <w:marRight w:val="0"/>
      <w:marTop w:val="0"/>
      <w:marBottom w:val="0"/>
      <w:divBdr>
        <w:top w:val="none" w:sz="0" w:space="0" w:color="auto"/>
        <w:left w:val="none" w:sz="0" w:space="0" w:color="auto"/>
        <w:bottom w:val="none" w:sz="0" w:space="0" w:color="auto"/>
        <w:right w:val="none" w:sz="0" w:space="0" w:color="auto"/>
      </w:divBdr>
    </w:div>
    <w:div w:id="1730684888">
      <w:bodyDiv w:val="1"/>
      <w:marLeft w:val="0"/>
      <w:marRight w:val="0"/>
      <w:marTop w:val="0"/>
      <w:marBottom w:val="0"/>
      <w:divBdr>
        <w:top w:val="none" w:sz="0" w:space="0" w:color="auto"/>
        <w:left w:val="none" w:sz="0" w:space="0" w:color="auto"/>
        <w:bottom w:val="none" w:sz="0" w:space="0" w:color="auto"/>
        <w:right w:val="none" w:sz="0" w:space="0" w:color="auto"/>
      </w:divBdr>
    </w:div>
    <w:div w:id="1972129481">
      <w:bodyDiv w:val="1"/>
      <w:marLeft w:val="0"/>
      <w:marRight w:val="0"/>
      <w:marTop w:val="0"/>
      <w:marBottom w:val="0"/>
      <w:divBdr>
        <w:top w:val="none" w:sz="0" w:space="0" w:color="auto"/>
        <w:left w:val="none" w:sz="0" w:space="0" w:color="auto"/>
        <w:bottom w:val="none" w:sz="0" w:space="0" w:color="auto"/>
        <w:right w:val="none" w:sz="0" w:space="0" w:color="auto"/>
      </w:divBdr>
    </w:div>
    <w:div w:id="1977904493">
      <w:bodyDiv w:val="1"/>
      <w:marLeft w:val="0"/>
      <w:marRight w:val="0"/>
      <w:marTop w:val="0"/>
      <w:marBottom w:val="0"/>
      <w:divBdr>
        <w:top w:val="none" w:sz="0" w:space="0" w:color="auto"/>
        <w:left w:val="none" w:sz="0" w:space="0" w:color="auto"/>
        <w:bottom w:val="none" w:sz="0" w:space="0" w:color="auto"/>
        <w:right w:val="none" w:sz="0" w:space="0" w:color="auto"/>
      </w:divBdr>
    </w:div>
    <w:div w:id="207041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3150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 Бейсенова</dc:creator>
  <cp:lastModifiedBy>Асия Р. Дулатова</cp:lastModifiedBy>
  <cp:revision>2</cp:revision>
  <cp:lastPrinted>2019-02-25T12:06:00Z</cp:lastPrinted>
  <dcterms:created xsi:type="dcterms:W3CDTF">2020-02-27T06:52:00Z</dcterms:created>
  <dcterms:modified xsi:type="dcterms:W3CDTF">2020-02-27T06:52:00Z</dcterms:modified>
</cp:coreProperties>
</file>