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F41" w:rsidRPr="00A202DF" w:rsidRDefault="00C23043" w:rsidP="00DA3532">
      <w:pPr>
        <w:pStyle w:val="a3"/>
        <w:keepNext/>
        <w:rPr>
          <w:color w:val="000000"/>
        </w:rPr>
      </w:pPr>
      <w:r>
        <w:rPr>
          <w:b/>
          <w:bCs/>
          <w:color w:val="000000"/>
        </w:rPr>
        <w:t>2</w:t>
      </w:r>
      <w:r w:rsidR="00240F41" w:rsidRPr="00A202DF">
        <w:rPr>
          <w:b/>
          <w:bCs/>
          <w:color w:val="000000"/>
        </w:rPr>
        <w:t>. Анализ межведомственного взаимодействия</w:t>
      </w:r>
    </w:p>
    <w:tbl>
      <w:tblPr>
        <w:tblW w:w="10278" w:type="dxa"/>
        <w:jc w:val="center"/>
        <w:tblInd w:w="-694" w:type="dxa"/>
        <w:tblCellMar>
          <w:left w:w="0" w:type="dxa"/>
          <w:right w:w="0" w:type="dxa"/>
        </w:tblCellMar>
        <w:tblLook w:val="0000" w:firstRow="0" w:lastRow="0" w:firstColumn="0" w:lastColumn="0" w:noHBand="0" w:noVBand="0"/>
      </w:tblPr>
      <w:tblGrid>
        <w:gridCol w:w="2869"/>
        <w:gridCol w:w="2308"/>
        <w:gridCol w:w="5101"/>
      </w:tblGrid>
      <w:tr w:rsidR="00C23043" w:rsidRPr="00A202DF" w:rsidTr="008B00F6">
        <w:trPr>
          <w:jc w:val="center"/>
        </w:trPr>
        <w:tc>
          <w:tcPr>
            <w:tcW w:w="286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DA3532">
            <w:pPr>
              <w:pStyle w:val="a3"/>
              <w:keepNext/>
              <w:spacing w:before="0" w:beforeAutospacing="0" w:after="0" w:afterAutospacing="0"/>
              <w:jc w:val="center"/>
              <w:rPr>
                <w:b/>
                <w:lang w:val="kk-KZ"/>
              </w:rPr>
            </w:pPr>
            <w:r w:rsidRPr="00A202DF">
              <w:rPr>
                <w:b/>
              </w:rPr>
              <w:t>Наименование</w:t>
            </w:r>
            <w:r w:rsidRPr="00A202DF">
              <w:rPr>
                <w:b/>
                <w:lang w:val="kk-KZ"/>
              </w:rPr>
              <w:t xml:space="preserve"> целевого индикатора</w:t>
            </w:r>
          </w:p>
        </w:tc>
        <w:tc>
          <w:tcPr>
            <w:tcW w:w="2308" w:type="dxa"/>
            <w:tcBorders>
              <w:top w:val="outset" w:sz="8" w:space="0" w:color="000000"/>
              <w:left w:val="outset" w:sz="8" w:space="0" w:color="000000"/>
              <w:bottom w:val="outset" w:sz="8" w:space="0" w:color="000000"/>
              <w:right w:val="inset" w:sz="8" w:space="0" w:color="000000"/>
            </w:tcBorders>
          </w:tcPr>
          <w:p w:rsidR="00C23043" w:rsidRPr="00A202DF" w:rsidRDefault="00DB16CD" w:rsidP="00F75365">
            <w:pPr>
              <w:pStyle w:val="a3"/>
              <w:keepNext/>
              <w:spacing w:before="0" w:beforeAutospacing="0" w:after="0" w:afterAutospacing="0"/>
              <w:jc w:val="center"/>
              <w:rPr>
                <w:b/>
              </w:rPr>
            </w:pPr>
            <w:r>
              <w:rPr>
                <w:b/>
              </w:rPr>
              <w:t>С</w:t>
            </w:r>
            <w:r w:rsidR="00C23043" w:rsidRPr="00A202DF">
              <w:rPr>
                <w:b/>
              </w:rPr>
              <w:t>оисполнитель</w:t>
            </w:r>
          </w:p>
        </w:tc>
        <w:tc>
          <w:tcPr>
            <w:tcW w:w="5101"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DA3532">
            <w:pPr>
              <w:pStyle w:val="a3"/>
              <w:keepNext/>
              <w:spacing w:before="0" w:beforeAutospacing="0" w:after="0" w:afterAutospacing="0"/>
              <w:jc w:val="center"/>
              <w:rPr>
                <w:b/>
              </w:rPr>
            </w:pPr>
            <w:r w:rsidRPr="00A202DF">
              <w:rPr>
                <w:b/>
              </w:rPr>
              <w:t>Анализ взаимодействия</w:t>
            </w:r>
          </w:p>
        </w:tc>
      </w:tr>
      <w:tr w:rsidR="008B00F6" w:rsidRPr="008B00F6" w:rsidTr="008B00F6">
        <w:trPr>
          <w:jc w:val="center"/>
        </w:trPr>
        <w:tc>
          <w:tcPr>
            <w:tcW w:w="286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8B00F6" w:rsidRPr="008B00F6" w:rsidRDefault="008B00F6" w:rsidP="008B00F6">
            <w:pPr>
              <w:ind w:left="56" w:right="89" w:firstLine="284"/>
              <w:jc w:val="both"/>
              <w:rPr>
                <w:color w:val="000000"/>
              </w:rPr>
            </w:pPr>
            <w:r w:rsidRPr="008B00F6">
              <w:rPr>
                <w:color w:val="000000"/>
              </w:rPr>
              <w:t>Индекс физического объема валовой продукции (услуг) сельского хозяйства</w:t>
            </w:r>
          </w:p>
        </w:tc>
        <w:tc>
          <w:tcPr>
            <w:tcW w:w="2308" w:type="dxa"/>
            <w:tcBorders>
              <w:top w:val="outset" w:sz="8" w:space="0" w:color="000000"/>
              <w:left w:val="outset" w:sz="8" w:space="0" w:color="000000"/>
              <w:bottom w:val="outset" w:sz="8" w:space="0" w:color="000000"/>
              <w:right w:val="inset" w:sz="8" w:space="0" w:color="000000"/>
            </w:tcBorders>
            <w:vAlign w:val="center"/>
          </w:tcPr>
          <w:p w:rsidR="008B00F6" w:rsidRPr="008B00F6" w:rsidRDefault="008B00F6" w:rsidP="00F75365">
            <w:pPr>
              <w:jc w:val="center"/>
              <w:rPr>
                <w:color w:val="000000"/>
              </w:rPr>
            </w:pPr>
            <w:r w:rsidRPr="008B00F6">
              <w:rPr>
                <w:color w:val="000000"/>
              </w:rPr>
              <w:t>Акимы районо</w:t>
            </w:r>
            <w:r w:rsidR="00C654BA">
              <w:rPr>
                <w:color w:val="000000"/>
              </w:rPr>
              <w:t>в</w:t>
            </w:r>
          </w:p>
        </w:tc>
        <w:tc>
          <w:tcPr>
            <w:tcW w:w="5101"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vAlign w:val="center"/>
          </w:tcPr>
          <w:p w:rsidR="008B00F6" w:rsidRPr="008B00F6" w:rsidRDefault="008B00F6" w:rsidP="00F75365">
            <w:pPr>
              <w:ind w:left="56" w:right="89" w:firstLine="284"/>
              <w:jc w:val="both"/>
            </w:pPr>
            <w:proofErr w:type="gramStart"/>
            <w:r w:rsidRPr="008B00F6">
              <w:t>Индикатор не достигнут</w:t>
            </w:r>
            <w:proofErr w:type="gramEnd"/>
            <w:r w:rsidRPr="008B00F6">
              <w:t xml:space="preserve">, по причине погодных условий, 2020  год был охарактеризован очень контрастными метеорологическими условиями, с неравномерным выпадением осадков. Сумма осадков за три летних месяца составили 103 мм, что на 32% меньше нормы (норма 152 мм).  В </w:t>
            </w:r>
            <w:proofErr w:type="gramStart"/>
            <w:r w:rsidRPr="008B00F6">
              <w:t>ряде</w:t>
            </w:r>
            <w:proofErr w:type="gramEnd"/>
            <w:r w:rsidRPr="008B00F6">
              <w:t xml:space="preserve"> районов области сложились сильная атмосферная засуха, что отрицательно повлияло на рост и развитие сельскохозяйственных культур. Также по причине вспышки птичьего гриппа снижено производство яиц, что в целом отрицательно повлияло на динамику роста объема валовой продукции.</w:t>
            </w:r>
          </w:p>
        </w:tc>
      </w:tr>
      <w:tr w:rsidR="009143DD" w:rsidRPr="008B00F6" w:rsidTr="008B00F6">
        <w:trPr>
          <w:trHeight w:val="1547"/>
          <w:jc w:val="center"/>
        </w:trPr>
        <w:tc>
          <w:tcPr>
            <w:tcW w:w="28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143DD" w:rsidRPr="008B00F6" w:rsidRDefault="009143DD" w:rsidP="008B00F6">
            <w:pPr>
              <w:ind w:left="56" w:right="89" w:firstLine="284"/>
              <w:jc w:val="both"/>
              <w:rPr>
                <w:color w:val="000000"/>
              </w:rPr>
            </w:pPr>
            <w:r w:rsidRPr="008B00F6">
              <w:rPr>
                <w:color w:val="000000"/>
              </w:rPr>
              <w:t xml:space="preserve">Рост численности населения в </w:t>
            </w:r>
            <w:proofErr w:type="gramStart"/>
            <w:r w:rsidRPr="008B00F6">
              <w:rPr>
                <w:color w:val="000000"/>
              </w:rPr>
              <w:t>опорных</w:t>
            </w:r>
            <w:proofErr w:type="gramEnd"/>
            <w:r w:rsidRPr="008B00F6">
              <w:rPr>
                <w:color w:val="000000"/>
              </w:rPr>
              <w:t xml:space="preserve"> СНП</w:t>
            </w:r>
          </w:p>
        </w:tc>
        <w:tc>
          <w:tcPr>
            <w:tcW w:w="2308" w:type="dxa"/>
            <w:tcBorders>
              <w:top w:val="single" w:sz="4" w:space="0" w:color="auto"/>
              <w:left w:val="single" w:sz="4" w:space="0" w:color="auto"/>
              <w:bottom w:val="single" w:sz="4" w:space="0" w:color="auto"/>
              <w:right w:val="single" w:sz="4" w:space="0" w:color="auto"/>
            </w:tcBorders>
          </w:tcPr>
          <w:p w:rsidR="009143DD" w:rsidRPr="008B00F6" w:rsidRDefault="009143DD" w:rsidP="00F75365">
            <w:pPr>
              <w:keepNext/>
              <w:keepLines/>
              <w:pBdr>
                <w:bottom w:val="single" w:sz="4" w:space="31" w:color="FFFFFF"/>
              </w:pBdr>
              <w:tabs>
                <w:tab w:val="left" w:pos="-5580"/>
                <w:tab w:val="left" w:pos="-5400"/>
              </w:tabs>
              <w:contextualSpacing/>
              <w:jc w:val="center"/>
            </w:pPr>
            <w:r w:rsidRPr="008B00F6">
              <w:t>Акимы районов</w:t>
            </w:r>
          </w:p>
        </w:tc>
        <w:tc>
          <w:tcPr>
            <w:tcW w:w="5101" w:type="dxa"/>
            <w:vMerge w:val="restart"/>
            <w:tcBorders>
              <w:top w:val="single" w:sz="4" w:space="0" w:color="auto"/>
              <w:left w:val="single" w:sz="4" w:space="0" w:color="auto"/>
              <w:right w:val="single" w:sz="4" w:space="0" w:color="auto"/>
            </w:tcBorders>
            <w:tcMar>
              <w:top w:w="15" w:type="dxa"/>
              <w:left w:w="15" w:type="dxa"/>
              <w:bottom w:w="15" w:type="dxa"/>
              <w:right w:w="15" w:type="dxa"/>
            </w:tcMar>
          </w:tcPr>
          <w:p w:rsidR="00F75365" w:rsidRDefault="009143DD" w:rsidP="008B00F6">
            <w:pPr>
              <w:keepNext/>
              <w:keepLines/>
              <w:ind w:left="56" w:right="89" w:firstLine="284"/>
              <w:contextualSpacing/>
              <w:jc w:val="both"/>
            </w:pPr>
            <w:proofErr w:type="gramStart"/>
            <w:r w:rsidRPr="008B00F6">
              <w:t xml:space="preserve">По данным районных </w:t>
            </w:r>
            <w:proofErr w:type="spellStart"/>
            <w:r w:rsidRPr="008B00F6">
              <w:t>акиматов</w:t>
            </w:r>
            <w:proofErr w:type="spellEnd"/>
            <w:r w:rsidRPr="008B00F6">
              <w:t xml:space="preserve"> в 2020 году в целях обеспечения достижения целевого индикатора в 19 опорных сельских населенных пунктах в рамках реализации проекта «</w:t>
            </w:r>
            <w:proofErr w:type="spellStart"/>
            <w:r w:rsidRPr="008B00F6">
              <w:t>Ауыл</w:t>
            </w:r>
            <w:proofErr w:type="spellEnd"/>
            <w:r w:rsidRPr="008B00F6">
              <w:t xml:space="preserve"> – Ел </w:t>
            </w:r>
            <w:proofErr w:type="spellStart"/>
            <w:r w:rsidRPr="008B00F6">
              <w:t>бесігі</w:t>
            </w:r>
            <w:proofErr w:type="spellEnd"/>
            <w:r w:rsidRPr="008B00F6">
              <w:t xml:space="preserve">» реализовано 26 проектов по модернизации, строительству, капитальному ремонту объектов социальной сферы и среднему ремонту </w:t>
            </w:r>
            <w:proofErr w:type="spellStart"/>
            <w:r w:rsidRPr="008B00F6">
              <w:t>внутрипоселковых</w:t>
            </w:r>
            <w:proofErr w:type="spellEnd"/>
            <w:r w:rsidRPr="008B00F6">
              <w:t xml:space="preserve"> дорог, при этом создано 202 временных рабочих места, в том числе в 1 приграничном селе - 2 проекта с</w:t>
            </w:r>
            <w:proofErr w:type="gramEnd"/>
            <w:r w:rsidRPr="008B00F6">
              <w:t xml:space="preserve"> созданием 19 временных рабочих мест</w:t>
            </w:r>
            <w:r w:rsidR="00F75365">
              <w:t xml:space="preserve">. </w:t>
            </w:r>
          </w:p>
          <w:p w:rsidR="009143DD" w:rsidRPr="008B00F6" w:rsidRDefault="009143DD" w:rsidP="008B00F6">
            <w:pPr>
              <w:keepNext/>
              <w:keepLines/>
              <w:ind w:left="56" w:right="89" w:firstLine="284"/>
              <w:contextualSpacing/>
              <w:jc w:val="both"/>
            </w:pPr>
            <w:r w:rsidRPr="008B00F6">
              <w:t>Основной причиной убыли населения является переезд трудоспособного населения в областной центр г. Петропавловск, г. Астана, отток граждан некоренной национальности на историческую родину.</w:t>
            </w:r>
          </w:p>
        </w:tc>
      </w:tr>
      <w:tr w:rsidR="009143DD" w:rsidRPr="008B00F6" w:rsidTr="008B00F6">
        <w:trPr>
          <w:trHeight w:val="1438"/>
          <w:jc w:val="center"/>
        </w:trPr>
        <w:tc>
          <w:tcPr>
            <w:tcW w:w="28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143DD" w:rsidRPr="008B00F6" w:rsidRDefault="009143DD" w:rsidP="008B00F6">
            <w:pPr>
              <w:ind w:left="56" w:right="89" w:firstLine="284"/>
              <w:jc w:val="both"/>
              <w:rPr>
                <w:color w:val="000000"/>
              </w:rPr>
            </w:pPr>
            <w:r w:rsidRPr="008B00F6">
              <w:rPr>
                <w:color w:val="000000"/>
              </w:rPr>
              <w:t xml:space="preserve">Рост численности населения </w:t>
            </w:r>
            <w:proofErr w:type="gramStart"/>
            <w:r w:rsidRPr="008B00F6">
              <w:rPr>
                <w:color w:val="000000"/>
              </w:rPr>
              <w:t>в</w:t>
            </w:r>
            <w:proofErr w:type="gramEnd"/>
            <w:r w:rsidRPr="008B00F6">
              <w:rPr>
                <w:color w:val="000000"/>
              </w:rPr>
              <w:t xml:space="preserve"> опорных СНП, расположенных на приграничных территориях</w:t>
            </w:r>
          </w:p>
        </w:tc>
        <w:tc>
          <w:tcPr>
            <w:tcW w:w="2308" w:type="dxa"/>
            <w:tcBorders>
              <w:top w:val="single" w:sz="4" w:space="0" w:color="auto"/>
              <w:left w:val="single" w:sz="4" w:space="0" w:color="auto"/>
              <w:bottom w:val="single" w:sz="4" w:space="0" w:color="auto"/>
              <w:right w:val="single" w:sz="4" w:space="0" w:color="auto"/>
            </w:tcBorders>
          </w:tcPr>
          <w:p w:rsidR="009143DD" w:rsidRPr="008B00F6" w:rsidRDefault="009143DD" w:rsidP="00F75365">
            <w:pPr>
              <w:keepNext/>
              <w:keepLines/>
              <w:pBdr>
                <w:bottom w:val="single" w:sz="4" w:space="31" w:color="FFFFFF"/>
              </w:pBdr>
              <w:tabs>
                <w:tab w:val="left" w:pos="-5580"/>
                <w:tab w:val="left" w:pos="-5400"/>
              </w:tabs>
              <w:contextualSpacing/>
              <w:jc w:val="center"/>
            </w:pPr>
            <w:r w:rsidRPr="008B00F6">
              <w:t>Акимы районов</w:t>
            </w:r>
          </w:p>
        </w:tc>
        <w:tc>
          <w:tcPr>
            <w:tcW w:w="5101" w:type="dxa"/>
            <w:vMerge/>
            <w:tcBorders>
              <w:left w:val="single" w:sz="4" w:space="0" w:color="auto"/>
              <w:bottom w:val="single" w:sz="4" w:space="0" w:color="auto"/>
              <w:right w:val="single" w:sz="4" w:space="0" w:color="auto"/>
            </w:tcBorders>
            <w:tcMar>
              <w:top w:w="15" w:type="dxa"/>
              <w:left w:w="15" w:type="dxa"/>
              <w:bottom w:w="15" w:type="dxa"/>
              <w:right w:w="15" w:type="dxa"/>
            </w:tcMar>
          </w:tcPr>
          <w:p w:rsidR="009143DD" w:rsidRPr="008B00F6" w:rsidRDefault="009143DD" w:rsidP="008B00F6">
            <w:pPr>
              <w:keepNext/>
              <w:keepLines/>
              <w:ind w:left="56" w:right="89" w:firstLine="284"/>
              <w:contextualSpacing/>
              <w:jc w:val="both"/>
            </w:pPr>
          </w:p>
        </w:tc>
      </w:tr>
      <w:tr w:rsidR="008B00F6" w:rsidRPr="008B00F6" w:rsidTr="008B00F6">
        <w:trPr>
          <w:jc w:val="center"/>
        </w:trPr>
        <w:tc>
          <w:tcPr>
            <w:tcW w:w="286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8B00F6" w:rsidRPr="008B00F6" w:rsidRDefault="008B00F6" w:rsidP="008B00F6">
            <w:pPr>
              <w:ind w:left="56" w:right="89" w:firstLine="284"/>
              <w:jc w:val="both"/>
              <w:rPr>
                <w:color w:val="000000"/>
              </w:rPr>
            </w:pPr>
            <w:r w:rsidRPr="008B00F6">
              <w:rPr>
                <w:color w:val="000000"/>
              </w:rPr>
              <w:t>Материнская смертность</w:t>
            </w:r>
          </w:p>
        </w:tc>
        <w:tc>
          <w:tcPr>
            <w:tcW w:w="2308" w:type="dxa"/>
            <w:tcBorders>
              <w:top w:val="outset" w:sz="8" w:space="0" w:color="000000"/>
              <w:left w:val="outset" w:sz="8" w:space="0" w:color="000000"/>
              <w:bottom w:val="outset" w:sz="8" w:space="0" w:color="000000"/>
              <w:right w:val="inset" w:sz="8" w:space="0" w:color="000000"/>
            </w:tcBorders>
            <w:vAlign w:val="center"/>
          </w:tcPr>
          <w:p w:rsidR="008B00F6" w:rsidRPr="008B00F6" w:rsidRDefault="008B00F6" w:rsidP="00F75365">
            <w:pPr>
              <w:jc w:val="center"/>
              <w:rPr>
                <w:color w:val="000000"/>
              </w:rPr>
            </w:pPr>
            <w:r w:rsidRPr="008B00F6">
              <w:rPr>
                <w:color w:val="000000"/>
              </w:rPr>
              <w:t>Подведомственные медицинские организации по СКО по родовспоможению и детству</w:t>
            </w:r>
          </w:p>
        </w:tc>
        <w:tc>
          <w:tcPr>
            <w:tcW w:w="5101"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9001D1" w:rsidRDefault="008B00F6" w:rsidP="008B00F6">
            <w:pPr>
              <w:ind w:left="56" w:right="89" w:firstLine="284"/>
              <w:jc w:val="both"/>
            </w:pPr>
            <w:r w:rsidRPr="008B00F6">
              <w:rPr>
                <w:bCs/>
              </w:rPr>
              <w:t xml:space="preserve">Индикатор не исполнен. </w:t>
            </w:r>
            <w:r w:rsidRPr="008B00F6">
              <w:t xml:space="preserve"> План на 2020 год - 18,3 на 100 тыс. </w:t>
            </w:r>
            <w:proofErr w:type="gramStart"/>
            <w:r w:rsidRPr="008B00F6">
              <w:t>родившихся</w:t>
            </w:r>
            <w:proofErr w:type="gramEnd"/>
            <w:r w:rsidRPr="008B00F6">
              <w:t xml:space="preserve"> живыми. В 2020 году зарегистрировано 5 случаев материнской смертности, индикатор составил 76,7 на 100 тыс. родившихся живыми. Основными причинами смертности являются, в первую очередь </w:t>
            </w:r>
            <w:proofErr w:type="spellStart"/>
            <w:r w:rsidRPr="008B00F6">
              <w:t>несолидарная</w:t>
            </w:r>
            <w:proofErr w:type="spellEnd"/>
            <w:r w:rsidRPr="008B00F6">
              <w:t xml:space="preserve"> ответственность женщин за своё здоровье во время беременности, факторы риска, несвоевременное обращение к врачу для взятия на учёт по беременности,  допущение беременности у женщин с абсолютными противопоказаниями. Конечно же, нельзя исключить факт низкой укомплектованности врачами акушерами - гинекологами, анестезиологами - реаниматологами. В связи с чем, продолжится обучение резидентов за счёт местного </w:t>
            </w:r>
            <w:r w:rsidRPr="008B00F6">
              <w:lastRenderedPageBreak/>
              <w:t xml:space="preserve">бюджета, на сегодняшний день </w:t>
            </w:r>
            <w:proofErr w:type="gramStart"/>
            <w:r w:rsidRPr="008B00F6">
              <w:t>от</w:t>
            </w:r>
            <w:proofErr w:type="gramEnd"/>
            <w:r w:rsidRPr="008B00F6">
              <w:t xml:space="preserve"> нашей области обучаются 10 акушер-гинекологов. Для выполнения плана в 2020 году были приняты следующие меры:</w:t>
            </w:r>
          </w:p>
          <w:p w:rsidR="008B00F6" w:rsidRPr="008B00F6" w:rsidRDefault="008B00F6" w:rsidP="008B00F6">
            <w:pPr>
              <w:ind w:left="56" w:right="89" w:firstLine="284"/>
              <w:jc w:val="both"/>
            </w:pPr>
            <w:r w:rsidRPr="008B00F6">
              <w:t xml:space="preserve">1. Проведены 5 региональных штабов по снижению материнской смертности под председательством руководителя управления здравоохранения СКО; </w:t>
            </w:r>
          </w:p>
          <w:p w:rsidR="008B00F6" w:rsidRPr="008B00F6" w:rsidRDefault="008B00F6" w:rsidP="008B00F6">
            <w:pPr>
              <w:ind w:left="56" w:right="89" w:firstLine="284"/>
              <w:jc w:val="both"/>
            </w:pPr>
            <w:r w:rsidRPr="008B00F6">
              <w:t xml:space="preserve">2. По каждому случаю были созданы межведомственные комиссии с выездом, разбором на месте, встрече с родственниками </w:t>
            </w:r>
            <w:proofErr w:type="gramStart"/>
            <w:r w:rsidRPr="008B00F6">
              <w:t>умерших</w:t>
            </w:r>
            <w:proofErr w:type="gramEnd"/>
            <w:r w:rsidRPr="008B00F6">
              <w:t xml:space="preserve">; </w:t>
            </w:r>
          </w:p>
          <w:p w:rsidR="008B00F6" w:rsidRPr="008B00F6" w:rsidRDefault="008B00F6" w:rsidP="008B00F6">
            <w:pPr>
              <w:ind w:left="56" w:right="89" w:firstLine="284"/>
              <w:jc w:val="both"/>
            </w:pPr>
            <w:r w:rsidRPr="008B00F6">
              <w:t xml:space="preserve">3. Приняты дисциплинарные взыскания к руководителям медицинских организаций, к медицинскому персоналу, участвовавшему в оказании медицинской помощи умершим, а так же проведена ротация кадров; </w:t>
            </w:r>
          </w:p>
          <w:p w:rsidR="008B00F6" w:rsidRPr="008B00F6" w:rsidRDefault="008B00F6" w:rsidP="008B00F6">
            <w:pPr>
              <w:ind w:left="56" w:right="89" w:firstLine="284"/>
              <w:jc w:val="both"/>
            </w:pPr>
            <w:r w:rsidRPr="008B00F6">
              <w:t xml:space="preserve">4. </w:t>
            </w:r>
            <w:proofErr w:type="gramStart"/>
            <w:r w:rsidRPr="008B00F6">
              <w:t>Обучены на курсах повышения квалификации (мастер-класс по теме:</w:t>
            </w:r>
            <w:proofErr w:type="gramEnd"/>
            <w:r w:rsidRPr="008B00F6">
              <w:t xml:space="preserve"> «Анестезиология и интенсивная терапия в акушерстве и гинекологии»,  база АО </w:t>
            </w:r>
            <w:proofErr w:type="spellStart"/>
            <w:r w:rsidRPr="008B00F6">
              <w:t>НЦАГиП</w:t>
            </w:r>
            <w:proofErr w:type="spellEnd"/>
            <w:r w:rsidRPr="008B00F6">
              <w:t xml:space="preserve"> 12 врачей анестезиологов – реаниматологов. </w:t>
            </w:r>
          </w:p>
          <w:p w:rsidR="008B00F6" w:rsidRPr="008B00F6" w:rsidRDefault="008B00F6" w:rsidP="008B00F6">
            <w:pPr>
              <w:ind w:left="56" w:right="89" w:firstLine="284"/>
              <w:jc w:val="both"/>
            </w:pPr>
            <w:r w:rsidRPr="008B00F6">
              <w:t xml:space="preserve">12 врачей анестезиологов – реаниматологов </w:t>
            </w:r>
            <w:proofErr w:type="spellStart"/>
            <w:r w:rsidRPr="008B00F6">
              <w:t>ротируются</w:t>
            </w:r>
            <w:proofErr w:type="spellEnd"/>
            <w:r w:rsidRPr="008B00F6">
              <w:t xml:space="preserve"> между отделениями МОБ, работают в составе мобильной бригады по линии сани</w:t>
            </w:r>
            <w:bookmarkStart w:id="0" w:name="_GoBack"/>
            <w:bookmarkEnd w:id="0"/>
            <w:r w:rsidRPr="008B00F6">
              <w:t>тарной авиации.</w:t>
            </w:r>
          </w:p>
          <w:p w:rsidR="008B00F6" w:rsidRPr="008B00F6" w:rsidRDefault="008B00F6" w:rsidP="008B00F6">
            <w:pPr>
              <w:ind w:left="56" w:right="89" w:firstLine="284"/>
              <w:jc w:val="both"/>
            </w:pPr>
            <w:r w:rsidRPr="008B00F6">
              <w:t xml:space="preserve">5. 01.06.20 – 05.06.20г.  -  обучено 25 акушеров-гинекологов на базе НАО «Медицинский университет Астана»: Ведение беременных группы риска, инструменты оценки качества медицинских услуг матерям и новорожденным. </w:t>
            </w:r>
          </w:p>
          <w:p w:rsidR="008B00F6" w:rsidRPr="008B00F6" w:rsidRDefault="008B00F6" w:rsidP="008B00F6">
            <w:pPr>
              <w:ind w:left="56" w:right="89" w:firstLine="284"/>
              <w:jc w:val="both"/>
            </w:pPr>
            <w:r w:rsidRPr="008B00F6">
              <w:t>6. На базе ННЦМД корпоративный фонд UMC: ЭГП и беременность с 08.06. по 19.06.2020 года обучено 3 акушеров-гинекологов.</w:t>
            </w:r>
          </w:p>
          <w:p w:rsidR="008B00F6" w:rsidRPr="008B00F6" w:rsidRDefault="008B00F6" w:rsidP="008B00F6">
            <w:pPr>
              <w:ind w:left="56" w:right="89" w:firstLine="284"/>
              <w:jc w:val="both"/>
            </w:pPr>
            <w:r w:rsidRPr="008B00F6">
              <w:t xml:space="preserve">7. Усилен ежедневный мониторинг наблюдения за беременными группы риска через чат Акушеры гинекологи СКО и акушерки СКО. </w:t>
            </w:r>
          </w:p>
          <w:p w:rsidR="008B00F6" w:rsidRPr="008B00F6" w:rsidRDefault="008B00F6" w:rsidP="008B00F6">
            <w:pPr>
              <w:ind w:left="56" w:right="89" w:firstLine="284"/>
              <w:jc w:val="both"/>
            </w:pPr>
            <w:r w:rsidRPr="008B00F6">
              <w:t>8. Две медицинские организации -  КГП на ПХВ «Районная больница Шал акын», КГП на ПХВ «Городская поликлиника №1» подключились к мобильному приложению «дистанционное наблюдение за беременными».</w:t>
            </w:r>
          </w:p>
          <w:p w:rsidR="008B00F6" w:rsidRPr="008B00F6" w:rsidRDefault="008B00F6" w:rsidP="008B00F6">
            <w:pPr>
              <w:ind w:left="56" w:right="89" w:firstLine="284"/>
              <w:jc w:val="both"/>
            </w:pPr>
            <w:r w:rsidRPr="008B00F6">
              <w:t xml:space="preserve">9. Еженедельно по понедельникам проводится акушерский час со всеми акушерами-гинекологами СКО под председательством заместителя руководителя УЗ СКО </w:t>
            </w:r>
            <w:proofErr w:type="spellStart"/>
            <w:r w:rsidRPr="008B00F6">
              <w:t>Айманова</w:t>
            </w:r>
            <w:proofErr w:type="spellEnd"/>
            <w:r w:rsidRPr="008B00F6">
              <w:t xml:space="preserve"> Н.Б. </w:t>
            </w:r>
          </w:p>
          <w:p w:rsidR="008B00F6" w:rsidRPr="008B00F6" w:rsidRDefault="008B00F6" w:rsidP="008B00F6">
            <w:pPr>
              <w:ind w:left="56" w:right="89" w:firstLine="284"/>
              <w:jc w:val="both"/>
            </w:pPr>
            <w:r w:rsidRPr="008B00F6">
              <w:t xml:space="preserve">10. Ежеквартально проводятся заседания областного общества акушеров-гинекологов, где разбираются вопросы материнской </w:t>
            </w:r>
            <w:r w:rsidRPr="008B00F6">
              <w:lastRenderedPageBreak/>
              <w:t>смертности, дефекты ведения беременных, вопросы планирования семьи, экстра генитальная патология и беременность.</w:t>
            </w:r>
          </w:p>
          <w:p w:rsidR="008B00F6" w:rsidRPr="008B00F6" w:rsidRDefault="008B00F6" w:rsidP="008B00F6">
            <w:pPr>
              <w:ind w:left="56" w:right="89" w:firstLine="284"/>
              <w:jc w:val="both"/>
            </w:pPr>
            <w:r w:rsidRPr="008B00F6">
              <w:t xml:space="preserve">11. Составлен план работы службы планирования семьи и репродуктивного здоровья в СКО, куда включены вопросы обучения врачей акушеров-гинекологов, среднего медицинского персонала, узких и смежных специалистов по вопросам контрацепции и снижения количества абортов. </w:t>
            </w:r>
          </w:p>
          <w:p w:rsidR="008B00F6" w:rsidRPr="008B00F6" w:rsidRDefault="008B00F6" w:rsidP="008B00F6">
            <w:pPr>
              <w:ind w:left="56" w:right="89" w:firstLine="284"/>
              <w:jc w:val="both"/>
            </w:pPr>
            <w:r w:rsidRPr="008B00F6">
              <w:t>12. Каждой МО закуплено современных средств контрацепции на сумму 6 млн. 200 тыс. тенге.</w:t>
            </w:r>
          </w:p>
          <w:p w:rsidR="008B00F6" w:rsidRPr="008B00F6" w:rsidRDefault="008B00F6" w:rsidP="008B00F6">
            <w:pPr>
              <w:ind w:left="56" w:right="89" w:firstLine="284"/>
              <w:jc w:val="both"/>
              <w:rPr>
                <w:bCs/>
              </w:rPr>
            </w:pPr>
            <w:r w:rsidRPr="008B00F6">
              <w:t>13. Все случаи материнской смертности переданы в республиканскую комиссию по конфиденциальному аудиту.</w:t>
            </w:r>
          </w:p>
        </w:tc>
      </w:tr>
      <w:tr w:rsidR="008B00F6" w:rsidRPr="008B00F6" w:rsidTr="008B00F6">
        <w:trPr>
          <w:jc w:val="center"/>
        </w:trPr>
        <w:tc>
          <w:tcPr>
            <w:tcW w:w="286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8B00F6" w:rsidRPr="008B00F6" w:rsidRDefault="008B00F6" w:rsidP="008B00F6">
            <w:pPr>
              <w:ind w:left="56" w:right="89" w:firstLine="284"/>
              <w:jc w:val="both"/>
              <w:rPr>
                <w:color w:val="000000"/>
              </w:rPr>
            </w:pPr>
            <w:r w:rsidRPr="008B00F6">
              <w:rPr>
                <w:color w:val="000000"/>
              </w:rPr>
              <w:lastRenderedPageBreak/>
              <w:t>Доля объектов размещения твердых бытовых отходов, соответствующих экологическим требованиям и санитарным правилам (от общего количества мест их размещения) %</w:t>
            </w:r>
          </w:p>
        </w:tc>
        <w:tc>
          <w:tcPr>
            <w:tcW w:w="2308" w:type="dxa"/>
            <w:tcBorders>
              <w:top w:val="outset" w:sz="8" w:space="0" w:color="000000"/>
              <w:left w:val="outset" w:sz="8" w:space="0" w:color="000000"/>
              <w:bottom w:val="outset" w:sz="8" w:space="0" w:color="000000"/>
              <w:right w:val="inset" w:sz="8" w:space="0" w:color="000000"/>
            </w:tcBorders>
            <w:vAlign w:val="center"/>
          </w:tcPr>
          <w:p w:rsidR="008B00F6" w:rsidRPr="008B00F6" w:rsidRDefault="008B00F6" w:rsidP="00F75365">
            <w:pPr>
              <w:jc w:val="center"/>
              <w:rPr>
                <w:color w:val="000000"/>
              </w:rPr>
            </w:pPr>
            <w:proofErr w:type="spellStart"/>
            <w:r w:rsidRPr="008B00F6">
              <w:rPr>
                <w:color w:val="000000"/>
              </w:rPr>
              <w:t>Акиматы</w:t>
            </w:r>
            <w:proofErr w:type="spellEnd"/>
            <w:r w:rsidRPr="008B00F6">
              <w:rPr>
                <w:color w:val="000000"/>
              </w:rPr>
              <w:t xml:space="preserve"> районов</w:t>
            </w:r>
          </w:p>
        </w:tc>
        <w:tc>
          <w:tcPr>
            <w:tcW w:w="5101"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8B00F6" w:rsidRPr="008B00F6" w:rsidRDefault="008B00F6" w:rsidP="008B00F6">
            <w:pPr>
              <w:ind w:left="56" w:right="89" w:firstLine="284"/>
              <w:jc w:val="both"/>
              <w:rPr>
                <w:bCs/>
              </w:rPr>
            </w:pPr>
            <w:r w:rsidRPr="008B00F6">
              <w:rPr>
                <w:bCs/>
              </w:rPr>
              <w:t>Из областного бюджета были выделены средства  на разработку ПСД на строительство 9 объектов размещения ТБО в районных центрах и крупных населенных пунктах.</w:t>
            </w:r>
          </w:p>
          <w:p w:rsidR="008B00F6" w:rsidRPr="008B00F6" w:rsidRDefault="008B00F6" w:rsidP="008B00F6">
            <w:pPr>
              <w:ind w:left="56" w:right="89" w:firstLine="284"/>
              <w:jc w:val="both"/>
              <w:rPr>
                <w:bCs/>
              </w:rPr>
            </w:pPr>
            <w:proofErr w:type="gramStart"/>
            <w:r w:rsidRPr="008B00F6">
              <w:rPr>
                <w:bCs/>
              </w:rPr>
              <w:t>Целевой индикатор не достигнут</w:t>
            </w:r>
            <w:proofErr w:type="gramEnd"/>
            <w:r w:rsidRPr="008B00F6">
              <w:rPr>
                <w:bCs/>
              </w:rPr>
              <w:t xml:space="preserve"> по нескольким причинам:</w:t>
            </w:r>
          </w:p>
          <w:p w:rsidR="008B00F6" w:rsidRPr="008B00F6" w:rsidRDefault="008B00F6" w:rsidP="008B00F6">
            <w:pPr>
              <w:ind w:left="56" w:right="89" w:firstLine="284"/>
              <w:jc w:val="both"/>
              <w:rPr>
                <w:bCs/>
              </w:rPr>
            </w:pPr>
            <w:r w:rsidRPr="008B00F6">
              <w:rPr>
                <w:bCs/>
              </w:rPr>
              <w:t xml:space="preserve">Некомпетентность подрядчика (разработчика ПСД). В проектно-сметную документацию должно входить ТЭО (технико-экономическое обоснование), которое разработчик не предусмотрел, таким </w:t>
            </w:r>
            <w:proofErr w:type="gramStart"/>
            <w:r w:rsidRPr="008B00F6">
              <w:rPr>
                <w:bCs/>
              </w:rPr>
              <w:t>образом</w:t>
            </w:r>
            <w:proofErr w:type="gramEnd"/>
            <w:r w:rsidRPr="008B00F6">
              <w:rPr>
                <w:bCs/>
              </w:rPr>
              <w:t xml:space="preserve"> ПСД не прошла комплексную экспертизу и возвращена на доработку. Данная работа перенесена на 2021 год.</w:t>
            </w:r>
          </w:p>
          <w:p w:rsidR="008B00F6" w:rsidRPr="008B00F6" w:rsidRDefault="008B00F6" w:rsidP="008B00F6">
            <w:pPr>
              <w:ind w:left="56" w:right="89" w:firstLine="284"/>
              <w:jc w:val="both"/>
              <w:rPr>
                <w:bCs/>
              </w:rPr>
            </w:pPr>
            <w:r w:rsidRPr="008B00F6">
              <w:rPr>
                <w:bCs/>
              </w:rPr>
              <w:t xml:space="preserve">По </w:t>
            </w:r>
            <w:proofErr w:type="spellStart"/>
            <w:r w:rsidRPr="008B00F6">
              <w:rPr>
                <w:bCs/>
              </w:rPr>
              <w:t>Айыртаускому</w:t>
            </w:r>
            <w:proofErr w:type="spellEnd"/>
            <w:r w:rsidRPr="008B00F6">
              <w:rPr>
                <w:bCs/>
              </w:rPr>
              <w:t xml:space="preserve"> району средства сняты, ввиду отсутствия земельного участка подходящего для обустройства полигона. </w:t>
            </w:r>
          </w:p>
          <w:p w:rsidR="008B00F6" w:rsidRPr="008B00F6" w:rsidRDefault="008B00F6" w:rsidP="008B00F6">
            <w:pPr>
              <w:ind w:left="56" w:right="89" w:firstLine="284"/>
              <w:jc w:val="both"/>
              <w:rPr>
                <w:bCs/>
              </w:rPr>
            </w:pPr>
            <w:r w:rsidRPr="008B00F6">
              <w:rPr>
                <w:bCs/>
              </w:rPr>
              <w:t xml:space="preserve">По </w:t>
            </w:r>
            <w:proofErr w:type="spellStart"/>
            <w:r w:rsidRPr="008B00F6">
              <w:rPr>
                <w:bCs/>
              </w:rPr>
              <w:t>Жамбылскому</w:t>
            </w:r>
            <w:proofErr w:type="spellEnd"/>
            <w:r w:rsidRPr="008B00F6">
              <w:rPr>
                <w:bCs/>
              </w:rPr>
              <w:t xml:space="preserve"> району </w:t>
            </w:r>
            <w:proofErr w:type="spellStart"/>
            <w:r w:rsidRPr="008B00F6">
              <w:rPr>
                <w:bCs/>
              </w:rPr>
              <w:t>финасовые</w:t>
            </w:r>
            <w:proofErr w:type="spellEnd"/>
            <w:r w:rsidRPr="008B00F6">
              <w:rPr>
                <w:bCs/>
              </w:rPr>
              <w:t xml:space="preserve"> средства сняты, ввиду несвоевременного объявления конкурса и затянувшихся сроков оформления земельного акта. Конкурс не прошел камеральный контроль. После устранения замечаний и повторного  объявления конкурса подрядчик отказался от выполнения работ ввиду окончания финансового года.  </w:t>
            </w:r>
          </w:p>
          <w:p w:rsidR="008B00F6" w:rsidRPr="008B00F6" w:rsidRDefault="008B00F6" w:rsidP="008B00F6">
            <w:pPr>
              <w:ind w:left="56" w:right="89" w:firstLine="284"/>
              <w:jc w:val="both"/>
              <w:rPr>
                <w:bCs/>
              </w:rPr>
            </w:pPr>
            <w:r w:rsidRPr="008B00F6">
              <w:rPr>
                <w:bCs/>
              </w:rPr>
              <w:t xml:space="preserve">По району Шал Акына </w:t>
            </w:r>
            <w:proofErr w:type="spellStart"/>
            <w:r w:rsidRPr="008B00F6">
              <w:rPr>
                <w:bCs/>
              </w:rPr>
              <w:t>финасовые</w:t>
            </w:r>
            <w:proofErr w:type="spellEnd"/>
            <w:r w:rsidRPr="008B00F6">
              <w:rPr>
                <w:bCs/>
              </w:rPr>
              <w:t xml:space="preserve"> средства сняты ввиду несвоевременного объявления конкурса и затянувшихся сроков оформления земельного акта, (акт на землю был получен только в ноябре 2020 года).</w:t>
            </w:r>
          </w:p>
        </w:tc>
      </w:tr>
    </w:tbl>
    <w:p w:rsidR="007718DB" w:rsidRPr="008B00F6" w:rsidRDefault="007718DB" w:rsidP="008B00F6">
      <w:pPr>
        <w:keepNext/>
        <w:ind w:firstLine="284"/>
        <w:jc w:val="both"/>
      </w:pPr>
    </w:p>
    <w:sectPr w:rsidR="007718DB" w:rsidRPr="008B00F6" w:rsidSect="00EA5C80">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312A7"/>
    <w:multiLevelType w:val="hybridMultilevel"/>
    <w:tmpl w:val="366648E4"/>
    <w:lvl w:ilvl="0" w:tplc="EC4A8574">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F41"/>
    <w:rsid w:val="00000CD6"/>
    <w:rsid w:val="00016B37"/>
    <w:rsid w:val="000409C1"/>
    <w:rsid w:val="00064607"/>
    <w:rsid w:val="000820D9"/>
    <w:rsid w:val="000A1407"/>
    <w:rsid w:val="000A24ED"/>
    <w:rsid w:val="000D7A53"/>
    <w:rsid w:val="001007AF"/>
    <w:rsid w:val="0010543A"/>
    <w:rsid w:val="001123F8"/>
    <w:rsid w:val="001734A2"/>
    <w:rsid w:val="00180987"/>
    <w:rsid w:val="00185236"/>
    <w:rsid w:val="0018586B"/>
    <w:rsid w:val="0019534D"/>
    <w:rsid w:val="001A6364"/>
    <w:rsid w:val="001C3667"/>
    <w:rsid w:val="001C4CCE"/>
    <w:rsid w:val="001C6B1B"/>
    <w:rsid w:val="001E3EBD"/>
    <w:rsid w:val="00204F6E"/>
    <w:rsid w:val="00213D7F"/>
    <w:rsid w:val="002227BB"/>
    <w:rsid w:val="002405CE"/>
    <w:rsid w:val="00240F41"/>
    <w:rsid w:val="00241C92"/>
    <w:rsid w:val="00257D97"/>
    <w:rsid w:val="00275514"/>
    <w:rsid w:val="002B2319"/>
    <w:rsid w:val="002B5944"/>
    <w:rsid w:val="002C263D"/>
    <w:rsid w:val="002F65F0"/>
    <w:rsid w:val="00316C24"/>
    <w:rsid w:val="00354035"/>
    <w:rsid w:val="003829A9"/>
    <w:rsid w:val="003B5352"/>
    <w:rsid w:val="003D344E"/>
    <w:rsid w:val="003D5908"/>
    <w:rsid w:val="004048B2"/>
    <w:rsid w:val="00423C4F"/>
    <w:rsid w:val="00427B28"/>
    <w:rsid w:val="00442F6A"/>
    <w:rsid w:val="00445C6A"/>
    <w:rsid w:val="00472A1B"/>
    <w:rsid w:val="00490B09"/>
    <w:rsid w:val="004B0575"/>
    <w:rsid w:val="004C6D05"/>
    <w:rsid w:val="004F29AA"/>
    <w:rsid w:val="00523F08"/>
    <w:rsid w:val="00530D91"/>
    <w:rsid w:val="00535EB5"/>
    <w:rsid w:val="0055075D"/>
    <w:rsid w:val="005608BE"/>
    <w:rsid w:val="005739A2"/>
    <w:rsid w:val="00592454"/>
    <w:rsid w:val="005C03DF"/>
    <w:rsid w:val="005C4205"/>
    <w:rsid w:val="005C65BE"/>
    <w:rsid w:val="005E0A71"/>
    <w:rsid w:val="005E4921"/>
    <w:rsid w:val="00611EE4"/>
    <w:rsid w:val="0061392D"/>
    <w:rsid w:val="00666AF9"/>
    <w:rsid w:val="00695698"/>
    <w:rsid w:val="0069691D"/>
    <w:rsid w:val="00701D19"/>
    <w:rsid w:val="007217EE"/>
    <w:rsid w:val="007356D5"/>
    <w:rsid w:val="007473EF"/>
    <w:rsid w:val="00767448"/>
    <w:rsid w:val="007718DB"/>
    <w:rsid w:val="0078417B"/>
    <w:rsid w:val="00786C66"/>
    <w:rsid w:val="007A1468"/>
    <w:rsid w:val="007D510F"/>
    <w:rsid w:val="007F678A"/>
    <w:rsid w:val="008145E0"/>
    <w:rsid w:val="00833EC7"/>
    <w:rsid w:val="00847AF3"/>
    <w:rsid w:val="0086356A"/>
    <w:rsid w:val="00882457"/>
    <w:rsid w:val="008B00F6"/>
    <w:rsid w:val="008D2CE1"/>
    <w:rsid w:val="008F350B"/>
    <w:rsid w:val="009001D1"/>
    <w:rsid w:val="00906FC7"/>
    <w:rsid w:val="009143DD"/>
    <w:rsid w:val="009149B8"/>
    <w:rsid w:val="009253D1"/>
    <w:rsid w:val="00931289"/>
    <w:rsid w:val="009D2830"/>
    <w:rsid w:val="00A06DA8"/>
    <w:rsid w:val="00A10EE1"/>
    <w:rsid w:val="00A15D68"/>
    <w:rsid w:val="00A202DF"/>
    <w:rsid w:val="00A25475"/>
    <w:rsid w:val="00A4118B"/>
    <w:rsid w:val="00A427D7"/>
    <w:rsid w:val="00A44676"/>
    <w:rsid w:val="00A60C47"/>
    <w:rsid w:val="00A86CED"/>
    <w:rsid w:val="00A954B4"/>
    <w:rsid w:val="00A97215"/>
    <w:rsid w:val="00AD3CA5"/>
    <w:rsid w:val="00AD74D7"/>
    <w:rsid w:val="00AE021C"/>
    <w:rsid w:val="00AE7762"/>
    <w:rsid w:val="00B07C63"/>
    <w:rsid w:val="00B516B5"/>
    <w:rsid w:val="00BF0FAD"/>
    <w:rsid w:val="00C23043"/>
    <w:rsid w:val="00C42C09"/>
    <w:rsid w:val="00C54EC8"/>
    <w:rsid w:val="00C62E19"/>
    <w:rsid w:val="00C654BA"/>
    <w:rsid w:val="00CA11D5"/>
    <w:rsid w:val="00D00D05"/>
    <w:rsid w:val="00D20289"/>
    <w:rsid w:val="00D25966"/>
    <w:rsid w:val="00D269D0"/>
    <w:rsid w:val="00D66955"/>
    <w:rsid w:val="00D70380"/>
    <w:rsid w:val="00D709FC"/>
    <w:rsid w:val="00D77AD2"/>
    <w:rsid w:val="00D941B4"/>
    <w:rsid w:val="00DA3532"/>
    <w:rsid w:val="00DB16CD"/>
    <w:rsid w:val="00DB7C98"/>
    <w:rsid w:val="00DC058D"/>
    <w:rsid w:val="00DC18C2"/>
    <w:rsid w:val="00E10572"/>
    <w:rsid w:val="00E20146"/>
    <w:rsid w:val="00E26311"/>
    <w:rsid w:val="00E56970"/>
    <w:rsid w:val="00E63660"/>
    <w:rsid w:val="00E85347"/>
    <w:rsid w:val="00E90C5E"/>
    <w:rsid w:val="00E913B3"/>
    <w:rsid w:val="00EA5C80"/>
    <w:rsid w:val="00F207F3"/>
    <w:rsid w:val="00F212FC"/>
    <w:rsid w:val="00F4388A"/>
    <w:rsid w:val="00F718B0"/>
    <w:rsid w:val="00F75365"/>
    <w:rsid w:val="00F92D01"/>
    <w:rsid w:val="00FA087B"/>
    <w:rsid w:val="00FC1232"/>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1C6B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 w:type="character" w:customStyle="1" w:styleId="apple-style-span">
    <w:name w:val="apple-style-span"/>
    <w:rsid w:val="001C6B1B"/>
  </w:style>
  <w:style w:type="paragraph" w:customStyle="1" w:styleId="aa">
    <w:name w:val="Знак Знак Знак Знак Знак Знак Знак Знак Знак Знак Знак Знак Знак Знак Знак Знак"/>
    <w:basedOn w:val="a"/>
    <w:next w:val="2"/>
    <w:autoRedefine/>
    <w:rsid w:val="001C6B1B"/>
    <w:pPr>
      <w:tabs>
        <w:tab w:val="num" w:pos="720"/>
      </w:tabs>
      <w:spacing w:after="160" w:line="240" w:lineRule="exact"/>
      <w:ind w:left="720" w:hanging="360"/>
    </w:pPr>
    <w:rPr>
      <w:sz w:val="28"/>
      <w:szCs w:val="28"/>
      <w:lang w:eastAsia="en-US"/>
    </w:rPr>
  </w:style>
  <w:style w:type="character" w:customStyle="1" w:styleId="20">
    <w:name w:val="Заголовок 2 Знак"/>
    <w:basedOn w:val="a0"/>
    <w:link w:val="2"/>
    <w:uiPriority w:val="9"/>
    <w:semiHidden/>
    <w:rsid w:val="001C6B1B"/>
    <w:rPr>
      <w:rFonts w:asciiTheme="majorHAnsi" w:eastAsiaTheme="majorEastAsia" w:hAnsiTheme="majorHAnsi" w:cstheme="majorBidi"/>
      <w:b/>
      <w:bCs/>
      <w:color w:val="4F81BD" w:themeColor="accent1"/>
      <w:sz w:val="26"/>
      <w:szCs w:val="26"/>
      <w:lang w:eastAsia="ru-RU"/>
    </w:rPr>
  </w:style>
  <w:style w:type="paragraph" w:customStyle="1" w:styleId="NoSpacing1">
    <w:name w:val="No Spacing1"/>
    <w:rsid w:val="00442F6A"/>
    <w:pPr>
      <w:spacing w:after="0" w:line="240" w:lineRule="auto"/>
    </w:pPr>
    <w:rPr>
      <w:rFonts w:ascii="Calibri" w:eastAsia="Calibri" w:hAnsi="Calibri"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1C6B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 w:type="character" w:customStyle="1" w:styleId="apple-style-span">
    <w:name w:val="apple-style-span"/>
    <w:rsid w:val="001C6B1B"/>
  </w:style>
  <w:style w:type="paragraph" w:customStyle="1" w:styleId="aa">
    <w:name w:val="Знак Знак Знак Знак Знак Знак Знак Знак Знак Знак Знак Знак Знак Знак Знак Знак"/>
    <w:basedOn w:val="a"/>
    <w:next w:val="2"/>
    <w:autoRedefine/>
    <w:rsid w:val="001C6B1B"/>
    <w:pPr>
      <w:tabs>
        <w:tab w:val="num" w:pos="720"/>
      </w:tabs>
      <w:spacing w:after="160" w:line="240" w:lineRule="exact"/>
      <w:ind w:left="720" w:hanging="360"/>
    </w:pPr>
    <w:rPr>
      <w:sz w:val="28"/>
      <w:szCs w:val="28"/>
      <w:lang w:eastAsia="en-US"/>
    </w:rPr>
  </w:style>
  <w:style w:type="character" w:customStyle="1" w:styleId="20">
    <w:name w:val="Заголовок 2 Знак"/>
    <w:basedOn w:val="a0"/>
    <w:link w:val="2"/>
    <w:uiPriority w:val="9"/>
    <w:semiHidden/>
    <w:rsid w:val="001C6B1B"/>
    <w:rPr>
      <w:rFonts w:asciiTheme="majorHAnsi" w:eastAsiaTheme="majorEastAsia" w:hAnsiTheme="majorHAnsi" w:cstheme="majorBidi"/>
      <w:b/>
      <w:bCs/>
      <w:color w:val="4F81BD" w:themeColor="accent1"/>
      <w:sz w:val="26"/>
      <w:szCs w:val="26"/>
      <w:lang w:eastAsia="ru-RU"/>
    </w:rPr>
  </w:style>
  <w:style w:type="paragraph" w:customStyle="1" w:styleId="NoSpacing1">
    <w:name w:val="No Spacing1"/>
    <w:rsid w:val="00442F6A"/>
    <w:pPr>
      <w:spacing w:after="0" w:line="240" w:lineRule="auto"/>
    </w:pPr>
    <w:rPr>
      <w:rFonts w:ascii="Calibri" w:eastAsia="Calibri"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900196">
      <w:bodyDiv w:val="1"/>
      <w:marLeft w:val="0"/>
      <w:marRight w:val="0"/>
      <w:marTop w:val="0"/>
      <w:marBottom w:val="0"/>
      <w:divBdr>
        <w:top w:val="none" w:sz="0" w:space="0" w:color="auto"/>
        <w:left w:val="none" w:sz="0" w:space="0" w:color="auto"/>
        <w:bottom w:val="none" w:sz="0" w:space="0" w:color="auto"/>
        <w:right w:val="none" w:sz="0" w:space="0" w:color="auto"/>
      </w:divBdr>
    </w:div>
    <w:div w:id="723993873">
      <w:bodyDiv w:val="1"/>
      <w:marLeft w:val="0"/>
      <w:marRight w:val="0"/>
      <w:marTop w:val="0"/>
      <w:marBottom w:val="0"/>
      <w:divBdr>
        <w:top w:val="none" w:sz="0" w:space="0" w:color="auto"/>
        <w:left w:val="none" w:sz="0" w:space="0" w:color="auto"/>
        <w:bottom w:val="none" w:sz="0" w:space="0" w:color="auto"/>
        <w:right w:val="none" w:sz="0" w:space="0" w:color="auto"/>
      </w:divBdr>
    </w:div>
    <w:div w:id="976184771">
      <w:bodyDiv w:val="1"/>
      <w:marLeft w:val="0"/>
      <w:marRight w:val="0"/>
      <w:marTop w:val="0"/>
      <w:marBottom w:val="0"/>
      <w:divBdr>
        <w:top w:val="none" w:sz="0" w:space="0" w:color="auto"/>
        <w:left w:val="none" w:sz="0" w:space="0" w:color="auto"/>
        <w:bottom w:val="none" w:sz="0" w:space="0" w:color="auto"/>
        <w:right w:val="none" w:sz="0" w:space="0" w:color="auto"/>
      </w:divBdr>
    </w:div>
    <w:div w:id="1037045109">
      <w:bodyDiv w:val="1"/>
      <w:marLeft w:val="0"/>
      <w:marRight w:val="0"/>
      <w:marTop w:val="0"/>
      <w:marBottom w:val="0"/>
      <w:divBdr>
        <w:top w:val="none" w:sz="0" w:space="0" w:color="auto"/>
        <w:left w:val="none" w:sz="0" w:space="0" w:color="auto"/>
        <w:bottom w:val="none" w:sz="0" w:space="0" w:color="auto"/>
        <w:right w:val="none" w:sz="0" w:space="0" w:color="auto"/>
      </w:divBdr>
    </w:div>
    <w:div w:id="1321933040">
      <w:bodyDiv w:val="1"/>
      <w:marLeft w:val="0"/>
      <w:marRight w:val="0"/>
      <w:marTop w:val="0"/>
      <w:marBottom w:val="0"/>
      <w:divBdr>
        <w:top w:val="none" w:sz="0" w:space="0" w:color="auto"/>
        <w:left w:val="none" w:sz="0" w:space="0" w:color="auto"/>
        <w:bottom w:val="none" w:sz="0" w:space="0" w:color="auto"/>
        <w:right w:val="none" w:sz="0" w:space="0" w:color="auto"/>
      </w:divBdr>
    </w:div>
    <w:div w:id="1355768484">
      <w:bodyDiv w:val="1"/>
      <w:marLeft w:val="0"/>
      <w:marRight w:val="0"/>
      <w:marTop w:val="0"/>
      <w:marBottom w:val="0"/>
      <w:divBdr>
        <w:top w:val="none" w:sz="0" w:space="0" w:color="auto"/>
        <w:left w:val="none" w:sz="0" w:space="0" w:color="auto"/>
        <w:bottom w:val="none" w:sz="0" w:space="0" w:color="auto"/>
        <w:right w:val="none" w:sz="0" w:space="0" w:color="auto"/>
      </w:divBdr>
    </w:div>
    <w:div w:id="1412701963">
      <w:bodyDiv w:val="1"/>
      <w:marLeft w:val="0"/>
      <w:marRight w:val="0"/>
      <w:marTop w:val="0"/>
      <w:marBottom w:val="0"/>
      <w:divBdr>
        <w:top w:val="none" w:sz="0" w:space="0" w:color="auto"/>
        <w:left w:val="none" w:sz="0" w:space="0" w:color="auto"/>
        <w:bottom w:val="none" w:sz="0" w:space="0" w:color="auto"/>
        <w:right w:val="none" w:sz="0" w:space="0" w:color="auto"/>
      </w:divBdr>
    </w:div>
    <w:div w:id="1598636561">
      <w:bodyDiv w:val="1"/>
      <w:marLeft w:val="0"/>
      <w:marRight w:val="0"/>
      <w:marTop w:val="0"/>
      <w:marBottom w:val="0"/>
      <w:divBdr>
        <w:top w:val="none" w:sz="0" w:space="0" w:color="auto"/>
        <w:left w:val="none" w:sz="0" w:space="0" w:color="auto"/>
        <w:bottom w:val="none" w:sz="0" w:space="0" w:color="auto"/>
        <w:right w:val="none" w:sz="0" w:space="0" w:color="auto"/>
      </w:divBdr>
    </w:div>
    <w:div w:id="1948417023">
      <w:bodyDiv w:val="1"/>
      <w:marLeft w:val="0"/>
      <w:marRight w:val="0"/>
      <w:marTop w:val="0"/>
      <w:marBottom w:val="0"/>
      <w:divBdr>
        <w:top w:val="none" w:sz="0" w:space="0" w:color="auto"/>
        <w:left w:val="none" w:sz="0" w:space="0" w:color="auto"/>
        <w:bottom w:val="none" w:sz="0" w:space="0" w:color="auto"/>
        <w:right w:val="none" w:sz="0" w:space="0" w:color="auto"/>
      </w:divBdr>
    </w:div>
    <w:div w:id="2068333524">
      <w:bodyDiv w:val="1"/>
      <w:marLeft w:val="0"/>
      <w:marRight w:val="0"/>
      <w:marTop w:val="0"/>
      <w:marBottom w:val="0"/>
      <w:divBdr>
        <w:top w:val="none" w:sz="0" w:space="0" w:color="auto"/>
        <w:left w:val="none" w:sz="0" w:space="0" w:color="auto"/>
        <w:bottom w:val="none" w:sz="0" w:space="0" w:color="auto"/>
        <w:right w:val="none" w:sz="0" w:space="0" w:color="auto"/>
      </w:divBdr>
    </w:div>
    <w:div w:id="211729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D3BB8-9FD8-427B-BBDB-608215B3E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903</Words>
  <Characters>5148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Асия Р. Дулатова</cp:lastModifiedBy>
  <cp:revision>53</cp:revision>
  <cp:lastPrinted>2019-02-25T11:31:00Z</cp:lastPrinted>
  <dcterms:created xsi:type="dcterms:W3CDTF">2019-02-25T12:14:00Z</dcterms:created>
  <dcterms:modified xsi:type="dcterms:W3CDTF">2021-02-23T05:17:00Z</dcterms:modified>
</cp:coreProperties>
</file>