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473" w:rsidRDefault="00A608B0">
      <w:pPr>
        <w:pStyle w:val="a3"/>
        <w:ind w:left="1132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Конкурстық құ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жаттама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ға                  3-қосымша</w:t>
      </w:r>
    </w:p>
    <w:p w:rsidR="00323473" w:rsidRDefault="00323473">
      <w:pPr>
        <w:pStyle w:val="a3"/>
        <w:ind w:left="11328"/>
        <w:jc w:val="center"/>
        <w:rPr>
          <w:rFonts w:ascii="Times New Roman" w:hAnsi="Times New Roman" w:cs="Times New Roman"/>
          <w:sz w:val="16"/>
          <w:szCs w:val="16"/>
          <w:lang w:val="kk-KZ"/>
        </w:rPr>
      </w:pPr>
    </w:p>
    <w:p w:rsidR="00323473" w:rsidRDefault="00A608B0">
      <w:pPr>
        <w:pStyle w:val="a3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      </w:t>
      </w:r>
    </w:p>
    <w:p w:rsidR="00323473" w:rsidRDefault="00A608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z103"/>
      <w:r>
        <w:rPr>
          <w:rStyle w:val="s1a"/>
          <w:rFonts w:ascii="Times New Roman" w:hAnsi="Times New Roman" w:cs="Times New Roman"/>
          <w:b/>
          <w:sz w:val="24"/>
          <w:szCs w:val="24"/>
          <w:lang w:val="kk-KZ"/>
        </w:rPr>
        <w:t>Әлеуметтік маңызы бар қала маңындағы қатынастар бойынша жолаушылар тасымалын дамытудың негізгі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Style w:val="s1a"/>
          <w:rFonts w:ascii="Times New Roman" w:hAnsi="Times New Roman" w:cs="Times New Roman"/>
          <w:b/>
          <w:sz w:val="24"/>
          <w:szCs w:val="24"/>
          <w:lang w:val="kk-KZ"/>
        </w:rPr>
        <w:t>талаптары</w:t>
      </w:r>
    </w:p>
    <w:p w:rsidR="00323473" w:rsidRPr="00A608B0" w:rsidRDefault="00A608B0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s0"/>
          <w:i/>
          <w:sz w:val="24"/>
          <w:szCs w:val="24"/>
          <w:lang w:val="kk-KZ"/>
        </w:rPr>
        <w:t xml:space="preserve">                                                                          </w:t>
      </w:r>
      <w:r w:rsidR="00447841">
        <w:rPr>
          <w:rFonts w:ascii="Times New Roman" w:hAnsi="Times New Roman" w:cs="Times New Roman"/>
          <w:sz w:val="24"/>
          <w:szCs w:val="24"/>
          <w:lang w:val="kk-KZ"/>
        </w:rPr>
        <w:t>2022</w:t>
      </w:r>
      <w:r w:rsidRPr="00A608B0">
        <w:rPr>
          <w:rFonts w:ascii="Times New Roman" w:hAnsi="Times New Roman" w:cs="Times New Roman"/>
          <w:sz w:val="24"/>
          <w:szCs w:val="24"/>
          <w:lang w:val="kk-KZ"/>
        </w:rPr>
        <w:t xml:space="preserve"> жылғы</w:t>
      </w:r>
      <w:r w:rsidRPr="00A608B0">
        <w:rPr>
          <w:rStyle w:val="s0"/>
          <w:sz w:val="24"/>
          <w:szCs w:val="24"/>
          <w:lang w:val="kk-KZ"/>
        </w:rPr>
        <w:t xml:space="preserve"> </w:t>
      </w:r>
      <w:r w:rsidRPr="00A608B0">
        <w:rPr>
          <w:rFonts w:ascii="Times New Roman" w:hAnsi="Times New Roman" w:cs="Times New Roman"/>
          <w:sz w:val="24"/>
          <w:szCs w:val="24"/>
          <w:lang w:val="kk-KZ"/>
        </w:rPr>
        <w:t xml:space="preserve">1 </w:t>
      </w:r>
      <w:r w:rsidR="00447841">
        <w:rPr>
          <w:rFonts w:ascii="Times New Roman" w:hAnsi="Times New Roman" w:cs="Times New Roman"/>
          <w:sz w:val="24"/>
          <w:szCs w:val="24"/>
          <w:lang w:val="kk-KZ"/>
        </w:rPr>
        <w:t>қантар</w:t>
      </w:r>
      <w:r w:rsidRPr="00A608B0">
        <w:rPr>
          <w:rFonts w:ascii="Times New Roman" w:hAnsi="Times New Roman" w:cs="Times New Roman"/>
          <w:sz w:val="24"/>
          <w:szCs w:val="24"/>
          <w:lang w:val="kk-KZ"/>
        </w:rPr>
        <w:t xml:space="preserve">нан </w:t>
      </w:r>
      <w:r w:rsidRPr="00A608B0">
        <w:rPr>
          <w:rStyle w:val="s0"/>
          <w:sz w:val="24"/>
          <w:szCs w:val="24"/>
          <w:lang w:val="kk-KZ"/>
        </w:rPr>
        <w:t>202</w:t>
      </w:r>
      <w:r w:rsidR="00447841">
        <w:rPr>
          <w:rStyle w:val="s0"/>
          <w:sz w:val="24"/>
          <w:szCs w:val="24"/>
          <w:lang w:val="kk-KZ"/>
        </w:rPr>
        <w:t>6</w:t>
      </w:r>
      <w:r w:rsidRPr="00A608B0">
        <w:rPr>
          <w:rStyle w:val="s0"/>
          <w:sz w:val="24"/>
          <w:szCs w:val="24"/>
          <w:lang w:val="kk-KZ"/>
        </w:rPr>
        <w:t xml:space="preserve"> жылғы 31 желтоқсанға дейін</w:t>
      </w:r>
    </w:p>
    <w:p w:rsidR="00323473" w:rsidRDefault="00A608B0">
      <w:pPr>
        <w:spacing w:after="0" w:line="240" w:lineRule="auto"/>
        <w:ind w:firstLine="400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Style w:val="s0"/>
          <w:sz w:val="24"/>
          <w:szCs w:val="24"/>
          <w:lang w:val="kk-KZ"/>
        </w:rPr>
        <w:t xml:space="preserve">                                                                                  </w:t>
      </w:r>
      <w:r>
        <w:rPr>
          <w:rStyle w:val="s0"/>
          <w:i/>
          <w:sz w:val="24"/>
          <w:szCs w:val="24"/>
          <w:lang w:val="kk-KZ"/>
        </w:rPr>
        <w:t xml:space="preserve">күні, айы, жылы               </w:t>
      </w:r>
      <w:r w:rsidR="00447841">
        <w:rPr>
          <w:rStyle w:val="s0"/>
          <w:i/>
          <w:sz w:val="24"/>
          <w:szCs w:val="24"/>
          <w:lang w:val="kk-KZ"/>
        </w:rPr>
        <w:t xml:space="preserve">   </w:t>
      </w:r>
      <w:r>
        <w:rPr>
          <w:rStyle w:val="s0"/>
          <w:i/>
          <w:sz w:val="24"/>
          <w:szCs w:val="24"/>
          <w:lang w:val="kk-KZ"/>
        </w:rPr>
        <w:t xml:space="preserve">  күні, айы, жылы</w:t>
      </w:r>
    </w:p>
    <w:tbl>
      <w:tblPr>
        <w:tblW w:w="15068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"/>
        <w:gridCol w:w="1161"/>
        <w:gridCol w:w="66"/>
        <w:gridCol w:w="2835"/>
        <w:gridCol w:w="3086"/>
        <w:gridCol w:w="2083"/>
        <w:gridCol w:w="2275"/>
        <w:gridCol w:w="2054"/>
        <w:gridCol w:w="282"/>
        <w:gridCol w:w="852"/>
      </w:tblGrid>
      <w:tr w:rsidR="00323473">
        <w:trPr>
          <w:trHeight w:val="270"/>
        </w:trPr>
        <w:tc>
          <w:tcPr>
            <w:tcW w:w="37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323473" w:rsidRDefault="00A608B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Р/с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227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Style w:val="s0"/>
                <w:b/>
                <w:sz w:val="24"/>
                <w:szCs w:val="24"/>
              </w:rPr>
              <w:t>По</w:t>
            </w:r>
            <w:r>
              <w:rPr>
                <w:rStyle w:val="s0"/>
                <w:b/>
                <w:sz w:val="24"/>
                <w:szCs w:val="24"/>
                <w:lang w:val="ru-RU"/>
              </w:rPr>
              <w:t>ез</w:t>
            </w:r>
            <w:r>
              <w:rPr>
                <w:rStyle w:val="s0"/>
                <w:b/>
                <w:sz w:val="24"/>
                <w:szCs w:val="24"/>
              </w:rPr>
              <w:t>ды</w:t>
            </w:r>
            <w:proofErr w:type="spellEnd"/>
            <w:r>
              <w:rPr>
                <w:rStyle w:val="s0"/>
                <w:b/>
                <w:sz w:val="24"/>
                <w:szCs w:val="24"/>
                <w:lang w:val="kk-KZ"/>
              </w:rPr>
              <w:t>ң</w:t>
            </w:r>
            <w:r>
              <w:rPr>
                <w:rStyle w:val="s0"/>
                <w:b/>
                <w:sz w:val="24"/>
                <w:szCs w:val="24"/>
              </w:rPr>
              <w:t xml:space="preserve"> ш</w:t>
            </w:r>
            <w:r>
              <w:rPr>
                <w:rStyle w:val="s0"/>
                <w:b/>
                <w:sz w:val="24"/>
                <w:szCs w:val="24"/>
                <w:lang w:val="kk-KZ"/>
              </w:rPr>
              <w:t>а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ртты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83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Style w:val="s0"/>
                <w:b/>
                <w:sz w:val="24"/>
                <w:szCs w:val="24"/>
              </w:rPr>
              <w:t>Әлеуметтік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маңызы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бар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қатынастың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Style w:val="s0"/>
                <w:b/>
                <w:sz w:val="24"/>
                <w:szCs w:val="24"/>
              </w:rPr>
              <w:t>Іс-шара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35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Style w:val="s0"/>
                <w:b/>
                <w:sz w:val="24"/>
                <w:szCs w:val="24"/>
              </w:rPr>
              <w:t>Сандық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көрсеткіштері</w:t>
            </w:r>
            <w:proofErr w:type="spellEnd"/>
          </w:p>
        </w:tc>
        <w:tc>
          <w:tcPr>
            <w:tcW w:w="205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Style w:val="s0"/>
                <w:b/>
                <w:sz w:val="24"/>
                <w:szCs w:val="24"/>
              </w:rPr>
              <w:t>Сапалық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көрсеткіштер</w:t>
            </w:r>
            <w:proofErr w:type="spellEnd"/>
          </w:p>
        </w:tc>
        <w:tc>
          <w:tcPr>
            <w:tcW w:w="1134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Style w:val="s0"/>
                <w:b/>
                <w:sz w:val="24"/>
                <w:szCs w:val="24"/>
              </w:rPr>
              <w:t>Ескертпе</w:t>
            </w:r>
            <w:proofErr w:type="spellEnd"/>
          </w:p>
        </w:tc>
      </w:tr>
      <w:tr w:rsidR="00323473">
        <w:trPr>
          <w:trHeight w:val="270"/>
        </w:trPr>
        <w:tc>
          <w:tcPr>
            <w:tcW w:w="374" w:type="dxa"/>
            <w:vMerge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vMerge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6" w:type="dxa"/>
            <w:vMerge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s0"/>
                <w:b/>
                <w:sz w:val="24"/>
                <w:szCs w:val="24"/>
                <w:lang w:val="kk-KZ"/>
              </w:rPr>
              <w:t>ө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лшем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rStyle w:val="s0"/>
                <w:b/>
                <w:sz w:val="24"/>
                <w:szCs w:val="24"/>
              </w:rPr>
              <w:t>саны</w:t>
            </w:r>
            <w:proofErr w:type="spellEnd"/>
          </w:p>
        </w:tc>
        <w:tc>
          <w:tcPr>
            <w:tcW w:w="2054" w:type="dxa"/>
            <w:vMerge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473">
        <w:trPr>
          <w:trHeight w:val="90"/>
        </w:trPr>
        <w:tc>
          <w:tcPr>
            <w:tcW w:w="15068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Сервистік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қызмет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сапасын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арттыру</w:t>
            </w:r>
            <w:proofErr w:type="spellEnd"/>
          </w:p>
        </w:tc>
      </w:tr>
      <w:tr w:rsidR="00323473" w:rsidRPr="006F6E7E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6974/6973</w:t>
            </w:r>
          </w:p>
        </w:tc>
        <w:tc>
          <w:tcPr>
            <w:tcW w:w="290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Есілкөл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Омбы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шекарасына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Вагондардың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санитарлы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жай-күйін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қамтамасыз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жөніндегі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іс-шаралар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вагондарды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сапалы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қалталанған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ірмен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қамтамасыз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қажетіне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вагондардың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ішін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ігіне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кемінде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санитарлық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торапты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кемінде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жинау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вагондардың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сыртын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сапалы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жууды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қамтамасыз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Гигиена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құралдарымен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экипировкалау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иіс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сабынмен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сұйық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қағаз сүлгімен;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қоқыс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жинау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арналған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пакеттермен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дезинфекциялау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құралдарымен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сапасы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жақсартылған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ретхана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қағазымен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Медициналық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керек-жарақпен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экипировкалау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зембілмен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апаттық дә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 қобдишасымен, ағымдағы дәрі қобдишасымен;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педикулезге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қарсы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жинақпен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Ф-30 жинақпен;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өлме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термометрімен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Тегін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қызметтердің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кепілденді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ілген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минимумын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қамтамасыз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қобдишасын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пайдалану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алғашқы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медициналық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көмек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көрсету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жолаушыларды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вагон салоны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ішінде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ақпаратпен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қамтамасыз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(Қ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теміржол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көлігімен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жолаушыларды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багажды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жүкбагажды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тасымалдау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қағидасына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Жолаушылардың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қағидасы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поезд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тоқтайтын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станциялар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көрсетілген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поездың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кестесі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аялдау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уақыты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анықтамалық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көрнекі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ақпарат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ұсынылатын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ызметтердің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құны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көрсетілген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тізбе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  <w:proofErr w:type="gramEnd"/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lastRenderedPageBreak/>
              <w:br/>
            </w:r>
          </w:p>
        </w:tc>
        <w:tc>
          <w:tcPr>
            <w:tcW w:w="22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Көліктегі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орталық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мемлекеттік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санитарлы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эпидемиологиялық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қадағалау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департаментімен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(ОМСЭҚД)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бекітілген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келісілген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экипировкалау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құралдарын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қамтамасыз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нормаларына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5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Шарт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талаптарына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сапа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сәйкестік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сертификатының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болуы</w:t>
            </w:r>
            <w:proofErr w:type="spellEnd"/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323473" w:rsidRPr="006F6E7E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6975/6976</w:t>
            </w:r>
          </w:p>
        </w:tc>
        <w:tc>
          <w:tcPr>
            <w:tcW w:w="290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6F6E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 Макушино (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Қорған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шекарасына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4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23473">
        <w:trPr>
          <w:trHeight w:val="75"/>
        </w:trPr>
        <w:tc>
          <w:tcPr>
            <w:tcW w:w="15068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Қызметкерлер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штатының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бі</w:t>
            </w:r>
            <w:proofErr w:type="gramStart"/>
            <w:r>
              <w:rPr>
                <w:rStyle w:val="s0"/>
                <w:b/>
                <w:sz w:val="24"/>
                <w:szCs w:val="24"/>
              </w:rPr>
              <w:t>л</w:t>
            </w:r>
            <w:proofErr w:type="gramEnd"/>
            <w:r>
              <w:rPr>
                <w:rStyle w:val="s0"/>
                <w:b/>
                <w:sz w:val="24"/>
                <w:szCs w:val="24"/>
              </w:rPr>
              <w:t>іктілігін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арттыру</w:t>
            </w:r>
            <w:proofErr w:type="spellEnd"/>
          </w:p>
        </w:tc>
      </w:tr>
      <w:tr w:rsidR="00323473" w:rsidRPr="006F6E7E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6974/6973</w:t>
            </w:r>
          </w:p>
        </w:tc>
        <w:tc>
          <w:tcPr>
            <w:tcW w:w="290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Есілкөл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Омбы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шекарасына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сабақтар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тақырыптық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семинарлар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ұйымдастыру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өткізу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іктілік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арттыру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курстарында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оқыту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08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br/>
              <w:t>Сертификат</w:t>
            </w:r>
          </w:p>
        </w:tc>
        <w:tc>
          <w:tcPr>
            <w:tcW w:w="2275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Оқыту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кестесіне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сәйкес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36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Теориялық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практикалық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імді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жаңарту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мамандардың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біліктілігіне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қойылатын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талаптарды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ұдайы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арттырылып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отыратынына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байланысты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олардың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дағдыларын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жетілдіру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br/>
            </w:r>
          </w:p>
        </w:tc>
      </w:tr>
      <w:tr w:rsidR="00323473" w:rsidRPr="006F6E7E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6975/6976</w:t>
            </w:r>
          </w:p>
        </w:tc>
        <w:tc>
          <w:tcPr>
            <w:tcW w:w="290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6F6E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 Макушино (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Қорған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шекарасына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5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gridSpan w:val="2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23473" w:rsidRPr="006F6E7E">
        <w:trPr>
          <w:trHeight w:val="90"/>
        </w:trPr>
        <w:tc>
          <w:tcPr>
            <w:tcW w:w="15068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3.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Ресімделмеген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тұлғаларды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тасымалдау</w:t>
            </w:r>
            <w:proofErr w:type="spellEnd"/>
            <w:r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және</w:t>
            </w:r>
            <w:proofErr w:type="spellEnd"/>
            <w:r>
              <w:rPr>
                <w:rStyle w:val="s0"/>
                <w:b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немесе</w:t>
            </w:r>
            <w:proofErr w:type="spellEnd"/>
            <w:r>
              <w:rPr>
                <w:rStyle w:val="s0"/>
                <w:b/>
                <w:sz w:val="24"/>
                <w:szCs w:val="24"/>
                <w:lang w:val="ru-RU"/>
              </w:rPr>
              <w:t xml:space="preserve"> багаж бен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жүк</w:t>
            </w:r>
            <w:proofErr w:type="spellEnd"/>
            <w:r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багажды</w:t>
            </w:r>
            <w:proofErr w:type="spellEnd"/>
            <w:r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тасымалдау</w:t>
            </w:r>
            <w:proofErr w:type="spellEnd"/>
            <w:r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шарттарының</w:t>
            </w:r>
            <w:proofErr w:type="spellEnd"/>
            <w:r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бұзылу</w:t>
            </w:r>
            <w:proofErr w:type="spellEnd"/>
            <w:r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фактілеріне</w:t>
            </w:r>
            <w:proofErr w:type="spellEnd"/>
            <w:r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жол</w:t>
            </w:r>
            <w:proofErr w:type="spellEnd"/>
            <w:r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бермеу</w:t>
            </w:r>
            <w:proofErr w:type="spellEnd"/>
            <w:r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жөніндегі</w:t>
            </w:r>
            <w:proofErr w:type="spellEnd"/>
            <w:r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іс-шаралар</w:t>
            </w:r>
            <w:proofErr w:type="spellEnd"/>
          </w:p>
        </w:tc>
      </w:tr>
      <w:tr w:rsidR="00323473" w:rsidRPr="006F6E7E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1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6974/6973</w:t>
            </w:r>
          </w:p>
        </w:tc>
        <w:tc>
          <w:tcPr>
            <w:tcW w:w="290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Есілкөл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Омбы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шекарасына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Билетсіз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тасымалдау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фактілерін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жөніндегі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рейдтер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акциялар</w:t>
            </w:r>
            <w:proofErr w:type="spellEnd"/>
          </w:p>
        </w:tc>
        <w:tc>
          <w:tcPr>
            <w:tcW w:w="208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тоқсан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сайын</w:t>
            </w:r>
            <w:proofErr w:type="spellEnd"/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336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Жолаушыларды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билетсіз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тасымалдауды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анықтау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мәніне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жұмылдыру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тобын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ұйымдастыру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маңындағы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қатынастағы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поездарды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қиылдан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тексеруді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ұйымдастыру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қала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маңындағы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поездарда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көрсету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сапасына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оны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жақсарту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мәніне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жолаушылар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арасында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әлеуметтанушылық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сауалнама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ұйымдастыру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8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323473" w:rsidRPr="006F6E7E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6975/6976</w:t>
            </w:r>
          </w:p>
        </w:tc>
        <w:tc>
          <w:tcPr>
            <w:tcW w:w="290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6F6E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 Макушино (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Қорған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шекарасына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gridSpan w:val="2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23473" w:rsidRPr="006F6E7E">
        <w:trPr>
          <w:trHeight w:val="75"/>
        </w:trPr>
        <w:tc>
          <w:tcPr>
            <w:tcW w:w="15068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Pr="00A608B0" w:rsidRDefault="00A608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08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4.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Жолаушылар</w:t>
            </w:r>
            <w:proofErr w:type="spellEnd"/>
            <w:r w:rsidRPr="00A608B0"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тасымалы</w:t>
            </w:r>
            <w:proofErr w:type="spellEnd"/>
            <w:r w:rsidRPr="00A608B0">
              <w:rPr>
                <w:rStyle w:val="s0"/>
                <w:b/>
                <w:sz w:val="24"/>
                <w:szCs w:val="24"/>
                <w:lang w:val="ru-RU"/>
              </w:rPr>
              <w:t xml:space="preserve">, </w:t>
            </w:r>
            <w:r>
              <w:rPr>
                <w:rStyle w:val="s0"/>
                <w:b/>
                <w:sz w:val="24"/>
                <w:szCs w:val="24"/>
                <w:lang w:val="ru-RU"/>
              </w:rPr>
              <w:t>багаж</w:t>
            </w:r>
            <w:r w:rsidRPr="00A608B0"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Style w:val="s0"/>
                <w:b/>
                <w:sz w:val="24"/>
                <w:szCs w:val="24"/>
                <w:lang w:val="ru-RU"/>
              </w:rPr>
              <w:t>бен</w:t>
            </w:r>
            <w:r w:rsidRPr="00A608B0"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жүк</w:t>
            </w:r>
            <w:proofErr w:type="spellEnd"/>
            <w:r w:rsidRPr="00A608B0"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Style w:val="s0"/>
                <w:b/>
                <w:sz w:val="24"/>
                <w:szCs w:val="24"/>
                <w:lang w:val="ru-RU"/>
              </w:rPr>
              <w:t>багаж</w:t>
            </w:r>
            <w:r w:rsidRPr="00A608B0"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тасымалының</w:t>
            </w:r>
            <w:proofErr w:type="spellEnd"/>
            <w:r w:rsidRPr="00A608B0"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кірістерін</w:t>
            </w:r>
            <w:proofErr w:type="spellEnd"/>
            <w:r w:rsidRPr="00A608B0">
              <w:rPr>
                <w:rStyle w:val="s0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  <w:lang w:val="ru-RU"/>
              </w:rPr>
              <w:t>жоғарылату</w:t>
            </w:r>
            <w:proofErr w:type="spellEnd"/>
          </w:p>
        </w:tc>
      </w:tr>
      <w:tr w:rsidR="00323473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8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6974/6973</w:t>
            </w:r>
          </w:p>
        </w:tc>
        <w:tc>
          <w:tcPr>
            <w:tcW w:w="290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Есілкөл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Омбы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шекарасына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Маршруттар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бойынша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хронометраж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үргізу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билетсіз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жолаушыларды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анықтау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жолаушыларды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тасымалдау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кезінде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өзге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жүзеге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асыру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br/>
            </w: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3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8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Жоспарлы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жоспар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хронометраж </w:t>
            </w:r>
          </w:p>
        </w:tc>
      </w:tr>
      <w:tr w:rsidR="00323473" w:rsidRPr="006F6E7E">
        <w:trPr>
          <w:trHeight w:val="9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6975/6976</w:t>
            </w:r>
          </w:p>
        </w:tc>
        <w:tc>
          <w:tcPr>
            <w:tcW w:w="290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6F6E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 Макушино (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Қорған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шекарасына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23473">
        <w:trPr>
          <w:trHeight w:val="255"/>
        </w:trPr>
        <w:tc>
          <w:tcPr>
            <w:tcW w:w="15068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Электронды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қызметті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енгізу</w:t>
            </w:r>
            <w:proofErr w:type="spellEnd"/>
          </w:p>
        </w:tc>
      </w:tr>
      <w:tr w:rsidR="00323473" w:rsidRPr="006F6E7E">
        <w:trPr>
          <w:trHeight w:val="225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6974/6973</w:t>
            </w:r>
          </w:p>
        </w:tc>
        <w:tc>
          <w:tcPr>
            <w:tcW w:w="290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Есілкөл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Омбы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шекарасына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Интернет-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ресурстарда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поездар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қозғалысының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кестесі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туралы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ақпарат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орналастыру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336" w:type="dxa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Сапалы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және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қолжетімді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көрсету </w:t>
            </w:r>
          </w:p>
        </w:tc>
        <w:tc>
          <w:tcPr>
            <w:tcW w:w="8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23473" w:rsidRPr="006F6E7E">
        <w:trPr>
          <w:trHeight w:val="225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6975/6976</w:t>
            </w:r>
          </w:p>
        </w:tc>
        <w:tc>
          <w:tcPr>
            <w:tcW w:w="290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6F6E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 Макушино (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Қорған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шекарасына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gridSpan w:val="2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23473">
        <w:trPr>
          <w:trHeight w:val="225"/>
        </w:trPr>
        <w:tc>
          <w:tcPr>
            <w:tcW w:w="15068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6.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Өзге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де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b/>
                <w:sz w:val="24"/>
                <w:szCs w:val="24"/>
              </w:rPr>
              <w:t>даму</w:t>
            </w:r>
            <w:proofErr w:type="spellEnd"/>
            <w:r>
              <w:rPr>
                <w:rStyle w:val="s0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Style w:val="s0"/>
                <w:b/>
                <w:sz w:val="24"/>
                <w:szCs w:val="24"/>
              </w:rPr>
              <w:t>м</w:t>
            </w:r>
            <w:proofErr w:type="gramEnd"/>
            <w:r>
              <w:rPr>
                <w:rStyle w:val="s0"/>
                <w:b/>
                <w:sz w:val="24"/>
                <w:szCs w:val="24"/>
              </w:rPr>
              <w:t>әселелері</w:t>
            </w:r>
            <w:proofErr w:type="spellEnd"/>
          </w:p>
        </w:tc>
      </w:tr>
      <w:tr w:rsidR="00323473" w:rsidRPr="006F6E7E">
        <w:trPr>
          <w:trHeight w:val="27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1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6974/6973</w:t>
            </w:r>
          </w:p>
        </w:tc>
        <w:tc>
          <w:tcPr>
            <w:tcW w:w="290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Есілкөл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Омбы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шекарасына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дейін</w:t>
            </w:r>
            <w:proofErr w:type="spellEnd"/>
            <w:r w:rsidR="006F6E7E"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086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Вагондардың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санитарлы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техникалық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жай-күйін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СЭҚ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қызметкерлерімен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бірлесіп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тексеру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жолаушыларға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қызмет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көрсетудің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заманауи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нысандарын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енгізу</w:t>
            </w:r>
            <w:proofErr w:type="spellEnd"/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23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8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323473" w:rsidRPr="006F6E7E">
        <w:trPr>
          <w:trHeight w:val="270"/>
        </w:trPr>
        <w:tc>
          <w:tcPr>
            <w:tcW w:w="3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A608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6975/6976</w:t>
            </w:r>
          </w:p>
        </w:tc>
        <w:tc>
          <w:tcPr>
            <w:tcW w:w="290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6F6E7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Петропавл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 Макушино (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Қорған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облысының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шекарасына</w:t>
            </w:r>
            <w:proofErr w:type="spellEnd"/>
            <w:r w:rsidRPr="006F6E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дейін)</w:t>
            </w:r>
            <w:bookmarkStart w:id="1" w:name="_GoBack"/>
            <w:bookmarkEnd w:id="1"/>
          </w:p>
        </w:tc>
        <w:tc>
          <w:tcPr>
            <w:tcW w:w="3086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6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23473" w:rsidRDefault="0032347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23473" w:rsidRDefault="00323473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23473" w:rsidSect="00323473">
      <w:headerReference w:type="default" r:id="rId8"/>
      <w:pgSz w:w="16838" w:h="11906" w:orient="landscape"/>
      <w:pgMar w:top="1134" w:right="1134" w:bottom="567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473" w:rsidRDefault="00A608B0">
      <w:pPr>
        <w:spacing w:after="0" w:line="240" w:lineRule="auto"/>
      </w:pPr>
      <w:r>
        <w:separator/>
      </w:r>
    </w:p>
  </w:endnote>
  <w:endnote w:type="continuationSeparator" w:id="0">
    <w:p w:rsidR="00323473" w:rsidRDefault="00A60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473" w:rsidRDefault="00A608B0">
      <w:pPr>
        <w:spacing w:after="0" w:line="240" w:lineRule="auto"/>
      </w:pPr>
      <w:r>
        <w:separator/>
      </w:r>
    </w:p>
  </w:footnote>
  <w:footnote w:type="continuationSeparator" w:id="0">
    <w:p w:rsidR="00323473" w:rsidRDefault="00A60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363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23473" w:rsidRDefault="00323473">
        <w:pPr>
          <w:pStyle w:val="a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A608B0"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 w:rsidR="006F6E7E">
          <w:rPr>
            <w:rFonts w:ascii="Times New Roman" w:hAnsi="Times New Roman" w:cs="Times New Roman"/>
            <w:noProof/>
          </w:rPr>
          <w:t>13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323473" w:rsidRDefault="00323473">
    <w:pPr>
      <w:pStyle w:val="a4"/>
      <w:tabs>
        <w:tab w:val="clear" w:pos="4677"/>
        <w:tab w:val="clear" w:pos="9355"/>
        <w:tab w:val="left" w:pos="808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473"/>
    <w:rsid w:val="00323473"/>
    <w:rsid w:val="00447841"/>
    <w:rsid w:val="006F6E7E"/>
    <w:rsid w:val="00A60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73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3473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4">
    <w:name w:val="header"/>
    <w:basedOn w:val="a"/>
    <w:link w:val="a5"/>
    <w:uiPriority w:val="99"/>
    <w:unhideWhenUsed/>
    <w:rsid w:val="00323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73"/>
    <w:rPr>
      <w:rFonts w:ascii="Consolas" w:eastAsia="Consolas" w:hAnsi="Consolas" w:cs="Consolas"/>
      <w:lang w:val="en-US"/>
    </w:rPr>
  </w:style>
  <w:style w:type="paragraph" w:styleId="a6">
    <w:name w:val="footer"/>
    <w:basedOn w:val="a"/>
    <w:link w:val="a7"/>
    <w:uiPriority w:val="99"/>
    <w:semiHidden/>
    <w:unhideWhenUsed/>
    <w:rsid w:val="003234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23473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32347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a">
    <w:name w:val="s1a"/>
    <w:basedOn w:val="a0"/>
    <w:rsid w:val="003234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43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B43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5C253-C3F6-4FAE-A866-8EE803A91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1</cp:lastModifiedBy>
  <cp:revision>48</cp:revision>
  <cp:lastPrinted>2017-05-29T07:16:00Z</cp:lastPrinted>
  <dcterms:created xsi:type="dcterms:W3CDTF">2017-05-19T08:54:00Z</dcterms:created>
  <dcterms:modified xsi:type="dcterms:W3CDTF">2021-10-15T12:16:00Z</dcterms:modified>
</cp:coreProperties>
</file>