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61738" w14:textId="0E624B20" w:rsidR="00F96617" w:rsidRPr="00F96617" w:rsidRDefault="00F96617" w:rsidP="00F96617">
      <w:pPr>
        <w:spacing w:after="0" w:line="240" w:lineRule="auto"/>
        <w:ind w:firstLine="547"/>
        <w:jc w:val="right"/>
        <w:rPr>
          <w:rFonts w:ascii="Times New Roman" w:hAnsi="Times New Roman" w:cs="Times New Roman"/>
          <w:i/>
          <w:sz w:val="24"/>
          <w:szCs w:val="28"/>
          <w:lang w:val="ru-RU"/>
        </w:rPr>
      </w:pPr>
      <w:bookmarkStart w:id="0" w:name="_GoBack"/>
      <w:bookmarkEnd w:id="0"/>
      <w:r w:rsidRPr="00F96617">
        <w:rPr>
          <w:rFonts w:ascii="Times New Roman" w:hAnsi="Times New Roman" w:cs="Times New Roman"/>
          <w:i/>
          <w:sz w:val="24"/>
          <w:szCs w:val="28"/>
          <w:lang w:val="ru-RU"/>
        </w:rPr>
        <w:t>Проект</w:t>
      </w:r>
    </w:p>
    <w:p w14:paraId="0975A57A" w14:textId="77777777" w:rsidR="00F96617" w:rsidRDefault="00F96617" w:rsidP="00D751A3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CBB0FC" w14:textId="7FCBF2C3" w:rsidR="007E76E7" w:rsidRPr="00750054" w:rsidRDefault="009141AC" w:rsidP="00D751A3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Техническ</w:t>
      </w:r>
      <w:r w:rsidR="007E76E7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ий регламент </w:t>
      </w:r>
      <w:r w:rsidR="00F81379" w:rsidRPr="0075005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405E38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к </w:t>
      </w:r>
      <w:proofErr w:type="spellStart"/>
      <w:r w:rsidR="00FE3BC4" w:rsidRPr="00750054">
        <w:rPr>
          <w:rFonts w:ascii="Times New Roman" w:hAnsi="Times New Roman" w:cs="Times New Roman"/>
          <w:b/>
          <w:sz w:val="28"/>
          <w:szCs w:val="28"/>
          <w:lang w:val="ru-RU"/>
        </w:rPr>
        <w:t>никотинсодерж</w:t>
      </w:r>
      <w:r w:rsidR="00405E38" w:rsidRPr="00750054">
        <w:rPr>
          <w:rFonts w:ascii="Times New Roman" w:hAnsi="Times New Roman" w:cs="Times New Roman"/>
          <w:b/>
          <w:sz w:val="28"/>
          <w:szCs w:val="28"/>
          <w:lang w:val="ru-RU"/>
        </w:rPr>
        <w:t>ащей</w:t>
      </w:r>
      <w:proofErr w:type="spellEnd"/>
      <w:r w:rsidR="00405E38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продукции и наполнителям для систем доставки никотина, в том числе </w:t>
      </w:r>
      <w:proofErr w:type="spellStart"/>
      <w:r w:rsidR="00405E38" w:rsidRPr="00750054">
        <w:rPr>
          <w:rFonts w:ascii="Times New Roman" w:hAnsi="Times New Roman" w:cs="Times New Roman"/>
          <w:b/>
          <w:sz w:val="28"/>
          <w:szCs w:val="28"/>
          <w:lang w:val="ru-RU"/>
        </w:rPr>
        <w:t>безникотиновым</w:t>
      </w:r>
      <w:proofErr w:type="spellEnd"/>
      <w:r w:rsidR="003C4F86" w:rsidRPr="0075005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151B180" w14:textId="77777777" w:rsidR="007E76E7" w:rsidRPr="00750054" w:rsidRDefault="007E76E7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136260" w14:textId="77777777" w:rsidR="00D82138" w:rsidRPr="00750054" w:rsidRDefault="00D82138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B1E5C6" w14:textId="77777777" w:rsidR="00D82138" w:rsidRPr="00750054" w:rsidRDefault="00DB4C4D" w:rsidP="00D751A3">
      <w:pPr>
        <w:spacing w:after="0"/>
        <w:ind w:firstLine="54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500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Глава </w:t>
      </w:r>
      <w:r w:rsidR="00D73382" w:rsidRPr="007500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7500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D73382" w:rsidRPr="007500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Область применения</w:t>
      </w:r>
    </w:p>
    <w:p w14:paraId="73C8C228" w14:textId="77777777" w:rsidR="00D73382" w:rsidRPr="00750054" w:rsidRDefault="00D73382" w:rsidP="00D82138">
      <w:pPr>
        <w:spacing w:after="0"/>
        <w:ind w:firstLine="54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500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77CD61A7" w14:textId="3228EFE5" w:rsidR="00F81379" w:rsidRPr="00750054" w:rsidRDefault="00F81379" w:rsidP="00D82138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Технический регламент </w:t>
      </w:r>
      <w:r w:rsidR="0075005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05E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405E38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405E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и наполнителям для систем доставки никотина, в том числе </w:t>
      </w:r>
      <w:proofErr w:type="spellStart"/>
      <w:r w:rsidR="00405E38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безникотиновым</w:t>
      </w:r>
      <w:proofErr w:type="spellEnd"/>
      <w:r w:rsidR="007500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(далее – Технический регламент) разработан в соответствии </w:t>
      </w:r>
      <w:r w:rsidR="00D5668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со статьей 110 Кодекса Республики Казахстан от 7 июля 2020 года «О здоровье народа и системе здравоохранения»,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подпунктом 17) части второй статьи 7 </w:t>
      </w:r>
      <w:r w:rsidR="00405E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 подпунктом 1-1) части 1 статьи 8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Закона Республики Казахстан от 9 ноября 2004</w:t>
      </w:r>
      <w:proofErr w:type="gram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750054">
        <w:rPr>
          <w:rFonts w:ascii="Times New Roman" w:hAnsi="Times New Roman" w:cs="Times New Roman"/>
          <w:sz w:val="28"/>
          <w:szCs w:val="28"/>
          <w:lang w:val="ru-RU"/>
        </w:rPr>
        <w:t>«О т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ехническом регулировании</w:t>
      </w:r>
      <w:r w:rsidR="007500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устанавливает требования к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405E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наполнителям для систем доставки никотина, в том числе </w:t>
      </w:r>
      <w:proofErr w:type="spellStart"/>
      <w:r w:rsidR="00405E38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безникотиновым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05E38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D283DE1" w14:textId="02530991" w:rsidR="00D73382" w:rsidRPr="00750054" w:rsidRDefault="00C904E4" w:rsidP="00D8213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</w:t>
      </w:r>
      <w:r w:rsidR="00405E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регламент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на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50541B" w:rsidRPr="00750054">
        <w:rPr>
          <w:rFonts w:ascii="Times New Roman" w:hAnsi="Times New Roman" w:cs="Times New Roman"/>
          <w:sz w:val="28"/>
          <w:szCs w:val="28"/>
          <w:lang w:val="ru-RU"/>
        </w:rPr>
        <w:t>ащую</w:t>
      </w:r>
      <w:proofErr w:type="spellEnd"/>
      <w:r w:rsidR="005054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продукцию (изделия с нагреваемым табаком,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50541B" w:rsidRPr="00750054">
        <w:rPr>
          <w:rFonts w:ascii="Times New Roman" w:hAnsi="Times New Roman" w:cs="Times New Roman"/>
          <w:sz w:val="28"/>
          <w:szCs w:val="28"/>
          <w:lang w:val="ru-RU"/>
        </w:rPr>
        <w:t>ащие</w:t>
      </w:r>
      <w:proofErr w:type="spellEnd"/>
      <w:r w:rsidR="005054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жидкости </w:t>
      </w:r>
      <w:r w:rsidR="00CD7EAC" w:rsidRPr="00750054">
        <w:rPr>
          <w:rFonts w:ascii="Times New Roman" w:hAnsi="Times New Roman" w:cs="Times New Roman"/>
          <w:sz w:val="28"/>
          <w:szCs w:val="28"/>
          <w:lang w:val="ru-RU"/>
        </w:rPr>
        <w:t>и их наполнители</w:t>
      </w:r>
      <w:r w:rsidR="0050541B" w:rsidRPr="0075005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05E38" w:rsidRPr="007500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843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 также </w:t>
      </w:r>
      <w:proofErr w:type="spellStart"/>
      <w:r w:rsidR="006822F5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безникотиновые</w:t>
      </w:r>
      <w:proofErr w:type="spellEnd"/>
      <w:r w:rsidR="006822F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наполнители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отечественного, импортного производства, а также производимую на территории Евразийского экономического союза, реализуемую на территории Республики Казахстан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F27976" w14:textId="4DC4F1AF" w:rsidR="00D73382" w:rsidRPr="00750054" w:rsidRDefault="00C904E4" w:rsidP="00D751A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</w:t>
      </w:r>
      <w:r w:rsidR="00EB53AF" w:rsidRPr="00750054">
        <w:rPr>
          <w:rFonts w:ascii="Times New Roman" w:hAnsi="Times New Roman" w:cs="Times New Roman"/>
          <w:sz w:val="28"/>
          <w:szCs w:val="28"/>
          <w:lang w:val="ru-RU"/>
        </w:rPr>
        <w:t>регламент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устанавливает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обязательные для применения и исполнения на территории Республики Казахстан 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proofErr w:type="gramStart"/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идентификации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C843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C84338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C843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а также требования к </w:t>
      </w:r>
      <w:r w:rsidR="00C843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>производству, хранению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транспортированию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3AF" w:rsidRPr="00750054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53A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эксплуатации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>маркировке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наносимой на потребительскую упаковку, 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показателям функционального назначения, в том числе потребительские свойства и характеристики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50541B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5054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C843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C84338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C843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определяющие уровень качества и направленные на предупреждение действий, вводящих в заблуждение потребителей относительно безопасности и качества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50541B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5054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="00D733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14:paraId="5B2A9635" w14:textId="77777777" w:rsidR="00C904E4" w:rsidRPr="00750054" w:rsidRDefault="00C904E4" w:rsidP="00D751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4. Требования настоящего Технического регламента не распространяются </w:t>
      </w:r>
      <w:proofErr w:type="gram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0BD1504A" w14:textId="227412F6" w:rsidR="00C904E4" w:rsidRPr="00750054" w:rsidRDefault="00D82138" w:rsidP="00D751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1) отношения, установленные международными договорами и актами, составляющими право Евразийского экономического союза, в том числе не распространяется на продукцию, являющуюся объектом технического регулирования технических регламентов Евразийского экономического союза;</w:t>
      </w:r>
    </w:p>
    <w:p w14:paraId="7801E2F9" w14:textId="533BE733" w:rsidR="00D82138" w:rsidRPr="00750054" w:rsidRDefault="00D82138" w:rsidP="00D82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005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образцы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ввозимые на территорию Республики Казахстан лабораториями, изготовителями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</w:t>
      </w:r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и (или) импортерами (продавцами) и предназначенные для контроля качества и безопасности, для измерений в соответствии с международными стандартами, проведения межлабораторных сравнительных испытаний, измерений нормируемых параметров в соответствии с требованиями технических регламентов, калибровки оборудования, сравнительных тестов, проведения дегустаций, изучения дизайна;</w:t>
      </w:r>
      <w:proofErr w:type="gramEnd"/>
    </w:p>
    <w:p w14:paraId="7B6D5E38" w14:textId="6AA897BD" w:rsidR="00D82138" w:rsidRPr="00750054" w:rsidRDefault="00D82138" w:rsidP="00D82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3) образцы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2365D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, ввозимые на территорию Республики Казахстан организаторами и (или) участниками международных выставок и ярмарок в</w:t>
      </w:r>
      <w:r w:rsidR="00D5668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качестве образцов и экспонатов;</w:t>
      </w:r>
    </w:p>
    <w:p w14:paraId="5469FA26" w14:textId="60D219DB" w:rsidR="00D56688" w:rsidRPr="00750054" w:rsidRDefault="00D56688" w:rsidP="00D82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ащую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продукцию и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безникотиновые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наполнители, реализуемые в магазинах беспошлинной торговли. </w:t>
      </w:r>
    </w:p>
    <w:p w14:paraId="65ED46A9" w14:textId="77777777" w:rsidR="00D73382" w:rsidRPr="00750054" w:rsidRDefault="00D73382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BCA100" w14:textId="77777777" w:rsidR="00D73382" w:rsidRPr="00750054" w:rsidRDefault="00D73382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797484" w14:textId="63CE0354" w:rsidR="007E76E7" w:rsidRPr="00750054" w:rsidRDefault="007E76E7" w:rsidP="00D751A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D82138" w:rsidRPr="0075005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D82138" w:rsidRPr="00750054">
        <w:rPr>
          <w:rFonts w:ascii="Times New Roman" w:hAnsi="Times New Roman" w:cs="Times New Roman"/>
          <w:b/>
          <w:sz w:val="28"/>
          <w:szCs w:val="28"/>
          <w:lang w:val="ru-RU"/>
        </w:rPr>
        <w:t>Термины и определения</w:t>
      </w:r>
    </w:p>
    <w:p w14:paraId="7B779490" w14:textId="77777777" w:rsidR="00D82138" w:rsidRPr="00750054" w:rsidRDefault="00D82138" w:rsidP="00D751A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84BB37" w14:textId="427797C3" w:rsidR="00286A27" w:rsidRPr="00750054" w:rsidRDefault="00033924" w:rsidP="00033924">
      <w:pPr>
        <w:tabs>
          <w:tab w:val="left" w:pos="540"/>
        </w:tabs>
        <w:spacing w:after="0"/>
        <w:ind w:left="54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настоящем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>ом регламенте применяются следующие термины и определения:</w:t>
      </w:r>
    </w:p>
    <w:p w14:paraId="6E377ED8" w14:textId="7736CB7C" w:rsidR="004B4E53" w:rsidRPr="00750054" w:rsidRDefault="004B4E53" w:rsidP="004B4E53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аэрозоль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аэрозоль, состоящий из взвеси жидких частиц в газообразной фазе, образующийся в результате использования системы доставки никотина по назначению</w:t>
      </w:r>
      <w:r w:rsidR="001E5D11" w:rsidRPr="00750054">
        <w:rPr>
          <w:rFonts w:ascii="Times New Roman" w:hAnsi="Times New Roman" w:cs="Times New Roman"/>
          <w:sz w:val="28"/>
          <w:szCs w:val="28"/>
          <w:lang w:val="ru-RU"/>
        </w:rPr>
        <w:t>. Аэрозоль, содержащий никотин или соли никотина</w:t>
      </w:r>
      <w:r w:rsidR="00605FC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в объеме более 0,1 мг/100 см³ аэрозоля</w:t>
      </w:r>
      <w:r w:rsidR="001E5D1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является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E5D11" w:rsidRPr="00750054">
        <w:rPr>
          <w:rFonts w:ascii="Times New Roman" w:hAnsi="Times New Roman" w:cs="Times New Roman"/>
          <w:sz w:val="28"/>
          <w:szCs w:val="28"/>
          <w:lang w:val="ru-RU"/>
        </w:rPr>
        <w:t>ащим</w:t>
      </w:r>
      <w:proofErr w:type="spellEnd"/>
      <w:r w:rsidR="001E5D1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аэрозолем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06058F" w14:textId="4154527E" w:rsidR="005A60F0" w:rsidRPr="00750054" w:rsidRDefault="005A60F0" w:rsidP="00033924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наполнитель </w:t>
      </w:r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безникотиновая</w:t>
      </w:r>
      <w:proofErr w:type="spellEnd"/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жидкость)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>изделие в жидкой форме, помещенное в емкости (картриджи, резервуары, контейнеры и другие)</w:t>
      </w:r>
      <w:r w:rsidR="00605FC2" w:rsidRPr="00750054">
        <w:rPr>
          <w:rFonts w:ascii="Times New Roman" w:hAnsi="Times New Roman" w:cs="Times New Roman"/>
          <w:sz w:val="28"/>
          <w:szCs w:val="28"/>
          <w:lang w:val="ru-RU"/>
        </w:rPr>
        <w:t>, не содержащего никотин, соли никотина или</w:t>
      </w:r>
      <w:r w:rsidR="004500F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605FC2" w:rsidRPr="00750054">
        <w:rPr>
          <w:rFonts w:ascii="Times New Roman" w:hAnsi="Times New Roman" w:cs="Times New Roman"/>
          <w:sz w:val="28"/>
          <w:szCs w:val="28"/>
          <w:lang w:val="ru-RU"/>
        </w:rPr>
        <w:t>их содержанием менее</w:t>
      </w:r>
      <w:r w:rsidR="004500F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0,1 мг/</w:t>
      </w:r>
      <w:r w:rsidR="00605FC2" w:rsidRPr="00750054">
        <w:rPr>
          <w:rFonts w:ascii="Times New Roman" w:hAnsi="Times New Roman" w:cs="Times New Roman"/>
          <w:sz w:val="28"/>
          <w:szCs w:val="28"/>
          <w:lang w:val="ru-RU"/>
        </w:rPr>
        <w:t>100 см³ аэрозоля</w:t>
      </w:r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предназначенное для использования путем вдыхания потребителем аэрозоля, получаемого при эксплуатации с </w:t>
      </w:r>
      <w:r w:rsidR="00053D38" w:rsidRPr="0075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электронной системой доставки продуктов, не являющихся никотином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53C09C" w14:textId="3926C32B" w:rsidR="001B54D3" w:rsidRPr="00750054" w:rsidRDefault="00D82138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вредные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и потенциально вредные вещества - выделяемые вещества, которые причиняют или могут причинять вред здоровью человека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810FAF6" w14:textId="34C4CB58" w:rsidR="00935AAD" w:rsidRPr="00750054" w:rsidRDefault="001B54D3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вспомогательные материалы - материалы, входящие в состав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</w:t>
      </w:r>
      <w:r w:rsidR="00846D9D" w:rsidRPr="00750054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846D9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изделия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(за исключением табака нагреваемого (табачной смеси) или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смеси, включая добавки) </w:t>
      </w:r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proofErr w:type="spellStart"/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и придающие е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изготовителем характеристики, особенности и форму, включая: бумагу, фильтр, чернила, клей, капсулы и прочее;</w:t>
      </w:r>
      <w:r w:rsidRPr="00750054" w:rsidDel="00D82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14:paraId="7E78847B" w14:textId="7D6249FD" w:rsidR="00935AAD" w:rsidRPr="00750054" w:rsidRDefault="00D82138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выделяемые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вещества - химические элементы или соединения, которые выделяются в процессе использования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>ащего</w:t>
      </w:r>
      <w:proofErr w:type="spellEnd"/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изделия</w:t>
      </w:r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lastRenderedPageBreak/>
        <w:t>безникотинового</w:t>
      </w:r>
      <w:proofErr w:type="spellEnd"/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по назначению, в том числе вещества, содержащиеся в аэрозоле, вдыхаемом потребителем</w:t>
      </w:r>
      <w:r w:rsidR="00B330E8"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07F7012" w14:textId="27B1C3C5" w:rsidR="00935AAD" w:rsidRPr="00750054" w:rsidRDefault="00B330E8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орение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физико-химический </w:t>
      </w:r>
      <w:proofErr w:type="spellStart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окислительно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-восстановительный процесс, сопровождающийся выделением тепла и продуктов горения, в ходе которого вещество вступает в реакцию с кислородом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FB5973" w14:textId="3EBD77CE" w:rsidR="008762F6" w:rsidRPr="00750054" w:rsidRDefault="00B330E8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добавка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- любое вещество, сырье или материалы, за исключением табака</w:t>
      </w:r>
      <w:r w:rsidR="00E23F97" w:rsidRPr="00750054">
        <w:rPr>
          <w:rFonts w:ascii="Times New Roman" w:hAnsi="Times New Roman" w:cs="Times New Roman"/>
          <w:sz w:val="28"/>
          <w:szCs w:val="28"/>
          <w:lang w:val="ru-RU"/>
        </w:rPr>
        <w:t>, табачного экстракта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или никотина (в жидкой или сухой форме)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которые добавляются </w:t>
      </w:r>
      <w:r w:rsidR="00AF065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производства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в табак нагреваемый (табачную смесь)</w:t>
      </w:r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ащую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смесь </w:t>
      </w:r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proofErr w:type="spellStart"/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="00053D3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наполнитель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CA374CF" w14:textId="2840C429" w:rsidR="00935AAD" w:rsidRPr="00750054" w:rsidRDefault="008762F6" w:rsidP="002959C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изготовитель - физические или юридические лица, производящие продукцию для последующего отчуждения или собственного потребления в производственных целях</w:t>
      </w:r>
      <w:r w:rsidR="008E4943"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C4EF7B" w14:textId="6C70D093" w:rsidR="00935AAD" w:rsidRPr="00750054" w:rsidRDefault="00B330E8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изделие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с нагреваемым табаком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вид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изделия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, состоящ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 табака нагреваемого (табачной смеси) и используемых при е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изготовлении </w:t>
      </w:r>
      <w:r w:rsidR="00A750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вспомогательных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материалов, предназначенн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для использования путем вдыхания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E5D11" w:rsidRPr="00750054">
        <w:rPr>
          <w:rFonts w:ascii="Times New Roman" w:hAnsi="Times New Roman" w:cs="Times New Roman"/>
          <w:sz w:val="28"/>
          <w:szCs w:val="28"/>
          <w:lang w:val="ru-RU"/>
        </w:rPr>
        <w:t>ащего</w:t>
      </w:r>
      <w:proofErr w:type="spellEnd"/>
      <w:r w:rsidR="001E5D1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аэрозоля</w:t>
      </w:r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образующегося в процессе нагревания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при эксплуатации с </w:t>
      </w:r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>системой для нагрева табака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, без горения и образования табачного дыма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6E5C43" w14:textId="322AEB23" w:rsidR="001472D0" w:rsidRPr="00750054" w:rsidRDefault="001472D0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наименование </w:t>
      </w:r>
      <w:proofErr w:type="spellStart"/>
      <w:r w:rsidR="00FE3BC4" w:rsidRPr="00750054">
        <w:rPr>
          <w:rFonts w:ascii="Times New Roman" w:hAnsi="Times New Roman" w:cs="Times New Roman"/>
          <w:bCs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bCs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продукции </w:t>
      </w:r>
      <w:r w:rsidR="001124A2" w:rsidRPr="00750054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proofErr w:type="spellStart"/>
      <w:r w:rsidR="001124A2" w:rsidRPr="00750054">
        <w:rPr>
          <w:rFonts w:ascii="Times New Roman" w:hAnsi="Times New Roman" w:cs="Times New Roman"/>
          <w:bCs/>
          <w:sz w:val="28"/>
          <w:szCs w:val="28"/>
          <w:lang w:val="ru-RU"/>
        </w:rPr>
        <w:t>безникотинового</w:t>
      </w:r>
      <w:proofErr w:type="spellEnd"/>
      <w:r w:rsidR="001124A2" w:rsidRPr="0075005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наполнителя) </w:t>
      </w:r>
      <w:r w:rsidRPr="00750054">
        <w:rPr>
          <w:rFonts w:ascii="Times New Roman" w:hAnsi="Times New Roman" w:cs="Times New Roman"/>
          <w:bCs/>
          <w:sz w:val="28"/>
          <w:szCs w:val="28"/>
          <w:lang w:val="ru-RU"/>
        </w:rPr>
        <w:t>- н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азвание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наполнителя)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 заданными изготовителем потребительскими свойствами, позволяющее отличать одну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ащую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продукцию </w:t>
      </w:r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наполнитель) </w:t>
      </w:r>
      <w:proofErr w:type="gram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другого;</w:t>
      </w:r>
    </w:p>
    <w:p w14:paraId="59D655DF" w14:textId="38658F65" w:rsidR="00935AAD" w:rsidRPr="00750054" w:rsidRDefault="00FE3BC4" w:rsidP="00033924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жидкость - вид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аще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изделия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 жидкой форме без табака, состоящий из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смеси, помещенн</w:t>
      </w:r>
      <w:r w:rsidR="00846D9D" w:rsidRPr="0075005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C477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емкости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(картриджи, резервуары, контейнеры и другие)</w:t>
      </w:r>
      <w:r w:rsidR="004500F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 содержанием никотина</w:t>
      </w:r>
      <w:r w:rsidR="00605FC2" w:rsidRPr="00750054">
        <w:rPr>
          <w:rFonts w:ascii="Times New Roman" w:hAnsi="Times New Roman" w:cs="Times New Roman"/>
          <w:sz w:val="28"/>
          <w:szCs w:val="28"/>
          <w:lang w:val="ru-RU"/>
        </w:rPr>
        <w:t>, солей никотина</w:t>
      </w:r>
      <w:r w:rsidR="004500F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в объеме не менее 0,1 мг/</w:t>
      </w:r>
      <w:r w:rsidR="00605FC2" w:rsidRPr="00750054">
        <w:rPr>
          <w:rFonts w:ascii="Times New Roman" w:hAnsi="Times New Roman" w:cs="Times New Roman"/>
          <w:sz w:val="28"/>
          <w:szCs w:val="28"/>
          <w:lang w:val="ru-RU"/>
        </w:rPr>
        <w:t>100 см³ аэрозоля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предназначенный для использования путем вдыхания потребителем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E5D11" w:rsidRPr="00750054">
        <w:rPr>
          <w:rFonts w:ascii="Times New Roman" w:hAnsi="Times New Roman" w:cs="Times New Roman"/>
          <w:sz w:val="28"/>
          <w:szCs w:val="28"/>
          <w:lang w:val="ru-RU"/>
        </w:rPr>
        <w:t>ащего</w:t>
      </w:r>
      <w:proofErr w:type="spellEnd"/>
      <w:r w:rsidR="001E5D1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аэрозоля, получаемого при эксплуатации 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1124A2" w:rsidRPr="0075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электронной системой доставки никотина</w:t>
      </w:r>
      <w:r w:rsidR="00C47720"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14:paraId="3726EF04" w14:textId="4A1B4E74" w:rsidR="00E06CC6" w:rsidRPr="00750054" w:rsidRDefault="00FE3BC4" w:rsidP="00E06CC6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E06CC6" w:rsidRPr="00750054">
        <w:rPr>
          <w:rFonts w:ascii="Times New Roman" w:hAnsi="Times New Roman" w:cs="Times New Roman"/>
          <w:sz w:val="28"/>
          <w:szCs w:val="28"/>
          <w:lang w:val="ru-RU"/>
        </w:rPr>
        <w:t>ащее</w:t>
      </w:r>
      <w:proofErr w:type="spellEnd"/>
      <w:r w:rsidR="00E06CC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изделие - изделие, предназначенное для использования путем вдыхания потребителем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E5D11" w:rsidRPr="00750054">
        <w:rPr>
          <w:rFonts w:ascii="Times New Roman" w:hAnsi="Times New Roman" w:cs="Times New Roman"/>
          <w:sz w:val="28"/>
          <w:szCs w:val="28"/>
          <w:lang w:val="ru-RU"/>
        </w:rPr>
        <w:t>ащего</w:t>
      </w:r>
      <w:proofErr w:type="spellEnd"/>
      <w:r w:rsidR="001E5D1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CC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аэрозоля, получаемого при эксплуатации устройств (изделия с нагреваемым табаком,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E06CC6" w:rsidRPr="00750054">
        <w:rPr>
          <w:rFonts w:ascii="Times New Roman" w:hAnsi="Times New Roman" w:cs="Times New Roman"/>
          <w:sz w:val="28"/>
          <w:szCs w:val="28"/>
          <w:lang w:val="ru-RU"/>
        </w:rPr>
        <w:t>ащие</w:t>
      </w:r>
      <w:proofErr w:type="spellEnd"/>
      <w:r w:rsidR="00E06CC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жидкости);</w:t>
      </w:r>
    </w:p>
    <w:p w14:paraId="2E743644" w14:textId="7D6BCB0A" w:rsidR="00A750DE" w:rsidRPr="00750054" w:rsidRDefault="00FE3BC4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A750DE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A750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 –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A750DE" w:rsidRPr="00750054">
        <w:rPr>
          <w:rFonts w:ascii="Times New Roman" w:hAnsi="Times New Roman" w:cs="Times New Roman"/>
          <w:sz w:val="28"/>
          <w:szCs w:val="28"/>
          <w:lang w:val="ru-RU"/>
        </w:rPr>
        <w:t>ащее</w:t>
      </w:r>
      <w:proofErr w:type="spellEnd"/>
      <w:r w:rsidR="00A750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изделие, упакованное в потребительскую упаковку;</w:t>
      </w:r>
    </w:p>
    <w:p w14:paraId="0D84E6AF" w14:textId="7D44B774" w:rsidR="00935AAD" w:rsidRPr="00750054" w:rsidRDefault="00FE3BC4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смесь - наполнитель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жидкости без табака, содержащие никотин или соли никотина, с использованием или без использования добавок</w:t>
      </w:r>
      <w:r w:rsidR="008762F6"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0E364D" w14:textId="0003233E" w:rsidR="00935AAD" w:rsidRPr="00750054" w:rsidRDefault="008E4943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поставщик - физическое или юридическое лицо, предоставляющее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ащую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продукцию,</w:t>
      </w:r>
      <w:r w:rsidR="00B126F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26F8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безникотиновые</w:t>
      </w:r>
      <w:proofErr w:type="spellEnd"/>
      <w:r w:rsidR="00B126F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наполнители,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устройства или системы доставки никотина</w:t>
      </w:r>
      <w:r w:rsidRPr="0075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1745D47C" w14:textId="136BB9CC" w:rsidR="00935AAD" w:rsidRPr="00750054" w:rsidRDefault="008762F6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отребительская упаковка - минимальная единица упаковки (пачка), непосредственно контактирующая с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ащ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>им</w:t>
      </w:r>
      <w:proofErr w:type="spellEnd"/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изделием</w:t>
      </w:r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безникотиновым</w:t>
      </w:r>
      <w:proofErr w:type="spellEnd"/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наполнителем)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, в которой он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потребителю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F0C39FD" w14:textId="36A130B4" w:rsidR="00935AAD" w:rsidRPr="00750054" w:rsidRDefault="008E4943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истема доставки никотина - совокупность (комплектность)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E06CC6" w:rsidRPr="00750054">
        <w:rPr>
          <w:rFonts w:ascii="Times New Roman" w:hAnsi="Times New Roman" w:cs="Times New Roman"/>
          <w:sz w:val="28"/>
          <w:szCs w:val="28"/>
          <w:lang w:val="ru-RU"/>
        </w:rPr>
        <w:t>ащего</w:t>
      </w:r>
      <w:proofErr w:type="spellEnd"/>
      <w:r w:rsidR="00E06CC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изделия</w:t>
      </w:r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наполнителя)</w:t>
      </w:r>
      <w:r w:rsidR="00E06CC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и устройства, которые согласно информации</w:t>
      </w:r>
      <w:r w:rsidR="002959C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изготовителя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должны использоваться совместно</w:t>
      </w:r>
      <w:r w:rsidR="002959C8"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197F45" w14:textId="130B3C2E" w:rsidR="00935AAD" w:rsidRPr="00750054" w:rsidRDefault="002959C8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рок годности - период, по истечении которого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</w:t>
      </w:r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наполнитель)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считается непригодн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для использования по назначению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4344452" w14:textId="60A62BA7" w:rsidR="00935AAD" w:rsidRPr="00750054" w:rsidRDefault="002959C8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рок хранения - период времени, в течение которого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 </w:t>
      </w:r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наполнитель)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сохраняет наилучшие качества, свойства и характеристики, при соблюдении установленных изготовителем условий хранения. Истечение срока хранения не означает, что продук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ция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не пригод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для использования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2DD7DB" w14:textId="1660C4E3" w:rsidR="00935AAD" w:rsidRPr="00750054" w:rsidRDefault="002959C8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табак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растение рода </w:t>
      </w:r>
      <w:proofErr w:type="spellStart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Nicotiana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семейства пасленовых видов </w:t>
      </w:r>
      <w:proofErr w:type="spellStart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Nicotiana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Tabacum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Nicotiana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Rustica</w:t>
      </w:r>
      <w:proofErr w:type="spellEnd"/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или его части, прошедшие послеуборочную и (или) иную промышленную обработку, включая расширенный или восстановленный табак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BEACC7" w14:textId="2D2E9E1D" w:rsidR="00935AAD" w:rsidRPr="00750054" w:rsidRDefault="002959C8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абак нагреваемый (табачная смесь) - наполнитель изделия с нагреваемым табаком, состоящий из табака, прошедшего промышленную и (или) иную обработку, с использованием или без использования добавок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F6F4F4" w14:textId="442EAABD" w:rsidR="00935AAD" w:rsidRPr="00750054" w:rsidRDefault="002959C8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табачный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дым - взвесь твердых и жидких частиц, а также газов, образуемая при горении табака, с учетом содержащейся в ней воздушной массы окружающего воздуха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A9BB698" w14:textId="49720E4A" w:rsidR="00E23F97" w:rsidRPr="00750054" w:rsidRDefault="00E23F97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табачный экстракт – вещество, получаемое путем экстракции части табака</w:t>
      </w:r>
      <w:r w:rsidR="0077345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с использованием воды, этанола или прочих веществ в качестве </w:t>
      </w:r>
      <w:proofErr w:type="spellStart"/>
      <w:r w:rsidR="0077345E" w:rsidRPr="00750054">
        <w:rPr>
          <w:rFonts w:ascii="Times New Roman" w:hAnsi="Times New Roman" w:cs="Times New Roman"/>
          <w:sz w:val="28"/>
          <w:szCs w:val="28"/>
          <w:lang w:val="ru-RU"/>
        </w:rPr>
        <w:t>экстрагента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B202A5B" w14:textId="182015DF" w:rsidR="00935AAD" w:rsidRPr="00750054" w:rsidRDefault="001B54D3" w:rsidP="00D8213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устройство 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устройство, используемое с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ащ</w:t>
      </w:r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>им</w:t>
      </w:r>
      <w:proofErr w:type="spellEnd"/>
      <w:r w:rsidR="00BC640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изделием</w:t>
      </w:r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безникотиновым</w:t>
      </w:r>
      <w:proofErr w:type="spellEnd"/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наполнителем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, обеспечивающее образование аэрозоля (</w:t>
      </w:r>
      <w:r w:rsidR="001124A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система для нагрева табака, </w:t>
      </w:r>
      <w:r w:rsidR="001124A2" w:rsidRPr="0075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электронные системы доставки никотина, электронные системы доставки продуктов, не являющихся никотином</w:t>
      </w:r>
      <w:r w:rsidR="004B4E53" w:rsidRPr="0075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другие разновидности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без горения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смеси</w:t>
      </w:r>
      <w:r w:rsidR="000D1CD5" w:rsidRPr="007500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табака нагреваемого (табачной смеси)</w:t>
      </w:r>
      <w:r w:rsidR="000D1CD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="000D1CD5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0D1CD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. Устройства в зависимости от типа конструкции могут быть одноразового или многоразового использования.</w:t>
      </w:r>
    </w:p>
    <w:p w14:paraId="0C05A640" w14:textId="77777777" w:rsidR="00EE22C6" w:rsidRPr="00750054" w:rsidRDefault="00EE22C6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C799C6" w14:textId="77777777" w:rsidR="001472D0" w:rsidRPr="00750054" w:rsidRDefault="001472D0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63276F" w14:textId="000B2E93" w:rsidR="00286A27" w:rsidRPr="00750054" w:rsidRDefault="007A2ECA" w:rsidP="00D751A3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1B54D3" w:rsidRPr="0075005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86A27" w:rsidRPr="00750054">
        <w:rPr>
          <w:rFonts w:ascii="Times New Roman" w:hAnsi="Times New Roman" w:cs="Times New Roman"/>
          <w:b/>
          <w:sz w:val="28"/>
          <w:szCs w:val="28"/>
          <w:lang w:val="ru-RU"/>
        </w:rPr>
        <w:t>Идентификация</w:t>
      </w:r>
    </w:p>
    <w:p w14:paraId="71EC9361" w14:textId="77777777" w:rsidR="00286A27" w:rsidRPr="00750054" w:rsidRDefault="00286A27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DEEA13" w14:textId="21F3C602" w:rsidR="00286A27" w:rsidRPr="00750054" w:rsidRDefault="0095770D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Для целей отнесения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EB53AF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EB53A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</w:t>
      </w:r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proofErr w:type="spellStart"/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4B4E5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 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к области применения настоящего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ого регламента </w:t>
      </w:r>
      <w:r w:rsidR="007A2EC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идентификация 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визуальным способом без проведения исследований (испытаний) по следующим идентификационным признакам: </w:t>
      </w:r>
    </w:p>
    <w:p w14:paraId="253FC997" w14:textId="77777777" w:rsidR="00E90DDE" w:rsidRPr="00750054" w:rsidRDefault="00286A27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а) по наименованию: </w:t>
      </w:r>
    </w:p>
    <w:p w14:paraId="51C69BDD" w14:textId="3C7FE2AF" w:rsidR="00286A27" w:rsidRPr="00750054" w:rsidRDefault="00E90DDE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для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продукции: 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>путем сравнения наименования «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продукция» </w:t>
      </w:r>
      <w:r w:rsidR="00101FB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 (или) вида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01FBC" w:rsidRPr="00750054">
        <w:rPr>
          <w:rFonts w:ascii="Times New Roman" w:hAnsi="Times New Roman" w:cs="Times New Roman"/>
          <w:sz w:val="28"/>
          <w:szCs w:val="28"/>
          <w:lang w:val="ru-RU"/>
        </w:rPr>
        <w:t>аще</w:t>
      </w:r>
      <w:r w:rsidR="004235E4" w:rsidRPr="00750054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235E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изделия</w:t>
      </w:r>
      <w:r w:rsidR="00101FB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>с наименованием, указанным на потребительской упаковке или в документах на рассматриваемую продукцию;</w:t>
      </w:r>
    </w:p>
    <w:p w14:paraId="29F39CA9" w14:textId="13A3A50C" w:rsidR="00E90DDE" w:rsidRPr="00750054" w:rsidRDefault="00E90DDE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для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наполнителей: путем сравнения наименования «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наполнитель» с наименованием, указанным на потребительской упаковке или в документах на рассматриваемую продукцию;</w:t>
      </w:r>
    </w:p>
    <w:p w14:paraId="4B5659A2" w14:textId="77777777" w:rsidR="00A055A9" w:rsidRPr="00750054" w:rsidRDefault="00286A27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б) по компонентному составу: </w:t>
      </w:r>
    </w:p>
    <w:p w14:paraId="4AB9685A" w14:textId="77777777" w:rsidR="009E390C" w:rsidRPr="00750054" w:rsidRDefault="009E390C" w:rsidP="00D82138">
      <w:pPr>
        <w:pStyle w:val="a3"/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для изделий с нагреваемым табаком: путем проверки наличия сведений о табаке нагреваемом (табачной смеси) на потребительской упаковке или в документах на рассматриваемую продукцию</w:t>
      </w:r>
    </w:p>
    <w:p w14:paraId="45E52FFE" w14:textId="743498E3" w:rsidR="009E390C" w:rsidRPr="00750054" w:rsidRDefault="009E390C" w:rsidP="00D82138">
      <w:pPr>
        <w:pStyle w:val="a3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ащих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жидкостей: </w:t>
      </w:r>
      <w:r w:rsidR="00101FB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путем проверки наличия сведений о </w:t>
      </w:r>
      <w:r w:rsidR="00ED4C21" w:rsidRPr="00750054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никотина в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смеси, а также сведений о массе нетто или об объеме нетто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смеси (в зависимости от формы) на потребительской упаковке или в документах на рассматриваемую продукцию;</w:t>
      </w:r>
    </w:p>
    <w:p w14:paraId="046F0150" w14:textId="02CAA5D3" w:rsidR="009E390C" w:rsidRPr="00750054" w:rsidRDefault="00286A27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в) по способу применения: </w:t>
      </w:r>
      <w:r w:rsidR="009E390C" w:rsidRPr="00750054">
        <w:rPr>
          <w:rFonts w:ascii="Times New Roman" w:hAnsi="Times New Roman" w:cs="Times New Roman"/>
          <w:sz w:val="28"/>
          <w:szCs w:val="28"/>
          <w:lang w:val="ru-RU"/>
        </w:rPr>
        <w:t>путем проверки наличия информации об эксплуатации при помощи устройства на потребительской упаковке или в документах на рассматриваемую продукцию.</w:t>
      </w:r>
    </w:p>
    <w:p w14:paraId="31920BF7" w14:textId="20DA39F9" w:rsidR="00286A27" w:rsidRPr="00750054" w:rsidRDefault="0095770D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Идентификация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A2ECA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A2EC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также проводится инструментальным методом по следующим идентификационным признакам:</w:t>
      </w:r>
    </w:p>
    <w:p w14:paraId="4AE1DB85" w14:textId="6EEEC285" w:rsidR="00286A27" w:rsidRPr="00750054" w:rsidRDefault="00286A27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а) наличие никотина в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ащем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аэрозоле в соответствии</w:t>
      </w:r>
      <w:r w:rsidR="0095770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511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с пунктом 12 </w:t>
      </w:r>
      <w:r w:rsidR="0095770D" w:rsidRPr="00750054">
        <w:rPr>
          <w:rFonts w:ascii="Times New Roman" w:hAnsi="Times New Roman" w:cs="Times New Roman"/>
          <w:sz w:val="28"/>
          <w:szCs w:val="28"/>
          <w:lang w:val="ru-RU"/>
        </w:rPr>
        <w:t>настоящего Технического регламента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5AF6085" w14:textId="58A969F1" w:rsidR="00286A27" w:rsidRPr="00750054" w:rsidRDefault="00286A27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б) отсутствие горения </w:t>
      </w:r>
      <w:r w:rsidR="006D2BF8" w:rsidRPr="00750054">
        <w:rPr>
          <w:rFonts w:ascii="Times New Roman" w:hAnsi="Times New Roman" w:cs="Times New Roman"/>
          <w:sz w:val="28"/>
          <w:szCs w:val="28"/>
          <w:lang w:val="ru-RU"/>
        </w:rPr>
        <w:t>при экспл</w:t>
      </w:r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уатации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55076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</w:t>
      </w:r>
      <w:r w:rsidR="00CA511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14 </w:t>
      </w:r>
      <w:r w:rsidR="0055076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</w:t>
      </w:r>
      <w:r w:rsidR="0055076F" w:rsidRPr="00750054">
        <w:rPr>
          <w:rFonts w:ascii="Times New Roman" w:hAnsi="Times New Roman" w:cs="Times New Roman"/>
          <w:sz w:val="28"/>
          <w:szCs w:val="28"/>
          <w:lang w:val="ru-RU"/>
        </w:rPr>
        <w:t>ого регламента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4416BB0A" w14:textId="765225AE" w:rsidR="00286A27" w:rsidRPr="00750054" w:rsidRDefault="0095770D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документов на продукцию для целей идентификации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A2ECA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A2EC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наполнителя) 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могут быть </w:t>
      </w:r>
      <w:proofErr w:type="gramStart"/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>использованы</w:t>
      </w:r>
      <w:proofErr w:type="gramEnd"/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один или несколько из следующих документов: инструкция, памятка (лист-вкладыш), информационный листок, договор, товаросопроводительная документация, документ, подтверждающий соответствие или другие документы </w:t>
      </w:r>
      <w:r w:rsidR="00ED4C21" w:rsidRPr="00750054">
        <w:rPr>
          <w:rFonts w:ascii="Times New Roman" w:hAnsi="Times New Roman" w:cs="Times New Roman"/>
          <w:sz w:val="28"/>
          <w:szCs w:val="28"/>
          <w:lang w:val="ru-RU"/>
        </w:rPr>
        <w:t>изготовителя, поставщика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712379D" w14:textId="487C69F7" w:rsidR="00286A27" w:rsidRPr="00750054" w:rsidRDefault="0095770D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Результатом идентификации является отнесение или </w:t>
      </w:r>
      <w:proofErr w:type="spellStart"/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>неотнесение</w:t>
      </w:r>
      <w:proofErr w:type="spellEnd"/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идентифицируемой продукции к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A2ECA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A2EC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безникотиновому</w:t>
      </w:r>
      <w:proofErr w:type="spellEnd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наполнителю)</w:t>
      </w:r>
      <w:r w:rsidR="00286A27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EC58BA" w14:textId="77777777" w:rsidR="007A2ECA" w:rsidRPr="00750054" w:rsidRDefault="007A2ECA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9B76A5" w14:textId="77777777" w:rsidR="0095770D" w:rsidRPr="00750054" w:rsidRDefault="0095770D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14B77B" w14:textId="67F9F5FB" w:rsidR="00E2693E" w:rsidRPr="00750054" w:rsidRDefault="00E2693E" w:rsidP="00D751A3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95770D" w:rsidRPr="0075005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Условия обращения </w:t>
      </w:r>
      <w:proofErr w:type="spellStart"/>
      <w:r w:rsidR="00FE3BC4" w:rsidRPr="00750054">
        <w:rPr>
          <w:rFonts w:ascii="Times New Roman" w:hAnsi="Times New Roman" w:cs="Times New Roman"/>
          <w:b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продукции </w:t>
      </w:r>
      <w:r w:rsidR="00E90DDE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proofErr w:type="spellStart"/>
      <w:r w:rsidR="00E90DDE" w:rsidRPr="00750054">
        <w:rPr>
          <w:rFonts w:ascii="Times New Roman" w:hAnsi="Times New Roman" w:cs="Times New Roman"/>
          <w:b/>
          <w:sz w:val="28"/>
          <w:szCs w:val="28"/>
          <w:lang w:val="ru-RU"/>
        </w:rPr>
        <w:t>безникотиновых</w:t>
      </w:r>
      <w:proofErr w:type="spellEnd"/>
      <w:r w:rsidR="00E90DDE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наполнителей 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на рынке Республики Казахстан</w:t>
      </w:r>
    </w:p>
    <w:p w14:paraId="33CFB058" w14:textId="77777777" w:rsidR="00E2693E" w:rsidRPr="00750054" w:rsidRDefault="00E2693E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ACDE76" w14:textId="7B5E826F" w:rsidR="00E2693E" w:rsidRPr="00750054" w:rsidRDefault="0095770D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 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безникотиновые</w:t>
      </w:r>
      <w:proofErr w:type="spellEnd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наполнители 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>выпускается в обращение на рын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06E93" w:rsidRPr="0075005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 при 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требованиям настоящего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>ого регламента.</w:t>
      </w:r>
    </w:p>
    <w:p w14:paraId="1FDF1B14" w14:textId="73BEDDDF" w:rsidR="00E2693E" w:rsidRPr="00750054" w:rsidRDefault="00406E93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безникотиновые</w:t>
      </w:r>
      <w:proofErr w:type="spellEnd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наполнители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, выпускаем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в обращение на рынке Республики Казахстан,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подлежат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обязательному подтверждению соответствия </w:t>
      </w:r>
      <w:r w:rsidR="00A750DE" w:rsidRPr="00750054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настоящего Технического регламента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1E894F" w14:textId="77777777" w:rsidR="00E2693E" w:rsidRPr="00750054" w:rsidRDefault="00E2693E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2BE6E3" w14:textId="77777777" w:rsidR="00406E93" w:rsidRPr="00750054" w:rsidRDefault="00406E93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867AA3" w14:textId="0C2EAFDA" w:rsidR="00E2693E" w:rsidRPr="00750054" w:rsidRDefault="00E2693E" w:rsidP="00D751A3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1A3C32" w:rsidRPr="0075005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Требования </w:t>
      </w:r>
      <w:r w:rsidR="00F778A7" w:rsidRPr="00750054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E3BC4" w:rsidRPr="00750054">
        <w:rPr>
          <w:rFonts w:ascii="Times New Roman" w:hAnsi="Times New Roman" w:cs="Times New Roman"/>
          <w:b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продукции</w:t>
      </w:r>
    </w:p>
    <w:p w14:paraId="6D1B7802" w14:textId="77777777" w:rsidR="00E2693E" w:rsidRPr="00750054" w:rsidRDefault="00E2693E" w:rsidP="00D8213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D7D8CA" w14:textId="325BF087" w:rsidR="001B746B" w:rsidRPr="00750054" w:rsidRDefault="001A3C32" w:rsidP="00B26E1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A511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Наличие </w:t>
      </w:r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никотина в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>ащем</w:t>
      </w:r>
      <w:proofErr w:type="spellEnd"/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аэрозоле определяется методом газовой хроматографии </w:t>
      </w:r>
      <w:r w:rsidR="00FE1482" w:rsidRPr="00750054">
        <w:rPr>
          <w:rFonts w:ascii="Times New Roman" w:hAnsi="Times New Roman" w:cs="Times New Roman"/>
          <w:sz w:val="28"/>
          <w:szCs w:val="28"/>
          <w:lang w:val="ru-RU"/>
        </w:rPr>
        <w:t>в соответствии с документ</w:t>
      </w:r>
      <w:r w:rsidR="00BB251A" w:rsidRPr="00750054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FE14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по стандартизации</w:t>
      </w:r>
      <w:r w:rsidR="00BB251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указанными в </w:t>
      </w:r>
      <w:r w:rsidR="00CA511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пункте </w:t>
      </w:r>
      <w:r w:rsidR="00223E2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47 </w:t>
      </w:r>
      <w:r w:rsidR="00BB251A" w:rsidRPr="00750054">
        <w:rPr>
          <w:rFonts w:ascii="Times New Roman" w:hAnsi="Times New Roman" w:cs="Times New Roman"/>
          <w:sz w:val="28"/>
          <w:szCs w:val="28"/>
          <w:lang w:val="ru-RU"/>
        </w:rPr>
        <w:t>настоящего Технического регламента,</w:t>
      </w:r>
      <w:r w:rsidR="00FE148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>в мг на 100 см</w:t>
      </w:r>
      <w:r w:rsidR="00840359" w:rsidRPr="00750054">
        <w:rPr>
          <w:rFonts w:ascii="Times New Roman" w:hAnsi="Times New Roman" w:cs="Times New Roman"/>
          <w:sz w:val="28"/>
          <w:szCs w:val="28"/>
          <w:lang w:val="ru-RU"/>
        </w:rPr>
        <w:t>³</w:t>
      </w:r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>ащего</w:t>
      </w:r>
      <w:proofErr w:type="spellEnd"/>
      <w:r w:rsidR="001B746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аэрозоля.</w:t>
      </w:r>
    </w:p>
    <w:p w14:paraId="44A5D8A7" w14:textId="5742DE07" w:rsidR="00B27A1D" w:rsidRPr="00750054" w:rsidRDefault="00935AAD" w:rsidP="00B27A1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B251A" w:rsidRPr="0075005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693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27A1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вредных и потенциально вредных веществ в 100 см³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B27A1D" w:rsidRPr="00750054">
        <w:rPr>
          <w:rFonts w:ascii="Times New Roman" w:hAnsi="Times New Roman" w:cs="Times New Roman"/>
          <w:sz w:val="28"/>
          <w:szCs w:val="28"/>
          <w:lang w:val="ru-RU"/>
        </w:rPr>
        <w:t>ащего</w:t>
      </w:r>
      <w:proofErr w:type="spellEnd"/>
      <w:r w:rsidR="00B27A1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аэрозоля, образующегося в процессе эксплуатации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B27A1D" w:rsidRPr="00750054">
        <w:rPr>
          <w:rFonts w:ascii="Times New Roman" w:hAnsi="Times New Roman" w:cs="Times New Roman"/>
          <w:sz w:val="28"/>
          <w:szCs w:val="28"/>
          <w:lang w:val="ru-RU"/>
        </w:rPr>
        <w:t>ащего</w:t>
      </w:r>
      <w:proofErr w:type="spellEnd"/>
      <w:r w:rsidR="00B27A1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изделия, не должно превышать установленные предельные значения согласно приложению 1 настоящего Технического регламента.</w:t>
      </w:r>
    </w:p>
    <w:p w14:paraId="1ED0CD54" w14:textId="01848ADB" w:rsidR="00B26E19" w:rsidRPr="00750054" w:rsidRDefault="00B27A1D" w:rsidP="00B27A1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14. Отсутствие процесса горения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смеси и табака нагреваемого (табачной смеси) подтверждается содержанием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монооксида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углерода (CO) и оксидов азота (NO,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NOx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) в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ащем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аэрозоле, которые не должны превышать предельно-допустимых значений, указанных в приложении 1</w:t>
      </w:r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Технического регламента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ECEE48" w14:textId="54CFB14C" w:rsidR="00E23856" w:rsidRPr="00750054" w:rsidRDefault="00C50E20" w:rsidP="00B26E1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55076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>Показател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активности воды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ащем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изделии</w:t>
      </w:r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не долж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превышать следующие значения:</w:t>
      </w:r>
    </w:p>
    <w:p w14:paraId="7D7E1F9D" w14:textId="77777777" w:rsidR="00E23856" w:rsidRPr="00750054" w:rsidRDefault="00935AAD" w:rsidP="00B26E19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ind w:left="576" w:firstLine="0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vertAlign w:val="subscript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изделий с нагреваемым табаком: 0,7 </w:t>
      </w:r>
      <w:proofErr w:type="spellStart"/>
      <w:r w:rsidR="00E23856" w:rsidRPr="007500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A</w:t>
      </w:r>
      <w:r w:rsidR="00E23856" w:rsidRPr="007500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vertAlign w:val="subscript"/>
          <w:lang w:val="ru-RU"/>
        </w:rPr>
        <w:t>w</w:t>
      </w:r>
      <w:proofErr w:type="spellEnd"/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A8FB39B" w14:textId="0B960E6E" w:rsidR="00E23856" w:rsidRPr="00750054" w:rsidRDefault="00935AAD" w:rsidP="00B26E19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ind w:left="576" w:firstLine="0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vertAlign w:val="subscript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>ащих</w:t>
      </w:r>
      <w:proofErr w:type="spellEnd"/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жидкостей и иных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>ащих</w:t>
      </w:r>
      <w:proofErr w:type="spellEnd"/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изделий: 0,8 </w:t>
      </w:r>
      <w:proofErr w:type="spellStart"/>
      <w:r w:rsidR="00E23856" w:rsidRPr="007500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A</w:t>
      </w:r>
      <w:r w:rsidR="00E23856" w:rsidRPr="007500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vertAlign w:val="subscript"/>
          <w:lang w:val="ru-RU"/>
        </w:rPr>
        <w:t>w</w:t>
      </w:r>
      <w:proofErr w:type="spellEnd"/>
      <w:r w:rsidR="00E23856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74109D" w14:textId="05B8833A" w:rsidR="00C50E20" w:rsidRPr="00750054" w:rsidRDefault="007E28E0" w:rsidP="00B26E1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50E20" w:rsidRPr="0075005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. Срок хранения или срок годности определяются изготовителем.</w:t>
      </w:r>
    </w:p>
    <w:p w14:paraId="5782A372" w14:textId="16B43EC5" w:rsidR="007E28E0" w:rsidRPr="00750054" w:rsidRDefault="007E28E0" w:rsidP="00B26E1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50E20" w:rsidRPr="0075005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При производстве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</w:t>
      </w:r>
      <w:r w:rsidR="00C50E20" w:rsidRPr="00750054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C50E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изделий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не допускается использовать добавки, которые относятся к канцерогенам,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репротоксикантам</w:t>
      </w:r>
      <w:proofErr w:type="spellEnd"/>
      <w:r w:rsidR="004500F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мутагенам</w:t>
      </w:r>
      <w:r w:rsidR="00935AAD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C53444" w14:textId="0AF07EC0" w:rsidR="007E28E0" w:rsidRPr="00750054" w:rsidRDefault="007E28E0" w:rsidP="00B26E1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Под канцерогеном,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репротоксикантом</w:t>
      </w:r>
      <w:proofErr w:type="spellEnd"/>
      <w:r w:rsidR="0003392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мутагеном понимается вещество, классифицируемое как соответственно канцерогеном,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репротоксикантом</w:t>
      </w:r>
      <w:proofErr w:type="spellEnd"/>
      <w:r w:rsidR="004500F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мутагеном</w:t>
      </w:r>
      <w:r w:rsidR="0014210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им регламентом Евразийского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lastRenderedPageBreak/>
        <w:t>экономического союза «О безопасности химической продукции» (</w:t>
      </w:r>
      <w:proofErr w:type="gramStart"/>
      <w:r w:rsidRPr="00750054"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gram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ЕАЭС 041/2017), принятым Решением Совета Евразийской экономической комиссии от 03.03.2017 г. № 19.</w:t>
      </w:r>
    </w:p>
    <w:p w14:paraId="205F2CFF" w14:textId="68B7F18A" w:rsidR="00E90DDE" w:rsidRPr="00750054" w:rsidRDefault="00033924" w:rsidP="000E5A5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737997" w:rsidRPr="00750054">
        <w:rPr>
          <w:rFonts w:ascii="Times New Roman" w:hAnsi="Times New Roman" w:cs="Times New Roman"/>
          <w:sz w:val="28"/>
          <w:szCs w:val="28"/>
          <w:lang w:val="ru-RU"/>
        </w:rPr>
        <w:t>. Масса нетто табака нагреваемого (табачной смеси)</w:t>
      </w:r>
      <w:r w:rsidR="0014210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A16E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масса нетто или объем нетто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8A16E4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8A16E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смеси (в зависимости от формы) </w:t>
      </w:r>
      <w:r w:rsidR="00737997" w:rsidRPr="00750054">
        <w:rPr>
          <w:rFonts w:ascii="Times New Roman" w:hAnsi="Times New Roman" w:cs="Times New Roman"/>
          <w:sz w:val="28"/>
          <w:szCs w:val="28"/>
          <w:lang w:val="ru-RU"/>
        </w:rPr>
        <w:t>рассчитывается на каждую потребительскую упаковку и указывается с точностью до десятичного знака (грамм</w:t>
      </w:r>
      <w:r w:rsidR="008A16E4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или миллилитр</w:t>
      </w:r>
      <w:r w:rsidR="0073799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). Допускается отклонение фактической массы нетто или объема нетто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37997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3799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смеси (в зависимости от формы) от номинальной массы или объема, указанной на потребительской упаковке, до 10 %.</w:t>
      </w:r>
    </w:p>
    <w:p w14:paraId="0F6A662E" w14:textId="73BA34BD" w:rsidR="006E1010" w:rsidRPr="00750054" w:rsidRDefault="00033924" w:rsidP="000E5A5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6E101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При производстве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6E1010" w:rsidRPr="00750054">
        <w:rPr>
          <w:rFonts w:ascii="Times New Roman" w:hAnsi="Times New Roman" w:cs="Times New Roman"/>
          <w:sz w:val="28"/>
          <w:szCs w:val="28"/>
          <w:lang w:val="ru-RU"/>
        </w:rPr>
        <w:t>ащих</w:t>
      </w:r>
      <w:proofErr w:type="spellEnd"/>
      <w:r w:rsidR="006E101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изделий могут применяться </w:t>
      </w:r>
      <w:proofErr w:type="gramStart"/>
      <w:r w:rsidR="006E1010" w:rsidRPr="00750054">
        <w:rPr>
          <w:rFonts w:ascii="Times New Roman" w:hAnsi="Times New Roman" w:cs="Times New Roman"/>
          <w:sz w:val="28"/>
          <w:szCs w:val="28"/>
          <w:lang w:val="ru-RU"/>
        </w:rPr>
        <w:t>глицерин</w:t>
      </w:r>
      <w:proofErr w:type="gramEnd"/>
      <w:r w:rsidR="006E101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дистиллированный с чистотой не менее 95% и </w:t>
      </w:r>
      <w:proofErr w:type="spellStart"/>
      <w:r w:rsidR="006E1010" w:rsidRPr="00750054">
        <w:rPr>
          <w:rFonts w:ascii="Times New Roman" w:hAnsi="Times New Roman" w:cs="Times New Roman"/>
          <w:sz w:val="28"/>
          <w:szCs w:val="28"/>
          <w:lang w:val="ru-RU"/>
        </w:rPr>
        <w:t>пропиленгликоль</w:t>
      </w:r>
      <w:proofErr w:type="spellEnd"/>
      <w:r w:rsidR="006E101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 чистотой не менее 95%. Чистота используемых веществ подтверждается изготовителем.</w:t>
      </w:r>
    </w:p>
    <w:p w14:paraId="148E8BBA" w14:textId="77777777" w:rsidR="007E28E0" w:rsidRPr="00750054" w:rsidRDefault="007E28E0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9AA925" w14:textId="77777777" w:rsidR="00AF64BE" w:rsidRPr="00750054" w:rsidRDefault="00AF64BE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27A100" w14:textId="7F79E44D" w:rsidR="00E90DDE" w:rsidRPr="00750054" w:rsidRDefault="00E90DDE" w:rsidP="00E90DDE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AF64BE" w:rsidRPr="0075005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Требования к </w:t>
      </w:r>
      <w:proofErr w:type="spellStart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безникотинов</w:t>
      </w:r>
      <w:r w:rsidR="003B30F9" w:rsidRPr="00750054">
        <w:rPr>
          <w:rFonts w:ascii="Times New Roman" w:hAnsi="Times New Roman" w:cs="Times New Roman"/>
          <w:b/>
          <w:sz w:val="28"/>
          <w:szCs w:val="28"/>
          <w:lang w:val="ru-RU"/>
        </w:rPr>
        <w:t>ому</w:t>
      </w:r>
      <w:proofErr w:type="spellEnd"/>
      <w:r w:rsidR="003B30F9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наполнителю</w:t>
      </w:r>
    </w:p>
    <w:p w14:paraId="7B584467" w14:textId="77777777" w:rsidR="00E90DDE" w:rsidRPr="00750054" w:rsidRDefault="00E90DDE" w:rsidP="00E90DD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0CB594" w14:textId="258E09F0" w:rsidR="00E90DDE" w:rsidRPr="00750054" w:rsidRDefault="00033924" w:rsidP="00E90DD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Содержание вредных и потенциально вредных веществ в 100 см³ аэрозоля, образующегося в процессе эксплуатации </w:t>
      </w:r>
      <w:proofErr w:type="spellStart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, не должно превышать установленные предельные значения согласно приложению 1 настоящего Технического регламента.</w:t>
      </w:r>
    </w:p>
    <w:p w14:paraId="3E9ED3EB" w14:textId="551FF91A" w:rsidR="00E90DDE" w:rsidRPr="00750054" w:rsidRDefault="00033924" w:rsidP="00E90DD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Отсутствие процесса горения </w:t>
      </w:r>
      <w:proofErr w:type="spellStart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 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содержанием </w:t>
      </w:r>
      <w:proofErr w:type="spellStart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монооксида</w:t>
      </w:r>
      <w:proofErr w:type="spellEnd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углерода (CO) и оксидов азота (NO, </w:t>
      </w:r>
      <w:proofErr w:type="spellStart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NOx</w:t>
      </w:r>
      <w:proofErr w:type="spellEnd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) в аэрозоле, которые не должны превышать предельно-допустимых значений, указанных в приложении 1</w:t>
      </w:r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Технического регламента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51612E" w14:textId="46A44E22" w:rsidR="00E90DDE" w:rsidRPr="00750054" w:rsidRDefault="00033924" w:rsidP="000E5A5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vertAlign w:val="subscript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Показатель активности воды в </w:t>
      </w:r>
      <w:proofErr w:type="spellStart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безникотиновом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 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не должен превышать 0,8 </w:t>
      </w:r>
      <w:proofErr w:type="spellStart"/>
      <w:r w:rsidR="00E90DDE" w:rsidRPr="007500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ru-RU"/>
        </w:rPr>
        <w:t>A</w:t>
      </w:r>
      <w:r w:rsidR="00E90DDE" w:rsidRPr="0075005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vertAlign w:val="subscript"/>
          <w:lang w:val="ru-RU"/>
        </w:rPr>
        <w:t>w</w:t>
      </w:r>
      <w:proofErr w:type="spellEnd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09DB2D" w14:textId="28565993" w:rsidR="00E90DDE" w:rsidRPr="00750054" w:rsidRDefault="00033924" w:rsidP="00E90DD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. Срок хранения или срок годности</w:t>
      </w:r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определяются изготовителем.</w:t>
      </w:r>
    </w:p>
    <w:p w14:paraId="442A59C3" w14:textId="313B68AA" w:rsidR="00E90DDE" w:rsidRPr="00750054" w:rsidRDefault="00033924" w:rsidP="00E90DDE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При производстве 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допускается использовать добавки, которые относятся к канцерогенам, </w:t>
      </w:r>
      <w:proofErr w:type="spellStart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репротоксикантам</w:t>
      </w:r>
      <w:proofErr w:type="spellEnd"/>
      <w:r w:rsidR="00231B7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мутагенам.</w:t>
      </w:r>
    </w:p>
    <w:p w14:paraId="3B331B5D" w14:textId="3D80D7FF" w:rsidR="00E90DDE" w:rsidRPr="00750054" w:rsidRDefault="00033924" w:rsidP="000E5A5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При производстве </w:t>
      </w:r>
      <w:proofErr w:type="spellStart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могут применяться </w:t>
      </w:r>
      <w:proofErr w:type="gramStart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глицерин</w:t>
      </w:r>
      <w:proofErr w:type="gramEnd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дистиллированный с чистотой не менее 95% и </w:t>
      </w:r>
      <w:proofErr w:type="spellStart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>пропиленгликоль</w:t>
      </w:r>
      <w:proofErr w:type="spellEnd"/>
      <w:r w:rsidR="00E90DD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 чистотой не менее 95%. Чистота используемых веществ подтверждается изготовителем.</w:t>
      </w:r>
    </w:p>
    <w:p w14:paraId="55260F59" w14:textId="77777777" w:rsidR="00E90DDE" w:rsidRPr="00750054" w:rsidRDefault="00E90DDE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411FB6" w14:textId="77777777" w:rsidR="006E1010" w:rsidRPr="00750054" w:rsidRDefault="006E1010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B2C853" w14:textId="511F96B6" w:rsidR="006C39EA" w:rsidRPr="00750054" w:rsidRDefault="006C39EA" w:rsidP="006C39EA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AF64BE" w:rsidRPr="0075005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. Требования к устройствам</w:t>
      </w:r>
    </w:p>
    <w:p w14:paraId="24BC01E1" w14:textId="77777777" w:rsidR="006C39EA" w:rsidRPr="00750054" w:rsidRDefault="006C39EA" w:rsidP="006C39EA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A7DE7A" w14:textId="49862F4B" w:rsidR="006C39EA" w:rsidRPr="00750054" w:rsidRDefault="00AF64BE" w:rsidP="006C39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033924" w:rsidRPr="0075005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C39E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Любые элементы устройства при их использовании с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6C39EA" w:rsidRPr="00750054">
        <w:rPr>
          <w:rFonts w:ascii="Times New Roman" w:hAnsi="Times New Roman" w:cs="Times New Roman"/>
          <w:sz w:val="28"/>
          <w:szCs w:val="28"/>
          <w:lang w:val="ru-RU"/>
        </w:rPr>
        <w:t>ащим</w:t>
      </w:r>
      <w:proofErr w:type="spellEnd"/>
      <w:r w:rsidR="006C39E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изделием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безникотиновым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наполнителем</w:t>
      </w:r>
      <w:r w:rsidR="006C39E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по назначению не должны выделять в аэрозоль вещества, вызывающие токсичность. Отсутствие </w:t>
      </w:r>
      <w:proofErr w:type="gramStart"/>
      <w:r w:rsidR="006C39EA" w:rsidRPr="00750054">
        <w:rPr>
          <w:rFonts w:ascii="Times New Roman" w:hAnsi="Times New Roman" w:cs="Times New Roman"/>
          <w:sz w:val="28"/>
          <w:szCs w:val="28"/>
          <w:lang w:val="ru-RU"/>
        </w:rPr>
        <w:t>токсичности, вызванной выделением веществ из любых элементов устройства в аэрозоль подтверждается</w:t>
      </w:r>
      <w:proofErr w:type="gramEnd"/>
      <w:r w:rsidR="006C39E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изготовителем на основании собственных исследований.</w:t>
      </w:r>
    </w:p>
    <w:p w14:paraId="520ECC21" w14:textId="5F99FF66" w:rsidR="006C39EA" w:rsidRPr="00750054" w:rsidRDefault="00033924" w:rsidP="006C39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6C39EA" w:rsidRPr="00750054">
        <w:rPr>
          <w:rFonts w:ascii="Times New Roman" w:hAnsi="Times New Roman" w:cs="Times New Roman"/>
          <w:sz w:val="28"/>
          <w:szCs w:val="28"/>
          <w:lang w:val="ru-RU"/>
        </w:rPr>
        <w:t>. Изготовитель устройства должен обеспечить наличие технического паспорта на каждую модель, версию устройства. Технический паспорт должен содержать контактные данные изготовителя, а также инструкцию по эксплуатации (руководство пользователя). Технический паспорт должен храниться изготовителем не менее 10 лет после окончания реализации на рынке Республики Казахстан соответствующей модели, версии устройства.</w:t>
      </w:r>
    </w:p>
    <w:p w14:paraId="444D055E" w14:textId="77777777" w:rsidR="0010771B" w:rsidRPr="00750054" w:rsidRDefault="0010771B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0095B6" w14:textId="77777777" w:rsidR="00242101" w:rsidRPr="00750054" w:rsidRDefault="00242101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D3B4D9" w14:textId="03719346" w:rsidR="0010771B" w:rsidRPr="00750054" w:rsidRDefault="0010771B" w:rsidP="00D751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6C39EA" w:rsidRPr="0075005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. Требования к процессам производств</w:t>
      </w:r>
      <w:r w:rsidR="00242101" w:rsidRPr="0075005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, хранени</w:t>
      </w:r>
      <w:r w:rsidR="00242101" w:rsidRPr="0075005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67425A" w:rsidRPr="0075005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перевозки</w:t>
      </w:r>
      <w:r w:rsidR="0067425A" w:rsidRPr="00750054">
        <w:rPr>
          <w:rFonts w:ascii="Times New Roman" w:hAnsi="Times New Roman" w:cs="Times New Roman"/>
          <w:b/>
          <w:sz w:val="28"/>
          <w:szCs w:val="28"/>
          <w:lang w:val="ru-RU"/>
        </w:rPr>
        <w:t>, реализации и эксплуатации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87C50FD" w14:textId="77777777" w:rsidR="00242101" w:rsidRPr="00750054" w:rsidRDefault="00242101" w:rsidP="00D751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9CDD089" w14:textId="3BD13B2B" w:rsidR="0010771B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Изготовитель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(или) устройства </w:t>
      </w:r>
      <w:r w:rsidR="0024210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должен </w:t>
      </w:r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>иметь систему менеджмента качества. Производственные процессы изготовителя, спецификации продукции, протоколы испытаний и процессы приемки и мониторинга партий продукции должны документироваться, а изготовитель должен обеспечить наличие процесса периодического внутреннего контроля.</w:t>
      </w:r>
    </w:p>
    <w:p w14:paraId="57C5DA3B" w14:textId="44412538" w:rsidR="0010771B" w:rsidRPr="00750054" w:rsidRDefault="0010771B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изготовитель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наполнителя)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изготовитель устройств являются разными лицами, то настоящие положения применяются к каждому изготовителю независимо, но с учетом требования, что система доставки никотина в целом, равно как и ее составляющие (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</w:t>
      </w:r>
      <w:r w:rsidR="00AD5301" w:rsidRPr="00750054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="00AD530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изделия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безникотиновые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наполнители,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устройства) соответствуют требованиям настоящего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Технического регламента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9DD7ED" w14:textId="123DAC44" w:rsidR="0010771B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>ащую</w:t>
      </w:r>
      <w:proofErr w:type="spellEnd"/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продукцию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ь) </w:t>
      </w:r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>транспортируют всеми видами транспорта по правилам перевозки грузов, действующим на соответствующем виде транспорта. Транспортные средства должны быть крытыми, сухими, чистыми и без постороннего запаха.</w:t>
      </w:r>
    </w:p>
    <w:p w14:paraId="1471A79F" w14:textId="630654CA" w:rsidR="0010771B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Помещение для хранения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я)</w:t>
      </w:r>
      <w:r w:rsidR="0010771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должно быть сухим, чистым и без постороннего запаха.</w:t>
      </w:r>
    </w:p>
    <w:p w14:paraId="67383070" w14:textId="390B6DAE" w:rsidR="00FF5CF2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="00AF64BE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ь)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должн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храниться в сухом месте. Изготовитель вправе </w:t>
      </w:r>
      <w:proofErr w:type="gramStart"/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>устанавливать дополнительные условия</w:t>
      </w:r>
      <w:proofErr w:type="gramEnd"/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хранения и перевозки, а также срок хранения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наполнителя)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F41A65" w14:textId="112BB543" w:rsidR="00FF5CF2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lastRenderedPageBreak/>
        <w:t>32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Изготовитель обязан установить срок годности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наполнителя)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если такая продукция имеет период времени, по истечении </w:t>
      </w:r>
      <w:r w:rsidR="006C39E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которого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наполнитель)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считается непригодной для эксплуатации по назначению. Информация о сроке годности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наполнителя)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должна быть нанесена на потребительскую упаковку в соответствии с требованиями </w:t>
      </w:r>
      <w:r w:rsidR="00AD530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главы </w:t>
      </w:r>
      <w:r w:rsidR="006C39E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</w:t>
      </w:r>
      <w:r w:rsidR="00FF5CF2" w:rsidRPr="00750054">
        <w:rPr>
          <w:rFonts w:ascii="Times New Roman" w:hAnsi="Times New Roman" w:cs="Times New Roman"/>
          <w:sz w:val="28"/>
          <w:szCs w:val="28"/>
          <w:lang w:val="ru-RU"/>
        </w:rPr>
        <w:t>ого регламента.</w:t>
      </w:r>
    </w:p>
    <w:p w14:paraId="36A55A00" w14:textId="2109A016" w:rsidR="00FF5CF2" w:rsidRPr="00750054" w:rsidRDefault="00033924" w:rsidP="00F10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67425A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A2A1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Эксплуатаци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</w:t>
      </w:r>
      <w:r w:rsidR="00BA2A15" w:rsidRPr="0075005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BA2A1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="00BA2A15" w:rsidRPr="00750054">
        <w:rPr>
          <w:rFonts w:ascii="Times New Roman" w:hAnsi="Times New Roman" w:cs="Times New Roman"/>
          <w:sz w:val="28"/>
          <w:szCs w:val="28"/>
          <w:lang w:val="ru-RU"/>
        </w:rPr>
        <w:t>) и</w:t>
      </w:r>
      <w:r w:rsidR="001D2AB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(или)</w:t>
      </w:r>
      <w:r w:rsidR="00BA2A1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A2A1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по назначению </w:t>
      </w:r>
      <w:r w:rsidR="00BA2A1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инструкцией по эксплуатации (руководство пользователя). Информация о порядке использования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(</w:t>
      </w:r>
      <w:proofErr w:type="spellStart"/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наполнителя) и</w:t>
      </w:r>
      <w:r w:rsidR="001D2AB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(или)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устройства по назначению </w:t>
      </w:r>
      <w:r w:rsidR="001D2ABA" w:rsidRPr="0075005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ожет доводиться до сведения потребителей продавцом любым </w:t>
      </w:r>
      <w:r w:rsidR="001D2AB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иным 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удобным способом. </w:t>
      </w:r>
    </w:p>
    <w:p w14:paraId="72196C01" w14:textId="094F32E1" w:rsidR="001D2ABA" w:rsidRPr="00750054" w:rsidRDefault="00033924" w:rsidP="00F10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F10FFD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2AB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При реализации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D2ABA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1D2AB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(</w:t>
      </w:r>
      <w:proofErr w:type="spellStart"/>
      <w:r w:rsidR="001D2ABA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="001D2AB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наполнителя) и (или) устройства продавец предоставляет потребителю достоверную и полную информацию о продукции, в том числе:</w:t>
      </w:r>
    </w:p>
    <w:p w14:paraId="7F4A219E" w14:textId="72F4FBC6" w:rsidR="001D2ABA" w:rsidRPr="00750054" w:rsidRDefault="001D2ABA" w:rsidP="00F10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наименование устройства, для эксплуатации с которым предназначена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 (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наполнитель);</w:t>
      </w:r>
    </w:p>
    <w:p w14:paraId="04E176C6" w14:textId="3B6BBD76" w:rsidR="00F10FFD" w:rsidRPr="00750054" w:rsidRDefault="001D2ABA" w:rsidP="00F10F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по требованию потребителя ознакомляет его с устройством в собранном, технически исправном состоянии, а также разъясняет и проводит демонстрацию способов эксплуатации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(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безникотинового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наполнителя) и (или) устройства.</w:t>
      </w:r>
    </w:p>
    <w:p w14:paraId="3A3B862C" w14:textId="77777777" w:rsidR="006C39EA" w:rsidRPr="00750054" w:rsidRDefault="006C39EA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7A8C85" w14:textId="7ACA50FE" w:rsidR="008E4320" w:rsidRPr="00750054" w:rsidRDefault="008E4320" w:rsidP="00D751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6C39EA" w:rsidRPr="00750054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Требования к </w:t>
      </w:r>
      <w:r w:rsidR="005B648C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маркировке </w:t>
      </w:r>
    </w:p>
    <w:p w14:paraId="786D679C" w14:textId="77777777" w:rsidR="008E4320" w:rsidRPr="00750054" w:rsidRDefault="008E4320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2CCCB4" w14:textId="2F502C50" w:rsidR="008E4320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На потребительскую упаковку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C3642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642D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C3642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должна быть нанесена следующая информация:</w:t>
      </w:r>
    </w:p>
    <w:p w14:paraId="2AD61D82" w14:textId="4BBB6CDC" w:rsidR="007A2A06" w:rsidRPr="00750054" w:rsidRDefault="0007700C" w:rsidP="007A2A06">
      <w:pPr>
        <w:pStyle w:val="a3"/>
        <w:numPr>
          <w:ilvl w:val="0"/>
          <w:numId w:val="9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никотиносдержащей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продукции: </w:t>
      </w:r>
      <w:r w:rsidR="007A2A06" w:rsidRPr="00750054">
        <w:rPr>
          <w:rFonts w:ascii="Times New Roman" w:hAnsi="Times New Roman" w:cs="Times New Roman"/>
          <w:sz w:val="28"/>
          <w:szCs w:val="28"/>
          <w:lang w:val="ru-RU"/>
        </w:rPr>
        <w:t>наименование "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A2A06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7A2A0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продукция" и (или) наименование вида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A2A06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A2A0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продукции; </w:t>
      </w:r>
    </w:p>
    <w:p w14:paraId="0E3E4771" w14:textId="30B023E7" w:rsidR="006C39EA" w:rsidRPr="00750054" w:rsidRDefault="006C39EA" w:rsidP="00D751A3">
      <w:pPr>
        <w:pStyle w:val="a3"/>
        <w:numPr>
          <w:ilvl w:val="0"/>
          <w:numId w:val="9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>аименовани</w:t>
      </w:r>
      <w:r w:rsidR="008B616B" w:rsidRPr="0075005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устройства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для эксплуатации с которым предназначена данная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</w:t>
      </w:r>
      <w:r w:rsidR="00C3642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3642D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="00C3642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наполнитель)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</w:t>
      </w:r>
      <w:r w:rsidR="00C3642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3642D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безникотиновый</w:t>
      </w:r>
      <w:proofErr w:type="spellEnd"/>
      <w:r w:rsidR="00C3642D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наполнитель)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не соединена с соо</w:t>
      </w:r>
      <w:r w:rsidR="008B616B" w:rsidRPr="00750054">
        <w:rPr>
          <w:rFonts w:ascii="Times New Roman" w:hAnsi="Times New Roman" w:cs="Times New Roman"/>
          <w:sz w:val="28"/>
          <w:szCs w:val="28"/>
          <w:lang w:val="ru-RU"/>
        </w:rPr>
        <w:t>тветствующ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им устройством </w:t>
      </w:r>
      <w:r w:rsidR="008B616B" w:rsidRPr="00750054">
        <w:rPr>
          <w:rFonts w:ascii="Times New Roman" w:hAnsi="Times New Roman" w:cs="Times New Roman"/>
          <w:sz w:val="28"/>
          <w:szCs w:val="28"/>
          <w:lang w:val="ru-RU"/>
        </w:rPr>
        <w:t>конструктивно</w:t>
      </w:r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CBD3CA3" w14:textId="2D2FB0A0" w:rsidR="00843C45" w:rsidRPr="00750054" w:rsidRDefault="006C39EA" w:rsidP="00D751A3">
      <w:pPr>
        <w:pStyle w:val="a3"/>
        <w:numPr>
          <w:ilvl w:val="0"/>
          <w:numId w:val="9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B616B" w:rsidRPr="00750054">
        <w:rPr>
          <w:rFonts w:ascii="Times New Roman" w:hAnsi="Times New Roman" w:cs="Times New Roman"/>
          <w:sz w:val="28"/>
          <w:szCs w:val="28"/>
          <w:lang w:val="ru-RU"/>
        </w:rPr>
        <w:t>ата изготовления, а также срок годности и (или) условия хранения, если такой срок и (или) условия хранения определены изготовителем</w:t>
      </w:r>
      <w:r w:rsidR="00004A9C"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6B5004" w14:textId="6AB39587" w:rsidR="00843C45" w:rsidRPr="00750054" w:rsidRDefault="006C39EA" w:rsidP="000E5A52">
      <w:pPr>
        <w:pStyle w:val="a3"/>
        <w:numPr>
          <w:ilvl w:val="0"/>
          <w:numId w:val="9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B616B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адпись: </w:t>
      </w:r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«21 </w:t>
      </w:r>
      <w:proofErr w:type="spellStart"/>
      <w:proofErr w:type="gram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жас</w:t>
      </w:r>
      <w:proofErr w:type="gram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қа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адамдарға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сатуға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18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жасқа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адамдардың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сатуына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тыйым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салынады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», «Продажа лицам в возрасте до 21 года и лицами в возрасте до 18 лет запрещена»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0DE2B66" w14:textId="50DA5F87" w:rsidR="00843C45" w:rsidRPr="00750054" w:rsidRDefault="008B616B" w:rsidP="000E5A52">
      <w:pPr>
        <w:pStyle w:val="a3"/>
        <w:numPr>
          <w:ilvl w:val="0"/>
          <w:numId w:val="9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надпись: </w:t>
      </w:r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>Құрамында</w:t>
      </w:r>
      <w:proofErr w:type="spellEnd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>жүйелі</w:t>
      </w:r>
      <w:proofErr w:type="gramStart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улар, </w:t>
      </w:r>
      <w:proofErr w:type="spellStart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>канцерогендік</w:t>
      </w:r>
      <w:proofErr w:type="spellEnd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>мутагендік</w:t>
      </w:r>
      <w:proofErr w:type="spellEnd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>заттар</w:t>
      </w:r>
      <w:proofErr w:type="spellEnd"/>
      <w:r w:rsidR="00843C4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бар», «Содержит системные яды, канцерогенные и мутагенные вещества»;</w:t>
      </w:r>
    </w:p>
    <w:p w14:paraId="7C9E7012" w14:textId="6440C7AB" w:rsidR="007A2A06" w:rsidRPr="00750054" w:rsidRDefault="00C3642D" w:rsidP="007A2A06">
      <w:pPr>
        <w:pStyle w:val="a3"/>
        <w:numPr>
          <w:ilvl w:val="0"/>
          <w:numId w:val="9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никотиносдержащей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продукции:</w:t>
      </w:r>
      <w:r w:rsidR="00907EC6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масса нетто табака нагреваемого (табачной смеси) и масса нетто или объем нетто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смеси (в зависимости от формы) в соответствии с пунктом 19 настоящего Технического регламента.</w:t>
      </w:r>
    </w:p>
    <w:p w14:paraId="24D30F0D" w14:textId="35892DC2" w:rsidR="007A2A06" w:rsidRPr="00750054" w:rsidRDefault="007A2A06" w:rsidP="007A2A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Не допускается наносить на потребительскую упаковку (лист-вкладыш)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ащих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изделий количественных показателей содержания смолистых веществ, никотина и </w:t>
      </w:r>
      <w:proofErr w:type="spell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монооксида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углерода в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ащем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аэрозоле.</w:t>
      </w:r>
    </w:p>
    <w:p w14:paraId="6B217CA8" w14:textId="032DB893" w:rsidR="00C3642D" w:rsidRPr="00750054" w:rsidRDefault="00C3642D" w:rsidP="0044714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33924" w:rsidRPr="00750054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907EC6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02D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На потребительскую упаковку изделий с нагреваемым табаком наносится </w:t>
      </w:r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предупреждающая надпись: «</w:t>
      </w:r>
      <w:proofErr w:type="spellStart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сіздің</w:t>
      </w:r>
      <w:proofErr w:type="spellEnd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денсаулығың</w:t>
      </w:r>
      <w:proofErr w:type="gramStart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ыз</w:t>
      </w:r>
      <w:proofErr w:type="gramEnd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зиянды</w:t>
      </w:r>
      <w:proofErr w:type="spellEnd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тәуелділік</w:t>
      </w:r>
      <w:proofErr w:type="spellEnd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>тудырады</w:t>
      </w:r>
      <w:proofErr w:type="spellEnd"/>
      <w:r w:rsidR="0044714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», «Данный продукт вредит вашему здоровью и вызывает зависимость». Текст надписи наносится буквами черного цвета жирным, четким, легко читаемым шрифтом на белом фоне. Информация, предусмотренная настоящим пунктом, помещается в рамку черного цвета, толщиной не менее 1 мм. Площадь, ограниченная рамкой, включая площадь самой рамки, должна располагаться на лицевой основной стороне потребительской упаковки и занимать не менее 20% площади лицевой основной стороны. </w:t>
      </w:r>
    </w:p>
    <w:p w14:paraId="66273552" w14:textId="244868E2" w:rsidR="00120DC3" w:rsidRPr="00750054" w:rsidRDefault="00033924" w:rsidP="000E5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1002D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gram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потребительскую</w:t>
      </w:r>
      <w:proofErr w:type="gram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02D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упаковка 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1002D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для нагрева табака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наносится </w:t>
      </w:r>
      <w:r w:rsidR="001002DA" w:rsidRPr="00750054">
        <w:rPr>
          <w:rFonts w:ascii="Times New Roman" w:hAnsi="Times New Roman" w:cs="Times New Roman"/>
          <w:sz w:val="28"/>
          <w:szCs w:val="28"/>
          <w:lang w:val="ru-RU"/>
        </w:rPr>
        <w:t>предупреждение о вреде потребления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табачных изделий и никотина в виде надписи </w:t>
      </w:r>
      <w:r w:rsidR="001002D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следующего содержания: 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Бұ</w:t>
      </w:r>
      <w:proofErr w:type="gram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End"/>
      <w:proofErr w:type="gram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мақсаты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өзіне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тәуелді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қыздырылатын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темекі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таяқшаларымен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қолданылғанда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зиянсыз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», «Данный продукт не является безвредным, когда используется по назначению с изделиями с нагреваемым табаком, вызывающими зависимость».</w:t>
      </w:r>
    </w:p>
    <w:p w14:paraId="70C93C23" w14:textId="08EC69AE" w:rsidR="001002DA" w:rsidRPr="00750054" w:rsidRDefault="00033924" w:rsidP="000E5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1002DA" w:rsidRPr="00750054">
        <w:rPr>
          <w:rFonts w:ascii="Times New Roman" w:hAnsi="Times New Roman" w:cs="Times New Roman"/>
          <w:sz w:val="28"/>
          <w:szCs w:val="28"/>
          <w:lang w:val="ru-RU"/>
        </w:rPr>
        <w:t>. На потребительскую упаковку устройств должна быть нанесена надпись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</w:t>
      </w:r>
      <w:r w:rsidR="001002DA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«21 </w:t>
      </w:r>
      <w:proofErr w:type="spellStart"/>
      <w:proofErr w:type="gram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жас</w:t>
      </w:r>
      <w:proofErr w:type="gram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қа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адамдарға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сатуға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18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жасқа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адамдардың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сатуына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тыйым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салынады</w:t>
      </w:r>
      <w:proofErr w:type="spellEnd"/>
      <w:r w:rsidR="00A61219" w:rsidRPr="00750054">
        <w:rPr>
          <w:rFonts w:ascii="Times New Roman" w:hAnsi="Times New Roman" w:cs="Times New Roman"/>
          <w:sz w:val="28"/>
          <w:szCs w:val="28"/>
          <w:lang w:val="ru-RU"/>
        </w:rPr>
        <w:t>», «Продажа лицам в возрасте до 21 года и лицами в возрасте до 18 лет запрещена».</w:t>
      </w:r>
    </w:p>
    <w:p w14:paraId="1C8C6F66" w14:textId="14F8E7B7" w:rsidR="00736F25" w:rsidRPr="00750054" w:rsidRDefault="00033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Информация, нанесенная на потребительскую упаковку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наполнителей, устройств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FD526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(или)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инструкцию</w:t>
      </w:r>
      <w:r w:rsidR="00FD5261" w:rsidRPr="00750054">
        <w:rPr>
          <w:rFonts w:ascii="Times New Roman" w:hAnsi="Times New Roman" w:cs="Times New Roman"/>
          <w:sz w:val="28"/>
          <w:szCs w:val="28"/>
          <w:lang w:val="ru-RU"/>
        </w:rPr>
        <w:t>, памятку (лист-вкладыш)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к ней должна быть достоверной и не должна вводить потребителей в заблуждение. На потребительскую упаковку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наполнителей, устройств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26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 (или) инструкцию, памятку (лист-вкладыш) к ней 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нанесена дополнительная информация о данной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продукции, не указанная в пункт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E2C" w:rsidRPr="00750054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23E2C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38 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ого регламента. </w:t>
      </w:r>
    </w:p>
    <w:p w14:paraId="529A621D" w14:textId="5840E2FD" w:rsidR="00736F25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81DE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На потребительскую упаковку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81DE9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981DE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и (или) инструкцию, памятку (лист-вкладыш) к ней может быть нанесена информация о </w:t>
      </w:r>
      <w:r w:rsidR="00981DE9" w:rsidRPr="0075005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том, что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81DE9" w:rsidRPr="00750054">
        <w:rPr>
          <w:rFonts w:ascii="Times New Roman" w:hAnsi="Times New Roman" w:cs="Times New Roman"/>
          <w:sz w:val="28"/>
          <w:szCs w:val="28"/>
          <w:lang w:val="ru-RU"/>
        </w:rPr>
        <w:t>ащий</w:t>
      </w:r>
      <w:proofErr w:type="spellEnd"/>
      <w:r w:rsidR="00981DE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аэрозоль, образующийся в ходе эксплуатации данной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981DE9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продукции, содержит меньше вредных </w:t>
      </w:r>
      <w:r w:rsidR="00981DE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 потенциально вредных 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веществ, чем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табачный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дым. </w:t>
      </w:r>
    </w:p>
    <w:p w14:paraId="07B2C602" w14:textId="4C50E41E" w:rsidR="00736F25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Информация, нанесенная на потребительскую упаковку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</w:t>
      </w:r>
      <w:r w:rsidR="00FD5261" w:rsidRPr="00750054">
        <w:rPr>
          <w:rFonts w:ascii="Times New Roman" w:hAnsi="Times New Roman" w:cs="Times New Roman"/>
          <w:sz w:val="28"/>
          <w:szCs w:val="28"/>
          <w:lang w:val="ru-RU"/>
        </w:rPr>
        <w:t>и (или) инструкцию, памятку (лист-вкладыш) к ней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>, не должна содержать:</w:t>
      </w:r>
    </w:p>
    <w:p w14:paraId="7062FB89" w14:textId="564C40E4" w:rsidR="00736F25" w:rsidRPr="00750054" w:rsidRDefault="00120DC3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утверждения о лечебных свойствах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продукции; </w:t>
      </w:r>
    </w:p>
    <w:p w14:paraId="2058BB8B" w14:textId="46AB7ADB" w:rsidR="00004A9C" w:rsidRPr="00750054" w:rsidRDefault="00120DC3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утверждения, создающие у потребителя впечатление, что </w:t>
      </w:r>
      <w:r w:rsidR="00FD526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данной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менее </w:t>
      </w:r>
      <w:proofErr w:type="gramStart"/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>вредна</w:t>
      </w:r>
      <w:proofErr w:type="gramEnd"/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для здоровья человека, чем </w:t>
      </w:r>
      <w:r w:rsidR="00FD526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других наименований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736F25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продукции.  </w:t>
      </w:r>
    </w:p>
    <w:p w14:paraId="071F983E" w14:textId="6D145278" w:rsidR="008E4320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Информация, нанесенная на потребительскую упаковку </w:t>
      </w:r>
      <w:r w:rsidR="00FD5261" w:rsidRPr="00750054">
        <w:rPr>
          <w:rFonts w:ascii="Times New Roman" w:hAnsi="Times New Roman" w:cs="Times New Roman"/>
          <w:sz w:val="28"/>
          <w:szCs w:val="28"/>
          <w:lang w:val="ru-RU"/>
        </w:rPr>
        <w:t>и (или) инструкцию, памятку (лист-вкладыш) к ней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должна быть нанесена четкими, разборчивыми, </w:t>
      </w:r>
      <w:proofErr w:type="spellStart"/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легкочитаемыми</w:t>
      </w:r>
      <w:proofErr w:type="spellEnd"/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, несмываемыми, устойчивыми к действию климатических факторов буквами или символами.</w:t>
      </w:r>
      <w:proofErr w:type="gramEnd"/>
    </w:p>
    <w:p w14:paraId="622046B5" w14:textId="3B9509D6" w:rsidR="000C3409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Не допускается указывать на потребительской упаковке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FD5261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и (или) инструкции, памятке (листе-вкладыше) к ней</w:t>
      </w:r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B4572D6" w14:textId="77777777" w:rsidR="000C3409" w:rsidRPr="00750054" w:rsidRDefault="000C3409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наименования, товарные знаки и иные сведения об устройствах, которые не использовались в целях </w:t>
      </w:r>
      <w:proofErr w:type="gram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проведения оценки системы доставки никотина</w:t>
      </w:r>
      <w:proofErr w:type="gram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 соответствие требованиям настоящего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Технического регламента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53307F" w14:textId="2BA679D0" w:rsidR="000C3409" w:rsidRPr="00750054" w:rsidRDefault="000C3409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наименования, товарные знаки и иные сведения об устройствах, при использовании которых в процессе </w:t>
      </w:r>
      <w:proofErr w:type="gramStart"/>
      <w:r w:rsidRPr="00750054">
        <w:rPr>
          <w:rFonts w:ascii="Times New Roman" w:hAnsi="Times New Roman" w:cs="Times New Roman"/>
          <w:sz w:val="28"/>
          <w:szCs w:val="28"/>
          <w:lang w:val="ru-RU"/>
        </w:rPr>
        <w:t>проведения оценки системы доставки никотина</w:t>
      </w:r>
      <w:proofErr w:type="gram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выявлено несоответствие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1767FF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1767F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ащего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аэрозоля и (или) в целом системы доставки никотина требованиям настоящего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Технического регламента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7826D1" w14:textId="2C9BE041" w:rsidR="000C3409" w:rsidRPr="00750054" w:rsidRDefault="000C3409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- что данная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>ащая</w:t>
      </w:r>
      <w:proofErr w:type="spellEnd"/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 предназначена или может быть использовано с любыми и (или) всеми устройствами.</w:t>
      </w:r>
    </w:p>
    <w:p w14:paraId="3875FFFD" w14:textId="72F6E039" w:rsidR="008E4320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Средства и способы нанесения информации на потребительскую упаковку </w:t>
      </w:r>
      <w:r w:rsidR="001767FF" w:rsidRPr="00750054">
        <w:rPr>
          <w:rFonts w:ascii="Times New Roman" w:hAnsi="Times New Roman" w:cs="Times New Roman"/>
          <w:sz w:val="28"/>
          <w:szCs w:val="28"/>
          <w:lang w:val="ru-RU"/>
        </w:rPr>
        <w:t>и (или) инструкцию, памятку (лист-вкладыш) к ней</w:t>
      </w:r>
      <w:r w:rsidR="001767FF" w:rsidRPr="00750054" w:rsidDel="00176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должны обеспечивать сохранность такой информации при транспортировке, хранении и реализации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120DC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 и устройств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EA5225" w14:textId="6388C93B" w:rsidR="00736F25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наносится на потребительскую упаковку </w:t>
      </w:r>
      <w:r w:rsidR="001767FF" w:rsidRPr="00750054">
        <w:rPr>
          <w:rFonts w:ascii="Times New Roman" w:hAnsi="Times New Roman" w:cs="Times New Roman"/>
          <w:sz w:val="28"/>
          <w:szCs w:val="28"/>
          <w:lang w:val="ru-RU"/>
        </w:rPr>
        <w:t>и (или) инструкцию, памятку (лист-вкладыш) к ней</w:t>
      </w:r>
      <w:r w:rsidR="001767FF" w:rsidRPr="00750054" w:rsidDel="00176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>на казахском и русском языках и может быть повторена на других языках. Текст, входящий в зарегистрированный товарный знак или промышленный образец, наносится на языке регистрации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5E28FD" w14:textId="77777777" w:rsidR="008E4320" w:rsidRPr="00750054" w:rsidRDefault="008E4320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61E1C5" w14:textId="77777777" w:rsidR="001767FF" w:rsidRPr="00750054" w:rsidRDefault="001767FF" w:rsidP="00D75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5739B0" w14:textId="0404D6E8" w:rsidR="008E4320" w:rsidRPr="00750054" w:rsidRDefault="008E4320" w:rsidP="00D751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Глава </w:t>
      </w:r>
      <w:r w:rsidR="001767FF" w:rsidRPr="00750054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Обеспечение соответствия </w:t>
      </w:r>
      <w:proofErr w:type="spellStart"/>
      <w:r w:rsidR="00FE3BC4" w:rsidRPr="00750054">
        <w:rPr>
          <w:rFonts w:ascii="Times New Roman" w:hAnsi="Times New Roman" w:cs="Times New Roman"/>
          <w:b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продукции</w:t>
      </w:r>
      <w:r w:rsidR="003B30F9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="003B30F9" w:rsidRPr="00750054">
        <w:rPr>
          <w:rFonts w:ascii="Times New Roman" w:hAnsi="Times New Roman" w:cs="Times New Roman"/>
          <w:b/>
          <w:sz w:val="28"/>
          <w:szCs w:val="28"/>
          <w:lang w:val="ru-RU"/>
        </w:rPr>
        <w:t>безникотиновых</w:t>
      </w:r>
      <w:proofErr w:type="spellEnd"/>
      <w:r w:rsidR="003B30F9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наполнителей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требованиям настоящего </w:t>
      </w:r>
      <w:r w:rsidR="001767FF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Технического 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регламента</w:t>
      </w:r>
    </w:p>
    <w:p w14:paraId="454D1597" w14:textId="77777777" w:rsidR="00E26D56" w:rsidRPr="00750054" w:rsidRDefault="00E26D56" w:rsidP="00D82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942170D" w14:textId="48B540D9" w:rsidR="008E4320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Соответствие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настоящему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ому регламенту обеспечивается выполнением его требований непосредственно.</w:t>
      </w:r>
    </w:p>
    <w:p w14:paraId="377B155B" w14:textId="5B3F3403" w:rsidR="008E4320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Методы исследований (испытаний) и измерений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устанавливаются в </w:t>
      </w:r>
      <w:r w:rsidR="001767F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документах по 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стандарт</w:t>
      </w:r>
      <w:r w:rsidR="001767FF" w:rsidRPr="00750054">
        <w:rPr>
          <w:rFonts w:ascii="Times New Roman" w:hAnsi="Times New Roman" w:cs="Times New Roman"/>
          <w:sz w:val="28"/>
          <w:szCs w:val="28"/>
          <w:lang w:val="ru-RU"/>
        </w:rPr>
        <w:t>изации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включенных в перечень </w:t>
      </w:r>
      <w:r w:rsidR="001767FF" w:rsidRPr="00750054">
        <w:rPr>
          <w:rFonts w:ascii="Times New Roman" w:hAnsi="Times New Roman" w:cs="Times New Roman"/>
          <w:sz w:val="28"/>
          <w:szCs w:val="28"/>
          <w:lang w:val="ru-RU"/>
        </w:rPr>
        <w:t>документов по стандартизации</w:t>
      </w:r>
      <w:r w:rsidR="005D4647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настоящего Технического регламента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</w:t>
      </w:r>
      <w:r w:rsidR="009141AC" w:rsidRPr="00750054">
        <w:rPr>
          <w:rFonts w:ascii="Times New Roman" w:hAnsi="Times New Roman" w:cs="Times New Roman"/>
          <w:sz w:val="28"/>
          <w:szCs w:val="28"/>
          <w:lang w:val="ru-RU"/>
        </w:rPr>
        <w:t>Техническ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ого регламента и осуществления оценки соответствия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="008E4320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07EF106A" w14:textId="77777777" w:rsidR="000C3409" w:rsidRPr="00750054" w:rsidRDefault="000C3409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52D8E0" w14:textId="77777777" w:rsidR="001767FF" w:rsidRPr="00750054" w:rsidRDefault="001767FF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BD6024" w14:textId="7157AF48" w:rsidR="000C3409" w:rsidRPr="00750054" w:rsidRDefault="000C3409" w:rsidP="00D751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1767FF" w:rsidRPr="00750054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. Государственный контроль (надзор)</w:t>
      </w:r>
      <w:r w:rsidR="00EF549F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соблюдением требований настоящего</w:t>
      </w:r>
      <w:r w:rsidR="001767FF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141AC" w:rsidRPr="00750054">
        <w:rPr>
          <w:rFonts w:ascii="Times New Roman" w:hAnsi="Times New Roman" w:cs="Times New Roman"/>
          <w:b/>
          <w:sz w:val="28"/>
          <w:szCs w:val="28"/>
          <w:lang w:val="ru-RU"/>
        </w:rPr>
        <w:t>Техническ</w:t>
      </w:r>
      <w:r w:rsidR="00EF549F" w:rsidRPr="00750054">
        <w:rPr>
          <w:rFonts w:ascii="Times New Roman" w:hAnsi="Times New Roman" w:cs="Times New Roman"/>
          <w:b/>
          <w:sz w:val="28"/>
          <w:szCs w:val="28"/>
          <w:lang w:val="ru-RU"/>
        </w:rPr>
        <w:t>ого регламента</w:t>
      </w:r>
    </w:p>
    <w:p w14:paraId="681E1CAB" w14:textId="77777777" w:rsidR="000C3409" w:rsidRPr="00750054" w:rsidRDefault="000C3409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3EB2EC" w14:textId="22BB367A" w:rsidR="000C3409" w:rsidRPr="00750054" w:rsidRDefault="00033924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Государственный контроль (надзор) за безопасностью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соответствии с требованиями </w:t>
      </w:r>
      <w:r w:rsidR="005C740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законодательства </w:t>
      </w:r>
      <w:r w:rsidR="000C3409" w:rsidRPr="00750054">
        <w:rPr>
          <w:rFonts w:ascii="Times New Roman" w:hAnsi="Times New Roman" w:cs="Times New Roman"/>
          <w:sz w:val="28"/>
          <w:szCs w:val="28"/>
          <w:lang w:val="ru-RU"/>
        </w:rPr>
        <w:t>Республики Казахстан.</w:t>
      </w:r>
    </w:p>
    <w:p w14:paraId="0E62E9AB" w14:textId="77777777" w:rsidR="008E4320" w:rsidRPr="00750054" w:rsidRDefault="008E4320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EE00FD" w14:textId="77777777" w:rsidR="001767FF" w:rsidRPr="00750054" w:rsidRDefault="001767FF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AB081C" w14:textId="49D7D79E" w:rsidR="008E4320" w:rsidRPr="00750054" w:rsidRDefault="00D43B16" w:rsidP="00D751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1767FF" w:rsidRPr="0075005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C740F" w:rsidRPr="0075005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E4320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F549F" w:rsidRPr="00750054">
        <w:rPr>
          <w:rFonts w:ascii="Times New Roman" w:hAnsi="Times New Roman" w:cs="Times New Roman"/>
          <w:b/>
          <w:sz w:val="28"/>
          <w:szCs w:val="28"/>
          <w:lang w:val="ru-RU"/>
        </w:rPr>
        <w:t>Подтверждение</w:t>
      </w:r>
      <w:r w:rsidR="008E4320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соответствия</w:t>
      </w:r>
    </w:p>
    <w:p w14:paraId="5362DC7C" w14:textId="77777777" w:rsidR="00E26D56" w:rsidRPr="00750054" w:rsidRDefault="00E26D56" w:rsidP="00D821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EB7A42" w14:textId="55DA49A6" w:rsidR="001C2EF9" w:rsidRPr="00750054" w:rsidRDefault="00033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1D2ABA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0DE3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EF549F" w:rsidRPr="00750054">
        <w:rPr>
          <w:rFonts w:ascii="Times New Roman" w:hAnsi="Times New Roman" w:cs="Times New Roman"/>
          <w:sz w:val="28"/>
          <w:szCs w:val="28"/>
          <w:lang w:val="ru-RU"/>
        </w:rPr>
        <w:t>ащ</w:t>
      </w:r>
      <w:r w:rsidR="001C2EF9" w:rsidRPr="00750054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EF549F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</w:t>
      </w:r>
      <w:r w:rsidR="001C2EF9" w:rsidRPr="0075005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безникотиновые</w:t>
      </w:r>
      <w:proofErr w:type="spellEnd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наполнители</w:t>
      </w:r>
      <w:r w:rsidR="001C2E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перед выпуском в обращение на рынке Республики Казахстан подлеж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2EF9" w:rsidRPr="00750054">
        <w:rPr>
          <w:rFonts w:ascii="Times New Roman" w:hAnsi="Times New Roman" w:cs="Times New Roman"/>
          <w:sz w:val="28"/>
          <w:szCs w:val="28"/>
          <w:lang w:val="ru-RU"/>
        </w:rPr>
        <w:t>т подтверждению соответствия в форме сертификации</w:t>
      </w:r>
      <w:r w:rsidR="00AE282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08E35FF" w14:textId="1B155B50" w:rsidR="00EF549F" w:rsidRPr="00750054" w:rsidRDefault="00033924" w:rsidP="00D751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EF549F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C3162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82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 соответствия </w:t>
      </w:r>
      <w:proofErr w:type="spellStart"/>
      <w:r w:rsidR="00FE3BC4" w:rsidRPr="00750054">
        <w:rPr>
          <w:rFonts w:ascii="Times New Roman" w:hAnsi="Times New Roman" w:cs="Times New Roman"/>
          <w:sz w:val="28"/>
          <w:szCs w:val="28"/>
          <w:lang w:val="ru-RU"/>
        </w:rPr>
        <w:t>никотинсодерж</w:t>
      </w:r>
      <w:r w:rsidR="00AE2829" w:rsidRPr="00750054">
        <w:rPr>
          <w:rFonts w:ascii="Times New Roman" w:hAnsi="Times New Roman" w:cs="Times New Roman"/>
          <w:sz w:val="28"/>
          <w:szCs w:val="28"/>
          <w:lang w:val="ru-RU"/>
        </w:rPr>
        <w:t>ащей</w:t>
      </w:r>
      <w:proofErr w:type="spellEnd"/>
      <w:r w:rsidR="00AE282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</w:t>
      </w:r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>безникотиновых</w:t>
      </w:r>
      <w:proofErr w:type="spellEnd"/>
      <w:r w:rsidR="003B30F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наполнителей</w:t>
      </w:r>
      <w:r w:rsidR="00AE2829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порядке, установленном законодательством в области технического регулирования. </w:t>
      </w:r>
    </w:p>
    <w:p w14:paraId="2CD6EFAF" w14:textId="77777777" w:rsidR="004118C0" w:rsidRPr="00750054" w:rsidRDefault="004118C0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577131" w14:textId="77777777" w:rsidR="00E433C8" w:rsidRPr="00750054" w:rsidRDefault="00E433C8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06C308" w14:textId="77777777" w:rsidR="00E433C8" w:rsidRPr="00750054" w:rsidRDefault="00E433C8" w:rsidP="00E433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Глава 13. Переходные положения</w:t>
      </w:r>
    </w:p>
    <w:p w14:paraId="560D9934" w14:textId="77777777" w:rsidR="00E433C8" w:rsidRPr="00750054" w:rsidRDefault="00E433C8" w:rsidP="00E433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B2320F" w14:textId="019A588D" w:rsidR="00E433C8" w:rsidRPr="00750054" w:rsidRDefault="00033924" w:rsidP="00E433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E433C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Настоящий Технический регламент вводится в действие по истечении 10 календарных дней после дня его первого официального опубликования, за исключением пункта 17 Технического регламента, который вводится в действие с даты вступления в силу Технического регламента Евразийского </w:t>
      </w:r>
      <w:r w:rsidR="00E433C8" w:rsidRPr="00750054">
        <w:rPr>
          <w:rFonts w:ascii="Times New Roman" w:hAnsi="Times New Roman" w:cs="Times New Roman"/>
          <w:sz w:val="28"/>
          <w:szCs w:val="28"/>
          <w:lang w:val="ru-RU"/>
        </w:rPr>
        <w:lastRenderedPageBreak/>
        <w:t>экономического союза «О безопасности химической продукции» (</w:t>
      </w:r>
      <w:proofErr w:type="gramStart"/>
      <w:r w:rsidR="00E433C8" w:rsidRPr="00750054"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gramEnd"/>
      <w:r w:rsidR="00E433C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 ЕАЭС 041/2017), принятого Решением Совета Евразийской экономической комиссии от 03.03.2017 г. № 19.</w:t>
      </w:r>
    </w:p>
    <w:p w14:paraId="4B17506E" w14:textId="1943DAF0" w:rsidR="00E433C8" w:rsidRPr="00750054" w:rsidRDefault="00033924" w:rsidP="00E433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="00E433C8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33C8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433C8" w:rsidRPr="00750054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Производство и выпуск в обращение на территории Республики Казахстан продукции, требования к которой предусмотрены Техническим регламентом, без соблюдения требований Технического регламента допускается в течение 12 месяцев со дня вступления в силу настоящего Технического регламента. </w:t>
      </w:r>
    </w:p>
    <w:p w14:paraId="07284699" w14:textId="1D5CD8B7" w:rsidR="00E433C8" w:rsidRPr="00750054" w:rsidRDefault="00033924" w:rsidP="00E433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E433C8" w:rsidRPr="00750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33C8"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433C8" w:rsidRPr="0075005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433C8" w:rsidRPr="0075005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бращение продукции, указанной в пункте </w:t>
      </w:r>
      <w:r w:rsidR="00223E2C" w:rsidRPr="0075005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52 </w:t>
      </w:r>
      <w:r w:rsidR="00E433C8" w:rsidRPr="0075005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настоящего Технического регламента, допускается до ее полной реализации на территории Республики Казахстан.</w:t>
      </w:r>
    </w:p>
    <w:p w14:paraId="2F28FE80" w14:textId="77777777" w:rsidR="00E433C8" w:rsidRPr="00750054" w:rsidRDefault="00E433C8" w:rsidP="00E433C8">
      <w:pPr>
        <w:pStyle w:val="a3"/>
        <w:tabs>
          <w:tab w:val="left" w:pos="1080"/>
        </w:tabs>
        <w:spacing w:after="0" w:line="240" w:lineRule="auto"/>
        <w:jc w:val="both"/>
        <w:rPr>
          <w:rStyle w:val="s0"/>
          <w:color w:val="auto"/>
          <w:sz w:val="28"/>
          <w:szCs w:val="28"/>
          <w:lang w:val="ru-RU"/>
        </w:rPr>
      </w:pPr>
    </w:p>
    <w:p w14:paraId="443E0837" w14:textId="77777777" w:rsidR="00E433C8" w:rsidRPr="00750054" w:rsidRDefault="00E433C8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433C8" w:rsidRPr="00750054" w:rsidSect="00F96617">
          <w:footerReference w:type="default" r:id="rId9"/>
          <w:footerReference w:type="first" r:id="rId10"/>
          <w:pgSz w:w="12240" w:h="15840"/>
          <w:pgMar w:top="1134" w:right="850" w:bottom="1134" w:left="1701" w:header="720" w:footer="720" w:gutter="0"/>
          <w:pgNumType w:start="1"/>
          <w:cols w:space="720"/>
          <w:docGrid w:linePitch="360"/>
        </w:sectPr>
      </w:pPr>
    </w:p>
    <w:p w14:paraId="58001090" w14:textId="77777777" w:rsidR="00BB251A" w:rsidRPr="00750054" w:rsidRDefault="00BB251A" w:rsidP="00BB251A">
      <w:pPr>
        <w:spacing w:after="0"/>
        <w:ind w:left="576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Приложение 1 </w:t>
      </w:r>
    </w:p>
    <w:p w14:paraId="65B94706" w14:textId="77777777" w:rsidR="00BB251A" w:rsidRPr="00750054" w:rsidRDefault="00BB251A" w:rsidP="00D751A3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 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Техническому регламенту </w:t>
      </w:r>
    </w:p>
    <w:p w14:paraId="5854FF33" w14:textId="3370CD7D" w:rsidR="00BB251A" w:rsidRPr="00750054" w:rsidRDefault="003B30F9" w:rsidP="00BB251A">
      <w:pPr>
        <w:spacing w:after="0"/>
        <w:ind w:left="576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к </w:t>
      </w:r>
      <w:proofErr w:type="spellStart"/>
      <w:r w:rsidR="00FE3BC4" w:rsidRPr="00750054">
        <w:rPr>
          <w:rFonts w:ascii="Times New Roman" w:hAnsi="Times New Roman" w:cs="Times New Roman"/>
          <w:b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продукции и наполнителям для систем доставки никотина, в том числе </w:t>
      </w:r>
      <w:proofErr w:type="spellStart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безникотиновым</w:t>
      </w:r>
      <w:proofErr w:type="spellEnd"/>
      <w:r w:rsidRPr="00750054" w:rsidDel="003B3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FCF2064" w14:textId="77777777" w:rsidR="00BB251A" w:rsidRPr="00750054" w:rsidRDefault="00BB251A" w:rsidP="00BB251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262E3700" w14:textId="07532B9C" w:rsidR="00BB251A" w:rsidRPr="00750054" w:rsidRDefault="00BB251A" w:rsidP="00D751A3">
      <w:pPr>
        <w:spacing w:after="0" w:line="240" w:lineRule="auto"/>
        <w:ind w:firstLine="5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Предельно-допустимые значения выделяемых веществ на 100 см</w:t>
      </w:r>
      <w:r w:rsidRPr="0075005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ru-RU"/>
        </w:rPr>
        <w:t>3</w:t>
      </w:r>
      <w:r w:rsidRPr="0075005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аэрозоля</w:t>
      </w:r>
    </w:p>
    <w:p w14:paraId="4E847CFC" w14:textId="77777777" w:rsidR="001162D1" w:rsidRPr="00750054" w:rsidRDefault="001162D1" w:rsidP="00BB251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5"/>
        <w:gridCol w:w="1471"/>
        <w:gridCol w:w="5454"/>
      </w:tblGrid>
      <w:tr w:rsidR="00E23F97" w:rsidRPr="00F96617" w14:paraId="386CE707" w14:textId="77777777" w:rsidTr="00E90DDE">
        <w:trPr>
          <w:trHeight w:val="575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5600B046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Вредные и потенциально вредные вещества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3774CE3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14:paraId="623578EC" w14:textId="1CBCA4C4" w:rsidR="00E23F97" w:rsidRPr="00750054" w:rsidRDefault="00E23F97" w:rsidP="004A1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Предельно-допустимые значения выделяемых веществ (на 100 см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аэрозоля)</w:t>
            </w:r>
          </w:p>
        </w:tc>
      </w:tr>
      <w:tr w:rsidR="00E23F97" w:rsidRPr="00750054" w14:paraId="7079E1CF" w14:textId="77777777" w:rsidTr="00E90DDE">
        <w:trPr>
          <w:trHeight w:val="322"/>
        </w:trPr>
        <w:tc>
          <w:tcPr>
            <w:tcW w:w="2785" w:type="dxa"/>
            <w:vAlign w:val="center"/>
          </w:tcPr>
          <w:p w14:paraId="44E7C398" w14:textId="7AF66876" w:rsidR="00E23F97" w:rsidRPr="00750054" w:rsidRDefault="00E23F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Монооксид</w:t>
            </w:r>
            <w:proofErr w:type="spellEnd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углерода (CO)</w:t>
            </w:r>
          </w:p>
        </w:tc>
        <w:tc>
          <w:tcPr>
            <w:tcW w:w="1440" w:type="dxa"/>
            <w:vAlign w:val="center"/>
          </w:tcPr>
          <w:p w14:paraId="0A478613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17353D35" w14:textId="3B3FF122" w:rsidR="00E23F97" w:rsidRPr="00750054" w:rsidRDefault="00E23F97" w:rsidP="00033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0.3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12F56A89" w14:textId="77777777" w:rsidTr="00E90DDE">
        <w:trPr>
          <w:trHeight w:val="342"/>
        </w:trPr>
        <w:tc>
          <w:tcPr>
            <w:tcW w:w="2785" w:type="dxa"/>
            <w:vAlign w:val="center"/>
          </w:tcPr>
          <w:p w14:paraId="0ED8ADF3" w14:textId="5F048A07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Оксид азота (NO)</w:t>
            </w:r>
          </w:p>
        </w:tc>
        <w:tc>
          <w:tcPr>
            <w:tcW w:w="1440" w:type="dxa"/>
            <w:vAlign w:val="center"/>
          </w:tcPr>
          <w:p w14:paraId="2995FE8C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мкг/100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5F59CC09" w14:textId="20E60C29" w:rsidR="00E23F97" w:rsidRPr="00750054" w:rsidRDefault="00E23F97" w:rsidP="00231B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 ± 20%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6210D393" w14:textId="77777777" w:rsidTr="00E90DDE">
        <w:trPr>
          <w:trHeight w:val="322"/>
        </w:trPr>
        <w:tc>
          <w:tcPr>
            <w:tcW w:w="2785" w:type="dxa"/>
            <w:vAlign w:val="center"/>
          </w:tcPr>
          <w:p w14:paraId="6C04C782" w14:textId="6472DD91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Оксиды азота (</w:t>
            </w:r>
            <w:proofErr w:type="spellStart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NOx</w:t>
            </w:r>
            <w:proofErr w:type="spellEnd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40" w:type="dxa"/>
            <w:vAlign w:val="center"/>
          </w:tcPr>
          <w:p w14:paraId="0E66B9D8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мкг/100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58E4F17B" w14:textId="5E423DE1" w:rsidR="00E23F97" w:rsidRPr="00750054" w:rsidRDefault="00E23F97" w:rsidP="00231B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Pr="00750054" w:rsidDel="005540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± 20%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5076FE3C" w14:textId="77777777" w:rsidTr="00E90DDE">
        <w:trPr>
          <w:trHeight w:val="342"/>
        </w:trPr>
        <w:tc>
          <w:tcPr>
            <w:tcW w:w="2785" w:type="dxa"/>
            <w:vAlign w:val="center"/>
          </w:tcPr>
          <w:p w14:paraId="3A918AB7" w14:textId="77777777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Фенол</w:t>
            </w:r>
          </w:p>
        </w:tc>
        <w:tc>
          <w:tcPr>
            <w:tcW w:w="1440" w:type="dxa"/>
            <w:vAlign w:val="center"/>
          </w:tcPr>
          <w:p w14:paraId="7C835FED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мкг/100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4D65ABA7" w14:textId="31EA086F" w:rsidR="00E23F97" w:rsidRPr="00750054" w:rsidRDefault="004E4E8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E23F9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1ECF4F06" w14:textId="77777777" w:rsidTr="00E90DDE">
        <w:trPr>
          <w:trHeight w:val="322"/>
        </w:trPr>
        <w:tc>
          <w:tcPr>
            <w:tcW w:w="2785" w:type="dxa"/>
            <w:vAlign w:val="center"/>
          </w:tcPr>
          <w:p w14:paraId="0004121A" w14:textId="77777777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Ацетальдегид</w:t>
            </w:r>
          </w:p>
        </w:tc>
        <w:tc>
          <w:tcPr>
            <w:tcW w:w="1440" w:type="dxa"/>
            <w:vAlign w:val="center"/>
          </w:tcPr>
          <w:p w14:paraId="37371BCE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мкг/100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22D9F66C" w14:textId="7A525D1E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4CC070A0" w14:textId="77777777" w:rsidTr="00E90DDE">
        <w:trPr>
          <w:trHeight w:val="361"/>
        </w:trPr>
        <w:tc>
          <w:tcPr>
            <w:tcW w:w="2785" w:type="dxa"/>
            <w:vAlign w:val="center"/>
          </w:tcPr>
          <w:p w14:paraId="12175F17" w14:textId="77777777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Акролеин</w:t>
            </w:r>
          </w:p>
        </w:tc>
        <w:tc>
          <w:tcPr>
            <w:tcW w:w="1440" w:type="dxa"/>
            <w:vAlign w:val="center"/>
          </w:tcPr>
          <w:p w14:paraId="25A7BAE4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мкг/100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1E520CC4" w14:textId="44CB3D16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7F70FFA8" w14:textId="77777777" w:rsidTr="00E90DDE">
        <w:trPr>
          <w:trHeight w:val="342"/>
        </w:trPr>
        <w:tc>
          <w:tcPr>
            <w:tcW w:w="2785" w:type="dxa"/>
            <w:vAlign w:val="center"/>
          </w:tcPr>
          <w:p w14:paraId="0DAD9786" w14:textId="77777777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Формальдегид</w:t>
            </w:r>
          </w:p>
        </w:tc>
        <w:tc>
          <w:tcPr>
            <w:tcW w:w="1440" w:type="dxa"/>
            <w:vAlign w:val="center"/>
          </w:tcPr>
          <w:p w14:paraId="579AAAA6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мкг/100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5F0C8C58" w14:textId="43F35221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18733492" w14:textId="77777777" w:rsidTr="00E90DDE">
        <w:trPr>
          <w:trHeight w:val="322"/>
        </w:trPr>
        <w:tc>
          <w:tcPr>
            <w:tcW w:w="2785" w:type="dxa"/>
            <w:vAlign w:val="center"/>
          </w:tcPr>
          <w:p w14:paraId="2D0CBB41" w14:textId="77777777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NNK</w:t>
            </w:r>
          </w:p>
        </w:tc>
        <w:tc>
          <w:tcPr>
            <w:tcW w:w="1440" w:type="dxa"/>
            <w:vAlign w:val="center"/>
          </w:tcPr>
          <w:p w14:paraId="5C7883C1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нг</w:t>
            </w:r>
            <w:proofErr w:type="spellEnd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7E5EDDE2" w14:textId="68A28D5C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248CE2A8" w14:textId="77777777" w:rsidTr="00E90DDE">
        <w:trPr>
          <w:trHeight w:val="342"/>
        </w:trPr>
        <w:tc>
          <w:tcPr>
            <w:tcW w:w="2785" w:type="dxa"/>
            <w:vAlign w:val="center"/>
          </w:tcPr>
          <w:p w14:paraId="16B4761F" w14:textId="77777777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NNN</w:t>
            </w:r>
          </w:p>
        </w:tc>
        <w:tc>
          <w:tcPr>
            <w:tcW w:w="1440" w:type="dxa"/>
            <w:vAlign w:val="center"/>
          </w:tcPr>
          <w:p w14:paraId="242435C4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нг</w:t>
            </w:r>
            <w:proofErr w:type="spellEnd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611CAFB0" w14:textId="3F15E64D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64FDFDFD" w14:textId="77777777" w:rsidTr="00E90DDE">
        <w:trPr>
          <w:trHeight w:val="322"/>
        </w:trPr>
        <w:tc>
          <w:tcPr>
            <w:tcW w:w="2785" w:type="dxa"/>
            <w:vAlign w:val="center"/>
          </w:tcPr>
          <w:p w14:paraId="4BE01A34" w14:textId="77777777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Бензо</w:t>
            </w:r>
            <w:proofErr w:type="spellEnd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[a] </w:t>
            </w:r>
            <w:proofErr w:type="spellStart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пирен</w:t>
            </w:r>
            <w:proofErr w:type="spellEnd"/>
          </w:p>
        </w:tc>
        <w:tc>
          <w:tcPr>
            <w:tcW w:w="1440" w:type="dxa"/>
            <w:vAlign w:val="center"/>
          </w:tcPr>
          <w:p w14:paraId="6F5A0831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нг</w:t>
            </w:r>
            <w:proofErr w:type="spellEnd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518135E9" w14:textId="4630F6AF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452A600C" w14:textId="77777777" w:rsidTr="00E90DDE">
        <w:trPr>
          <w:trHeight w:val="342"/>
        </w:trPr>
        <w:tc>
          <w:tcPr>
            <w:tcW w:w="2785" w:type="dxa"/>
            <w:vAlign w:val="center"/>
          </w:tcPr>
          <w:p w14:paraId="7F05C4A6" w14:textId="77777777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1,3-бутадиен</w:t>
            </w:r>
          </w:p>
        </w:tc>
        <w:tc>
          <w:tcPr>
            <w:tcW w:w="1440" w:type="dxa"/>
            <w:vAlign w:val="center"/>
          </w:tcPr>
          <w:p w14:paraId="1B560A2B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мкг/100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3E9A6BE7" w14:textId="5F7461D4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E23F97" w:rsidRPr="00750054" w14:paraId="48A92714" w14:textId="77777777" w:rsidTr="00E90DDE">
        <w:trPr>
          <w:trHeight w:val="314"/>
        </w:trPr>
        <w:tc>
          <w:tcPr>
            <w:tcW w:w="2785" w:type="dxa"/>
            <w:vAlign w:val="center"/>
          </w:tcPr>
          <w:p w14:paraId="05B3921E" w14:textId="77777777" w:rsidR="00E23F97" w:rsidRPr="00750054" w:rsidRDefault="00E23F97" w:rsidP="00176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Бензол</w:t>
            </w:r>
          </w:p>
        </w:tc>
        <w:tc>
          <w:tcPr>
            <w:tcW w:w="1440" w:type="dxa"/>
            <w:vAlign w:val="center"/>
          </w:tcPr>
          <w:p w14:paraId="54F92FA3" w14:textId="77777777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мкг/100 cм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454" w:type="dxa"/>
            <w:vAlign w:val="center"/>
          </w:tcPr>
          <w:p w14:paraId="3FF582D6" w14:textId="0ED9DC15" w:rsidR="00E23F97" w:rsidRPr="00750054" w:rsidRDefault="00E23F97" w:rsidP="00176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4E4E87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BB251A" w:rsidRPr="00F96617" w14:paraId="61D06613" w14:textId="77777777" w:rsidTr="001767FF">
        <w:trPr>
          <w:trHeight w:val="314"/>
        </w:trPr>
        <w:tc>
          <w:tcPr>
            <w:tcW w:w="9679" w:type="dxa"/>
            <w:gridSpan w:val="3"/>
            <w:vAlign w:val="center"/>
          </w:tcPr>
          <w:p w14:paraId="1C4D1437" w14:textId="32740C3D" w:rsidR="00BB251A" w:rsidRPr="00750054" w:rsidRDefault="00BB251A" w:rsidP="001767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color w:val="000000" w:themeColor="text1"/>
                <w:spacing w:val="20"/>
                <w:sz w:val="28"/>
                <w:szCs w:val="28"/>
                <w:lang w:val="ru-RU"/>
              </w:rPr>
              <w:t>Примечани</w:t>
            </w:r>
            <w:r w:rsidR="007A069F" w:rsidRPr="00750054">
              <w:rPr>
                <w:rFonts w:ascii="Times New Roman" w:hAnsi="Times New Roman" w:cs="Times New Roman"/>
                <w:color w:val="000000" w:themeColor="text1"/>
                <w:spacing w:val="20"/>
                <w:sz w:val="28"/>
                <w:szCs w:val="28"/>
                <w:lang w:val="ru-RU"/>
              </w:rPr>
              <w:t>е</w:t>
            </w:r>
          </w:p>
          <w:p w14:paraId="7D90FB56" w14:textId="09880D6E" w:rsidR="004E4E87" w:rsidRPr="00750054" w:rsidRDefault="004E4E87" w:rsidP="004E4E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*- значения показателя применим</w:t>
            </w:r>
            <w:r w:rsidR="00407196"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изделий с нагреваемым табаком. Значение показателя для иных видов </w:t>
            </w:r>
            <w:proofErr w:type="spellStart"/>
            <w:r w:rsidR="00FE3BC4"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никотинсодерж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ащих</w:t>
            </w:r>
            <w:proofErr w:type="spellEnd"/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изделий</w:t>
            </w:r>
            <w:r w:rsidR="00CD6DE3"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D6DE3"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безникотиновых</w:t>
            </w:r>
            <w:proofErr w:type="spellEnd"/>
            <w:r w:rsidR="00CD6DE3"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наполнителей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будет установлен</w:t>
            </w:r>
            <w:r w:rsidR="00407196"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после введения в действие 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документа по стандартизации, определяющего соответствующий метод </w:t>
            </w:r>
            <w:r w:rsidR="00CD6DE3"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исследований (испытаний)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с учетом метрологических характеристик указанного метода </w:t>
            </w:r>
            <w:r w:rsidR="00CD6DE3"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исследований (испытаний)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 имеющихся научных исследований.</w:t>
            </w:r>
          </w:p>
          <w:p w14:paraId="7A3BC3B8" w14:textId="48E84469" w:rsidR="00BB251A" w:rsidRPr="00750054" w:rsidRDefault="00BB251A" w:rsidP="004E4E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*</w:t>
            </w:r>
            <w:r w:rsidR="004E4E87"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*</w:t>
            </w:r>
            <w:r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- значение показателя будет установлено после введения в действие документа по стандартизации, определяющего соответствующий метод </w:t>
            </w:r>
            <w:r w:rsidR="00CD6DE3" w:rsidRPr="0075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исследований (испытаний), с учетом метрологических характеристик указанного метода исследований (испытаний) и имеющихся научных исследований.</w:t>
            </w:r>
          </w:p>
        </w:tc>
      </w:tr>
    </w:tbl>
    <w:p w14:paraId="4634BBBF" w14:textId="77777777" w:rsidR="00BB251A" w:rsidRPr="00750054" w:rsidRDefault="00BB251A" w:rsidP="00BB251A">
      <w:pPr>
        <w:spacing w:after="0" w:line="240" w:lineRule="auto"/>
        <w:ind w:firstLine="56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ectPr w:rsidR="00BB251A" w:rsidRPr="00750054" w:rsidSect="00AD7167">
          <w:footerReference w:type="default" r:id="rId11"/>
          <w:pgSz w:w="12240" w:h="15840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8B7579A" w14:textId="4176A866" w:rsidR="00F05A6C" w:rsidRPr="00750054" w:rsidRDefault="00F05A6C" w:rsidP="00F05A6C">
      <w:pPr>
        <w:spacing w:after="0"/>
        <w:ind w:left="576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Приложение </w:t>
      </w:r>
      <w:r w:rsidR="00304BC2" w:rsidRPr="0075005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</w:t>
      </w:r>
    </w:p>
    <w:p w14:paraId="4CA87EBE" w14:textId="77777777" w:rsidR="00F05A6C" w:rsidRPr="00750054" w:rsidRDefault="00F05A6C" w:rsidP="00F05A6C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 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Техническому регламенту </w:t>
      </w:r>
    </w:p>
    <w:p w14:paraId="77132A05" w14:textId="4377E058" w:rsidR="00F05A6C" w:rsidRPr="00750054" w:rsidRDefault="00F05A6C" w:rsidP="00F05A6C">
      <w:pPr>
        <w:spacing w:after="0"/>
        <w:ind w:left="576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к </w:t>
      </w:r>
      <w:proofErr w:type="spellStart"/>
      <w:r w:rsidR="00FE3BC4" w:rsidRPr="00750054">
        <w:rPr>
          <w:rFonts w:ascii="Times New Roman" w:hAnsi="Times New Roman" w:cs="Times New Roman"/>
          <w:b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продукции и наполнителям для систем доставки никотина, в том числе </w:t>
      </w:r>
      <w:proofErr w:type="spellStart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безникотиновым</w:t>
      </w:r>
      <w:proofErr w:type="spellEnd"/>
      <w:r w:rsidRPr="00750054" w:rsidDel="003B3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AB1FD3D" w14:textId="77777777" w:rsidR="00F05A6C" w:rsidRPr="00750054" w:rsidRDefault="00F05A6C" w:rsidP="00F05A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294CDE02" w14:textId="77777777" w:rsidR="00F05A6C" w:rsidRPr="00750054" w:rsidRDefault="00F05A6C" w:rsidP="00F05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EDCC32" w14:textId="77777777" w:rsidR="00F05A6C" w:rsidRPr="00750054" w:rsidRDefault="00F05A6C" w:rsidP="00F0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</w:p>
    <w:p w14:paraId="31BF48FF" w14:textId="6B70109E" w:rsidR="00F05A6C" w:rsidRPr="00750054" w:rsidRDefault="00F05A6C" w:rsidP="00F0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документов по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«Требования к </w:t>
      </w:r>
      <w:proofErr w:type="spellStart"/>
      <w:r w:rsidR="00FE3BC4" w:rsidRPr="00750054">
        <w:rPr>
          <w:rFonts w:ascii="Times New Roman" w:hAnsi="Times New Roman" w:cs="Times New Roman"/>
          <w:b/>
          <w:sz w:val="28"/>
          <w:szCs w:val="28"/>
          <w:lang w:val="ru-RU"/>
        </w:rPr>
        <w:t>никотинсодерж</w:t>
      </w:r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ащей</w:t>
      </w:r>
      <w:proofErr w:type="spellEnd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продукции и наполнителям для систем доставки никотина, в том числе </w:t>
      </w:r>
      <w:proofErr w:type="spellStart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безникотиновым</w:t>
      </w:r>
      <w:proofErr w:type="spellEnd"/>
      <w:r w:rsidRPr="00750054">
        <w:rPr>
          <w:rFonts w:ascii="Times New Roman" w:hAnsi="Times New Roman" w:cs="Times New Roman"/>
          <w:b/>
          <w:sz w:val="28"/>
          <w:szCs w:val="28"/>
          <w:lang w:val="ru-RU"/>
        </w:rPr>
        <w:t>» и осуществления оценки соответствия объектов технического регулирования</w:t>
      </w:r>
    </w:p>
    <w:p w14:paraId="12602645" w14:textId="77777777" w:rsidR="00F05A6C" w:rsidRPr="00750054" w:rsidRDefault="00F05A6C" w:rsidP="00F0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A8F16C" w14:textId="77777777" w:rsidR="00F05A6C" w:rsidRPr="00750054" w:rsidRDefault="00F05A6C" w:rsidP="00F0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823"/>
        <w:gridCol w:w="1908"/>
        <w:gridCol w:w="3443"/>
        <w:gridCol w:w="2137"/>
      </w:tblGrid>
      <w:tr w:rsidR="00F05A6C" w:rsidRPr="00750054" w14:paraId="16191D51" w14:textId="77777777" w:rsidTr="0012724D">
        <w:tc>
          <w:tcPr>
            <w:tcW w:w="531" w:type="dxa"/>
            <w:vAlign w:val="center"/>
          </w:tcPr>
          <w:p w14:paraId="2542733C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511" w:type="dxa"/>
          </w:tcPr>
          <w:p w14:paraId="014B84B7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</w:t>
            </w:r>
            <w:proofErr w:type="spellEnd"/>
            <w:r w:rsidRPr="00750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технического</w:t>
            </w:r>
            <w:proofErr w:type="spellEnd"/>
            <w:r w:rsidRPr="00750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регламента</w:t>
            </w:r>
            <w:proofErr w:type="spellEnd"/>
          </w:p>
        </w:tc>
        <w:tc>
          <w:tcPr>
            <w:tcW w:w="2001" w:type="dxa"/>
            <w:vAlign w:val="center"/>
          </w:tcPr>
          <w:p w14:paraId="492F11A2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Обозначение стандарта</w:t>
            </w:r>
          </w:p>
        </w:tc>
        <w:tc>
          <w:tcPr>
            <w:tcW w:w="3851" w:type="dxa"/>
            <w:vAlign w:val="center"/>
          </w:tcPr>
          <w:p w14:paraId="2DC453B0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стандарта</w:t>
            </w:r>
          </w:p>
        </w:tc>
        <w:tc>
          <w:tcPr>
            <w:tcW w:w="1785" w:type="dxa"/>
            <w:vAlign w:val="center"/>
          </w:tcPr>
          <w:p w14:paraId="5FCB5217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F05A6C" w:rsidRPr="00750054" w14:paraId="42FC21CD" w14:textId="77777777" w:rsidTr="0012724D">
        <w:tc>
          <w:tcPr>
            <w:tcW w:w="531" w:type="dxa"/>
          </w:tcPr>
          <w:p w14:paraId="5C86618C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11" w:type="dxa"/>
          </w:tcPr>
          <w:p w14:paraId="2A592FBF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01" w:type="dxa"/>
          </w:tcPr>
          <w:p w14:paraId="3A897DD7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51" w:type="dxa"/>
          </w:tcPr>
          <w:p w14:paraId="47AD7793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85" w:type="dxa"/>
          </w:tcPr>
          <w:p w14:paraId="64D10D67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05A6C" w:rsidRPr="00750054" w14:paraId="25AEE1B8" w14:textId="77777777" w:rsidTr="009B57C6">
        <w:tc>
          <w:tcPr>
            <w:tcW w:w="531" w:type="dxa"/>
            <w:shd w:val="clear" w:color="auto" w:fill="auto"/>
          </w:tcPr>
          <w:p w14:paraId="5DA99933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14:paraId="4E6730AA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 12 главы 5</w:t>
            </w:r>
          </w:p>
        </w:tc>
        <w:tc>
          <w:tcPr>
            <w:tcW w:w="2001" w:type="dxa"/>
          </w:tcPr>
          <w:p w14:paraId="67C2BC40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 30570–2015</w:t>
            </w:r>
          </w:p>
        </w:tc>
        <w:tc>
          <w:tcPr>
            <w:tcW w:w="3851" w:type="dxa"/>
          </w:tcPr>
          <w:p w14:paraId="34BCE2EE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Сигареты. Определение содержания никотина в конденсате дыма. Метод газовой хроматографии</w:t>
            </w:r>
            <w:r w:rsidRPr="00750054" w:rsidDel="00CA5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5" w:type="dxa"/>
          </w:tcPr>
          <w:p w14:paraId="4D5A8BB8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5A6C" w:rsidRPr="00F96617" w14:paraId="6D8F2788" w14:textId="77777777" w:rsidTr="009B57C6">
        <w:tc>
          <w:tcPr>
            <w:tcW w:w="531" w:type="dxa"/>
            <w:shd w:val="clear" w:color="auto" w:fill="auto"/>
          </w:tcPr>
          <w:p w14:paraId="41161B72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14:paraId="0827C8D2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 13, 14 главы 5</w:t>
            </w:r>
          </w:p>
        </w:tc>
        <w:tc>
          <w:tcPr>
            <w:tcW w:w="2001" w:type="dxa"/>
          </w:tcPr>
          <w:p w14:paraId="794FE30C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РК 3304-2018 </w:t>
            </w:r>
          </w:p>
        </w:tc>
        <w:tc>
          <w:tcPr>
            <w:tcW w:w="3851" w:type="dxa"/>
          </w:tcPr>
          <w:p w14:paraId="08C63D7F" w14:textId="00FE161C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Никотиносодержащая</w:t>
            </w:r>
            <w:proofErr w:type="spellEnd"/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продукция. Изделия с нагреваемым табаком. Технические требования</w:t>
            </w:r>
          </w:p>
        </w:tc>
        <w:tc>
          <w:tcPr>
            <w:tcW w:w="1785" w:type="dxa"/>
          </w:tcPr>
          <w:p w14:paraId="3831E79C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изделий с нагреваемым табаком</w:t>
            </w:r>
          </w:p>
        </w:tc>
      </w:tr>
      <w:tr w:rsidR="00F05A6C" w:rsidRPr="00750054" w14:paraId="10283D95" w14:textId="77777777" w:rsidTr="009B57C6">
        <w:tc>
          <w:tcPr>
            <w:tcW w:w="531" w:type="dxa"/>
            <w:shd w:val="clear" w:color="auto" w:fill="auto"/>
          </w:tcPr>
          <w:p w14:paraId="27EC80C6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14:paraId="3714E2DA" w14:textId="0C357929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 15 главы 5</w:t>
            </w:r>
            <w:r w:rsidR="009B57C6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пункт 23 главы 6</w:t>
            </w:r>
          </w:p>
        </w:tc>
        <w:tc>
          <w:tcPr>
            <w:tcW w:w="2001" w:type="dxa"/>
          </w:tcPr>
          <w:p w14:paraId="374FA481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 ISO 21807–2015</w:t>
            </w:r>
          </w:p>
        </w:tc>
        <w:tc>
          <w:tcPr>
            <w:tcW w:w="3851" w:type="dxa"/>
          </w:tcPr>
          <w:p w14:paraId="0566C481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Микробиология пищевых продуктов и кормов для животных. Определение активности воды.</w:t>
            </w:r>
          </w:p>
        </w:tc>
        <w:tc>
          <w:tcPr>
            <w:tcW w:w="1785" w:type="dxa"/>
          </w:tcPr>
          <w:p w14:paraId="528D41F5" w14:textId="7A75C965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Требование пункта 15 главы 5 </w:t>
            </w:r>
            <w:r w:rsidR="009B57C6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пункта 23 главы 6 </w:t>
            </w: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вступает в силу после введения в действие ГОСТ </w:t>
            </w:r>
            <w:r w:rsidRPr="00750054">
              <w:rPr>
                <w:rFonts w:ascii="Times New Roman" w:hAnsi="Times New Roman" w:cs="Times New Roman"/>
                <w:sz w:val="28"/>
                <w:szCs w:val="28"/>
              </w:rPr>
              <w:t>ISO</w:t>
            </w: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21807 Микробиология пищевых продуктов и кормов для животных. Определение активности воды</w:t>
            </w:r>
          </w:p>
        </w:tc>
      </w:tr>
      <w:tr w:rsidR="00F05A6C" w:rsidRPr="00750054" w14:paraId="30DE4959" w14:textId="77777777" w:rsidTr="009B57C6">
        <w:tc>
          <w:tcPr>
            <w:tcW w:w="531" w:type="dxa"/>
          </w:tcPr>
          <w:p w14:paraId="72CF2DFB" w14:textId="77777777" w:rsidR="00F05A6C" w:rsidRPr="00750054" w:rsidRDefault="00F05A6C" w:rsidP="001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511" w:type="dxa"/>
            <w:shd w:val="clear" w:color="auto" w:fill="auto"/>
          </w:tcPr>
          <w:p w14:paraId="1123E083" w14:textId="353F0356" w:rsidR="00F05A6C" w:rsidRPr="00750054" w:rsidRDefault="00F05A6C" w:rsidP="009B57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пункт </w:t>
            </w:r>
            <w:r w:rsidR="009B57C6"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главы 8</w:t>
            </w:r>
          </w:p>
        </w:tc>
        <w:tc>
          <w:tcPr>
            <w:tcW w:w="2001" w:type="dxa"/>
          </w:tcPr>
          <w:p w14:paraId="2868AB7A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</w:rPr>
              <w:t>СТ РК ISO 9001-2016</w:t>
            </w:r>
          </w:p>
        </w:tc>
        <w:tc>
          <w:tcPr>
            <w:tcW w:w="3851" w:type="dxa"/>
          </w:tcPr>
          <w:p w14:paraId="52872F67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Системы менеджмента качества. </w:t>
            </w:r>
            <w:proofErr w:type="spellStart"/>
            <w:r w:rsidRPr="00750054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spellEnd"/>
            <w:r w:rsidRPr="00750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325238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5088F2FA" w14:textId="77777777" w:rsidR="00F05A6C" w:rsidRPr="00750054" w:rsidRDefault="00F05A6C" w:rsidP="00127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5062B49" w14:textId="77777777" w:rsidR="00F05A6C" w:rsidRPr="00750054" w:rsidRDefault="00F05A6C" w:rsidP="00D8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05A6C" w:rsidRPr="00750054" w:rsidSect="00AD7167">
      <w:footerReference w:type="default" r:id="rId12"/>
      <w:footerReference w:type="first" r:id="rId13"/>
      <w:pgSz w:w="12240" w:h="15840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86EF7" w14:textId="77777777" w:rsidR="0015330D" w:rsidRDefault="0015330D" w:rsidP="00C96094">
      <w:pPr>
        <w:spacing w:after="0" w:line="240" w:lineRule="auto"/>
      </w:pPr>
      <w:r>
        <w:separator/>
      </w:r>
    </w:p>
  </w:endnote>
  <w:endnote w:type="continuationSeparator" w:id="0">
    <w:p w14:paraId="6E3D4C42" w14:textId="77777777" w:rsidR="0015330D" w:rsidRDefault="0015330D" w:rsidP="00C9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F062" w14:textId="4E81B677" w:rsidR="00D56688" w:rsidRDefault="00D56688">
    <w:pPr>
      <w:pStyle w:val="ad"/>
      <w:jc w:val="center"/>
    </w:pPr>
  </w:p>
  <w:p w14:paraId="647FBCE3" w14:textId="77777777" w:rsidR="00D56688" w:rsidRDefault="00D5668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631838"/>
      <w:docPartObj>
        <w:docPartGallery w:val="Page Numbers (Bottom of Page)"/>
        <w:docPartUnique/>
      </w:docPartObj>
    </w:sdtPr>
    <w:sdtContent>
      <w:p w14:paraId="5F36C4FB" w14:textId="6A9ACA7E" w:rsidR="00F96617" w:rsidRDefault="00F966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6617">
          <w:rPr>
            <w:noProof/>
            <w:lang w:val="ru-RU"/>
          </w:rPr>
          <w:t>1</w:t>
        </w:r>
        <w:r>
          <w:fldChar w:fldCharType="end"/>
        </w:r>
      </w:p>
    </w:sdtContent>
  </w:sdt>
  <w:p w14:paraId="7962A7D5" w14:textId="77777777" w:rsidR="00F96617" w:rsidRDefault="00F9661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58C22" w14:textId="77777777" w:rsidR="00D56688" w:rsidRDefault="00D56688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5426" w14:textId="77777777" w:rsidR="00F96617" w:rsidRDefault="00F96617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495CC" w14:textId="77777777" w:rsidR="00D56688" w:rsidRDefault="00D5668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AEA92" w14:textId="77777777" w:rsidR="0015330D" w:rsidRDefault="0015330D" w:rsidP="00C96094">
      <w:pPr>
        <w:spacing w:after="0" w:line="240" w:lineRule="auto"/>
      </w:pPr>
      <w:r>
        <w:separator/>
      </w:r>
    </w:p>
  </w:footnote>
  <w:footnote w:type="continuationSeparator" w:id="0">
    <w:p w14:paraId="0B6A1492" w14:textId="77777777" w:rsidR="0015330D" w:rsidRDefault="0015330D" w:rsidP="00C9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701"/>
    <w:multiLevelType w:val="hybridMultilevel"/>
    <w:tmpl w:val="977CE8F0"/>
    <w:lvl w:ilvl="0" w:tplc="EBE2C2A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353E"/>
    <w:multiLevelType w:val="multilevel"/>
    <w:tmpl w:val="8F7A9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01614D9"/>
    <w:multiLevelType w:val="hybridMultilevel"/>
    <w:tmpl w:val="03868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DE2"/>
    <w:multiLevelType w:val="hybridMultilevel"/>
    <w:tmpl w:val="51B4D284"/>
    <w:lvl w:ilvl="0" w:tplc="BDFACDEA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7067A6"/>
    <w:multiLevelType w:val="hybridMultilevel"/>
    <w:tmpl w:val="5524CFCC"/>
    <w:lvl w:ilvl="0" w:tplc="EBA4AE2E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072B30"/>
    <w:multiLevelType w:val="hybridMultilevel"/>
    <w:tmpl w:val="CC64965A"/>
    <w:lvl w:ilvl="0" w:tplc="5DF4A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80166"/>
    <w:multiLevelType w:val="hybridMultilevel"/>
    <w:tmpl w:val="8B7CBC04"/>
    <w:lvl w:ilvl="0" w:tplc="EBA4AE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595505"/>
    <w:multiLevelType w:val="hybridMultilevel"/>
    <w:tmpl w:val="2D6E6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100D8"/>
    <w:multiLevelType w:val="hybridMultilevel"/>
    <w:tmpl w:val="07B4DB44"/>
    <w:lvl w:ilvl="0" w:tplc="EBA4AE2E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>
    <w:nsid w:val="2F870590"/>
    <w:multiLevelType w:val="hybridMultilevel"/>
    <w:tmpl w:val="4EDA9B22"/>
    <w:lvl w:ilvl="0" w:tplc="EBA4AE2E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4A610B9"/>
    <w:multiLevelType w:val="hybridMultilevel"/>
    <w:tmpl w:val="768EAE06"/>
    <w:lvl w:ilvl="0" w:tplc="EBA4AE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EC73D1"/>
    <w:multiLevelType w:val="hybridMultilevel"/>
    <w:tmpl w:val="CCE0389E"/>
    <w:lvl w:ilvl="0" w:tplc="7BB8A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8349A"/>
    <w:multiLevelType w:val="hybridMultilevel"/>
    <w:tmpl w:val="82D2425A"/>
    <w:lvl w:ilvl="0" w:tplc="EBA4AE2E">
      <w:numFmt w:val="bullet"/>
      <w:lvlText w:val="-"/>
      <w:lvlJc w:val="left"/>
      <w:pPr>
        <w:ind w:left="126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>
    <w:nsid w:val="4759708E"/>
    <w:multiLevelType w:val="hybridMultilevel"/>
    <w:tmpl w:val="FB06A3CC"/>
    <w:lvl w:ilvl="0" w:tplc="44D06D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B387E"/>
    <w:multiLevelType w:val="hybridMultilevel"/>
    <w:tmpl w:val="5B52C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04A0"/>
    <w:multiLevelType w:val="hybridMultilevel"/>
    <w:tmpl w:val="B8DA3920"/>
    <w:lvl w:ilvl="0" w:tplc="F820A26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60F4E"/>
    <w:multiLevelType w:val="hybridMultilevel"/>
    <w:tmpl w:val="8BD61C4A"/>
    <w:lvl w:ilvl="0" w:tplc="EBA4AE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8E0CF7"/>
    <w:multiLevelType w:val="hybridMultilevel"/>
    <w:tmpl w:val="66C6126E"/>
    <w:lvl w:ilvl="0" w:tplc="8C480C4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967EA"/>
    <w:multiLevelType w:val="hybridMultilevel"/>
    <w:tmpl w:val="EFC29808"/>
    <w:lvl w:ilvl="0" w:tplc="1A6014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B5197"/>
    <w:multiLevelType w:val="hybridMultilevel"/>
    <w:tmpl w:val="B8E24328"/>
    <w:lvl w:ilvl="0" w:tplc="EBA4AE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2F34CF"/>
    <w:multiLevelType w:val="hybridMultilevel"/>
    <w:tmpl w:val="FCDC3FAE"/>
    <w:lvl w:ilvl="0" w:tplc="1F6A7F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C00B0"/>
    <w:multiLevelType w:val="hybridMultilevel"/>
    <w:tmpl w:val="FAF2A3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74944"/>
    <w:multiLevelType w:val="hybridMultilevel"/>
    <w:tmpl w:val="A4F0FFCC"/>
    <w:lvl w:ilvl="0" w:tplc="2E6434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5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9"/>
  </w:num>
  <w:num w:numId="10">
    <w:abstractNumId w:val="10"/>
  </w:num>
  <w:num w:numId="11">
    <w:abstractNumId w:val="13"/>
  </w:num>
  <w:num w:numId="12">
    <w:abstractNumId w:val="15"/>
  </w:num>
  <w:num w:numId="13">
    <w:abstractNumId w:val="17"/>
  </w:num>
  <w:num w:numId="14">
    <w:abstractNumId w:val="0"/>
  </w:num>
  <w:num w:numId="15">
    <w:abstractNumId w:val="8"/>
  </w:num>
  <w:num w:numId="16">
    <w:abstractNumId w:val="16"/>
  </w:num>
  <w:num w:numId="17">
    <w:abstractNumId w:val="6"/>
  </w:num>
  <w:num w:numId="18">
    <w:abstractNumId w:val="20"/>
  </w:num>
  <w:num w:numId="19">
    <w:abstractNumId w:val="18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70"/>
    <w:rsid w:val="00004A9C"/>
    <w:rsid w:val="00030ECF"/>
    <w:rsid w:val="00033924"/>
    <w:rsid w:val="00053D38"/>
    <w:rsid w:val="00074B29"/>
    <w:rsid w:val="0007700C"/>
    <w:rsid w:val="000B355B"/>
    <w:rsid w:val="000B5D41"/>
    <w:rsid w:val="000C3409"/>
    <w:rsid w:val="000C56AC"/>
    <w:rsid w:val="000D1CD5"/>
    <w:rsid w:val="000D7870"/>
    <w:rsid w:val="000E4E14"/>
    <w:rsid w:val="000E5A52"/>
    <w:rsid w:val="000E774A"/>
    <w:rsid w:val="001002DA"/>
    <w:rsid w:val="00101FBC"/>
    <w:rsid w:val="0010771B"/>
    <w:rsid w:val="001124A2"/>
    <w:rsid w:val="001162D1"/>
    <w:rsid w:val="00120DC3"/>
    <w:rsid w:val="0013599C"/>
    <w:rsid w:val="00142100"/>
    <w:rsid w:val="001472D0"/>
    <w:rsid w:val="0015330D"/>
    <w:rsid w:val="0016643A"/>
    <w:rsid w:val="0017222A"/>
    <w:rsid w:val="001767FF"/>
    <w:rsid w:val="00180493"/>
    <w:rsid w:val="001810CE"/>
    <w:rsid w:val="001951E0"/>
    <w:rsid w:val="001A2D16"/>
    <w:rsid w:val="001A3C32"/>
    <w:rsid w:val="001B54D3"/>
    <w:rsid w:val="001B746B"/>
    <w:rsid w:val="001C2EF9"/>
    <w:rsid w:val="001D2ABA"/>
    <w:rsid w:val="001D6874"/>
    <w:rsid w:val="001E3953"/>
    <w:rsid w:val="001E5D11"/>
    <w:rsid w:val="001E63FF"/>
    <w:rsid w:val="001E6EE1"/>
    <w:rsid w:val="001F4E01"/>
    <w:rsid w:val="002109CE"/>
    <w:rsid w:val="00220DE3"/>
    <w:rsid w:val="00223E2C"/>
    <w:rsid w:val="00231B7A"/>
    <w:rsid w:val="00235D66"/>
    <w:rsid w:val="002365D6"/>
    <w:rsid w:val="002410C1"/>
    <w:rsid w:val="00242101"/>
    <w:rsid w:val="00265BB1"/>
    <w:rsid w:val="002748F2"/>
    <w:rsid w:val="0027515A"/>
    <w:rsid w:val="002858EC"/>
    <w:rsid w:val="00286A27"/>
    <w:rsid w:val="002915ED"/>
    <w:rsid w:val="002959C8"/>
    <w:rsid w:val="002A0CE2"/>
    <w:rsid w:val="002A75A9"/>
    <w:rsid w:val="002C4564"/>
    <w:rsid w:val="002C5A37"/>
    <w:rsid w:val="002D09BC"/>
    <w:rsid w:val="002E6F79"/>
    <w:rsid w:val="00304BC2"/>
    <w:rsid w:val="00323794"/>
    <w:rsid w:val="00344074"/>
    <w:rsid w:val="003B1C79"/>
    <w:rsid w:val="003B30F9"/>
    <w:rsid w:val="003C4F86"/>
    <w:rsid w:val="003D15B7"/>
    <w:rsid w:val="00405E38"/>
    <w:rsid w:val="00406E93"/>
    <w:rsid w:val="00407196"/>
    <w:rsid w:val="004118C0"/>
    <w:rsid w:val="004235E4"/>
    <w:rsid w:val="00437453"/>
    <w:rsid w:val="0044714F"/>
    <w:rsid w:val="004500F4"/>
    <w:rsid w:val="00463DCC"/>
    <w:rsid w:val="004A16F8"/>
    <w:rsid w:val="004B4E53"/>
    <w:rsid w:val="004C3E89"/>
    <w:rsid w:val="004E4E87"/>
    <w:rsid w:val="0050541B"/>
    <w:rsid w:val="005058FF"/>
    <w:rsid w:val="00522D69"/>
    <w:rsid w:val="0055076F"/>
    <w:rsid w:val="00553AE2"/>
    <w:rsid w:val="0058480C"/>
    <w:rsid w:val="00591126"/>
    <w:rsid w:val="005A60F0"/>
    <w:rsid w:val="005B648C"/>
    <w:rsid w:val="005C2147"/>
    <w:rsid w:val="005C616A"/>
    <w:rsid w:val="005C740F"/>
    <w:rsid w:val="005D4647"/>
    <w:rsid w:val="005D5A28"/>
    <w:rsid w:val="005E5B0F"/>
    <w:rsid w:val="00605FC2"/>
    <w:rsid w:val="006145CD"/>
    <w:rsid w:val="00625389"/>
    <w:rsid w:val="006259DD"/>
    <w:rsid w:val="00643F61"/>
    <w:rsid w:val="0065450F"/>
    <w:rsid w:val="00665781"/>
    <w:rsid w:val="00672559"/>
    <w:rsid w:val="0067425A"/>
    <w:rsid w:val="006757ED"/>
    <w:rsid w:val="006822F5"/>
    <w:rsid w:val="006A4049"/>
    <w:rsid w:val="006B0330"/>
    <w:rsid w:val="006C39EA"/>
    <w:rsid w:val="006D2BF8"/>
    <w:rsid w:val="006E1010"/>
    <w:rsid w:val="006E756C"/>
    <w:rsid w:val="006F2802"/>
    <w:rsid w:val="00706F58"/>
    <w:rsid w:val="00734AAD"/>
    <w:rsid w:val="00736042"/>
    <w:rsid w:val="00736F25"/>
    <w:rsid w:val="00737997"/>
    <w:rsid w:val="00750054"/>
    <w:rsid w:val="00760500"/>
    <w:rsid w:val="0076779B"/>
    <w:rsid w:val="0077345E"/>
    <w:rsid w:val="007A069F"/>
    <w:rsid w:val="007A2A06"/>
    <w:rsid w:val="007A2ECA"/>
    <w:rsid w:val="007E28E0"/>
    <w:rsid w:val="007E3EB8"/>
    <w:rsid w:val="007E76E7"/>
    <w:rsid w:val="007F7270"/>
    <w:rsid w:val="00820D17"/>
    <w:rsid w:val="00840359"/>
    <w:rsid w:val="00843C45"/>
    <w:rsid w:val="00846D9D"/>
    <w:rsid w:val="0085194A"/>
    <w:rsid w:val="00851F5D"/>
    <w:rsid w:val="0086506E"/>
    <w:rsid w:val="008762F6"/>
    <w:rsid w:val="008820D5"/>
    <w:rsid w:val="00885B4E"/>
    <w:rsid w:val="00887BDD"/>
    <w:rsid w:val="008A16E4"/>
    <w:rsid w:val="008A5D7E"/>
    <w:rsid w:val="008B616B"/>
    <w:rsid w:val="008C4468"/>
    <w:rsid w:val="008D3055"/>
    <w:rsid w:val="008E4320"/>
    <w:rsid w:val="008E4943"/>
    <w:rsid w:val="00907EC6"/>
    <w:rsid w:val="009141AC"/>
    <w:rsid w:val="00935AAD"/>
    <w:rsid w:val="00943086"/>
    <w:rsid w:val="00945B7A"/>
    <w:rsid w:val="0095770D"/>
    <w:rsid w:val="009577F2"/>
    <w:rsid w:val="00964652"/>
    <w:rsid w:val="00976169"/>
    <w:rsid w:val="00981DE9"/>
    <w:rsid w:val="0098577A"/>
    <w:rsid w:val="00990A6C"/>
    <w:rsid w:val="00993708"/>
    <w:rsid w:val="009B57C6"/>
    <w:rsid w:val="009C1B19"/>
    <w:rsid w:val="009C3162"/>
    <w:rsid w:val="009D19E7"/>
    <w:rsid w:val="009E390C"/>
    <w:rsid w:val="009E57D4"/>
    <w:rsid w:val="009F3526"/>
    <w:rsid w:val="00A055A9"/>
    <w:rsid w:val="00A12E4B"/>
    <w:rsid w:val="00A23BE5"/>
    <w:rsid w:val="00A26D26"/>
    <w:rsid w:val="00A42EF0"/>
    <w:rsid w:val="00A61219"/>
    <w:rsid w:val="00A750DE"/>
    <w:rsid w:val="00AD5301"/>
    <w:rsid w:val="00AD7167"/>
    <w:rsid w:val="00AE2829"/>
    <w:rsid w:val="00AE6D2B"/>
    <w:rsid w:val="00AF065D"/>
    <w:rsid w:val="00AF32BA"/>
    <w:rsid w:val="00AF36B8"/>
    <w:rsid w:val="00AF64BE"/>
    <w:rsid w:val="00B126F8"/>
    <w:rsid w:val="00B16FF3"/>
    <w:rsid w:val="00B20A86"/>
    <w:rsid w:val="00B22DA8"/>
    <w:rsid w:val="00B26E19"/>
    <w:rsid w:val="00B27A1D"/>
    <w:rsid w:val="00B330E8"/>
    <w:rsid w:val="00B35104"/>
    <w:rsid w:val="00B710DA"/>
    <w:rsid w:val="00B77A42"/>
    <w:rsid w:val="00BA2A15"/>
    <w:rsid w:val="00BB251A"/>
    <w:rsid w:val="00BC228C"/>
    <w:rsid w:val="00BC6406"/>
    <w:rsid w:val="00C232D4"/>
    <w:rsid w:val="00C24B69"/>
    <w:rsid w:val="00C27706"/>
    <w:rsid w:val="00C35F02"/>
    <w:rsid w:val="00C3642D"/>
    <w:rsid w:val="00C36628"/>
    <w:rsid w:val="00C47720"/>
    <w:rsid w:val="00C50E20"/>
    <w:rsid w:val="00C663AB"/>
    <w:rsid w:val="00C84338"/>
    <w:rsid w:val="00C904E4"/>
    <w:rsid w:val="00C96094"/>
    <w:rsid w:val="00CA5117"/>
    <w:rsid w:val="00CB4213"/>
    <w:rsid w:val="00CC21E1"/>
    <w:rsid w:val="00CD6025"/>
    <w:rsid w:val="00CD6DE3"/>
    <w:rsid w:val="00CD7EAC"/>
    <w:rsid w:val="00D04587"/>
    <w:rsid w:val="00D12276"/>
    <w:rsid w:val="00D14099"/>
    <w:rsid w:val="00D150AD"/>
    <w:rsid w:val="00D43B16"/>
    <w:rsid w:val="00D47FE3"/>
    <w:rsid w:val="00D52E06"/>
    <w:rsid w:val="00D56688"/>
    <w:rsid w:val="00D73382"/>
    <w:rsid w:val="00D751A3"/>
    <w:rsid w:val="00D77642"/>
    <w:rsid w:val="00D82138"/>
    <w:rsid w:val="00DB4C4D"/>
    <w:rsid w:val="00DD7D4D"/>
    <w:rsid w:val="00E06087"/>
    <w:rsid w:val="00E06CC6"/>
    <w:rsid w:val="00E12C8B"/>
    <w:rsid w:val="00E16117"/>
    <w:rsid w:val="00E23856"/>
    <w:rsid w:val="00E23F97"/>
    <w:rsid w:val="00E2693E"/>
    <w:rsid w:val="00E26D56"/>
    <w:rsid w:val="00E37BA0"/>
    <w:rsid w:val="00E4242E"/>
    <w:rsid w:val="00E42FC7"/>
    <w:rsid w:val="00E433C8"/>
    <w:rsid w:val="00E5754B"/>
    <w:rsid w:val="00E57A41"/>
    <w:rsid w:val="00E90DDE"/>
    <w:rsid w:val="00EB29AB"/>
    <w:rsid w:val="00EB53AF"/>
    <w:rsid w:val="00ED4C21"/>
    <w:rsid w:val="00EE22C6"/>
    <w:rsid w:val="00EE704E"/>
    <w:rsid w:val="00EF549F"/>
    <w:rsid w:val="00F05A6C"/>
    <w:rsid w:val="00F10FFD"/>
    <w:rsid w:val="00F50728"/>
    <w:rsid w:val="00F63186"/>
    <w:rsid w:val="00F74C01"/>
    <w:rsid w:val="00F754FB"/>
    <w:rsid w:val="00F76327"/>
    <w:rsid w:val="00F778A7"/>
    <w:rsid w:val="00F81379"/>
    <w:rsid w:val="00F96617"/>
    <w:rsid w:val="00FA1890"/>
    <w:rsid w:val="00FD2119"/>
    <w:rsid w:val="00FD5261"/>
    <w:rsid w:val="00FD6229"/>
    <w:rsid w:val="00FE1482"/>
    <w:rsid w:val="00FE3BC4"/>
    <w:rsid w:val="00FF5CF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24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76E7"/>
    <w:pPr>
      <w:ind w:left="720"/>
      <w:contextualSpacing/>
    </w:pPr>
  </w:style>
  <w:style w:type="table" w:styleId="a5">
    <w:name w:val="Table Grid"/>
    <w:basedOn w:val="a1"/>
    <w:rsid w:val="00FF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3"/>
    <w:link w:val="Style1Char"/>
    <w:qFormat/>
    <w:rsid w:val="00FF5CF2"/>
    <w:pPr>
      <w:spacing w:before="120" w:after="120" w:line="240" w:lineRule="auto"/>
      <w:ind w:left="0"/>
      <w:contextualSpacing w:val="0"/>
      <w:jc w:val="both"/>
    </w:pPr>
    <w:rPr>
      <w:rFonts w:ascii="Times New Roman" w:hAnsi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sid w:val="00FF5CF2"/>
  </w:style>
  <w:style w:type="character" w:customStyle="1" w:styleId="Style1Char">
    <w:name w:val="Style1 Char"/>
    <w:basedOn w:val="a4"/>
    <w:link w:val="Style1"/>
    <w:rsid w:val="00FF5CF2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41B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9609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9609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9609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F36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36B8"/>
  </w:style>
  <w:style w:type="paragraph" w:styleId="ad">
    <w:name w:val="footer"/>
    <w:basedOn w:val="a"/>
    <w:link w:val="ae"/>
    <w:uiPriority w:val="99"/>
    <w:unhideWhenUsed/>
    <w:rsid w:val="00AF36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36B8"/>
  </w:style>
  <w:style w:type="character" w:styleId="af">
    <w:name w:val="annotation reference"/>
    <w:basedOn w:val="a0"/>
    <w:uiPriority w:val="99"/>
    <w:semiHidden/>
    <w:unhideWhenUsed/>
    <w:rsid w:val="00F813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8137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8137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137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81379"/>
    <w:rPr>
      <w:b/>
      <w:bCs/>
      <w:sz w:val="20"/>
      <w:szCs w:val="20"/>
    </w:rPr>
  </w:style>
  <w:style w:type="character" w:customStyle="1" w:styleId="s1">
    <w:name w:val="s1"/>
    <w:basedOn w:val="a0"/>
    <w:rsid w:val="001767FF"/>
  </w:style>
  <w:style w:type="character" w:styleId="af4">
    <w:name w:val="Hyperlink"/>
    <w:basedOn w:val="a0"/>
    <w:uiPriority w:val="99"/>
    <w:semiHidden/>
    <w:unhideWhenUsed/>
    <w:rsid w:val="009C3162"/>
    <w:rPr>
      <w:color w:val="0000FF"/>
      <w:u w:val="single"/>
    </w:rPr>
  </w:style>
  <w:style w:type="character" w:customStyle="1" w:styleId="af5">
    <w:name w:val="a"/>
    <w:rsid w:val="006A4049"/>
    <w:rPr>
      <w:color w:val="333399"/>
      <w:u w:val="single"/>
    </w:rPr>
  </w:style>
  <w:style w:type="character" w:customStyle="1" w:styleId="s2">
    <w:name w:val="s2"/>
    <w:rsid w:val="006A4049"/>
    <w:rPr>
      <w:rFonts w:ascii="Times New Roman" w:hAnsi="Times New Roman" w:cs="Times New Roman" w:hint="default"/>
      <w:color w:val="333399"/>
      <w:u w:val="single"/>
    </w:rPr>
  </w:style>
  <w:style w:type="paragraph" w:styleId="af6">
    <w:name w:val="Revision"/>
    <w:hidden/>
    <w:uiPriority w:val="99"/>
    <w:semiHidden/>
    <w:rsid w:val="00D751A3"/>
    <w:pPr>
      <w:spacing w:after="0" w:line="240" w:lineRule="auto"/>
    </w:pPr>
  </w:style>
  <w:style w:type="character" w:customStyle="1" w:styleId="s0">
    <w:name w:val="s0"/>
    <w:rsid w:val="00CC21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7">
    <w:name w:val="Normal (Web)"/>
    <w:basedOn w:val="a"/>
    <w:uiPriority w:val="99"/>
    <w:semiHidden/>
    <w:unhideWhenUsed/>
    <w:rsid w:val="00BA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Text">
    <w:name w:val="Margin Text"/>
    <w:basedOn w:val="a"/>
    <w:rsid w:val="009D19E7"/>
    <w:pPr>
      <w:adjustRightInd w:val="0"/>
      <w:spacing w:after="240" w:line="360" w:lineRule="auto"/>
      <w:jc w:val="both"/>
    </w:pPr>
    <w:rPr>
      <w:rFonts w:ascii="Times New Roman" w:eastAsia="STZhongsong" w:hAnsi="Times New Roman" w:cs="Times New Roman"/>
      <w:kern w:val="28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76E7"/>
    <w:pPr>
      <w:ind w:left="720"/>
      <w:contextualSpacing/>
    </w:pPr>
  </w:style>
  <w:style w:type="table" w:styleId="a5">
    <w:name w:val="Table Grid"/>
    <w:basedOn w:val="a1"/>
    <w:rsid w:val="00FF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3"/>
    <w:link w:val="Style1Char"/>
    <w:qFormat/>
    <w:rsid w:val="00FF5CF2"/>
    <w:pPr>
      <w:spacing w:before="120" w:after="120" w:line="240" w:lineRule="auto"/>
      <w:ind w:left="0"/>
      <w:contextualSpacing w:val="0"/>
      <w:jc w:val="both"/>
    </w:pPr>
    <w:rPr>
      <w:rFonts w:ascii="Times New Roman" w:hAnsi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sid w:val="00FF5CF2"/>
  </w:style>
  <w:style w:type="character" w:customStyle="1" w:styleId="Style1Char">
    <w:name w:val="Style1 Char"/>
    <w:basedOn w:val="a4"/>
    <w:link w:val="Style1"/>
    <w:rsid w:val="00FF5CF2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41B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9609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9609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9609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F36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36B8"/>
  </w:style>
  <w:style w:type="paragraph" w:styleId="ad">
    <w:name w:val="footer"/>
    <w:basedOn w:val="a"/>
    <w:link w:val="ae"/>
    <w:uiPriority w:val="99"/>
    <w:unhideWhenUsed/>
    <w:rsid w:val="00AF36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36B8"/>
  </w:style>
  <w:style w:type="character" w:styleId="af">
    <w:name w:val="annotation reference"/>
    <w:basedOn w:val="a0"/>
    <w:uiPriority w:val="99"/>
    <w:semiHidden/>
    <w:unhideWhenUsed/>
    <w:rsid w:val="00F813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8137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8137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137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81379"/>
    <w:rPr>
      <w:b/>
      <w:bCs/>
      <w:sz w:val="20"/>
      <w:szCs w:val="20"/>
    </w:rPr>
  </w:style>
  <w:style w:type="character" w:customStyle="1" w:styleId="s1">
    <w:name w:val="s1"/>
    <w:basedOn w:val="a0"/>
    <w:rsid w:val="001767FF"/>
  </w:style>
  <w:style w:type="character" w:styleId="af4">
    <w:name w:val="Hyperlink"/>
    <w:basedOn w:val="a0"/>
    <w:uiPriority w:val="99"/>
    <w:semiHidden/>
    <w:unhideWhenUsed/>
    <w:rsid w:val="009C3162"/>
    <w:rPr>
      <w:color w:val="0000FF"/>
      <w:u w:val="single"/>
    </w:rPr>
  </w:style>
  <w:style w:type="character" w:customStyle="1" w:styleId="af5">
    <w:name w:val="a"/>
    <w:rsid w:val="006A4049"/>
    <w:rPr>
      <w:color w:val="333399"/>
      <w:u w:val="single"/>
    </w:rPr>
  </w:style>
  <w:style w:type="character" w:customStyle="1" w:styleId="s2">
    <w:name w:val="s2"/>
    <w:rsid w:val="006A4049"/>
    <w:rPr>
      <w:rFonts w:ascii="Times New Roman" w:hAnsi="Times New Roman" w:cs="Times New Roman" w:hint="default"/>
      <w:color w:val="333399"/>
      <w:u w:val="single"/>
    </w:rPr>
  </w:style>
  <w:style w:type="paragraph" w:styleId="af6">
    <w:name w:val="Revision"/>
    <w:hidden/>
    <w:uiPriority w:val="99"/>
    <w:semiHidden/>
    <w:rsid w:val="00D751A3"/>
    <w:pPr>
      <w:spacing w:after="0" w:line="240" w:lineRule="auto"/>
    </w:pPr>
  </w:style>
  <w:style w:type="character" w:customStyle="1" w:styleId="s0">
    <w:name w:val="s0"/>
    <w:rsid w:val="00CC21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7">
    <w:name w:val="Normal (Web)"/>
    <w:basedOn w:val="a"/>
    <w:uiPriority w:val="99"/>
    <w:semiHidden/>
    <w:unhideWhenUsed/>
    <w:rsid w:val="00BA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Text">
    <w:name w:val="Margin Text"/>
    <w:basedOn w:val="a"/>
    <w:rsid w:val="009D19E7"/>
    <w:pPr>
      <w:adjustRightInd w:val="0"/>
      <w:spacing w:after="240" w:line="360" w:lineRule="auto"/>
      <w:jc w:val="both"/>
    </w:pPr>
    <w:rPr>
      <w:rFonts w:ascii="Times New Roman" w:eastAsia="STZhongsong" w:hAnsi="Times New Roman" w:cs="Times New Roman"/>
      <w:kern w:val="28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640B-4A08-49C0-BCA6-6740A474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4495</Words>
  <Characters>25622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PMI</Company>
  <LinksUpToDate>false</LinksUpToDate>
  <CharactersWithSpaces>30057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Даулетбек Адильбек</cp:lastModifiedBy>
  <cp:revision>5</cp:revision>
  <cp:lastPrinted>2019-10-28T10:38:00Z</cp:lastPrinted>
  <dcterms:created xsi:type="dcterms:W3CDTF">2020-08-18T10:15:00Z</dcterms:created>
  <dcterms:modified xsi:type="dcterms:W3CDTF">2020-09-08T06:22:00Z</dcterms:modified>
</cp:coreProperties>
</file>