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E3B0A" w14:textId="3A539A10" w:rsidR="00D45B89" w:rsidRPr="00D45B89" w:rsidRDefault="00D45B89" w:rsidP="00D45B89">
      <w:pPr>
        <w:shd w:val="clear" w:color="auto" w:fill="FFFFFF"/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spacing w:val="2"/>
          <w:kern w:val="36"/>
          <w:sz w:val="48"/>
          <w:szCs w:val="48"/>
          <w:lang w:eastAsia="ru-RU"/>
        </w:rPr>
      </w:pPr>
      <w:r w:rsidRPr="00D45B89">
        <w:rPr>
          <w:rFonts w:ascii="Arial" w:eastAsia="Times New Roman" w:hAnsi="Arial" w:cs="Arial"/>
          <w:b/>
          <w:bCs/>
          <w:spacing w:val="2"/>
          <w:kern w:val="36"/>
          <w:sz w:val="48"/>
          <w:szCs w:val="48"/>
          <w:lang w:eastAsia="ru-RU"/>
        </w:rPr>
        <w:t xml:space="preserve">Унифицированные сервисы </w:t>
      </w:r>
    </w:p>
    <w:p w14:paraId="230BF608" w14:textId="77777777" w:rsidR="00D45B89" w:rsidRPr="00D45B89" w:rsidRDefault="00B217A2" w:rsidP="00D4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97A3A22">
          <v:rect id="_x0000_i1025" style="width:0;height:0" o:hralign="center" o:hrstd="t" o:hr="t" fillcolor="#a0a0a0" stroked="f"/>
        </w:pict>
      </w:r>
    </w:p>
    <w:p w14:paraId="1CEA4D13" w14:textId="56E8135F" w:rsidR="00D45B89" w:rsidRPr="00D45B89" w:rsidRDefault="00D45B89" w:rsidP="00D45B89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 xml:space="preserve">Для получения доступа к унифицированным сервисам (открытым данным) </w:t>
      </w:r>
      <w:r w:rsidR="008E10B9">
        <w:rPr>
          <w:rFonts w:ascii="Arial" w:eastAsia="Times New Roman" w:hAnsi="Arial" w:cs="Arial"/>
          <w:b/>
          <w:bCs/>
          <w:color w:val="5F5F5F"/>
          <w:sz w:val="21"/>
          <w:szCs w:val="21"/>
          <w:lang w:val="kk-KZ" w:eastAsia="ru-RU"/>
        </w:rPr>
        <w:t xml:space="preserve">ИАИС е-Минфин </w:t>
      </w:r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>разработчикам необходимо:</w:t>
      </w:r>
    </w:p>
    <w:p w14:paraId="639BA645" w14:textId="77777777" w:rsidR="00D45B89" w:rsidRPr="00D45B89" w:rsidRDefault="00D45B89" w:rsidP="00D45B8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Ознакомиться с технической документацией, приведенной ниже.</w:t>
      </w:r>
    </w:p>
    <w:p w14:paraId="65469322" w14:textId="254EF9D5" w:rsidR="00D45B89" w:rsidRPr="00D45B89" w:rsidRDefault="00D45B89" w:rsidP="00D45B89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 xml:space="preserve">Обратиться в </w:t>
      </w:r>
      <w:r w:rsidR="00600778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Министерство финансов Республики Казахстан Департамент цифровизации и государственных услуг</w:t>
      </w:r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 xml:space="preserve"> для получения токена авторизации.</w:t>
      </w:r>
    </w:p>
    <w:p w14:paraId="5F877909" w14:textId="686602FC" w:rsidR="00D45B89" w:rsidRPr="00D45B89" w:rsidRDefault="00D45B89" w:rsidP="00D45B8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F5F5F"/>
          <w:spacing w:val="2"/>
          <w:sz w:val="20"/>
          <w:szCs w:val="20"/>
          <w:lang w:eastAsia="ru-RU"/>
        </w:rPr>
      </w:pPr>
      <w:r w:rsidRPr="00D45B89">
        <w:rPr>
          <w:rFonts w:ascii="Arial" w:eastAsia="Times New Roman" w:hAnsi="Arial" w:cs="Arial"/>
          <w:color w:val="5F5F5F"/>
          <w:spacing w:val="2"/>
          <w:sz w:val="20"/>
          <w:szCs w:val="20"/>
          <w:lang w:eastAsia="ru-RU"/>
        </w:rPr>
        <w:t>Примерный шаблон письма: </w:t>
      </w:r>
      <w:r w:rsidRPr="00D45B89">
        <w:rPr>
          <w:rFonts w:ascii="Arial" w:eastAsia="Times New Roman" w:hAnsi="Arial" w:cs="Arial"/>
          <w:b/>
          <w:bCs/>
          <w:color w:val="5F5F5F"/>
          <w:spacing w:val="2"/>
          <w:sz w:val="20"/>
          <w:szCs w:val="20"/>
          <w:lang w:eastAsia="ru-RU"/>
        </w:rPr>
        <w:t xml:space="preserve">Настоящим, просим дать доступ к унифицированным сервисам </w:t>
      </w:r>
      <w:r w:rsidR="008E10B9">
        <w:rPr>
          <w:rFonts w:ascii="Arial" w:eastAsia="Times New Roman" w:hAnsi="Arial" w:cs="Arial"/>
          <w:b/>
          <w:bCs/>
          <w:color w:val="5F5F5F"/>
          <w:spacing w:val="2"/>
          <w:sz w:val="20"/>
          <w:szCs w:val="20"/>
          <w:lang w:val="kk-KZ" w:eastAsia="ru-RU"/>
        </w:rPr>
        <w:t>ИАИС е-Минфин</w:t>
      </w:r>
      <w:r w:rsidRPr="00D45B89">
        <w:rPr>
          <w:rFonts w:ascii="Arial" w:eastAsia="Times New Roman" w:hAnsi="Arial" w:cs="Arial"/>
          <w:b/>
          <w:bCs/>
          <w:color w:val="5F5F5F"/>
          <w:spacing w:val="2"/>
          <w:sz w:val="20"/>
          <w:szCs w:val="20"/>
          <w:lang w:eastAsia="ru-RU"/>
        </w:rPr>
        <w:t xml:space="preserve"> и выпустить </w:t>
      </w:r>
      <w:proofErr w:type="spellStart"/>
      <w:r w:rsidRPr="00D45B89">
        <w:rPr>
          <w:rFonts w:ascii="Arial" w:eastAsia="Times New Roman" w:hAnsi="Arial" w:cs="Arial"/>
          <w:b/>
          <w:bCs/>
          <w:color w:val="5F5F5F"/>
          <w:spacing w:val="2"/>
          <w:sz w:val="20"/>
          <w:szCs w:val="20"/>
          <w:lang w:eastAsia="ru-RU"/>
        </w:rPr>
        <w:t>токен</w:t>
      </w:r>
      <w:proofErr w:type="spellEnd"/>
      <w:r w:rsidRPr="00D45B89">
        <w:rPr>
          <w:rFonts w:ascii="Arial" w:eastAsia="Times New Roman" w:hAnsi="Arial" w:cs="Arial"/>
          <w:b/>
          <w:bCs/>
          <w:color w:val="5F5F5F"/>
          <w:spacing w:val="2"/>
          <w:sz w:val="20"/>
          <w:szCs w:val="20"/>
          <w:lang w:eastAsia="ru-RU"/>
        </w:rPr>
        <w:t xml:space="preserve"> для авторизации. Данные </w:t>
      </w:r>
      <w:bookmarkStart w:id="0" w:name="_GoBack"/>
      <w:bookmarkEnd w:id="0"/>
      <w:r w:rsidRPr="00D45B89">
        <w:rPr>
          <w:rFonts w:ascii="Arial" w:eastAsia="Times New Roman" w:hAnsi="Arial" w:cs="Arial"/>
          <w:b/>
          <w:bCs/>
          <w:color w:val="5F5F5F"/>
          <w:spacing w:val="2"/>
          <w:sz w:val="20"/>
          <w:szCs w:val="20"/>
          <w:lang w:eastAsia="ru-RU"/>
        </w:rPr>
        <w:t>планируется использовать для….)</w:t>
      </w:r>
    </w:p>
    <w:p w14:paraId="6B3B2782" w14:textId="77777777" w:rsidR="00D45B89" w:rsidRPr="00D45B89" w:rsidRDefault="00D45B89" w:rsidP="00D45B8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Авторизоваться, используя токен</w:t>
      </w:r>
    </w:p>
    <w:p w14:paraId="57678CE1" w14:textId="77777777" w:rsidR="00D45B89" w:rsidRPr="00D45B89" w:rsidRDefault="00D45B89" w:rsidP="00D45B89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>ВНИМАНИЕ:</w:t>
      </w:r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 Токен выдается сроком на 1 Год. По истечении данного периода необходимо обратится за перевыпуском токена.</w:t>
      </w:r>
    </w:p>
    <w:p w14:paraId="3A9467E2" w14:textId="77777777" w:rsidR="00D45B89" w:rsidRPr="00D45B89" w:rsidRDefault="00D45B89" w:rsidP="00D45B89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>Общая структура ответа для реестров:</w:t>
      </w:r>
    </w:p>
    <w:p w14:paraId="6A622244" w14:textId="77777777" w:rsidR="00D45B89" w:rsidRPr="00D45B89" w:rsidRDefault="00D45B89" w:rsidP="00D45B8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proofErr w:type="spellStart"/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>total</w:t>
      </w:r>
      <w:proofErr w:type="spellEnd"/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 - Количество записей</w:t>
      </w:r>
    </w:p>
    <w:p w14:paraId="51C96A63" w14:textId="77777777" w:rsidR="00D45B89" w:rsidRPr="00D45B89" w:rsidRDefault="00D45B89" w:rsidP="00D45B8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proofErr w:type="spellStart"/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>next_page</w:t>
      </w:r>
      <w:proofErr w:type="spellEnd"/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 - URL следующей страницы</w:t>
      </w:r>
    </w:p>
    <w:p w14:paraId="37033015" w14:textId="344A25E4" w:rsidR="00D45B89" w:rsidRDefault="00D45B89" w:rsidP="00D45B89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  <w:proofErr w:type="spellStart"/>
      <w:r w:rsidRPr="00D45B89">
        <w:rPr>
          <w:rFonts w:ascii="Arial" w:eastAsia="Times New Roman" w:hAnsi="Arial" w:cs="Arial"/>
          <w:b/>
          <w:bCs/>
          <w:color w:val="5F5F5F"/>
          <w:sz w:val="21"/>
          <w:szCs w:val="21"/>
          <w:lang w:eastAsia="ru-RU"/>
        </w:rPr>
        <w:t>limit</w:t>
      </w:r>
      <w:proofErr w:type="spellEnd"/>
      <w:r w:rsidRPr="00D45B89">
        <w:rPr>
          <w:rFonts w:ascii="Arial" w:eastAsia="Times New Roman" w:hAnsi="Arial" w:cs="Arial"/>
          <w:color w:val="5F5F5F"/>
          <w:sz w:val="21"/>
          <w:szCs w:val="21"/>
          <w:lang w:eastAsia="ru-RU"/>
        </w:rPr>
        <w:t> - Количество элементов на страницу</w:t>
      </w:r>
    </w:p>
    <w:p w14:paraId="1B9C59A6" w14:textId="77777777" w:rsidR="00D45B89" w:rsidRPr="00D45B89" w:rsidRDefault="00D45B89" w:rsidP="00D45B8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F5F5F"/>
          <w:sz w:val="21"/>
          <w:szCs w:val="21"/>
          <w:lang w:eastAsia="ru-RU"/>
        </w:rPr>
      </w:pPr>
    </w:p>
    <w:p w14:paraId="75AF0F31" w14:textId="77777777" w:rsidR="00D45B89" w:rsidRDefault="00D45B89" w:rsidP="00D45B89">
      <w:pPr>
        <w:pStyle w:val="1"/>
        <w:shd w:val="clear" w:color="auto" w:fill="FFFFFF"/>
        <w:spacing w:line="308" w:lineRule="atLeast"/>
        <w:rPr>
          <w:rFonts w:ascii="Arial" w:hAnsi="Arial" w:cs="Arial"/>
          <w:b w:val="0"/>
          <w:bCs w:val="0"/>
          <w:color w:val="5F5F5F"/>
          <w:spacing w:val="2"/>
          <w:sz w:val="45"/>
          <w:szCs w:val="45"/>
        </w:rPr>
      </w:pPr>
      <w:proofErr w:type="spellStart"/>
      <w:r>
        <w:rPr>
          <w:rFonts w:ascii="Arial" w:hAnsi="Arial" w:cs="Arial"/>
          <w:b w:val="0"/>
          <w:bCs w:val="0"/>
          <w:color w:val="5F5F5F"/>
          <w:spacing w:val="2"/>
          <w:sz w:val="45"/>
          <w:szCs w:val="45"/>
        </w:rPr>
        <w:t>GraphQL</w:t>
      </w:r>
      <w:proofErr w:type="spellEnd"/>
    </w:p>
    <w:p w14:paraId="57E6CCE0" w14:textId="26B98C88" w:rsidR="00D45B89" w:rsidRDefault="00D45B89" w:rsidP="00D45B89">
      <w:pPr>
        <w:pStyle w:val="a3"/>
        <w:shd w:val="clear" w:color="auto" w:fill="FFFFFF"/>
        <w:spacing w:before="0" w:beforeAutospacing="0" w:after="150" w:afterAutospacing="0" w:line="330" w:lineRule="atLeast"/>
      </w:pPr>
      <w:r>
        <w:rPr>
          <w:rFonts w:ascii="Arial" w:hAnsi="Arial" w:cs="Arial"/>
          <w:color w:val="5F5F5F"/>
          <w:sz w:val="21"/>
          <w:szCs w:val="21"/>
        </w:rPr>
        <w:t xml:space="preserve">Документация по </w:t>
      </w:r>
      <w:proofErr w:type="spellStart"/>
      <w:r>
        <w:rPr>
          <w:rFonts w:ascii="Arial" w:hAnsi="Arial" w:cs="Arial"/>
          <w:color w:val="5F5F5F"/>
          <w:sz w:val="21"/>
          <w:szCs w:val="21"/>
        </w:rPr>
        <w:t>GraphQL</w:t>
      </w:r>
      <w:proofErr w:type="spellEnd"/>
      <w:r>
        <w:rPr>
          <w:rFonts w:ascii="Arial" w:hAnsi="Arial" w:cs="Arial"/>
          <w:color w:val="5F5F5F"/>
          <w:sz w:val="21"/>
          <w:szCs w:val="21"/>
        </w:rPr>
        <w:t xml:space="preserve"> -  </w:t>
      </w:r>
      <w:hyperlink r:id="rId5" w:history="1">
        <w:r>
          <w:rPr>
            <w:rStyle w:val="a5"/>
          </w:rPr>
          <w:t>https://ows.goszakup.gov.kz/help/emf/schema/</w:t>
        </w:r>
      </w:hyperlink>
    </w:p>
    <w:p w14:paraId="3B44DBF5" w14:textId="77777777" w:rsidR="006D7F37" w:rsidRDefault="006D7F37" w:rsidP="00D45B89">
      <w:pPr>
        <w:pStyle w:val="a3"/>
        <w:shd w:val="clear" w:color="auto" w:fill="FFFFFF"/>
        <w:spacing w:before="0" w:beforeAutospacing="0" w:after="150" w:afterAutospacing="0" w:line="330" w:lineRule="atLeast"/>
      </w:pPr>
    </w:p>
    <w:p w14:paraId="17FA996C" w14:textId="014D94F4" w:rsidR="006D7F37" w:rsidRDefault="006D7F37" w:rsidP="006D7F37">
      <w:pPr>
        <w:pStyle w:val="1"/>
        <w:shd w:val="clear" w:color="auto" w:fill="FFFFFF"/>
        <w:spacing w:line="308" w:lineRule="atLeast"/>
        <w:rPr>
          <w:rFonts w:ascii="Arial" w:hAnsi="Arial" w:cs="Arial"/>
          <w:b w:val="0"/>
          <w:bCs w:val="0"/>
          <w:color w:val="5F5F5F"/>
          <w:spacing w:val="2"/>
          <w:sz w:val="45"/>
          <w:szCs w:val="45"/>
        </w:rPr>
      </w:pPr>
      <w:r w:rsidRPr="006D7F37">
        <w:rPr>
          <w:rFonts w:ascii="Arial" w:hAnsi="Arial" w:cs="Arial"/>
          <w:b w:val="0"/>
          <w:bCs w:val="0"/>
          <w:color w:val="5F5F5F"/>
          <w:spacing w:val="2"/>
          <w:sz w:val="45"/>
          <w:szCs w:val="45"/>
        </w:rPr>
        <w:t>Ссылка на сервис</w:t>
      </w:r>
    </w:p>
    <w:p w14:paraId="57BBA1F7" w14:textId="7FA4B36F" w:rsidR="006D7F37" w:rsidRDefault="00B217A2" w:rsidP="006D7F37">
      <w:pPr>
        <w:pStyle w:val="a3"/>
        <w:shd w:val="clear" w:color="auto" w:fill="FFFFFF"/>
        <w:spacing w:before="0" w:beforeAutospacing="0" w:after="150" w:afterAutospacing="0" w:line="330" w:lineRule="atLeast"/>
      </w:pPr>
      <w:hyperlink r:id="rId6" w:history="1">
        <w:r w:rsidR="006D7F37" w:rsidRPr="00442D49">
          <w:rPr>
            <w:rStyle w:val="a5"/>
          </w:rPr>
          <w:t>https://ows.goszakup.gov.kz/help/emf/schema/</w:t>
        </w:r>
      </w:hyperlink>
      <w:r w:rsidR="006D7F37">
        <w:t xml:space="preserve"> </w:t>
      </w:r>
    </w:p>
    <w:p w14:paraId="18580A97" w14:textId="11F73C33" w:rsidR="006D7F37" w:rsidRDefault="006D7F37" w:rsidP="00600778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5F5F5F"/>
          <w:sz w:val="21"/>
          <w:szCs w:val="21"/>
        </w:rPr>
      </w:pPr>
      <w:proofErr w:type="spellStart"/>
      <w:r w:rsidRPr="00C4568F">
        <w:rPr>
          <w:rFonts w:ascii="Arial" w:hAnsi="Arial" w:cs="Arial"/>
          <w:b/>
          <w:bCs/>
          <w:color w:val="5F5F5F"/>
          <w:sz w:val="21"/>
          <w:szCs w:val="21"/>
        </w:rPr>
        <w:t>Authorization</w:t>
      </w:r>
      <w:proofErr w:type="spellEnd"/>
      <w:r w:rsidRPr="00C4568F">
        <w:rPr>
          <w:rFonts w:ascii="Arial" w:hAnsi="Arial" w:cs="Arial"/>
          <w:b/>
          <w:bCs/>
          <w:color w:val="5F5F5F"/>
          <w:sz w:val="21"/>
          <w:szCs w:val="21"/>
        </w:rPr>
        <w:t xml:space="preserve">: </w:t>
      </w:r>
      <w:proofErr w:type="spellStart"/>
      <w:r w:rsidRPr="00C4568F">
        <w:rPr>
          <w:rFonts w:ascii="Arial" w:hAnsi="Arial" w:cs="Arial"/>
          <w:b/>
          <w:bCs/>
          <w:color w:val="5F5F5F"/>
          <w:sz w:val="21"/>
          <w:szCs w:val="21"/>
        </w:rPr>
        <w:t>Bearer</w:t>
      </w:r>
      <w:proofErr w:type="spellEnd"/>
      <w:r w:rsidRPr="00600778">
        <w:rPr>
          <w:rFonts w:ascii="Arial" w:hAnsi="Arial" w:cs="Arial"/>
          <w:color w:val="5F5F5F"/>
          <w:sz w:val="21"/>
          <w:szCs w:val="21"/>
        </w:rPr>
        <w:t xml:space="preserve"> </w:t>
      </w:r>
      <w:r w:rsidR="00600778" w:rsidRPr="008E10B9">
        <w:rPr>
          <w:rFonts w:ascii="Arial" w:hAnsi="Arial" w:cs="Arial"/>
          <w:color w:val="5F5F5F"/>
          <w:sz w:val="21"/>
          <w:szCs w:val="21"/>
        </w:rPr>
        <w:t xml:space="preserve">   </w:t>
      </w:r>
      <w:r w:rsidR="00C4568F">
        <w:rPr>
          <w:rFonts w:ascii="Arial" w:hAnsi="Arial" w:cs="Arial"/>
          <w:color w:val="5F5F5F"/>
          <w:sz w:val="21"/>
          <w:szCs w:val="21"/>
        </w:rPr>
        <w:t xml:space="preserve">- </w:t>
      </w:r>
      <w:r w:rsidR="00600778" w:rsidRPr="008E10B9">
        <w:rPr>
          <w:rFonts w:ascii="Arial" w:hAnsi="Arial" w:cs="Arial"/>
          <w:color w:val="5F5F5F"/>
          <w:sz w:val="21"/>
          <w:szCs w:val="21"/>
        </w:rPr>
        <w:t xml:space="preserve"> </w:t>
      </w:r>
      <w:proofErr w:type="spellStart"/>
      <w:r w:rsidRPr="00600778">
        <w:rPr>
          <w:rFonts w:ascii="Arial" w:hAnsi="Arial" w:cs="Arial"/>
          <w:color w:val="5F5F5F"/>
          <w:sz w:val="21"/>
          <w:szCs w:val="21"/>
        </w:rPr>
        <w:t>Токен_Доступа</w:t>
      </w:r>
      <w:proofErr w:type="spellEnd"/>
    </w:p>
    <w:p w14:paraId="6CA98B10" w14:textId="77777777" w:rsidR="00600778" w:rsidRPr="00600778" w:rsidRDefault="00600778" w:rsidP="00600778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color w:val="5F5F5F"/>
          <w:sz w:val="21"/>
          <w:szCs w:val="21"/>
        </w:rPr>
      </w:pPr>
    </w:p>
    <w:p w14:paraId="59CFB442" w14:textId="04EB45A1" w:rsidR="006D7F37" w:rsidRPr="00600778" w:rsidRDefault="006D7F37" w:rsidP="00D45B89">
      <w:pPr>
        <w:pStyle w:val="a3"/>
        <w:shd w:val="clear" w:color="auto" w:fill="FFFFFF"/>
        <w:spacing w:before="0" w:beforeAutospacing="0" w:after="150" w:afterAutospacing="0" w:line="330" w:lineRule="atLeast"/>
        <w:rPr>
          <w:rFonts w:ascii="Arial" w:hAnsi="Arial" w:cs="Arial"/>
          <w:b/>
          <w:bCs/>
          <w:color w:val="5F5F5F"/>
        </w:rPr>
      </w:pPr>
      <w:r w:rsidRPr="00600778">
        <w:rPr>
          <w:rFonts w:ascii="Arial" w:hAnsi="Arial" w:cs="Arial"/>
          <w:b/>
          <w:bCs/>
          <w:color w:val="5F5F5F"/>
        </w:rPr>
        <w:t>Список отчетов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044"/>
        <w:gridCol w:w="8307"/>
      </w:tblGrid>
      <w:tr w:rsidR="00DD1614" w:rsidRPr="00B42EEC" w14:paraId="57CCB5F9" w14:textId="77777777" w:rsidTr="00600778">
        <w:trPr>
          <w:trHeight w:val="34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D493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1</w:t>
            </w:r>
          </w:p>
        </w:tc>
        <w:tc>
          <w:tcPr>
            <w:tcW w:w="6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053D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об исполнении бюджета</w:t>
            </w:r>
          </w:p>
        </w:tc>
      </w:tr>
      <w:tr w:rsidR="00DD1614" w:rsidRPr="00B42EEC" w14:paraId="5E54A2E0" w14:textId="77777777" w:rsidTr="00DD1614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EFDD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7EC65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Консолидированная финансовая отчетность</w:t>
            </w:r>
          </w:p>
        </w:tc>
      </w:tr>
      <w:tr w:rsidR="00DD1614" w:rsidRPr="00B42EEC" w14:paraId="1CF08BA9" w14:textId="77777777" w:rsidTr="00DD1614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5073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4D4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Бухгалтерский баланс (КФО-1)</w:t>
            </w:r>
          </w:p>
        </w:tc>
      </w:tr>
      <w:tr w:rsidR="00DD1614" w:rsidRPr="00B42EEC" w14:paraId="0442A0E5" w14:textId="77777777" w:rsidTr="00DD1614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8C17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22F4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 результатах финансовой деятельности (КФО-2)</w:t>
            </w:r>
          </w:p>
        </w:tc>
      </w:tr>
      <w:tr w:rsidR="00DD1614" w:rsidRPr="00B42EEC" w14:paraId="2BC359B1" w14:textId="77777777" w:rsidTr="00DD1614">
        <w:trPr>
          <w:trHeight w:val="4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11C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662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 движении денег на счетах государственного учреждения по источникам финансирования(прямой метод) (КФО-3)</w:t>
            </w:r>
          </w:p>
        </w:tc>
      </w:tr>
      <w:tr w:rsidR="00DD1614" w:rsidRPr="00B42EEC" w14:paraId="0E629EE5" w14:textId="77777777" w:rsidTr="00DD1614">
        <w:trPr>
          <w:trHeight w:val="23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97D9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lastRenderedPageBreak/>
              <w:t>2.4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0A5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об изменениях чистых активов/капитала за год (КФО-4)</w:t>
            </w:r>
          </w:p>
        </w:tc>
      </w:tr>
      <w:tr w:rsidR="00DD1614" w:rsidRPr="00B42EEC" w14:paraId="43E551EC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67468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CA2F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Поянительная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записка к консолидированной финансовой отчетности (КФО-5)</w:t>
            </w:r>
          </w:p>
        </w:tc>
      </w:tr>
      <w:tr w:rsidR="00DD1614" w:rsidRPr="00B42EEC" w14:paraId="76C0AD0A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A360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6F25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1. Денежные средства и их эквиваленты (строки 010 КФО-1 "Бухгалтерский баланс")</w:t>
            </w:r>
          </w:p>
        </w:tc>
      </w:tr>
      <w:tr w:rsidR="00DD1614" w:rsidRPr="00B42EEC" w14:paraId="0C8A1698" w14:textId="77777777" w:rsidTr="00DD1614">
        <w:trPr>
          <w:trHeight w:val="4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473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59C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2. Краткосрочные финансовые инвестиции (строка 011 КФО- 1 "Консолидированный бухгалтерский баланс")</w:t>
            </w:r>
          </w:p>
        </w:tc>
      </w:tr>
      <w:tr w:rsidR="00DD1614" w:rsidRPr="00B42EEC" w14:paraId="599EF01B" w14:textId="77777777" w:rsidTr="00DD1614">
        <w:trPr>
          <w:trHeight w:val="8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8822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3BB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3. Краткосрочная дебиторская задолженность покупателей и заказчиков (строки 014 КФО- 1 "Консолидированный бухгалтерский баланс")</w:t>
            </w:r>
          </w:p>
        </w:tc>
      </w:tr>
      <w:tr w:rsidR="00DD1614" w:rsidRPr="00B42EEC" w14:paraId="2C37AA6A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30EC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3E7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4. Запасы (строка 020 КФО- 1 "Консолидированный бухгалтерский баланс")</w:t>
            </w:r>
          </w:p>
        </w:tc>
      </w:tr>
      <w:tr w:rsidR="00DD1614" w:rsidRPr="00B42EEC" w14:paraId="166709B5" w14:textId="77777777" w:rsidTr="00DD1614">
        <w:trPr>
          <w:trHeight w:val="45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61A6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FF89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5. Долгосрочные финансовые инвестиции (строка 110 КФО- 1 "Консолидированный бухгалтерский баланс")</w:t>
            </w:r>
          </w:p>
        </w:tc>
      </w:tr>
      <w:tr w:rsidR="00DD1614" w:rsidRPr="00B42EEC" w14:paraId="3EA3806F" w14:textId="77777777" w:rsidTr="00DD1614">
        <w:trPr>
          <w:trHeight w:val="6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1D8E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77EC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6. Основные средства (строка 114 КФО- 1 "Консолидированный бухгалтерский баланс")</w:t>
            </w:r>
          </w:p>
        </w:tc>
      </w:tr>
      <w:tr w:rsidR="00DD1614" w:rsidRPr="00B42EEC" w14:paraId="763045FB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0B27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8F1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7. Инвестиционная недвижимость (строка 116 КФО- 1 "Консолидированный бухгалтерский баланс")</w:t>
            </w:r>
          </w:p>
        </w:tc>
      </w:tr>
      <w:tr w:rsidR="00DD1614" w:rsidRPr="00B42EEC" w14:paraId="333E852D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A0F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54C9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8. Биологические активы (строка 117 КФО- 1 "Консолидированный бухгалтерский баланс")</w:t>
            </w:r>
          </w:p>
        </w:tc>
      </w:tr>
      <w:tr w:rsidR="00DD1614" w:rsidRPr="00B42EEC" w14:paraId="4F5C5268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E73E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EB78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9. Нематериальные активы (строка 118 КФО- 1 "Консолидированный бухгалтерский баланс")</w:t>
            </w:r>
          </w:p>
        </w:tc>
      </w:tr>
      <w:tr w:rsidR="00DD1614" w:rsidRPr="00B42EEC" w14:paraId="434D67ED" w14:textId="77777777" w:rsidTr="00DD1614">
        <w:trPr>
          <w:trHeight w:val="3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22FE2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AB3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10. Краткосрочные финансовые обязательства (строка 210 КФО-1 "Консолидированный бухгалтерский баланс")</w:t>
            </w:r>
          </w:p>
        </w:tc>
      </w:tr>
      <w:tr w:rsidR="00DD1614" w:rsidRPr="00B42EEC" w14:paraId="2E70175E" w14:textId="77777777" w:rsidTr="00DD1614">
        <w:trPr>
          <w:trHeight w:val="4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D959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F48B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11. Долгосрочные финансовые обязательства (строка 310 КФО- 1 "Консолидированный бухгалтерский баланс")</w:t>
            </w:r>
          </w:p>
        </w:tc>
      </w:tr>
      <w:tr w:rsidR="00DD1614" w:rsidRPr="00B42EEC" w14:paraId="436BF000" w14:textId="77777777" w:rsidTr="00DD1614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44B3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3F73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12. Прочие доходы</w:t>
            </w:r>
          </w:p>
        </w:tc>
      </w:tr>
      <w:tr w:rsidR="00DD1614" w:rsidRPr="00B42EEC" w14:paraId="58767F5E" w14:textId="77777777" w:rsidTr="00DD1614">
        <w:trPr>
          <w:trHeight w:val="5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05F2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D582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13 Доходы от налоговых поступлений в бюджет (строка 020 КФО- 2 "Отчет о результатах финансовой деятельности")</w:t>
            </w:r>
          </w:p>
        </w:tc>
      </w:tr>
      <w:tr w:rsidR="00DD1614" w:rsidRPr="00B42EEC" w14:paraId="43225DEA" w14:textId="77777777" w:rsidTr="00DD1614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1A4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190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14. Прочие расходы</w:t>
            </w:r>
          </w:p>
        </w:tc>
      </w:tr>
      <w:tr w:rsidR="00DD1614" w:rsidRPr="00B42EEC" w14:paraId="6D01AF26" w14:textId="77777777" w:rsidTr="00DD1614">
        <w:trPr>
          <w:trHeight w:val="86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A636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350B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15. Расходы по уменьшению поступлений в бюджет (строка 137 КФО- 2 "Отчет о результатах финансовой деятельности")</w:t>
            </w:r>
          </w:p>
        </w:tc>
      </w:tr>
      <w:tr w:rsidR="00DD1614" w:rsidRPr="00B42EEC" w14:paraId="43EAFFBE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41E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54D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16. Безвозмездно переданные долгосрочные активы /запасы</w:t>
            </w:r>
          </w:p>
        </w:tc>
      </w:tr>
      <w:tr w:rsidR="00DD1614" w:rsidRPr="00B42EEC" w14:paraId="0E4797A3" w14:textId="77777777" w:rsidTr="00DD1614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FFFB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FF80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17. Информация по концессионным активам</w:t>
            </w:r>
          </w:p>
        </w:tc>
      </w:tr>
      <w:tr w:rsidR="00DD1614" w:rsidRPr="00B42EEC" w14:paraId="04BE2720" w14:textId="77777777" w:rsidTr="00DD1614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FC4A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2.5.18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85F0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18. Информация по взаимным операциям</w:t>
            </w:r>
          </w:p>
        </w:tc>
      </w:tr>
      <w:tr w:rsidR="00DD1614" w:rsidRPr="00B42EEC" w14:paraId="3883AB87" w14:textId="77777777" w:rsidTr="00DD1614">
        <w:trPr>
          <w:trHeight w:val="5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AF6D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lastRenderedPageBreak/>
              <w:t>2.5.19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8FE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19. Информация по начисленным и перечисленным суммам по счету 7120 "Расходы по расчетам с бюджетом".</w:t>
            </w:r>
          </w:p>
        </w:tc>
      </w:tr>
      <w:tr w:rsidR="00DD1614" w:rsidRPr="00B42EEC" w14:paraId="1130156F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1C8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5F2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Таблица 20 "Обязательства по договорам государственно-частного партнерства"</w:t>
            </w:r>
          </w:p>
        </w:tc>
      </w:tr>
      <w:tr w:rsidR="00DD1614" w:rsidRPr="00B42EEC" w14:paraId="74186A7E" w14:textId="77777777" w:rsidTr="00DD1614">
        <w:trPr>
          <w:trHeight w:val="5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0FB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2.5.21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1D13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Информация по долгосрочным инвестициям в субъекты </w:t>
            </w: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квазигосударственного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сектора</w:t>
            </w:r>
          </w:p>
        </w:tc>
      </w:tr>
      <w:tr w:rsidR="00DD1614" w:rsidRPr="00B42EEC" w14:paraId="27399E9A" w14:textId="77777777" w:rsidTr="00DD1614">
        <w:trPr>
          <w:trHeight w:val="28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6912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B6C5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Дебиторская и кредиторская задолженность</w:t>
            </w:r>
          </w:p>
        </w:tc>
      </w:tr>
      <w:tr w:rsidR="00DD1614" w:rsidRPr="00B42EEC" w14:paraId="52998C3D" w14:textId="77777777" w:rsidTr="00DD1614">
        <w:trPr>
          <w:trHeight w:val="24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374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3.1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C8D7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 дебиторской задолженности за счет бюджетных средств</w:t>
            </w:r>
          </w:p>
        </w:tc>
      </w:tr>
      <w:tr w:rsidR="00DD1614" w:rsidRPr="00B42EEC" w14:paraId="4D2599B7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D979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3.2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F270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Причины образования кредиторской задолженности за счет бюджетных средств</w:t>
            </w:r>
          </w:p>
        </w:tc>
      </w:tr>
      <w:tr w:rsidR="00DD1614" w:rsidRPr="00B42EEC" w14:paraId="196E95ED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D1F4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3.3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15AA0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Отчет о дебиторской задолженность за счет прочих средств </w:t>
            </w:r>
          </w:p>
        </w:tc>
      </w:tr>
      <w:tr w:rsidR="00DD1614" w:rsidRPr="00B42EEC" w14:paraId="6B128C9C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6ADB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3184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Причины образования дебиторской задолженности за счет прочих средств</w:t>
            </w:r>
          </w:p>
        </w:tc>
      </w:tr>
      <w:tr w:rsidR="00DD1614" w:rsidRPr="00B42EEC" w14:paraId="3856F807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94005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9E9B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 кредиторской задолженности за счет бюджетных средств</w:t>
            </w:r>
          </w:p>
        </w:tc>
      </w:tr>
      <w:tr w:rsidR="00DD1614" w:rsidRPr="00B42EEC" w14:paraId="1765A1F9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E61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3.6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CC745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Причины образования кредиторской задолженности за счет бюджетных средств</w:t>
            </w:r>
          </w:p>
        </w:tc>
      </w:tr>
      <w:tr w:rsidR="00DD1614" w:rsidRPr="00B42EEC" w14:paraId="0DE37808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8355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3.7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1E5B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Отчет о кредиторской задолженности за счет прочих средств</w:t>
            </w:r>
          </w:p>
        </w:tc>
      </w:tr>
      <w:tr w:rsidR="00DD1614" w:rsidRPr="00B42EEC" w14:paraId="1CCA9D2A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7ED4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3.8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867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Причины образования кредиторской задолженности за счет прочих средств</w:t>
            </w:r>
          </w:p>
        </w:tc>
      </w:tr>
      <w:tr w:rsidR="00DD1614" w:rsidRPr="00B42EEC" w14:paraId="4E227F2B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24BC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F6EC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Контроль счетов наличности</w:t>
            </w:r>
          </w:p>
        </w:tc>
      </w:tr>
      <w:tr w:rsidR="00DD1614" w:rsidRPr="00B42EEC" w14:paraId="33BC52D8" w14:textId="77777777" w:rsidTr="00DD1614">
        <w:trPr>
          <w:trHeight w:val="57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80BF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5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D6FB" w14:textId="77777777" w:rsidR="00DD1614" w:rsidRPr="00600778" w:rsidRDefault="00DD1614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Целевые трансферты</w:t>
            </w:r>
          </w:p>
        </w:tc>
      </w:tr>
    </w:tbl>
    <w:p w14:paraId="06984A7D" w14:textId="4D68718A" w:rsidR="006D7F37" w:rsidRDefault="006D7F37" w:rsidP="00DD1614">
      <w:pPr>
        <w:pStyle w:val="a3"/>
        <w:shd w:val="clear" w:color="auto" w:fill="FFFFFF"/>
        <w:spacing w:before="0" w:beforeAutospacing="0" w:after="150" w:afterAutospacing="0" w:line="330" w:lineRule="atLeast"/>
        <w:ind w:left="720"/>
        <w:rPr>
          <w:rFonts w:ascii="Arial" w:hAnsi="Arial" w:cs="Arial"/>
          <w:color w:val="5F5F5F"/>
          <w:sz w:val="21"/>
          <w:szCs w:val="21"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600778" w:rsidRPr="00600778" w14:paraId="0456897A" w14:textId="77777777" w:rsidTr="00600778">
        <w:trPr>
          <w:trHeight w:val="288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3B3D" w14:textId="2815D4DE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код области, города республиканского значения (первые две цифры </w:t>
            </w: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като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)</w:t>
            </w:r>
          </w:p>
        </w:tc>
      </w:tr>
      <w:tr w:rsidR="00600778" w:rsidRPr="00600778" w14:paraId="2D4C69A7" w14:textId="77777777" w:rsidTr="00600778">
        <w:trPr>
          <w:trHeight w:val="3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B988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00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5054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Республика Казахстан</w:t>
            </w:r>
          </w:p>
        </w:tc>
      </w:tr>
      <w:tr w:rsidR="00600778" w:rsidRPr="00600778" w14:paraId="24A0E7F1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DFBE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2E73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г. </w:t>
            </w: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Нур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-Султан</w:t>
            </w:r>
          </w:p>
        </w:tc>
      </w:tr>
      <w:tr w:rsidR="00600778" w:rsidRPr="00600778" w14:paraId="464D1255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ECD2F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6C9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г.Алматы</w:t>
            </w:r>
            <w:proofErr w:type="spellEnd"/>
          </w:p>
        </w:tc>
      </w:tr>
      <w:tr w:rsidR="00600778" w:rsidRPr="00600778" w14:paraId="52B1050F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C51E2C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8E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г.Шымкент</w:t>
            </w:r>
            <w:proofErr w:type="spellEnd"/>
          </w:p>
        </w:tc>
      </w:tr>
      <w:tr w:rsidR="00600778" w:rsidRPr="00600778" w14:paraId="205D7C9B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F84C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7260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Акмолинская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область</w:t>
            </w:r>
          </w:p>
        </w:tc>
      </w:tr>
      <w:tr w:rsidR="00600778" w:rsidRPr="00600778" w14:paraId="618D6338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214D5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1701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Актюбинская область </w:t>
            </w:r>
          </w:p>
        </w:tc>
      </w:tr>
      <w:tr w:rsidR="00600778" w:rsidRPr="00600778" w14:paraId="29F22950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43DB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CF00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Алматинская область</w:t>
            </w:r>
          </w:p>
        </w:tc>
      </w:tr>
      <w:tr w:rsidR="00600778" w:rsidRPr="00600778" w14:paraId="3EB1EABE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7B4B5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6B01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Атырауская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область</w:t>
            </w:r>
          </w:p>
        </w:tc>
      </w:tr>
      <w:tr w:rsidR="00600778" w:rsidRPr="00600778" w14:paraId="5811E0BB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74BB9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C3BC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Восточно-Казахстанская область</w:t>
            </w:r>
          </w:p>
        </w:tc>
      </w:tr>
      <w:tr w:rsidR="00600778" w:rsidRPr="00600778" w14:paraId="0971EF05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532E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DF1C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Жамбылская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область</w:t>
            </w:r>
          </w:p>
        </w:tc>
      </w:tr>
      <w:tr w:rsidR="00600778" w:rsidRPr="00600778" w14:paraId="2451183B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B4EFB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lastRenderedPageBreak/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EDE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Западно-Казахстанская</w:t>
            </w:r>
          </w:p>
        </w:tc>
      </w:tr>
      <w:tr w:rsidR="00600778" w:rsidRPr="00600778" w14:paraId="2FB40DFE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B4A54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4983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Карагандинская область</w:t>
            </w:r>
          </w:p>
        </w:tc>
      </w:tr>
      <w:tr w:rsidR="00600778" w:rsidRPr="00600778" w14:paraId="3CA5E273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9963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F774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Кызылординская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область</w:t>
            </w:r>
          </w:p>
        </w:tc>
      </w:tr>
      <w:tr w:rsidR="00600778" w:rsidRPr="00600778" w14:paraId="7B924EF1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D304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70E9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Костанайская область</w:t>
            </w:r>
          </w:p>
        </w:tc>
      </w:tr>
      <w:tr w:rsidR="00600778" w:rsidRPr="00600778" w14:paraId="08E84C4F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6B83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317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Мангистауская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область</w:t>
            </w:r>
          </w:p>
        </w:tc>
      </w:tr>
      <w:tr w:rsidR="00600778" w:rsidRPr="00600778" w14:paraId="38EF2E74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439F5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4761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Павлодарская область</w:t>
            </w:r>
          </w:p>
        </w:tc>
      </w:tr>
      <w:tr w:rsidR="00600778" w:rsidRPr="00600778" w14:paraId="49D25301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5E64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9009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Северо-Казахстанская область</w:t>
            </w:r>
          </w:p>
        </w:tc>
      </w:tr>
      <w:tr w:rsidR="00600778" w:rsidRPr="00600778" w14:paraId="586A88F8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72DDF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9C0E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Туркестанская область</w:t>
            </w:r>
          </w:p>
        </w:tc>
      </w:tr>
      <w:tr w:rsidR="00600778" w:rsidRPr="00600778" w14:paraId="2F6AB2D2" w14:textId="77777777" w:rsidTr="00600778">
        <w:trPr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581A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1BFD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Южно-Казахстанская область</w:t>
            </w:r>
          </w:p>
        </w:tc>
      </w:tr>
    </w:tbl>
    <w:p w14:paraId="3AD8A3A9" w14:textId="551C498C" w:rsidR="00600778" w:rsidRDefault="00600778" w:rsidP="00DD1614">
      <w:pPr>
        <w:pStyle w:val="a3"/>
        <w:shd w:val="clear" w:color="auto" w:fill="FFFFFF"/>
        <w:spacing w:before="0" w:beforeAutospacing="0" w:after="150" w:afterAutospacing="0" w:line="330" w:lineRule="atLeast"/>
        <w:ind w:left="720"/>
        <w:rPr>
          <w:rFonts w:ascii="Arial" w:hAnsi="Arial" w:cs="Arial"/>
          <w:color w:val="5F5F5F"/>
          <w:sz w:val="21"/>
          <w:szCs w:val="21"/>
          <w:lang w:val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600778" w:rsidRPr="00600778" w14:paraId="50D1EE75" w14:textId="77777777" w:rsidTr="00600778">
        <w:trPr>
          <w:trHeight w:val="288"/>
        </w:trPr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85D59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Calibri" w:hAnsi="Calibri" w:cs="Calibri"/>
                <w:color w:val="000000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Тип </w:t>
            </w: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взаимопогашения</w:t>
            </w:r>
            <w:proofErr w:type="spellEnd"/>
          </w:p>
        </w:tc>
      </w:tr>
      <w:tr w:rsidR="00600778" w:rsidRPr="00600778" w14:paraId="0C94AC78" w14:textId="77777777" w:rsidTr="00600778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D127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NULL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860D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невзаимопогашаемые</w:t>
            </w:r>
            <w:proofErr w:type="spellEnd"/>
          </w:p>
        </w:tc>
      </w:tr>
      <w:tr w:rsidR="00600778" w:rsidRPr="00600778" w14:paraId="5C533158" w14:textId="77777777" w:rsidTr="00600778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21EE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72FC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взаимопогания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между государственного бюджета (МБ и РБ)</w:t>
            </w:r>
          </w:p>
        </w:tc>
      </w:tr>
      <w:tr w:rsidR="00600778" w:rsidRPr="00600778" w14:paraId="6160941F" w14:textId="77777777" w:rsidTr="00600778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EA49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F33F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взаимопогашения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областного бюджета</w:t>
            </w:r>
          </w:p>
        </w:tc>
      </w:tr>
      <w:tr w:rsidR="00600778" w:rsidRPr="00600778" w14:paraId="6CC16AB8" w14:textId="77777777" w:rsidTr="00600778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A1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866A" w14:textId="77777777" w:rsidR="00600778" w:rsidRPr="00600778" w:rsidRDefault="00600778" w:rsidP="00600778">
            <w:pPr>
              <w:pStyle w:val="a3"/>
              <w:shd w:val="clear" w:color="auto" w:fill="FFFFFF"/>
              <w:spacing w:before="0" w:beforeAutospacing="0" w:after="150" w:afterAutospacing="0" w:line="330" w:lineRule="atLeast"/>
              <w:rPr>
                <w:rFonts w:ascii="Arial" w:hAnsi="Arial" w:cs="Arial"/>
                <w:color w:val="5F5F5F"/>
                <w:sz w:val="21"/>
                <w:szCs w:val="21"/>
              </w:rPr>
            </w:pPr>
            <w:proofErr w:type="spellStart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>взаимопогашения</w:t>
            </w:r>
            <w:proofErr w:type="spellEnd"/>
            <w:r w:rsidRPr="00600778">
              <w:rPr>
                <w:rFonts w:ascii="Arial" w:hAnsi="Arial" w:cs="Arial"/>
                <w:color w:val="5F5F5F"/>
                <w:sz w:val="21"/>
                <w:szCs w:val="21"/>
              </w:rPr>
              <w:t xml:space="preserve"> районного бюджета</w:t>
            </w:r>
          </w:p>
        </w:tc>
      </w:tr>
    </w:tbl>
    <w:p w14:paraId="393E7533" w14:textId="77777777" w:rsidR="00600778" w:rsidRPr="00E4076D" w:rsidRDefault="00600778" w:rsidP="00DD1614">
      <w:pPr>
        <w:pStyle w:val="a3"/>
        <w:shd w:val="clear" w:color="auto" w:fill="FFFFFF"/>
        <w:spacing w:before="0" w:beforeAutospacing="0" w:after="150" w:afterAutospacing="0" w:line="330" w:lineRule="atLeast"/>
        <w:ind w:left="720"/>
        <w:rPr>
          <w:rFonts w:ascii="Arial" w:hAnsi="Arial" w:cs="Arial"/>
          <w:color w:val="5F5F5F"/>
          <w:sz w:val="21"/>
          <w:szCs w:val="21"/>
          <w:lang w:val="en-US"/>
        </w:rPr>
      </w:pPr>
    </w:p>
    <w:sectPr w:rsidR="00600778" w:rsidRPr="00E4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45E"/>
    <w:multiLevelType w:val="multilevel"/>
    <w:tmpl w:val="83F0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C3ABC"/>
    <w:multiLevelType w:val="multilevel"/>
    <w:tmpl w:val="2048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14DB4"/>
    <w:multiLevelType w:val="hybridMultilevel"/>
    <w:tmpl w:val="B7F6D69E"/>
    <w:lvl w:ilvl="0" w:tplc="586214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C420C"/>
    <w:multiLevelType w:val="hybridMultilevel"/>
    <w:tmpl w:val="B7F6D69E"/>
    <w:lvl w:ilvl="0" w:tplc="586214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89"/>
    <w:rsid w:val="001305DE"/>
    <w:rsid w:val="00600778"/>
    <w:rsid w:val="006D7F37"/>
    <w:rsid w:val="0077514B"/>
    <w:rsid w:val="008E10B9"/>
    <w:rsid w:val="00B217A2"/>
    <w:rsid w:val="00C4568F"/>
    <w:rsid w:val="00D45B89"/>
    <w:rsid w:val="00DD1614"/>
    <w:rsid w:val="00E4076D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DBC5"/>
  <w15:chartTrackingRefBased/>
  <w15:docId w15:val="{EE47EF62-7C2C-415E-A6E4-A6073A1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4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B89"/>
    <w:rPr>
      <w:b/>
      <w:bCs/>
    </w:rPr>
  </w:style>
  <w:style w:type="character" w:styleId="a5">
    <w:name w:val="Hyperlink"/>
    <w:basedOn w:val="a0"/>
    <w:uiPriority w:val="99"/>
    <w:unhideWhenUsed/>
    <w:rsid w:val="00D45B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s.goszakup.gov.kz/help/emf/schema/" TargetMode="External"/><Relationship Id="rId5" Type="http://schemas.openxmlformats.org/officeDocument/2006/relationships/hyperlink" Target="https://ows.goszakup.gov.kz/help/emf/sche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 Калдыбаева</dc:creator>
  <cp:keywords/>
  <dc:description/>
  <cp:lastModifiedBy>user</cp:lastModifiedBy>
  <cp:revision>2</cp:revision>
  <dcterms:created xsi:type="dcterms:W3CDTF">2020-05-04T09:17:00Z</dcterms:created>
  <dcterms:modified xsi:type="dcterms:W3CDTF">2020-05-06T05:30:00Z</dcterms:modified>
</cp:coreProperties>
</file>