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F41" w:rsidRPr="00A202DF" w:rsidRDefault="00C23043" w:rsidP="00240F41">
      <w:pPr>
        <w:pStyle w:val="a3"/>
        <w:rPr>
          <w:color w:val="000000"/>
        </w:rPr>
      </w:pPr>
      <w:r>
        <w:rPr>
          <w:b/>
          <w:bCs/>
          <w:color w:val="000000"/>
        </w:rPr>
        <w:t>2</w:t>
      </w:r>
      <w:r w:rsidR="00240F41" w:rsidRPr="00A202DF">
        <w:rPr>
          <w:b/>
          <w:bCs/>
          <w:color w:val="000000"/>
        </w:rPr>
        <w:t>. Анализ межведомственного взаимодействия</w:t>
      </w:r>
    </w:p>
    <w:tbl>
      <w:tblPr>
        <w:tblW w:w="9907" w:type="dxa"/>
        <w:jc w:val="center"/>
        <w:tblInd w:w="-694" w:type="dxa"/>
        <w:tblCellMar>
          <w:left w:w="0" w:type="dxa"/>
          <w:right w:w="0" w:type="dxa"/>
        </w:tblCellMar>
        <w:tblLook w:val="0000" w:firstRow="0" w:lastRow="0" w:firstColumn="0" w:lastColumn="0" w:noHBand="0" w:noVBand="0"/>
      </w:tblPr>
      <w:tblGrid>
        <w:gridCol w:w="2892"/>
        <w:gridCol w:w="2196"/>
        <w:gridCol w:w="4819"/>
      </w:tblGrid>
      <w:tr w:rsidR="00C23043" w:rsidRPr="00A202DF" w:rsidTr="00C23043">
        <w:trPr>
          <w:jc w:val="center"/>
        </w:trPr>
        <w:tc>
          <w:tcPr>
            <w:tcW w:w="28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23043" w:rsidRPr="00A202DF" w:rsidRDefault="00C23043" w:rsidP="00DB16CD">
            <w:pPr>
              <w:pStyle w:val="a3"/>
              <w:spacing w:before="0" w:beforeAutospacing="0" w:after="0" w:afterAutospacing="0"/>
              <w:jc w:val="center"/>
              <w:rPr>
                <w:b/>
                <w:lang w:val="kk-KZ"/>
              </w:rPr>
            </w:pPr>
            <w:r w:rsidRPr="00A202DF">
              <w:rPr>
                <w:b/>
              </w:rPr>
              <w:t>Наименование</w:t>
            </w:r>
            <w:r w:rsidRPr="00A202DF">
              <w:rPr>
                <w:b/>
                <w:lang w:val="kk-KZ"/>
              </w:rPr>
              <w:t xml:space="preserve"> целевого индикатора</w:t>
            </w:r>
          </w:p>
        </w:tc>
        <w:tc>
          <w:tcPr>
            <w:tcW w:w="2196" w:type="dxa"/>
            <w:tcBorders>
              <w:top w:val="outset" w:sz="8" w:space="0" w:color="000000"/>
              <w:left w:val="outset" w:sz="8" w:space="0" w:color="000000"/>
              <w:bottom w:val="outset" w:sz="8" w:space="0" w:color="000000"/>
              <w:right w:val="inset" w:sz="8" w:space="0" w:color="000000"/>
            </w:tcBorders>
          </w:tcPr>
          <w:p w:rsidR="00C23043" w:rsidRPr="00A202DF" w:rsidRDefault="00DB16CD" w:rsidP="003D344E">
            <w:pPr>
              <w:pStyle w:val="a3"/>
              <w:spacing w:before="0" w:beforeAutospacing="0" w:after="0" w:afterAutospacing="0"/>
              <w:jc w:val="center"/>
              <w:rPr>
                <w:b/>
              </w:rPr>
            </w:pPr>
            <w:r>
              <w:rPr>
                <w:b/>
              </w:rPr>
              <w:t>С</w:t>
            </w:r>
            <w:r w:rsidR="00C23043" w:rsidRPr="00A202DF">
              <w:rPr>
                <w:b/>
              </w:rPr>
              <w:t>оисполнитель</w:t>
            </w:r>
          </w:p>
        </w:tc>
        <w:tc>
          <w:tcPr>
            <w:tcW w:w="4819" w:type="dxa"/>
            <w:tcBorders>
              <w:top w:val="outset" w:sz="8" w:space="0" w:color="000000"/>
              <w:left w:val="inset" w:sz="8" w:space="0" w:color="000000"/>
              <w:bottom w:val="outset" w:sz="8" w:space="0" w:color="000000"/>
              <w:right w:val="outset" w:sz="8" w:space="0" w:color="000000"/>
            </w:tcBorders>
            <w:tcMar>
              <w:top w:w="15" w:type="dxa"/>
              <w:left w:w="15" w:type="dxa"/>
              <w:bottom w:w="15" w:type="dxa"/>
              <w:right w:w="15" w:type="dxa"/>
            </w:tcMar>
          </w:tcPr>
          <w:p w:rsidR="00C23043" w:rsidRPr="00A202DF" w:rsidRDefault="00C23043" w:rsidP="003D344E">
            <w:pPr>
              <w:pStyle w:val="a3"/>
              <w:spacing w:before="0" w:beforeAutospacing="0" w:after="0" w:afterAutospacing="0"/>
              <w:jc w:val="center"/>
              <w:rPr>
                <w:b/>
              </w:rPr>
            </w:pPr>
            <w:r w:rsidRPr="00A202DF">
              <w:rPr>
                <w:b/>
              </w:rPr>
              <w:t>Анализ взаимодействия</w:t>
            </w:r>
          </w:p>
        </w:tc>
      </w:tr>
      <w:tr w:rsidR="002F65F0" w:rsidRPr="00A202DF" w:rsidTr="00C23043">
        <w:trPr>
          <w:jc w:val="center"/>
        </w:trPr>
        <w:tc>
          <w:tcPr>
            <w:tcW w:w="28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F65F0" w:rsidRPr="00A202DF" w:rsidRDefault="002F65F0" w:rsidP="003D344E">
            <w:pPr>
              <w:pStyle w:val="a3"/>
              <w:spacing w:before="0" w:beforeAutospacing="0" w:after="0" w:afterAutospacing="0"/>
              <w:jc w:val="center"/>
              <w:rPr>
                <w:b/>
              </w:rPr>
            </w:pPr>
            <w:r>
              <w:rPr>
                <w:b/>
              </w:rPr>
              <w:t>1</w:t>
            </w:r>
          </w:p>
        </w:tc>
        <w:tc>
          <w:tcPr>
            <w:tcW w:w="2196" w:type="dxa"/>
            <w:tcBorders>
              <w:top w:val="outset" w:sz="8" w:space="0" w:color="000000"/>
              <w:left w:val="outset" w:sz="8" w:space="0" w:color="000000"/>
              <w:bottom w:val="outset" w:sz="8" w:space="0" w:color="000000"/>
              <w:right w:val="inset" w:sz="8" w:space="0" w:color="000000"/>
            </w:tcBorders>
          </w:tcPr>
          <w:p w:rsidR="002F65F0" w:rsidRPr="00A202DF" w:rsidRDefault="002F65F0" w:rsidP="003D344E">
            <w:pPr>
              <w:pStyle w:val="a3"/>
              <w:spacing w:before="0" w:beforeAutospacing="0" w:after="0" w:afterAutospacing="0"/>
              <w:jc w:val="center"/>
              <w:rPr>
                <w:b/>
              </w:rPr>
            </w:pPr>
            <w:r>
              <w:rPr>
                <w:b/>
              </w:rPr>
              <w:t>2</w:t>
            </w:r>
          </w:p>
        </w:tc>
        <w:tc>
          <w:tcPr>
            <w:tcW w:w="4819" w:type="dxa"/>
            <w:tcBorders>
              <w:top w:val="outset" w:sz="8" w:space="0" w:color="000000"/>
              <w:left w:val="inset" w:sz="8" w:space="0" w:color="000000"/>
              <w:bottom w:val="outset" w:sz="8" w:space="0" w:color="000000"/>
              <w:right w:val="outset" w:sz="8" w:space="0" w:color="000000"/>
            </w:tcBorders>
            <w:tcMar>
              <w:top w:w="15" w:type="dxa"/>
              <w:left w:w="15" w:type="dxa"/>
              <w:bottom w:w="15" w:type="dxa"/>
              <w:right w:w="15" w:type="dxa"/>
            </w:tcMar>
          </w:tcPr>
          <w:p w:rsidR="002F65F0" w:rsidRPr="00A202DF" w:rsidRDefault="002F65F0" w:rsidP="003D344E">
            <w:pPr>
              <w:pStyle w:val="a3"/>
              <w:spacing w:before="0" w:beforeAutospacing="0" w:after="0" w:afterAutospacing="0"/>
              <w:jc w:val="center"/>
              <w:rPr>
                <w:b/>
              </w:rPr>
            </w:pPr>
            <w:r>
              <w:rPr>
                <w:b/>
              </w:rPr>
              <w:t>3</w:t>
            </w:r>
          </w:p>
        </w:tc>
      </w:tr>
      <w:tr w:rsidR="00490B09" w:rsidRPr="00A202DF" w:rsidTr="009630B0">
        <w:trPr>
          <w:jc w:val="center"/>
        </w:trPr>
        <w:tc>
          <w:tcPr>
            <w:tcW w:w="28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490B09" w:rsidRPr="006251E5" w:rsidRDefault="00490B09" w:rsidP="00AD7A51">
            <w:pPr>
              <w:pStyle w:val="a3"/>
              <w:spacing w:before="0" w:beforeAutospacing="0" w:after="0" w:afterAutospacing="0"/>
              <w:jc w:val="both"/>
              <w:rPr>
                <w:b/>
              </w:rPr>
            </w:pPr>
            <w:r w:rsidRPr="00CE79DB">
              <w:t>Плотность фиксированных линий телефонной связи на 100 жит.</w:t>
            </w:r>
          </w:p>
        </w:tc>
        <w:tc>
          <w:tcPr>
            <w:tcW w:w="2196" w:type="dxa"/>
            <w:tcBorders>
              <w:top w:val="outset" w:sz="8" w:space="0" w:color="000000"/>
              <w:left w:val="outset" w:sz="8" w:space="0" w:color="000000"/>
              <w:bottom w:val="outset" w:sz="8" w:space="0" w:color="000000"/>
              <w:right w:val="inset" w:sz="8" w:space="0" w:color="000000"/>
            </w:tcBorders>
          </w:tcPr>
          <w:p w:rsidR="00490B09" w:rsidRPr="00CE79DB" w:rsidRDefault="00490B09" w:rsidP="00AD7A51">
            <w:pPr>
              <w:jc w:val="center"/>
            </w:pPr>
            <w:r w:rsidRPr="00CE79DB">
              <w:t>АО «</w:t>
            </w:r>
            <w:proofErr w:type="spellStart"/>
            <w:r w:rsidRPr="00CE79DB">
              <w:t>Казахтелеком</w:t>
            </w:r>
            <w:proofErr w:type="spellEnd"/>
            <w:r w:rsidRPr="00CE79DB">
              <w:t>»,</w:t>
            </w:r>
          </w:p>
          <w:p w:rsidR="00490B09" w:rsidRPr="006251E5" w:rsidRDefault="00490B09" w:rsidP="00AD7A51">
            <w:pPr>
              <w:keepNext/>
              <w:jc w:val="center"/>
              <w:rPr>
                <w:lang w:val="kk-KZ"/>
              </w:rPr>
            </w:pPr>
            <w:r w:rsidRPr="00CE79DB">
              <w:t>ДС</w:t>
            </w:r>
          </w:p>
        </w:tc>
        <w:tc>
          <w:tcPr>
            <w:tcW w:w="4819" w:type="dxa"/>
            <w:tcBorders>
              <w:top w:val="outset" w:sz="8" w:space="0" w:color="000000"/>
              <w:left w:val="inset" w:sz="8" w:space="0" w:color="000000"/>
              <w:bottom w:val="outset" w:sz="8" w:space="0" w:color="000000"/>
              <w:right w:val="outset" w:sz="8" w:space="0" w:color="000000"/>
            </w:tcBorders>
            <w:tcMar>
              <w:top w:w="15" w:type="dxa"/>
              <w:left w:w="15" w:type="dxa"/>
              <w:bottom w:w="15" w:type="dxa"/>
              <w:right w:w="15" w:type="dxa"/>
            </w:tcMar>
            <w:vAlign w:val="center"/>
          </w:tcPr>
          <w:p w:rsidR="00490B09" w:rsidRPr="00970BBE" w:rsidRDefault="00490B09" w:rsidP="00AD7A51">
            <w:pPr>
              <w:ind w:firstLine="411"/>
              <w:jc w:val="both"/>
              <w:rPr>
                <w:lang w:val="kk-KZ"/>
              </w:rPr>
            </w:pPr>
            <w:r w:rsidRPr="00970BBE">
              <w:rPr>
                <w:lang w:val="kk-KZ"/>
              </w:rPr>
              <w:t>Уменьшение по этим видам связи объясняется невостребованностью данных видов услуг за счет расширения клиентской базы операторов сотовой связи и развития услуг высокоскоростного доступа к сети Интернет, позволяющие осуществлять разговоры по республике, со странами СНГ и дальнему зарубежью через сеть Интернет.</w:t>
            </w:r>
          </w:p>
          <w:p w:rsidR="00490B09" w:rsidRPr="006251E5" w:rsidRDefault="00490B09" w:rsidP="00AD7A51">
            <w:pPr>
              <w:jc w:val="both"/>
              <w:rPr>
                <w:lang w:val="kk-KZ"/>
              </w:rPr>
            </w:pPr>
            <w:r w:rsidRPr="00970BBE">
              <w:rPr>
                <w:lang w:val="kk-KZ"/>
              </w:rPr>
              <w:t>Кроме того, предлагаем индикатор «число фиксированных телефонных линий на 100 жителей» исключить из рейтинга областей, так как данный вид услуги не востребован домашними хозяйствами Казахстана.</w:t>
            </w:r>
          </w:p>
        </w:tc>
      </w:tr>
      <w:tr w:rsidR="00490B09" w:rsidRPr="001123F8" w:rsidTr="001C6B1B">
        <w:trPr>
          <w:jc w:val="center"/>
        </w:trPr>
        <w:tc>
          <w:tcPr>
            <w:tcW w:w="28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90B09" w:rsidRPr="001C6B1B" w:rsidRDefault="00490B09" w:rsidP="001C6B1B">
            <w:pPr>
              <w:jc w:val="both"/>
              <w:rPr>
                <w:bCs/>
                <w:sz w:val="22"/>
              </w:rPr>
            </w:pPr>
            <w:r w:rsidRPr="001C6B1B">
              <w:rPr>
                <w:bCs/>
                <w:sz w:val="22"/>
              </w:rPr>
              <w:t xml:space="preserve">Снижение материнской смертности на 100 тыс. </w:t>
            </w:r>
            <w:proofErr w:type="gramStart"/>
            <w:r w:rsidRPr="001C6B1B">
              <w:rPr>
                <w:bCs/>
                <w:sz w:val="22"/>
              </w:rPr>
              <w:t>родившихся</w:t>
            </w:r>
            <w:proofErr w:type="gramEnd"/>
            <w:r w:rsidRPr="001C6B1B">
              <w:rPr>
                <w:bCs/>
                <w:sz w:val="22"/>
              </w:rPr>
              <w:t xml:space="preserve"> живыми</w:t>
            </w:r>
          </w:p>
        </w:tc>
        <w:tc>
          <w:tcPr>
            <w:tcW w:w="2196" w:type="dxa"/>
            <w:tcBorders>
              <w:top w:val="single" w:sz="4" w:space="0" w:color="auto"/>
              <w:left w:val="single" w:sz="4" w:space="0" w:color="auto"/>
              <w:bottom w:val="single" w:sz="4" w:space="0" w:color="auto"/>
              <w:right w:val="single" w:sz="4" w:space="0" w:color="auto"/>
            </w:tcBorders>
          </w:tcPr>
          <w:p w:rsidR="00490B09" w:rsidRPr="001C6B1B" w:rsidRDefault="00490B09" w:rsidP="001C6B1B">
            <w:pPr>
              <w:keepNext/>
              <w:jc w:val="center"/>
              <w:rPr>
                <w:sz w:val="22"/>
                <w:lang w:eastAsia="en-US"/>
              </w:rPr>
            </w:pPr>
            <w:r w:rsidRPr="001C6B1B">
              <w:rPr>
                <w:sz w:val="22"/>
                <w:lang w:eastAsia="en-US"/>
              </w:rPr>
              <w:t>Подведомственные медицинские организации по СКО по родовспоможению и детству</w:t>
            </w:r>
          </w:p>
        </w:tc>
        <w:tc>
          <w:tcPr>
            <w:tcW w:w="48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90B09" w:rsidRPr="001C6B1B" w:rsidRDefault="00490B09" w:rsidP="001C6B1B">
            <w:pPr>
              <w:keepNext/>
              <w:ind w:left="127" w:right="127"/>
              <w:jc w:val="both"/>
              <w:rPr>
                <w:sz w:val="22"/>
              </w:rPr>
            </w:pPr>
            <w:r w:rsidRPr="001C6B1B">
              <w:rPr>
                <w:sz w:val="22"/>
              </w:rPr>
              <w:t>За 12 месяцев 2017 года зарегистрирован 1 случай материнской смертности, показатель – 14,2 на 100 000 живорождённых, (2016 г. – 0 случаев), республиканский показатель 12,0 на 100 000 живорождённых.</w:t>
            </w:r>
          </w:p>
          <w:p w:rsidR="00490B09" w:rsidRPr="001C6B1B" w:rsidRDefault="00490B09" w:rsidP="001C6B1B">
            <w:pPr>
              <w:keepNext/>
              <w:ind w:left="127" w:right="127"/>
              <w:jc w:val="both"/>
              <w:rPr>
                <w:sz w:val="22"/>
              </w:rPr>
            </w:pPr>
            <w:r w:rsidRPr="001C6B1B">
              <w:rPr>
                <w:sz w:val="22"/>
              </w:rPr>
              <w:t xml:space="preserve">Проведен анализ материнской смертности, </w:t>
            </w:r>
            <w:proofErr w:type="gramStart"/>
            <w:r w:rsidRPr="001C6B1B">
              <w:rPr>
                <w:sz w:val="22"/>
              </w:rPr>
              <w:t>разработан план мероприятий по предотвращению материнской смертности и направлен</w:t>
            </w:r>
            <w:proofErr w:type="gramEnd"/>
            <w:r w:rsidRPr="001C6B1B">
              <w:rPr>
                <w:sz w:val="22"/>
              </w:rPr>
              <w:t xml:space="preserve"> в Министерство здравоохранения Республики Казахстан.</w:t>
            </w:r>
          </w:p>
          <w:p w:rsidR="00490B09" w:rsidRPr="001C6B1B" w:rsidRDefault="00490B09" w:rsidP="001C6B1B">
            <w:pPr>
              <w:ind w:left="127" w:right="127"/>
              <w:jc w:val="both"/>
              <w:rPr>
                <w:sz w:val="22"/>
              </w:rPr>
            </w:pPr>
            <w:r w:rsidRPr="001C6B1B">
              <w:rPr>
                <w:sz w:val="22"/>
              </w:rPr>
              <w:t xml:space="preserve">Продолжает работать схема взаимодействия службы санитарной авиации с медицинскими организациями области при оказании экстренной медицинской помощи беременным, роженицам, родильницам и новорожденным. Имеется  картографирование зоны обслуживания с обозначением площади области, наименования районов и расстояний между ними. </w:t>
            </w:r>
          </w:p>
          <w:p w:rsidR="00490B09" w:rsidRPr="001C6B1B" w:rsidRDefault="00490B09" w:rsidP="001C6B1B">
            <w:pPr>
              <w:ind w:left="127"/>
              <w:jc w:val="both"/>
              <w:rPr>
                <w:sz w:val="22"/>
              </w:rPr>
            </w:pPr>
            <w:r w:rsidRPr="001C6B1B">
              <w:rPr>
                <w:sz w:val="22"/>
              </w:rPr>
              <w:t xml:space="preserve">Для обеспечения преемственности между акушерско-гинекологической и педиатрической службами с ПМСП и стационарами координаторами службы проводится выездная работа в районы, поликлиники города, мониторинг ведения Регистра беременных и женщин фертильного возраста, исполнения регионализации перинатальной помощи.  </w:t>
            </w:r>
          </w:p>
        </w:tc>
      </w:tr>
      <w:tr w:rsidR="00490B09" w:rsidRPr="001123F8" w:rsidTr="001C6B1B">
        <w:trPr>
          <w:jc w:val="center"/>
        </w:trPr>
        <w:tc>
          <w:tcPr>
            <w:tcW w:w="28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90B09" w:rsidRPr="001C6B1B" w:rsidRDefault="00490B09" w:rsidP="001C6B1B">
            <w:pPr>
              <w:jc w:val="both"/>
              <w:rPr>
                <w:bCs/>
                <w:sz w:val="22"/>
              </w:rPr>
            </w:pPr>
            <w:r w:rsidRPr="001C6B1B">
              <w:rPr>
                <w:bCs/>
                <w:sz w:val="22"/>
              </w:rPr>
              <w:t xml:space="preserve">Снижение младенческой смертности на 1000 </w:t>
            </w:r>
            <w:proofErr w:type="gramStart"/>
            <w:r w:rsidRPr="001C6B1B">
              <w:rPr>
                <w:bCs/>
                <w:sz w:val="22"/>
              </w:rPr>
              <w:t>родившихся</w:t>
            </w:r>
            <w:proofErr w:type="gramEnd"/>
            <w:r w:rsidRPr="001C6B1B">
              <w:rPr>
                <w:bCs/>
                <w:sz w:val="22"/>
              </w:rPr>
              <w:t xml:space="preserve"> живыми</w:t>
            </w:r>
          </w:p>
        </w:tc>
        <w:tc>
          <w:tcPr>
            <w:tcW w:w="2196" w:type="dxa"/>
            <w:tcBorders>
              <w:top w:val="single" w:sz="4" w:space="0" w:color="auto"/>
              <w:left w:val="single" w:sz="4" w:space="0" w:color="auto"/>
              <w:bottom w:val="single" w:sz="4" w:space="0" w:color="auto"/>
              <w:right w:val="single" w:sz="4" w:space="0" w:color="auto"/>
            </w:tcBorders>
          </w:tcPr>
          <w:p w:rsidR="00490B09" w:rsidRPr="001C6B1B" w:rsidRDefault="00490B09" w:rsidP="001C6B1B">
            <w:pPr>
              <w:keepNext/>
              <w:jc w:val="center"/>
              <w:rPr>
                <w:sz w:val="22"/>
                <w:lang w:eastAsia="en-US"/>
              </w:rPr>
            </w:pPr>
            <w:r w:rsidRPr="001C6B1B">
              <w:rPr>
                <w:sz w:val="22"/>
                <w:lang w:eastAsia="en-US"/>
              </w:rPr>
              <w:t>Подведомственные медицинские организации по СКО по родовспоможению и детству</w:t>
            </w:r>
          </w:p>
        </w:tc>
        <w:tc>
          <w:tcPr>
            <w:tcW w:w="48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90B09" w:rsidRPr="001C6B1B" w:rsidRDefault="00490B09" w:rsidP="001C6B1B">
            <w:pPr>
              <w:keepNext/>
              <w:tabs>
                <w:tab w:val="left" w:pos="7605"/>
              </w:tabs>
              <w:ind w:left="125" w:right="127"/>
              <w:jc w:val="both"/>
              <w:rPr>
                <w:bCs/>
                <w:sz w:val="22"/>
                <w:lang w:eastAsia="tr-TR"/>
              </w:rPr>
            </w:pPr>
            <w:r w:rsidRPr="001C6B1B">
              <w:rPr>
                <w:bCs/>
                <w:sz w:val="22"/>
                <w:lang w:eastAsia="tr-TR"/>
              </w:rPr>
              <w:t xml:space="preserve">По данным Департамента статистики СКО: показатель младенческой смертности за 12 месяцев 2017 года  возрос с 7,53 до 9,11 на 1 000 родившихся живыми. Всего умерло 67 детей первого года жизни (2016 г. – 59).  </w:t>
            </w:r>
          </w:p>
          <w:p w:rsidR="00490B09" w:rsidRPr="001C6B1B" w:rsidRDefault="00490B09" w:rsidP="001C6B1B">
            <w:pPr>
              <w:ind w:left="125"/>
              <w:jc w:val="both"/>
              <w:rPr>
                <w:sz w:val="22"/>
              </w:rPr>
            </w:pPr>
            <w:r w:rsidRPr="001C6B1B">
              <w:rPr>
                <w:sz w:val="22"/>
              </w:rPr>
              <w:t xml:space="preserve">С целью профилактики случаев младенческой,  в том числе  от управляемых причин проводятся следующие меры: </w:t>
            </w:r>
          </w:p>
          <w:p w:rsidR="00490B09" w:rsidRPr="001C6B1B" w:rsidRDefault="00490B09" w:rsidP="001C6B1B">
            <w:pPr>
              <w:ind w:left="125"/>
              <w:jc w:val="both"/>
              <w:rPr>
                <w:sz w:val="22"/>
              </w:rPr>
            </w:pPr>
            <w:r w:rsidRPr="001C6B1B">
              <w:rPr>
                <w:sz w:val="22"/>
              </w:rPr>
              <w:t xml:space="preserve">- отработка алгоритма ведения социально </w:t>
            </w:r>
            <w:r w:rsidRPr="001C6B1B">
              <w:rPr>
                <w:sz w:val="22"/>
              </w:rPr>
              <w:lastRenderedPageBreak/>
              <w:t>неадаптированных семей: выявление на уровне патронажа, оповещение администрации, социального работника, органов опеки. Определение  риска нахождения ребенка в данной ситуации, решение вопроса  о госпитализации, повышение  ответственности  социальных работников;</w:t>
            </w:r>
          </w:p>
          <w:p w:rsidR="00490B09" w:rsidRPr="001C6B1B" w:rsidRDefault="00490B09" w:rsidP="001C6B1B">
            <w:pPr>
              <w:ind w:left="125"/>
              <w:jc w:val="both"/>
              <w:rPr>
                <w:sz w:val="22"/>
              </w:rPr>
            </w:pPr>
            <w:r w:rsidRPr="001C6B1B">
              <w:rPr>
                <w:sz w:val="22"/>
              </w:rPr>
              <w:t xml:space="preserve">- выполнение протокола ведения беременных, рожениц и в дальнейшем новорожденных с врожденными пороками развития (УЗИ скрининг, контроль на УЗИ экспертного класса, консультирование на уровне областного перинатального центра, республиканских клиник, консультирование неонатальным хирургом, определение уровня </w:t>
            </w:r>
            <w:proofErr w:type="spellStart"/>
            <w:r w:rsidRPr="001C6B1B">
              <w:rPr>
                <w:sz w:val="22"/>
              </w:rPr>
              <w:t>родоразрешения</w:t>
            </w:r>
            <w:proofErr w:type="spellEnd"/>
            <w:r w:rsidRPr="001C6B1B">
              <w:rPr>
                <w:sz w:val="22"/>
              </w:rPr>
              <w:t xml:space="preserve">); </w:t>
            </w:r>
          </w:p>
          <w:p w:rsidR="00490B09" w:rsidRPr="001C6B1B" w:rsidRDefault="00490B09" w:rsidP="001C6B1B">
            <w:pPr>
              <w:ind w:left="125"/>
              <w:jc w:val="both"/>
              <w:rPr>
                <w:sz w:val="22"/>
              </w:rPr>
            </w:pPr>
            <w:r w:rsidRPr="001C6B1B">
              <w:rPr>
                <w:sz w:val="22"/>
              </w:rPr>
              <w:t xml:space="preserve">- улучшение патронажной службы: усиление контроля над кратностью и качеством проведения патронажей, анализ ведения детей из групп риска, со своевременным вмешательством;   </w:t>
            </w:r>
          </w:p>
          <w:p w:rsidR="00490B09" w:rsidRPr="001C6B1B" w:rsidRDefault="00490B09" w:rsidP="001C6B1B">
            <w:pPr>
              <w:ind w:left="125"/>
              <w:jc w:val="both"/>
              <w:rPr>
                <w:sz w:val="22"/>
              </w:rPr>
            </w:pPr>
            <w:r w:rsidRPr="001C6B1B">
              <w:rPr>
                <w:sz w:val="22"/>
              </w:rPr>
              <w:t>- продолжение работы с центром детской областной больницы по неотложным состояниям и с профильными врачами;</w:t>
            </w:r>
          </w:p>
          <w:p w:rsidR="00490B09" w:rsidRPr="001C6B1B" w:rsidRDefault="00490B09" w:rsidP="001C6B1B">
            <w:pPr>
              <w:ind w:left="125"/>
              <w:jc w:val="both"/>
              <w:rPr>
                <w:sz w:val="22"/>
              </w:rPr>
            </w:pPr>
            <w:r w:rsidRPr="001C6B1B">
              <w:rPr>
                <w:sz w:val="22"/>
              </w:rPr>
              <w:t>- продолжение  выездной  работы в районы для контроля выполнения нормативно правовых актов и приказов МЗРК по вопросам охраны здоровья женщин и детей и совершенствования системы здравоохранения;</w:t>
            </w:r>
          </w:p>
          <w:p w:rsidR="00490B09" w:rsidRPr="001C6B1B" w:rsidRDefault="00490B09" w:rsidP="001C6B1B">
            <w:pPr>
              <w:ind w:left="125"/>
              <w:jc w:val="both"/>
              <w:rPr>
                <w:sz w:val="22"/>
              </w:rPr>
            </w:pPr>
            <w:r w:rsidRPr="001C6B1B">
              <w:rPr>
                <w:sz w:val="22"/>
              </w:rPr>
              <w:t>- продолжение проведения  тренингов в учебном центре интегрированного ведения болезней детского возраста, с увеличением выездной работы, как тренингов, так и кураторской деятельности.</w:t>
            </w:r>
          </w:p>
        </w:tc>
      </w:tr>
      <w:tr w:rsidR="00490B09" w:rsidRPr="001123F8" w:rsidTr="001C6B1B">
        <w:trPr>
          <w:jc w:val="center"/>
        </w:trPr>
        <w:tc>
          <w:tcPr>
            <w:tcW w:w="28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90B09" w:rsidRPr="001C6B1B" w:rsidRDefault="00490B09" w:rsidP="001C6B1B">
            <w:pPr>
              <w:jc w:val="both"/>
              <w:rPr>
                <w:bCs/>
                <w:color w:val="000000"/>
                <w:sz w:val="22"/>
              </w:rPr>
            </w:pPr>
            <w:r w:rsidRPr="001C6B1B">
              <w:rPr>
                <w:sz w:val="22"/>
              </w:rPr>
              <w:lastRenderedPageBreak/>
              <w:t xml:space="preserve">Удельный вес преступлений, совершенных ранее </w:t>
            </w:r>
            <w:proofErr w:type="gramStart"/>
            <w:r w:rsidRPr="001C6B1B">
              <w:rPr>
                <w:sz w:val="22"/>
              </w:rPr>
              <w:t>совершавшими</w:t>
            </w:r>
            <w:proofErr w:type="gramEnd"/>
          </w:p>
        </w:tc>
        <w:tc>
          <w:tcPr>
            <w:tcW w:w="2196" w:type="dxa"/>
            <w:tcBorders>
              <w:top w:val="single" w:sz="4" w:space="0" w:color="auto"/>
              <w:left w:val="single" w:sz="4" w:space="0" w:color="auto"/>
              <w:bottom w:val="single" w:sz="4" w:space="0" w:color="auto"/>
              <w:right w:val="single" w:sz="4" w:space="0" w:color="auto"/>
            </w:tcBorders>
          </w:tcPr>
          <w:p w:rsidR="00490B09" w:rsidRPr="001C6B1B" w:rsidRDefault="00490B09" w:rsidP="001C6B1B">
            <w:pPr>
              <w:widowControl w:val="0"/>
              <w:pBdr>
                <w:bottom w:val="single" w:sz="4" w:space="31" w:color="FFFFFF"/>
              </w:pBdr>
              <w:tabs>
                <w:tab w:val="left" w:pos="-5580"/>
                <w:tab w:val="left" w:pos="-5400"/>
              </w:tabs>
              <w:ind w:left="27" w:right="113" w:hanging="27"/>
              <w:jc w:val="center"/>
              <w:rPr>
                <w:sz w:val="22"/>
              </w:rPr>
            </w:pPr>
            <w:r w:rsidRPr="001C6B1B">
              <w:rPr>
                <w:sz w:val="22"/>
              </w:rPr>
              <w:t>ДУИС по СКО</w:t>
            </w:r>
          </w:p>
        </w:tc>
        <w:tc>
          <w:tcPr>
            <w:tcW w:w="48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90B09" w:rsidRPr="001C6B1B" w:rsidRDefault="00490B09" w:rsidP="00AD7A51">
            <w:pPr>
              <w:widowControl w:val="0"/>
              <w:pBdr>
                <w:bottom w:val="single" w:sz="4" w:space="2" w:color="FFFFFF"/>
              </w:pBdr>
              <w:tabs>
                <w:tab w:val="left" w:pos="-5580"/>
                <w:tab w:val="left" w:pos="-5400"/>
              </w:tabs>
              <w:ind w:right="113" w:firstLine="418"/>
              <w:jc w:val="both"/>
              <w:rPr>
                <w:sz w:val="22"/>
              </w:rPr>
            </w:pPr>
            <w:r w:rsidRPr="001C6B1B">
              <w:rPr>
                <w:sz w:val="22"/>
              </w:rPr>
              <w:t xml:space="preserve">Удельный вес преступлений, совершенных ранее </w:t>
            </w:r>
            <w:proofErr w:type="gramStart"/>
            <w:r w:rsidRPr="001C6B1B">
              <w:rPr>
                <w:sz w:val="22"/>
              </w:rPr>
              <w:t>совершавшими</w:t>
            </w:r>
            <w:proofErr w:type="gramEnd"/>
            <w:r w:rsidRPr="001C6B1B">
              <w:rPr>
                <w:sz w:val="22"/>
              </w:rPr>
              <w:t>, составил 22,5 при плане 21 (+1,5%).</w:t>
            </w:r>
          </w:p>
          <w:p w:rsidR="00490B09" w:rsidRPr="001C6B1B" w:rsidRDefault="00490B09" w:rsidP="00AD7A51">
            <w:pPr>
              <w:widowControl w:val="0"/>
              <w:pBdr>
                <w:bottom w:val="single" w:sz="4" w:space="2" w:color="FFFFFF"/>
              </w:pBdr>
              <w:tabs>
                <w:tab w:val="left" w:pos="-5580"/>
                <w:tab w:val="left" w:pos="-5400"/>
              </w:tabs>
              <w:ind w:right="113" w:firstLine="418"/>
              <w:jc w:val="both"/>
              <w:rPr>
                <w:sz w:val="22"/>
              </w:rPr>
            </w:pPr>
            <w:r w:rsidRPr="001C6B1B">
              <w:rPr>
                <w:sz w:val="22"/>
              </w:rPr>
              <w:t>Однако</w:t>
            </w:r>
            <w:proofErr w:type="gramStart"/>
            <w:r w:rsidRPr="001C6B1B">
              <w:rPr>
                <w:sz w:val="22"/>
              </w:rPr>
              <w:t>,</w:t>
            </w:r>
            <w:proofErr w:type="gramEnd"/>
            <w:r w:rsidRPr="001C6B1B">
              <w:rPr>
                <w:sz w:val="22"/>
              </w:rPr>
              <w:t xml:space="preserve"> за отчетный период наблюдается снижение преступлений, совершенных ранее совершавшими</w:t>
            </w:r>
            <w:r w:rsidRPr="001C6B1B">
              <w:rPr>
                <w:sz w:val="22"/>
                <w:lang w:val="kk-KZ"/>
              </w:rPr>
              <w:t xml:space="preserve"> с непогашенной судимостью на</w:t>
            </w:r>
            <w:r w:rsidRPr="001C6B1B">
              <w:rPr>
                <w:sz w:val="22"/>
              </w:rPr>
              <w:t xml:space="preserve"> </w:t>
            </w:r>
            <w:r w:rsidRPr="001C6B1B">
              <w:rPr>
                <w:sz w:val="22"/>
                <w:lang w:val="kk-KZ"/>
              </w:rPr>
              <w:t>25,6</w:t>
            </w:r>
            <w:r w:rsidRPr="001C6B1B">
              <w:rPr>
                <w:sz w:val="22"/>
              </w:rPr>
              <w:t xml:space="preserve">% </w:t>
            </w:r>
            <w:r w:rsidRPr="001C6B1B">
              <w:rPr>
                <w:i/>
                <w:sz w:val="22"/>
              </w:rPr>
              <w:t xml:space="preserve">(с </w:t>
            </w:r>
            <w:r w:rsidRPr="001C6B1B">
              <w:rPr>
                <w:i/>
                <w:sz w:val="22"/>
                <w:lang w:val="kk-KZ"/>
              </w:rPr>
              <w:t>931</w:t>
            </w:r>
            <w:r w:rsidRPr="001C6B1B">
              <w:rPr>
                <w:i/>
                <w:sz w:val="22"/>
              </w:rPr>
              <w:t xml:space="preserve"> до </w:t>
            </w:r>
            <w:r w:rsidRPr="001C6B1B">
              <w:rPr>
                <w:i/>
                <w:sz w:val="22"/>
                <w:lang w:val="kk-KZ"/>
              </w:rPr>
              <w:t>693</w:t>
            </w:r>
            <w:r w:rsidRPr="001C6B1B">
              <w:rPr>
                <w:i/>
                <w:sz w:val="22"/>
              </w:rPr>
              <w:t>)</w:t>
            </w:r>
            <w:r w:rsidRPr="001C6B1B">
              <w:rPr>
                <w:sz w:val="22"/>
              </w:rPr>
              <w:t>.</w:t>
            </w:r>
          </w:p>
          <w:p w:rsidR="00490B09" w:rsidRPr="001C6B1B" w:rsidRDefault="00490B09" w:rsidP="00AD7A51">
            <w:pPr>
              <w:widowControl w:val="0"/>
              <w:pBdr>
                <w:bottom w:val="single" w:sz="4" w:space="2" w:color="FFFFFF"/>
              </w:pBdr>
              <w:tabs>
                <w:tab w:val="left" w:pos="-5580"/>
                <w:tab w:val="left" w:pos="-5400"/>
              </w:tabs>
              <w:ind w:right="113" w:firstLine="418"/>
              <w:jc w:val="both"/>
              <w:rPr>
                <w:rStyle w:val="apple-style-span"/>
                <w:sz w:val="22"/>
              </w:rPr>
            </w:pPr>
            <w:r w:rsidRPr="001C6B1B">
              <w:rPr>
                <w:sz w:val="22"/>
              </w:rPr>
              <w:t xml:space="preserve">В 2017 году на </w:t>
            </w:r>
            <w:r w:rsidRPr="001C6B1B">
              <w:rPr>
                <w:bCs/>
                <w:sz w:val="22"/>
              </w:rPr>
              <w:t>профилактические учеты</w:t>
            </w:r>
            <w:r w:rsidRPr="001C6B1B">
              <w:rPr>
                <w:sz w:val="22"/>
              </w:rPr>
              <w:t xml:space="preserve"> поставлено</w:t>
            </w:r>
            <w:r w:rsidRPr="001C6B1B">
              <w:rPr>
                <w:bCs/>
                <w:sz w:val="22"/>
              </w:rPr>
              <w:t xml:space="preserve"> 4161 граждан</w:t>
            </w:r>
            <w:r w:rsidRPr="001C6B1B">
              <w:rPr>
                <w:sz w:val="22"/>
              </w:rPr>
              <w:t>, из них условно-досрочно</w:t>
            </w:r>
            <w:r w:rsidRPr="001C6B1B">
              <w:rPr>
                <w:color w:val="FF0000"/>
                <w:sz w:val="22"/>
              </w:rPr>
              <w:t xml:space="preserve"> </w:t>
            </w:r>
            <w:r w:rsidRPr="001C6B1B">
              <w:rPr>
                <w:sz w:val="22"/>
              </w:rPr>
              <w:t>освобожденных - 377 лиц.</w:t>
            </w:r>
            <w:r w:rsidRPr="001C6B1B">
              <w:rPr>
                <w:color w:val="FF0000"/>
                <w:sz w:val="22"/>
              </w:rPr>
              <w:t xml:space="preserve"> </w:t>
            </w:r>
            <w:r w:rsidRPr="001C6B1B">
              <w:rPr>
                <w:sz w:val="22"/>
              </w:rPr>
              <w:t xml:space="preserve">Территориальными подразделениями МПС </w:t>
            </w:r>
            <w:r w:rsidRPr="001C6B1B">
              <w:rPr>
                <w:rStyle w:val="apple-style-span"/>
                <w:sz w:val="22"/>
              </w:rPr>
              <w:t>в суды направлено 63 представления об отмене сроков УДО, судами поддержано 40.</w:t>
            </w:r>
          </w:p>
          <w:p w:rsidR="00490B09" w:rsidRPr="001C6B1B" w:rsidRDefault="00490B09" w:rsidP="00AD7A51">
            <w:pPr>
              <w:widowControl w:val="0"/>
              <w:pBdr>
                <w:bottom w:val="single" w:sz="4" w:space="2" w:color="FFFFFF"/>
              </w:pBdr>
              <w:tabs>
                <w:tab w:val="left" w:pos="-5580"/>
                <w:tab w:val="left" w:pos="-5400"/>
              </w:tabs>
              <w:ind w:right="113" w:firstLine="418"/>
              <w:jc w:val="both"/>
              <w:rPr>
                <w:rStyle w:val="apple-style-span"/>
                <w:sz w:val="22"/>
              </w:rPr>
            </w:pPr>
            <w:r w:rsidRPr="001C6B1B">
              <w:rPr>
                <w:sz w:val="22"/>
              </w:rPr>
              <w:t>В СЛПУ направлено 220 лиц, из которых 24 лица, имеющие не снятую или не погашенную судимость.</w:t>
            </w:r>
          </w:p>
          <w:p w:rsidR="00490B09" w:rsidRPr="001C6B1B" w:rsidRDefault="00490B09" w:rsidP="00AD7A51">
            <w:pPr>
              <w:widowControl w:val="0"/>
              <w:pBdr>
                <w:bottom w:val="single" w:sz="4" w:space="2" w:color="FFFFFF"/>
              </w:pBdr>
              <w:tabs>
                <w:tab w:val="left" w:pos="-5580"/>
                <w:tab w:val="left" w:pos="-5400"/>
              </w:tabs>
              <w:ind w:right="113" w:firstLine="418"/>
              <w:jc w:val="both"/>
              <w:rPr>
                <w:sz w:val="22"/>
              </w:rPr>
            </w:pPr>
            <w:r w:rsidRPr="001C6B1B">
              <w:rPr>
                <w:sz w:val="22"/>
              </w:rPr>
              <w:t>Одной из мер снижения рецидивной преступности является проведение профилактических совместных мероприятий с подразделениями ДУИС по СКО. В 2017 году проведены совместные ОПМ «</w:t>
            </w:r>
            <w:proofErr w:type="spellStart"/>
            <w:r w:rsidRPr="001C6B1B">
              <w:rPr>
                <w:sz w:val="22"/>
              </w:rPr>
              <w:t>Подучетник</w:t>
            </w:r>
            <w:proofErr w:type="spellEnd"/>
            <w:r w:rsidRPr="001C6B1B">
              <w:rPr>
                <w:sz w:val="22"/>
              </w:rPr>
              <w:t>», «</w:t>
            </w:r>
            <w:proofErr w:type="spellStart"/>
            <w:r w:rsidRPr="001C6B1B">
              <w:rPr>
                <w:sz w:val="22"/>
              </w:rPr>
              <w:t>Условник</w:t>
            </w:r>
            <w:proofErr w:type="spellEnd"/>
            <w:r w:rsidRPr="001C6B1B">
              <w:rPr>
                <w:sz w:val="22"/>
              </w:rPr>
              <w:t xml:space="preserve">». Проведено 6195 проверок </w:t>
            </w:r>
            <w:proofErr w:type="spellStart"/>
            <w:r w:rsidRPr="001C6B1B">
              <w:rPr>
                <w:sz w:val="22"/>
              </w:rPr>
              <w:t>подучетного</w:t>
            </w:r>
            <w:proofErr w:type="spellEnd"/>
            <w:r w:rsidRPr="001C6B1B">
              <w:rPr>
                <w:sz w:val="22"/>
              </w:rPr>
              <w:t xml:space="preserve"> контингента по месту жительства, в ходе которых выявлено 220 нарушений. </w:t>
            </w:r>
          </w:p>
          <w:p w:rsidR="00490B09" w:rsidRPr="001C6B1B" w:rsidRDefault="00490B09" w:rsidP="00AD7A51">
            <w:pPr>
              <w:widowControl w:val="0"/>
              <w:pBdr>
                <w:bottom w:val="single" w:sz="4" w:space="2" w:color="FFFFFF"/>
              </w:pBdr>
              <w:tabs>
                <w:tab w:val="left" w:pos="-5580"/>
                <w:tab w:val="left" w:pos="-5400"/>
              </w:tabs>
              <w:ind w:right="113" w:firstLine="418"/>
              <w:jc w:val="both"/>
              <w:rPr>
                <w:rStyle w:val="apple-style-span"/>
                <w:sz w:val="22"/>
              </w:rPr>
            </w:pPr>
            <w:r w:rsidRPr="001C6B1B">
              <w:rPr>
                <w:sz w:val="22"/>
              </w:rPr>
              <w:t xml:space="preserve">С целью взаимодействия и решения </w:t>
            </w:r>
            <w:r w:rsidRPr="001C6B1B">
              <w:rPr>
                <w:sz w:val="22"/>
              </w:rPr>
              <w:lastRenderedPageBreak/>
              <w:t xml:space="preserve">проблемных вопросов проводятся совместные совещания с подразделениями ДУИС по СКО по вопросам </w:t>
            </w:r>
            <w:proofErr w:type="gramStart"/>
            <w:r w:rsidRPr="001C6B1B">
              <w:rPr>
                <w:sz w:val="22"/>
              </w:rPr>
              <w:t>контроля за</w:t>
            </w:r>
            <w:proofErr w:type="gramEnd"/>
            <w:r w:rsidRPr="001C6B1B">
              <w:rPr>
                <w:sz w:val="22"/>
              </w:rPr>
              <w:t xml:space="preserve"> лицами, состоящими на учетах служб пробации, оказания социально-правовой помощи условно-досрочно освобожденным, а также их трудоустройства. За отчетный период с</w:t>
            </w:r>
            <w:r w:rsidRPr="001C6B1B">
              <w:rPr>
                <w:rStyle w:val="apple-style-span"/>
                <w:sz w:val="22"/>
              </w:rPr>
              <w:t xml:space="preserve"> лицами, состоящими на профилактическом учете, проведено 5 встреч. На этих встречах </w:t>
            </w:r>
            <w:proofErr w:type="spellStart"/>
            <w:r w:rsidRPr="001C6B1B">
              <w:rPr>
                <w:rStyle w:val="apple-style-span"/>
                <w:sz w:val="22"/>
              </w:rPr>
              <w:t>подучетным</w:t>
            </w:r>
            <w:proofErr w:type="spellEnd"/>
            <w:r w:rsidRPr="001C6B1B">
              <w:rPr>
                <w:rStyle w:val="apple-style-span"/>
                <w:sz w:val="22"/>
              </w:rPr>
              <w:t xml:space="preserve"> лицам разъяснялись последствия и ответственность за совершение повторных преступлений, рассматривались вопросы оказания содействия в трудоустройстве. </w:t>
            </w:r>
          </w:p>
          <w:p w:rsidR="00490B09" w:rsidRPr="001C6B1B" w:rsidRDefault="00490B09" w:rsidP="00AD7A51">
            <w:pPr>
              <w:widowControl w:val="0"/>
              <w:pBdr>
                <w:bottom w:val="single" w:sz="4" w:space="2" w:color="FFFFFF"/>
              </w:pBdr>
              <w:tabs>
                <w:tab w:val="left" w:pos="-5580"/>
                <w:tab w:val="left" w:pos="-5400"/>
              </w:tabs>
              <w:ind w:right="113" w:firstLine="418"/>
              <w:jc w:val="both"/>
              <w:rPr>
                <w:bCs/>
                <w:sz w:val="22"/>
                <w:u w:val="single"/>
              </w:rPr>
            </w:pPr>
            <w:r w:rsidRPr="001C6B1B">
              <w:rPr>
                <w:sz w:val="22"/>
              </w:rPr>
              <w:t>Разработана анкета для лиц, состоящих на учете, где указывается наличие имеющего образования, специальность и имеет ли осуждённый работу на момент заполнения анкеты.</w:t>
            </w:r>
            <w:r w:rsidRPr="001C6B1B">
              <w:rPr>
                <w:rStyle w:val="apple-style-span"/>
                <w:sz w:val="22"/>
              </w:rPr>
              <w:t xml:space="preserve"> В центр занятости населения направлено 51 лицо, ранее судимое, из которых 35 лиц отказались от переобучения и работы.</w:t>
            </w:r>
          </w:p>
        </w:tc>
      </w:tr>
    </w:tbl>
    <w:p w:rsidR="002227BB" w:rsidRDefault="002227BB">
      <w:bookmarkStart w:id="0" w:name="_GoBack"/>
      <w:bookmarkEnd w:id="0"/>
    </w:p>
    <w:sectPr w:rsidR="002227BB" w:rsidSect="00C2304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312A7"/>
    <w:multiLevelType w:val="hybridMultilevel"/>
    <w:tmpl w:val="366648E4"/>
    <w:lvl w:ilvl="0" w:tplc="EC4A8574">
      <w:numFmt w:val="bullet"/>
      <w:lvlText w:val="-"/>
      <w:lvlJc w:val="left"/>
      <w:pPr>
        <w:ind w:left="637" w:hanging="360"/>
      </w:pPr>
      <w:rPr>
        <w:rFonts w:ascii="Times New Roman" w:eastAsia="Times New Roman" w:hAnsi="Times New Roman" w:cs="Times New Roman" w:hint="default"/>
      </w:rPr>
    </w:lvl>
    <w:lvl w:ilvl="1" w:tplc="04190003" w:tentative="1">
      <w:start w:val="1"/>
      <w:numFmt w:val="bullet"/>
      <w:lvlText w:val="o"/>
      <w:lvlJc w:val="left"/>
      <w:pPr>
        <w:ind w:left="1357" w:hanging="360"/>
      </w:pPr>
      <w:rPr>
        <w:rFonts w:ascii="Courier New" w:hAnsi="Courier New" w:cs="Courier New" w:hint="default"/>
      </w:rPr>
    </w:lvl>
    <w:lvl w:ilvl="2" w:tplc="04190005" w:tentative="1">
      <w:start w:val="1"/>
      <w:numFmt w:val="bullet"/>
      <w:lvlText w:val=""/>
      <w:lvlJc w:val="left"/>
      <w:pPr>
        <w:ind w:left="2077" w:hanging="360"/>
      </w:pPr>
      <w:rPr>
        <w:rFonts w:ascii="Wingdings" w:hAnsi="Wingdings" w:hint="default"/>
      </w:rPr>
    </w:lvl>
    <w:lvl w:ilvl="3" w:tplc="04190001" w:tentative="1">
      <w:start w:val="1"/>
      <w:numFmt w:val="bullet"/>
      <w:lvlText w:val=""/>
      <w:lvlJc w:val="left"/>
      <w:pPr>
        <w:ind w:left="2797" w:hanging="360"/>
      </w:pPr>
      <w:rPr>
        <w:rFonts w:ascii="Symbol" w:hAnsi="Symbol" w:hint="default"/>
      </w:rPr>
    </w:lvl>
    <w:lvl w:ilvl="4" w:tplc="04190003" w:tentative="1">
      <w:start w:val="1"/>
      <w:numFmt w:val="bullet"/>
      <w:lvlText w:val="o"/>
      <w:lvlJc w:val="left"/>
      <w:pPr>
        <w:ind w:left="3517" w:hanging="360"/>
      </w:pPr>
      <w:rPr>
        <w:rFonts w:ascii="Courier New" w:hAnsi="Courier New" w:cs="Courier New" w:hint="default"/>
      </w:rPr>
    </w:lvl>
    <w:lvl w:ilvl="5" w:tplc="04190005" w:tentative="1">
      <w:start w:val="1"/>
      <w:numFmt w:val="bullet"/>
      <w:lvlText w:val=""/>
      <w:lvlJc w:val="left"/>
      <w:pPr>
        <w:ind w:left="4237" w:hanging="360"/>
      </w:pPr>
      <w:rPr>
        <w:rFonts w:ascii="Wingdings" w:hAnsi="Wingdings" w:hint="default"/>
      </w:rPr>
    </w:lvl>
    <w:lvl w:ilvl="6" w:tplc="04190001" w:tentative="1">
      <w:start w:val="1"/>
      <w:numFmt w:val="bullet"/>
      <w:lvlText w:val=""/>
      <w:lvlJc w:val="left"/>
      <w:pPr>
        <w:ind w:left="4957" w:hanging="360"/>
      </w:pPr>
      <w:rPr>
        <w:rFonts w:ascii="Symbol" w:hAnsi="Symbol" w:hint="default"/>
      </w:rPr>
    </w:lvl>
    <w:lvl w:ilvl="7" w:tplc="04190003" w:tentative="1">
      <w:start w:val="1"/>
      <w:numFmt w:val="bullet"/>
      <w:lvlText w:val="o"/>
      <w:lvlJc w:val="left"/>
      <w:pPr>
        <w:ind w:left="5677" w:hanging="360"/>
      </w:pPr>
      <w:rPr>
        <w:rFonts w:ascii="Courier New" w:hAnsi="Courier New" w:cs="Courier New" w:hint="default"/>
      </w:rPr>
    </w:lvl>
    <w:lvl w:ilvl="8" w:tplc="04190005" w:tentative="1">
      <w:start w:val="1"/>
      <w:numFmt w:val="bullet"/>
      <w:lvlText w:val=""/>
      <w:lvlJc w:val="left"/>
      <w:pPr>
        <w:ind w:left="639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F41"/>
    <w:rsid w:val="00016B37"/>
    <w:rsid w:val="000409C1"/>
    <w:rsid w:val="000A1407"/>
    <w:rsid w:val="000A24ED"/>
    <w:rsid w:val="000D7A53"/>
    <w:rsid w:val="001007AF"/>
    <w:rsid w:val="001123F8"/>
    <w:rsid w:val="001734A2"/>
    <w:rsid w:val="00180987"/>
    <w:rsid w:val="0018586B"/>
    <w:rsid w:val="0019534D"/>
    <w:rsid w:val="001A6364"/>
    <w:rsid w:val="001C6B1B"/>
    <w:rsid w:val="001E3EBD"/>
    <w:rsid w:val="00204F6E"/>
    <w:rsid w:val="00213D7F"/>
    <w:rsid w:val="002227BB"/>
    <w:rsid w:val="00240F41"/>
    <w:rsid w:val="00241C92"/>
    <w:rsid w:val="00257D97"/>
    <w:rsid w:val="00275514"/>
    <w:rsid w:val="002B2319"/>
    <w:rsid w:val="002B5944"/>
    <w:rsid w:val="002C263D"/>
    <w:rsid w:val="002F65F0"/>
    <w:rsid w:val="00316C24"/>
    <w:rsid w:val="00354035"/>
    <w:rsid w:val="003B5352"/>
    <w:rsid w:val="003D344E"/>
    <w:rsid w:val="003D5908"/>
    <w:rsid w:val="004048B2"/>
    <w:rsid w:val="00423C4F"/>
    <w:rsid w:val="00445C6A"/>
    <w:rsid w:val="00472A1B"/>
    <w:rsid w:val="00490B09"/>
    <w:rsid w:val="004B0575"/>
    <w:rsid w:val="004C6D05"/>
    <w:rsid w:val="004F29AA"/>
    <w:rsid w:val="00530D91"/>
    <w:rsid w:val="00535EB5"/>
    <w:rsid w:val="005608BE"/>
    <w:rsid w:val="005739A2"/>
    <w:rsid w:val="00592454"/>
    <w:rsid w:val="005C03DF"/>
    <w:rsid w:val="005C4205"/>
    <w:rsid w:val="005E0A71"/>
    <w:rsid w:val="005E4921"/>
    <w:rsid w:val="0061392D"/>
    <w:rsid w:val="00695698"/>
    <w:rsid w:val="007217EE"/>
    <w:rsid w:val="007356D5"/>
    <w:rsid w:val="007A1468"/>
    <w:rsid w:val="007D510F"/>
    <w:rsid w:val="00833EC7"/>
    <w:rsid w:val="00847AF3"/>
    <w:rsid w:val="0086356A"/>
    <w:rsid w:val="00882457"/>
    <w:rsid w:val="008F350B"/>
    <w:rsid w:val="00906FC7"/>
    <w:rsid w:val="009149B8"/>
    <w:rsid w:val="009253D1"/>
    <w:rsid w:val="00931289"/>
    <w:rsid w:val="009D2830"/>
    <w:rsid w:val="00A06DA8"/>
    <w:rsid w:val="00A10EE1"/>
    <w:rsid w:val="00A202DF"/>
    <w:rsid w:val="00A25475"/>
    <w:rsid w:val="00A4118B"/>
    <w:rsid w:val="00A427D7"/>
    <w:rsid w:val="00A44676"/>
    <w:rsid w:val="00A60C47"/>
    <w:rsid w:val="00A86CED"/>
    <w:rsid w:val="00A954B4"/>
    <w:rsid w:val="00A97215"/>
    <w:rsid w:val="00AD3CA5"/>
    <w:rsid w:val="00AD74D7"/>
    <w:rsid w:val="00AE021C"/>
    <w:rsid w:val="00AE7762"/>
    <w:rsid w:val="00B07C63"/>
    <w:rsid w:val="00B516B5"/>
    <w:rsid w:val="00BF0FAD"/>
    <w:rsid w:val="00C23043"/>
    <w:rsid w:val="00C42C09"/>
    <w:rsid w:val="00C54EC8"/>
    <w:rsid w:val="00CA11D5"/>
    <w:rsid w:val="00D00D05"/>
    <w:rsid w:val="00D20289"/>
    <w:rsid w:val="00D269D0"/>
    <w:rsid w:val="00D66955"/>
    <w:rsid w:val="00D70380"/>
    <w:rsid w:val="00D709FC"/>
    <w:rsid w:val="00D77AD2"/>
    <w:rsid w:val="00D941B4"/>
    <w:rsid w:val="00DB16CD"/>
    <w:rsid w:val="00DB7C98"/>
    <w:rsid w:val="00DC058D"/>
    <w:rsid w:val="00DC18C2"/>
    <w:rsid w:val="00E26311"/>
    <w:rsid w:val="00E56970"/>
    <w:rsid w:val="00E63660"/>
    <w:rsid w:val="00E913B3"/>
    <w:rsid w:val="00F92D01"/>
    <w:rsid w:val="00FA087B"/>
    <w:rsid w:val="00FF4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1C6B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uiPriority w:val="99"/>
    <w:rsid w:val="00240F41"/>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uiPriority w:val="99"/>
    <w:rsid w:val="008F350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2830"/>
    <w:rPr>
      <w:rFonts w:ascii="Tahoma" w:hAnsi="Tahoma" w:cs="Tahoma"/>
      <w:sz w:val="16"/>
      <w:szCs w:val="16"/>
    </w:rPr>
  </w:style>
  <w:style w:type="character" w:customStyle="1" w:styleId="a6">
    <w:name w:val="Текст выноски Знак"/>
    <w:basedOn w:val="a0"/>
    <w:link w:val="a5"/>
    <w:uiPriority w:val="99"/>
    <w:semiHidden/>
    <w:rsid w:val="009D2830"/>
    <w:rPr>
      <w:rFonts w:ascii="Tahoma" w:eastAsia="Times New Roman" w:hAnsi="Tahoma" w:cs="Tahoma"/>
      <w:sz w:val="16"/>
      <w:szCs w:val="16"/>
      <w:lang w:eastAsia="ru-RU"/>
    </w:rPr>
  </w:style>
  <w:style w:type="paragraph" w:styleId="a7">
    <w:name w:val="No Spacing"/>
    <w:uiPriority w:val="99"/>
    <w:qFormat/>
    <w:rsid w:val="00D70380"/>
    <w:pPr>
      <w:spacing w:after="0" w:line="240" w:lineRule="auto"/>
    </w:pPr>
    <w:rPr>
      <w:rFonts w:ascii="Times New Roman" w:eastAsia="Times New Roman" w:hAnsi="Times New Roman" w:cs="Times New Roman"/>
      <w:sz w:val="24"/>
      <w:szCs w:val="24"/>
      <w:lang w:eastAsia="ru-RU"/>
    </w:rPr>
  </w:style>
  <w:style w:type="paragraph" w:customStyle="1" w:styleId="1">
    <w:name w:val="Стиль1"/>
    <w:basedOn w:val="a"/>
    <w:rsid w:val="00847AF3"/>
    <w:pPr>
      <w:spacing w:line="276" w:lineRule="auto"/>
      <w:ind w:firstLine="708"/>
      <w:jc w:val="both"/>
    </w:pPr>
    <w:rPr>
      <w:rFonts w:eastAsia="Calibri"/>
      <w:sz w:val="28"/>
      <w:szCs w:val="28"/>
      <w:lang w:eastAsia="en-US"/>
    </w:rPr>
  </w:style>
  <w:style w:type="paragraph" w:customStyle="1" w:styleId="OsnTxt">
    <w:name w:val="OsnTxt"/>
    <w:rsid w:val="00B07C63"/>
    <w:pPr>
      <w:spacing w:after="0" w:line="280" w:lineRule="exact"/>
      <w:ind w:firstLine="794"/>
      <w:jc w:val="both"/>
    </w:pPr>
    <w:rPr>
      <w:rFonts w:ascii="Arial" w:eastAsia="Times New Roman" w:hAnsi="Arial" w:cs="Times New Roman"/>
      <w:szCs w:val="20"/>
      <w:lang w:eastAsia="ru-RU"/>
    </w:rPr>
  </w:style>
  <w:style w:type="paragraph" w:customStyle="1" w:styleId="a8">
    <w:name w:val="ОснТекст"/>
    <w:rsid w:val="00A954B4"/>
    <w:pPr>
      <w:spacing w:after="0" w:line="240" w:lineRule="auto"/>
      <w:ind w:firstLine="709"/>
      <w:jc w:val="both"/>
    </w:pPr>
    <w:rPr>
      <w:rFonts w:ascii="Times New Roman" w:eastAsia="Times New Roman" w:hAnsi="Times New Roman" w:cs="Times New Roman"/>
      <w:color w:val="000000"/>
      <w:sz w:val="20"/>
      <w:szCs w:val="20"/>
      <w:lang w:eastAsia="ru-RU"/>
    </w:rPr>
  </w:style>
  <w:style w:type="paragraph" w:styleId="a9">
    <w:name w:val="List Paragraph"/>
    <w:basedOn w:val="a"/>
    <w:uiPriority w:val="34"/>
    <w:qFormat/>
    <w:rsid w:val="00445C6A"/>
    <w:pPr>
      <w:ind w:left="720"/>
      <w:contextualSpacing/>
    </w:pPr>
  </w:style>
  <w:style w:type="character" w:customStyle="1" w:styleId="apple-style-span">
    <w:name w:val="apple-style-span"/>
    <w:rsid w:val="001C6B1B"/>
  </w:style>
  <w:style w:type="paragraph" w:customStyle="1" w:styleId="aa">
    <w:name w:val="Знак Знак Знак Знак Знак Знак Знак Знак Знак Знак Знак Знак Знак Знак Знак Знак"/>
    <w:basedOn w:val="a"/>
    <w:next w:val="2"/>
    <w:autoRedefine/>
    <w:rsid w:val="001C6B1B"/>
    <w:pPr>
      <w:tabs>
        <w:tab w:val="num" w:pos="720"/>
      </w:tabs>
      <w:spacing w:after="160" w:line="240" w:lineRule="exact"/>
      <w:ind w:left="720" w:hanging="360"/>
    </w:pPr>
    <w:rPr>
      <w:sz w:val="28"/>
      <w:szCs w:val="28"/>
      <w:lang w:eastAsia="en-US"/>
    </w:rPr>
  </w:style>
  <w:style w:type="character" w:customStyle="1" w:styleId="20">
    <w:name w:val="Заголовок 2 Знак"/>
    <w:basedOn w:val="a0"/>
    <w:link w:val="2"/>
    <w:uiPriority w:val="9"/>
    <w:semiHidden/>
    <w:rsid w:val="001C6B1B"/>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1C6B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uiPriority w:val="99"/>
    <w:rsid w:val="00240F41"/>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uiPriority w:val="99"/>
    <w:rsid w:val="008F350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2830"/>
    <w:rPr>
      <w:rFonts w:ascii="Tahoma" w:hAnsi="Tahoma" w:cs="Tahoma"/>
      <w:sz w:val="16"/>
      <w:szCs w:val="16"/>
    </w:rPr>
  </w:style>
  <w:style w:type="character" w:customStyle="1" w:styleId="a6">
    <w:name w:val="Текст выноски Знак"/>
    <w:basedOn w:val="a0"/>
    <w:link w:val="a5"/>
    <w:uiPriority w:val="99"/>
    <w:semiHidden/>
    <w:rsid w:val="009D2830"/>
    <w:rPr>
      <w:rFonts w:ascii="Tahoma" w:eastAsia="Times New Roman" w:hAnsi="Tahoma" w:cs="Tahoma"/>
      <w:sz w:val="16"/>
      <w:szCs w:val="16"/>
      <w:lang w:eastAsia="ru-RU"/>
    </w:rPr>
  </w:style>
  <w:style w:type="paragraph" w:styleId="a7">
    <w:name w:val="No Spacing"/>
    <w:uiPriority w:val="99"/>
    <w:qFormat/>
    <w:rsid w:val="00D70380"/>
    <w:pPr>
      <w:spacing w:after="0" w:line="240" w:lineRule="auto"/>
    </w:pPr>
    <w:rPr>
      <w:rFonts w:ascii="Times New Roman" w:eastAsia="Times New Roman" w:hAnsi="Times New Roman" w:cs="Times New Roman"/>
      <w:sz w:val="24"/>
      <w:szCs w:val="24"/>
      <w:lang w:eastAsia="ru-RU"/>
    </w:rPr>
  </w:style>
  <w:style w:type="paragraph" w:customStyle="1" w:styleId="1">
    <w:name w:val="Стиль1"/>
    <w:basedOn w:val="a"/>
    <w:rsid w:val="00847AF3"/>
    <w:pPr>
      <w:spacing w:line="276" w:lineRule="auto"/>
      <w:ind w:firstLine="708"/>
      <w:jc w:val="both"/>
    </w:pPr>
    <w:rPr>
      <w:rFonts w:eastAsia="Calibri"/>
      <w:sz w:val="28"/>
      <w:szCs w:val="28"/>
      <w:lang w:eastAsia="en-US"/>
    </w:rPr>
  </w:style>
  <w:style w:type="paragraph" w:customStyle="1" w:styleId="OsnTxt">
    <w:name w:val="OsnTxt"/>
    <w:rsid w:val="00B07C63"/>
    <w:pPr>
      <w:spacing w:after="0" w:line="280" w:lineRule="exact"/>
      <w:ind w:firstLine="794"/>
      <w:jc w:val="both"/>
    </w:pPr>
    <w:rPr>
      <w:rFonts w:ascii="Arial" w:eastAsia="Times New Roman" w:hAnsi="Arial" w:cs="Times New Roman"/>
      <w:szCs w:val="20"/>
      <w:lang w:eastAsia="ru-RU"/>
    </w:rPr>
  </w:style>
  <w:style w:type="paragraph" w:customStyle="1" w:styleId="a8">
    <w:name w:val="ОснТекст"/>
    <w:rsid w:val="00A954B4"/>
    <w:pPr>
      <w:spacing w:after="0" w:line="240" w:lineRule="auto"/>
      <w:ind w:firstLine="709"/>
      <w:jc w:val="both"/>
    </w:pPr>
    <w:rPr>
      <w:rFonts w:ascii="Times New Roman" w:eastAsia="Times New Roman" w:hAnsi="Times New Roman" w:cs="Times New Roman"/>
      <w:color w:val="000000"/>
      <w:sz w:val="20"/>
      <w:szCs w:val="20"/>
      <w:lang w:eastAsia="ru-RU"/>
    </w:rPr>
  </w:style>
  <w:style w:type="paragraph" w:styleId="a9">
    <w:name w:val="List Paragraph"/>
    <w:basedOn w:val="a"/>
    <w:uiPriority w:val="34"/>
    <w:qFormat/>
    <w:rsid w:val="00445C6A"/>
    <w:pPr>
      <w:ind w:left="720"/>
      <w:contextualSpacing/>
    </w:pPr>
  </w:style>
  <w:style w:type="character" w:customStyle="1" w:styleId="apple-style-span">
    <w:name w:val="apple-style-span"/>
    <w:rsid w:val="001C6B1B"/>
  </w:style>
  <w:style w:type="paragraph" w:customStyle="1" w:styleId="aa">
    <w:name w:val="Знак Знак Знак Знак Знак Знак Знак Знак Знак Знак Знак Знак Знак Знак Знак Знак"/>
    <w:basedOn w:val="a"/>
    <w:next w:val="2"/>
    <w:autoRedefine/>
    <w:rsid w:val="001C6B1B"/>
    <w:pPr>
      <w:tabs>
        <w:tab w:val="num" w:pos="720"/>
      </w:tabs>
      <w:spacing w:after="160" w:line="240" w:lineRule="exact"/>
      <w:ind w:left="720" w:hanging="360"/>
    </w:pPr>
    <w:rPr>
      <w:sz w:val="28"/>
      <w:szCs w:val="28"/>
      <w:lang w:eastAsia="en-US"/>
    </w:rPr>
  </w:style>
  <w:style w:type="character" w:customStyle="1" w:styleId="20">
    <w:name w:val="Заголовок 2 Знак"/>
    <w:basedOn w:val="a0"/>
    <w:link w:val="2"/>
    <w:uiPriority w:val="9"/>
    <w:semiHidden/>
    <w:rsid w:val="001C6B1B"/>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41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458</TotalTime>
  <Pages>3</Pages>
  <Words>800</Words>
  <Characters>4563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Айнур Бейсенова</dc:creator>
  <cp:lastModifiedBy>Екатерина В. Лущик</cp:lastModifiedBy>
  <cp:revision>112</cp:revision>
  <cp:lastPrinted>2013-02-12T09:14:00Z</cp:lastPrinted>
  <dcterms:created xsi:type="dcterms:W3CDTF">2013-02-07T08:54:00Z</dcterms:created>
  <dcterms:modified xsi:type="dcterms:W3CDTF">2018-02-28T09:05:00Z</dcterms:modified>
</cp:coreProperties>
</file>