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0F41" w:rsidRPr="00A202DF" w:rsidRDefault="00C23043" w:rsidP="00240F41">
      <w:pPr>
        <w:pStyle w:val="a3"/>
        <w:rPr>
          <w:color w:val="000000"/>
        </w:rPr>
      </w:pPr>
      <w:r>
        <w:rPr>
          <w:b/>
          <w:bCs/>
          <w:color w:val="000000"/>
        </w:rPr>
        <w:t>2</w:t>
      </w:r>
      <w:r w:rsidR="00240F41" w:rsidRPr="00A202DF">
        <w:rPr>
          <w:b/>
          <w:bCs/>
          <w:color w:val="000000"/>
        </w:rPr>
        <w:t>. Анализ межведомственного взаимодействия</w:t>
      </w:r>
    </w:p>
    <w:tbl>
      <w:tblPr>
        <w:tblW w:w="9907" w:type="dxa"/>
        <w:jc w:val="center"/>
        <w:tblInd w:w="-694" w:type="dxa"/>
        <w:tblCellMar>
          <w:left w:w="0" w:type="dxa"/>
          <w:right w:w="0" w:type="dxa"/>
        </w:tblCellMar>
        <w:tblLook w:val="0000" w:firstRow="0" w:lastRow="0" w:firstColumn="0" w:lastColumn="0" w:noHBand="0" w:noVBand="0"/>
      </w:tblPr>
      <w:tblGrid>
        <w:gridCol w:w="2892"/>
        <w:gridCol w:w="2196"/>
        <w:gridCol w:w="4819"/>
      </w:tblGrid>
      <w:tr w:rsidR="00C23043" w:rsidRPr="00A202DF" w:rsidTr="00C23043">
        <w:trPr>
          <w:jc w:val="center"/>
        </w:trPr>
        <w:tc>
          <w:tcPr>
            <w:tcW w:w="2892"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C23043" w:rsidRPr="00A202DF" w:rsidRDefault="00C23043" w:rsidP="00DB16CD">
            <w:pPr>
              <w:pStyle w:val="a3"/>
              <w:spacing w:before="0" w:beforeAutospacing="0" w:after="0" w:afterAutospacing="0"/>
              <w:jc w:val="center"/>
              <w:rPr>
                <w:b/>
                <w:lang w:val="kk-KZ"/>
              </w:rPr>
            </w:pPr>
            <w:r w:rsidRPr="00A202DF">
              <w:rPr>
                <w:b/>
              </w:rPr>
              <w:t>Наименование</w:t>
            </w:r>
            <w:r w:rsidRPr="00A202DF">
              <w:rPr>
                <w:b/>
                <w:lang w:val="kk-KZ"/>
              </w:rPr>
              <w:t xml:space="preserve"> целевого индикатора</w:t>
            </w:r>
          </w:p>
        </w:tc>
        <w:tc>
          <w:tcPr>
            <w:tcW w:w="2196" w:type="dxa"/>
            <w:tcBorders>
              <w:top w:val="outset" w:sz="8" w:space="0" w:color="000000"/>
              <w:left w:val="outset" w:sz="8" w:space="0" w:color="000000"/>
              <w:bottom w:val="outset" w:sz="8" w:space="0" w:color="000000"/>
              <w:right w:val="inset" w:sz="8" w:space="0" w:color="000000"/>
            </w:tcBorders>
          </w:tcPr>
          <w:p w:rsidR="00C23043" w:rsidRPr="00A202DF" w:rsidRDefault="00DB16CD" w:rsidP="003D344E">
            <w:pPr>
              <w:pStyle w:val="a3"/>
              <w:spacing w:before="0" w:beforeAutospacing="0" w:after="0" w:afterAutospacing="0"/>
              <w:jc w:val="center"/>
              <w:rPr>
                <w:b/>
              </w:rPr>
            </w:pPr>
            <w:r>
              <w:rPr>
                <w:b/>
              </w:rPr>
              <w:t>С</w:t>
            </w:r>
            <w:r w:rsidR="00C23043" w:rsidRPr="00A202DF">
              <w:rPr>
                <w:b/>
              </w:rPr>
              <w:t>оисполнитель</w:t>
            </w:r>
          </w:p>
        </w:tc>
        <w:tc>
          <w:tcPr>
            <w:tcW w:w="4819" w:type="dxa"/>
            <w:tcBorders>
              <w:top w:val="outset" w:sz="8" w:space="0" w:color="000000"/>
              <w:left w:val="inset" w:sz="8" w:space="0" w:color="000000"/>
              <w:bottom w:val="outset" w:sz="8" w:space="0" w:color="000000"/>
              <w:right w:val="outset" w:sz="8" w:space="0" w:color="000000"/>
            </w:tcBorders>
            <w:tcMar>
              <w:top w:w="15" w:type="dxa"/>
              <w:left w:w="15" w:type="dxa"/>
              <w:bottom w:w="15" w:type="dxa"/>
              <w:right w:w="15" w:type="dxa"/>
            </w:tcMar>
          </w:tcPr>
          <w:p w:rsidR="00C23043" w:rsidRPr="00A202DF" w:rsidRDefault="00C23043" w:rsidP="003D344E">
            <w:pPr>
              <w:pStyle w:val="a3"/>
              <w:spacing w:before="0" w:beforeAutospacing="0" w:after="0" w:afterAutospacing="0"/>
              <w:jc w:val="center"/>
              <w:rPr>
                <w:b/>
              </w:rPr>
            </w:pPr>
            <w:r w:rsidRPr="00A202DF">
              <w:rPr>
                <w:b/>
              </w:rPr>
              <w:t>Анализ взаимодействия</w:t>
            </w:r>
          </w:p>
        </w:tc>
      </w:tr>
      <w:tr w:rsidR="002F65F0" w:rsidRPr="00A202DF" w:rsidTr="00C23043">
        <w:trPr>
          <w:jc w:val="center"/>
        </w:trPr>
        <w:tc>
          <w:tcPr>
            <w:tcW w:w="2892"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2F65F0" w:rsidRPr="00A202DF" w:rsidRDefault="002F65F0" w:rsidP="003D344E">
            <w:pPr>
              <w:pStyle w:val="a3"/>
              <w:spacing w:before="0" w:beforeAutospacing="0" w:after="0" w:afterAutospacing="0"/>
              <w:jc w:val="center"/>
              <w:rPr>
                <w:b/>
              </w:rPr>
            </w:pPr>
            <w:r>
              <w:rPr>
                <w:b/>
              </w:rPr>
              <w:t>1</w:t>
            </w:r>
          </w:p>
        </w:tc>
        <w:tc>
          <w:tcPr>
            <w:tcW w:w="2196" w:type="dxa"/>
            <w:tcBorders>
              <w:top w:val="outset" w:sz="8" w:space="0" w:color="000000"/>
              <w:left w:val="outset" w:sz="8" w:space="0" w:color="000000"/>
              <w:bottom w:val="outset" w:sz="8" w:space="0" w:color="000000"/>
              <w:right w:val="inset" w:sz="8" w:space="0" w:color="000000"/>
            </w:tcBorders>
          </w:tcPr>
          <w:p w:rsidR="002F65F0" w:rsidRPr="00A202DF" w:rsidRDefault="002F65F0" w:rsidP="003D344E">
            <w:pPr>
              <w:pStyle w:val="a3"/>
              <w:spacing w:before="0" w:beforeAutospacing="0" w:after="0" w:afterAutospacing="0"/>
              <w:jc w:val="center"/>
              <w:rPr>
                <w:b/>
              </w:rPr>
            </w:pPr>
            <w:r>
              <w:rPr>
                <w:b/>
              </w:rPr>
              <w:t>2</w:t>
            </w:r>
          </w:p>
        </w:tc>
        <w:tc>
          <w:tcPr>
            <w:tcW w:w="4819" w:type="dxa"/>
            <w:tcBorders>
              <w:top w:val="outset" w:sz="8" w:space="0" w:color="000000"/>
              <w:left w:val="inset" w:sz="8" w:space="0" w:color="000000"/>
              <w:bottom w:val="outset" w:sz="8" w:space="0" w:color="000000"/>
              <w:right w:val="outset" w:sz="8" w:space="0" w:color="000000"/>
            </w:tcBorders>
            <w:tcMar>
              <w:top w:w="15" w:type="dxa"/>
              <w:left w:w="15" w:type="dxa"/>
              <w:bottom w:w="15" w:type="dxa"/>
              <w:right w:w="15" w:type="dxa"/>
            </w:tcMar>
          </w:tcPr>
          <w:p w:rsidR="002F65F0" w:rsidRPr="00A202DF" w:rsidRDefault="002F65F0" w:rsidP="003D344E">
            <w:pPr>
              <w:pStyle w:val="a3"/>
              <w:spacing w:before="0" w:beforeAutospacing="0" w:after="0" w:afterAutospacing="0"/>
              <w:jc w:val="center"/>
              <w:rPr>
                <w:b/>
              </w:rPr>
            </w:pPr>
            <w:r>
              <w:rPr>
                <w:b/>
              </w:rPr>
              <w:t>3</w:t>
            </w:r>
          </w:p>
        </w:tc>
      </w:tr>
      <w:tr w:rsidR="00C23043" w:rsidRPr="001123F8" w:rsidTr="00D20289">
        <w:trPr>
          <w:jc w:val="center"/>
        </w:trPr>
        <w:tc>
          <w:tcPr>
            <w:tcW w:w="2892" w:type="dxa"/>
            <w:tcBorders>
              <w:top w:val="nil"/>
              <w:left w:val="outset" w:sz="8" w:space="0" w:color="000000"/>
              <w:bottom w:val="outset" w:sz="8" w:space="0" w:color="000000"/>
              <w:right w:val="outset" w:sz="8" w:space="0" w:color="000000"/>
            </w:tcBorders>
            <w:tcMar>
              <w:top w:w="15" w:type="dxa"/>
              <w:left w:w="15" w:type="dxa"/>
              <w:bottom w:w="15" w:type="dxa"/>
              <w:right w:w="15" w:type="dxa"/>
            </w:tcMar>
          </w:tcPr>
          <w:p w:rsidR="00C23043" w:rsidRPr="00A06DA8" w:rsidRDefault="00445C6A" w:rsidP="00D20289">
            <w:pPr>
              <w:jc w:val="both"/>
              <w:rPr>
                <w:color w:val="000000"/>
              </w:rPr>
            </w:pPr>
            <w:r w:rsidRPr="00A06DA8">
              <w:rPr>
                <w:bCs/>
              </w:rPr>
              <w:t>Индекс физического объема строительных работ</w:t>
            </w:r>
          </w:p>
        </w:tc>
        <w:tc>
          <w:tcPr>
            <w:tcW w:w="2196" w:type="dxa"/>
            <w:tcBorders>
              <w:left w:val="outset" w:sz="8" w:space="0" w:color="000000"/>
              <w:bottom w:val="outset" w:sz="8" w:space="0" w:color="000000"/>
              <w:right w:val="inset" w:sz="8" w:space="0" w:color="000000"/>
            </w:tcBorders>
          </w:tcPr>
          <w:p w:rsidR="00C23043" w:rsidRPr="00445C6A" w:rsidRDefault="00A06DA8" w:rsidP="003D344E">
            <w:pPr>
              <w:jc w:val="center"/>
            </w:pPr>
            <w:proofErr w:type="spellStart"/>
            <w:r>
              <w:t>акимы</w:t>
            </w:r>
            <w:proofErr w:type="spellEnd"/>
            <w:r>
              <w:t xml:space="preserve"> районов</w:t>
            </w:r>
          </w:p>
        </w:tc>
        <w:tc>
          <w:tcPr>
            <w:tcW w:w="4819" w:type="dxa"/>
            <w:tcBorders>
              <w:left w:val="inset" w:sz="8" w:space="0" w:color="000000"/>
              <w:bottom w:val="outset" w:sz="8" w:space="0" w:color="000000"/>
              <w:right w:val="outset" w:sz="8" w:space="0" w:color="000000"/>
            </w:tcBorders>
            <w:tcMar>
              <w:top w:w="15" w:type="dxa"/>
              <w:left w:w="15" w:type="dxa"/>
              <w:bottom w:w="15" w:type="dxa"/>
              <w:right w:w="15" w:type="dxa"/>
            </w:tcMar>
          </w:tcPr>
          <w:p w:rsidR="00445C6A" w:rsidRPr="00445C6A" w:rsidRDefault="00445C6A" w:rsidP="00445C6A">
            <w:pPr>
              <w:ind w:firstLine="277"/>
              <w:jc w:val="both"/>
              <w:rPr>
                <w:lang w:val="kk-KZ"/>
              </w:rPr>
            </w:pPr>
            <w:r w:rsidRPr="00445C6A">
              <w:rPr>
                <w:lang w:val="kk-KZ"/>
              </w:rPr>
              <w:t xml:space="preserve">Причина недостижения является снижение на: </w:t>
            </w:r>
          </w:p>
          <w:p w:rsidR="00445C6A" w:rsidRPr="00445C6A" w:rsidRDefault="00445C6A" w:rsidP="00445C6A">
            <w:pPr>
              <w:pStyle w:val="a9"/>
              <w:numPr>
                <w:ilvl w:val="0"/>
                <w:numId w:val="1"/>
              </w:numPr>
              <w:tabs>
                <w:tab w:val="left" w:pos="552"/>
              </w:tabs>
              <w:ind w:left="-6" w:firstLine="283"/>
              <w:jc w:val="both"/>
              <w:rPr>
                <w:lang w:val="kk-KZ"/>
              </w:rPr>
            </w:pPr>
            <w:r w:rsidRPr="00445C6A">
              <w:rPr>
                <w:lang w:val="kk-KZ"/>
              </w:rPr>
              <w:t xml:space="preserve">0,7% строительно-монтажных работ </w:t>
            </w:r>
            <w:r w:rsidR="005C03DF">
              <w:rPr>
                <w:lang w:val="kk-KZ"/>
              </w:rPr>
              <w:t>(</w:t>
            </w:r>
            <w:r w:rsidRPr="00445C6A">
              <w:rPr>
                <w:lang w:val="kk-KZ"/>
              </w:rPr>
              <w:t>по итогам года неосвоение средств республиканскго и областного бюджетов, Национального фонда Республики Казахстан составило 245,6 млн.тенге, из них: 2,2 млн.тенге – экономия и 243,4 млн.тенге – строительно-монтажные работы</w:t>
            </w:r>
            <w:r w:rsidR="005C03DF">
              <w:rPr>
                <w:lang w:val="kk-KZ"/>
              </w:rPr>
              <w:t>)</w:t>
            </w:r>
            <w:r w:rsidRPr="00445C6A">
              <w:rPr>
                <w:lang w:val="kk-KZ"/>
              </w:rPr>
              <w:t>;</w:t>
            </w:r>
          </w:p>
          <w:p w:rsidR="00C23043" w:rsidRPr="00445C6A" w:rsidRDefault="005C03DF" w:rsidP="005C03DF">
            <w:pPr>
              <w:jc w:val="both"/>
              <w:rPr>
                <w:highlight w:val="yellow"/>
              </w:rPr>
            </w:pPr>
            <w:r>
              <w:rPr>
                <w:lang w:val="kk-KZ"/>
              </w:rPr>
              <w:t xml:space="preserve">    - </w:t>
            </w:r>
            <w:r w:rsidR="00445C6A" w:rsidRPr="00445C6A">
              <w:rPr>
                <w:lang w:val="kk-KZ"/>
              </w:rPr>
              <w:t>12,2% объем</w:t>
            </w:r>
            <w:r>
              <w:rPr>
                <w:lang w:val="kk-KZ"/>
              </w:rPr>
              <w:t>а</w:t>
            </w:r>
            <w:r w:rsidR="00445C6A" w:rsidRPr="00445C6A">
              <w:rPr>
                <w:lang w:val="kk-KZ"/>
              </w:rPr>
              <w:t xml:space="preserve"> капитального ремонта и 0,9% объем</w:t>
            </w:r>
            <w:r>
              <w:rPr>
                <w:lang w:val="kk-KZ"/>
              </w:rPr>
              <w:t>а</w:t>
            </w:r>
            <w:r w:rsidR="00445C6A" w:rsidRPr="00445C6A">
              <w:rPr>
                <w:lang w:val="kk-KZ"/>
              </w:rPr>
              <w:t xml:space="preserve"> текущего ремонта </w:t>
            </w:r>
            <w:r>
              <w:rPr>
                <w:lang w:val="kk-KZ"/>
              </w:rPr>
              <w:t>(</w:t>
            </w:r>
            <w:r w:rsidR="00445C6A" w:rsidRPr="00445C6A">
              <w:rPr>
                <w:lang w:val="kk-KZ"/>
              </w:rPr>
              <w:t>не</w:t>
            </w:r>
            <w:r>
              <w:rPr>
                <w:lang w:val="kk-KZ"/>
              </w:rPr>
              <w:t xml:space="preserve"> </w:t>
            </w:r>
            <w:r w:rsidR="00445C6A" w:rsidRPr="00445C6A">
              <w:rPr>
                <w:lang w:val="kk-KZ"/>
              </w:rPr>
              <w:t>освоены средства, выделенные в рамках государственных и правительственных программ, сокращены объемы по направлениям ремонтов в сравнении с 2015 годом</w:t>
            </w:r>
            <w:r>
              <w:rPr>
                <w:lang w:val="kk-KZ"/>
              </w:rPr>
              <w:t>)</w:t>
            </w:r>
            <w:r w:rsidR="00445C6A" w:rsidRPr="00445C6A">
              <w:rPr>
                <w:lang w:val="kk-KZ"/>
              </w:rPr>
              <w:t>.</w:t>
            </w:r>
            <w:bookmarkStart w:id="0" w:name="_GoBack"/>
            <w:bookmarkEnd w:id="0"/>
          </w:p>
        </w:tc>
      </w:tr>
    </w:tbl>
    <w:p w:rsidR="002227BB" w:rsidRDefault="002227BB"/>
    <w:sectPr w:rsidR="002227BB" w:rsidSect="00C23043">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3312A7"/>
    <w:multiLevelType w:val="hybridMultilevel"/>
    <w:tmpl w:val="366648E4"/>
    <w:lvl w:ilvl="0" w:tplc="EC4A8574">
      <w:numFmt w:val="bullet"/>
      <w:lvlText w:val="-"/>
      <w:lvlJc w:val="left"/>
      <w:pPr>
        <w:ind w:left="637" w:hanging="360"/>
      </w:pPr>
      <w:rPr>
        <w:rFonts w:ascii="Times New Roman" w:eastAsia="Times New Roman" w:hAnsi="Times New Roman" w:cs="Times New Roman" w:hint="default"/>
      </w:rPr>
    </w:lvl>
    <w:lvl w:ilvl="1" w:tplc="04190003" w:tentative="1">
      <w:start w:val="1"/>
      <w:numFmt w:val="bullet"/>
      <w:lvlText w:val="o"/>
      <w:lvlJc w:val="left"/>
      <w:pPr>
        <w:ind w:left="1357" w:hanging="360"/>
      </w:pPr>
      <w:rPr>
        <w:rFonts w:ascii="Courier New" w:hAnsi="Courier New" w:cs="Courier New" w:hint="default"/>
      </w:rPr>
    </w:lvl>
    <w:lvl w:ilvl="2" w:tplc="04190005" w:tentative="1">
      <w:start w:val="1"/>
      <w:numFmt w:val="bullet"/>
      <w:lvlText w:val=""/>
      <w:lvlJc w:val="left"/>
      <w:pPr>
        <w:ind w:left="2077" w:hanging="360"/>
      </w:pPr>
      <w:rPr>
        <w:rFonts w:ascii="Wingdings" w:hAnsi="Wingdings" w:hint="default"/>
      </w:rPr>
    </w:lvl>
    <w:lvl w:ilvl="3" w:tplc="04190001" w:tentative="1">
      <w:start w:val="1"/>
      <w:numFmt w:val="bullet"/>
      <w:lvlText w:val=""/>
      <w:lvlJc w:val="left"/>
      <w:pPr>
        <w:ind w:left="2797" w:hanging="360"/>
      </w:pPr>
      <w:rPr>
        <w:rFonts w:ascii="Symbol" w:hAnsi="Symbol" w:hint="default"/>
      </w:rPr>
    </w:lvl>
    <w:lvl w:ilvl="4" w:tplc="04190003" w:tentative="1">
      <w:start w:val="1"/>
      <w:numFmt w:val="bullet"/>
      <w:lvlText w:val="o"/>
      <w:lvlJc w:val="left"/>
      <w:pPr>
        <w:ind w:left="3517" w:hanging="360"/>
      </w:pPr>
      <w:rPr>
        <w:rFonts w:ascii="Courier New" w:hAnsi="Courier New" w:cs="Courier New" w:hint="default"/>
      </w:rPr>
    </w:lvl>
    <w:lvl w:ilvl="5" w:tplc="04190005" w:tentative="1">
      <w:start w:val="1"/>
      <w:numFmt w:val="bullet"/>
      <w:lvlText w:val=""/>
      <w:lvlJc w:val="left"/>
      <w:pPr>
        <w:ind w:left="4237" w:hanging="360"/>
      </w:pPr>
      <w:rPr>
        <w:rFonts w:ascii="Wingdings" w:hAnsi="Wingdings" w:hint="default"/>
      </w:rPr>
    </w:lvl>
    <w:lvl w:ilvl="6" w:tplc="04190001" w:tentative="1">
      <w:start w:val="1"/>
      <w:numFmt w:val="bullet"/>
      <w:lvlText w:val=""/>
      <w:lvlJc w:val="left"/>
      <w:pPr>
        <w:ind w:left="4957" w:hanging="360"/>
      </w:pPr>
      <w:rPr>
        <w:rFonts w:ascii="Symbol" w:hAnsi="Symbol" w:hint="default"/>
      </w:rPr>
    </w:lvl>
    <w:lvl w:ilvl="7" w:tplc="04190003" w:tentative="1">
      <w:start w:val="1"/>
      <w:numFmt w:val="bullet"/>
      <w:lvlText w:val="o"/>
      <w:lvlJc w:val="left"/>
      <w:pPr>
        <w:ind w:left="5677" w:hanging="360"/>
      </w:pPr>
      <w:rPr>
        <w:rFonts w:ascii="Courier New" w:hAnsi="Courier New" w:cs="Courier New" w:hint="default"/>
      </w:rPr>
    </w:lvl>
    <w:lvl w:ilvl="8" w:tplc="04190005" w:tentative="1">
      <w:start w:val="1"/>
      <w:numFmt w:val="bullet"/>
      <w:lvlText w:val=""/>
      <w:lvlJc w:val="left"/>
      <w:pPr>
        <w:ind w:left="6397"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0F41"/>
    <w:rsid w:val="00016B37"/>
    <w:rsid w:val="000409C1"/>
    <w:rsid w:val="000A1407"/>
    <w:rsid w:val="000A24ED"/>
    <w:rsid w:val="000D7A53"/>
    <w:rsid w:val="001007AF"/>
    <w:rsid w:val="001123F8"/>
    <w:rsid w:val="001734A2"/>
    <w:rsid w:val="00180987"/>
    <w:rsid w:val="0018586B"/>
    <w:rsid w:val="0019534D"/>
    <w:rsid w:val="001A6364"/>
    <w:rsid w:val="001E3EBD"/>
    <w:rsid w:val="00204F6E"/>
    <w:rsid w:val="00213D7F"/>
    <w:rsid w:val="002227BB"/>
    <w:rsid w:val="00240F41"/>
    <w:rsid w:val="00241C92"/>
    <w:rsid w:val="00257D97"/>
    <w:rsid w:val="002B2319"/>
    <w:rsid w:val="002B5944"/>
    <w:rsid w:val="002C263D"/>
    <w:rsid w:val="002F65F0"/>
    <w:rsid w:val="00316C24"/>
    <w:rsid w:val="00354035"/>
    <w:rsid w:val="003B5352"/>
    <w:rsid w:val="003D344E"/>
    <w:rsid w:val="003D5908"/>
    <w:rsid w:val="004048B2"/>
    <w:rsid w:val="00423C4F"/>
    <w:rsid w:val="00445C6A"/>
    <w:rsid w:val="00472A1B"/>
    <w:rsid w:val="004B0575"/>
    <w:rsid w:val="004C6D05"/>
    <w:rsid w:val="004F29AA"/>
    <w:rsid w:val="00530D91"/>
    <w:rsid w:val="00535EB5"/>
    <w:rsid w:val="005608BE"/>
    <w:rsid w:val="005739A2"/>
    <w:rsid w:val="00592454"/>
    <w:rsid w:val="005C03DF"/>
    <w:rsid w:val="005C4205"/>
    <w:rsid w:val="005E0A71"/>
    <w:rsid w:val="005E4921"/>
    <w:rsid w:val="0061392D"/>
    <w:rsid w:val="00695698"/>
    <w:rsid w:val="007217EE"/>
    <w:rsid w:val="007356D5"/>
    <w:rsid w:val="007A1468"/>
    <w:rsid w:val="007D510F"/>
    <w:rsid w:val="00833EC7"/>
    <w:rsid w:val="00847AF3"/>
    <w:rsid w:val="0086356A"/>
    <w:rsid w:val="00882457"/>
    <w:rsid w:val="008F350B"/>
    <w:rsid w:val="00906FC7"/>
    <w:rsid w:val="009149B8"/>
    <w:rsid w:val="009253D1"/>
    <w:rsid w:val="00931289"/>
    <w:rsid w:val="009D2830"/>
    <w:rsid w:val="00A06DA8"/>
    <w:rsid w:val="00A10EE1"/>
    <w:rsid w:val="00A202DF"/>
    <w:rsid w:val="00A25475"/>
    <w:rsid w:val="00A4118B"/>
    <w:rsid w:val="00A427D7"/>
    <w:rsid w:val="00A44676"/>
    <w:rsid w:val="00A60C47"/>
    <w:rsid w:val="00A86CED"/>
    <w:rsid w:val="00A954B4"/>
    <w:rsid w:val="00A97215"/>
    <w:rsid w:val="00AD3CA5"/>
    <w:rsid w:val="00AD74D7"/>
    <w:rsid w:val="00AE021C"/>
    <w:rsid w:val="00AE7762"/>
    <w:rsid w:val="00B07C63"/>
    <w:rsid w:val="00B516B5"/>
    <w:rsid w:val="00BF0FAD"/>
    <w:rsid w:val="00C23043"/>
    <w:rsid w:val="00C42C09"/>
    <w:rsid w:val="00C54EC8"/>
    <w:rsid w:val="00CA11D5"/>
    <w:rsid w:val="00D00D05"/>
    <w:rsid w:val="00D20289"/>
    <w:rsid w:val="00D269D0"/>
    <w:rsid w:val="00D66955"/>
    <w:rsid w:val="00D70380"/>
    <w:rsid w:val="00D709FC"/>
    <w:rsid w:val="00D77AD2"/>
    <w:rsid w:val="00D941B4"/>
    <w:rsid w:val="00DB16CD"/>
    <w:rsid w:val="00DB7C98"/>
    <w:rsid w:val="00DC058D"/>
    <w:rsid w:val="00DC18C2"/>
    <w:rsid w:val="00E26311"/>
    <w:rsid w:val="00E56970"/>
    <w:rsid w:val="00E63660"/>
    <w:rsid w:val="00E913B3"/>
    <w:rsid w:val="00F92D01"/>
    <w:rsid w:val="00FA087B"/>
    <w:rsid w:val="00FF4F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0F4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ак,Знак Знак1 Знак,Знак Знак1 Знак Знак, Знак4,Знак4"/>
    <w:basedOn w:val="a"/>
    <w:link w:val="a4"/>
    <w:uiPriority w:val="99"/>
    <w:rsid w:val="00240F41"/>
    <w:pPr>
      <w:spacing w:before="100" w:beforeAutospacing="1" w:after="100" w:afterAutospacing="1"/>
    </w:pPr>
  </w:style>
  <w:style w:type="character" w:customStyle="1" w:styleId="a4">
    <w:name w:val="Обычный (веб) Знак"/>
    <w:aliases w:val="Обычный (Web) Знак,Обычный (веб) Знак1 Знак,Обычный (веб) Знак Знак1 Знак, Знак Знак1 Знак Знак1,Обычный (веб) Знак Знак Знак Знак1, Знак Знак1 Знак Знак Знак,Обычный (веб) Знак Знак Знак Знак Знак, Знак Знак Знак Знак Знак Знак"/>
    <w:link w:val="a3"/>
    <w:uiPriority w:val="99"/>
    <w:rsid w:val="008F350B"/>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9D2830"/>
    <w:rPr>
      <w:rFonts w:ascii="Tahoma" w:hAnsi="Tahoma" w:cs="Tahoma"/>
      <w:sz w:val="16"/>
      <w:szCs w:val="16"/>
    </w:rPr>
  </w:style>
  <w:style w:type="character" w:customStyle="1" w:styleId="a6">
    <w:name w:val="Текст выноски Знак"/>
    <w:basedOn w:val="a0"/>
    <w:link w:val="a5"/>
    <w:uiPriority w:val="99"/>
    <w:semiHidden/>
    <w:rsid w:val="009D2830"/>
    <w:rPr>
      <w:rFonts w:ascii="Tahoma" w:eastAsia="Times New Roman" w:hAnsi="Tahoma" w:cs="Tahoma"/>
      <w:sz w:val="16"/>
      <w:szCs w:val="16"/>
      <w:lang w:eastAsia="ru-RU"/>
    </w:rPr>
  </w:style>
  <w:style w:type="paragraph" w:styleId="a7">
    <w:name w:val="No Spacing"/>
    <w:uiPriority w:val="99"/>
    <w:qFormat/>
    <w:rsid w:val="00D70380"/>
    <w:pPr>
      <w:spacing w:after="0" w:line="240" w:lineRule="auto"/>
    </w:pPr>
    <w:rPr>
      <w:rFonts w:ascii="Times New Roman" w:eastAsia="Times New Roman" w:hAnsi="Times New Roman" w:cs="Times New Roman"/>
      <w:sz w:val="24"/>
      <w:szCs w:val="24"/>
      <w:lang w:eastAsia="ru-RU"/>
    </w:rPr>
  </w:style>
  <w:style w:type="paragraph" w:customStyle="1" w:styleId="1">
    <w:name w:val="Стиль1"/>
    <w:basedOn w:val="a"/>
    <w:rsid w:val="00847AF3"/>
    <w:pPr>
      <w:spacing w:line="276" w:lineRule="auto"/>
      <w:ind w:firstLine="708"/>
      <w:jc w:val="both"/>
    </w:pPr>
    <w:rPr>
      <w:rFonts w:eastAsia="Calibri"/>
      <w:sz w:val="28"/>
      <w:szCs w:val="28"/>
      <w:lang w:eastAsia="en-US"/>
    </w:rPr>
  </w:style>
  <w:style w:type="paragraph" w:customStyle="1" w:styleId="OsnTxt">
    <w:name w:val="OsnTxt"/>
    <w:rsid w:val="00B07C63"/>
    <w:pPr>
      <w:spacing w:after="0" w:line="280" w:lineRule="exact"/>
      <w:ind w:firstLine="794"/>
      <w:jc w:val="both"/>
    </w:pPr>
    <w:rPr>
      <w:rFonts w:ascii="Arial" w:eastAsia="Times New Roman" w:hAnsi="Arial" w:cs="Times New Roman"/>
      <w:szCs w:val="20"/>
      <w:lang w:eastAsia="ru-RU"/>
    </w:rPr>
  </w:style>
  <w:style w:type="paragraph" w:customStyle="1" w:styleId="a8">
    <w:name w:val="ОснТекст"/>
    <w:rsid w:val="00A954B4"/>
    <w:pPr>
      <w:spacing w:after="0" w:line="240" w:lineRule="auto"/>
      <w:ind w:firstLine="709"/>
      <w:jc w:val="both"/>
    </w:pPr>
    <w:rPr>
      <w:rFonts w:ascii="Times New Roman" w:eastAsia="Times New Roman" w:hAnsi="Times New Roman" w:cs="Times New Roman"/>
      <w:color w:val="000000"/>
      <w:sz w:val="20"/>
      <w:szCs w:val="20"/>
      <w:lang w:eastAsia="ru-RU"/>
    </w:rPr>
  </w:style>
  <w:style w:type="paragraph" w:styleId="a9">
    <w:name w:val="List Paragraph"/>
    <w:basedOn w:val="a"/>
    <w:uiPriority w:val="34"/>
    <w:qFormat/>
    <w:rsid w:val="00445C6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0F4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ак,Знак Знак1 Знак,Знак Знак1 Знак Знак, Знак4,Знак4"/>
    <w:basedOn w:val="a"/>
    <w:link w:val="a4"/>
    <w:uiPriority w:val="99"/>
    <w:rsid w:val="00240F41"/>
    <w:pPr>
      <w:spacing w:before="100" w:beforeAutospacing="1" w:after="100" w:afterAutospacing="1"/>
    </w:pPr>
  </w:style>
  <w:style w:type="character" w:customStyle="1" w:styleId="a4">
    <w:name w:val="Обычный (веб) Знак"/>
    <w:aliases w:val="Обычный (Web) Знак,Обычный (веб) Знак1 Знак,Обычный (веб) Знак Знак1 Знак, Знак Знак1 Знак Знак1,Обычный (веб) Знак Знак Знак Знак1, Знак Знак1 Знак Знак Знак,Обычный (веб) Знак Знак Знак Знак Знак, Знак Знак Знак Знак Знак Знак"/>
    <w:link w:val="a3"/>
    <w:uiPriority w:val="99"/>
    <w:rsid w:val="008F350B"/>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9D2830"/>
    <w:rPr>
      <w:rFonts w:ascii="Tahoma" w:hAnsi="Tahoma" w:cs="Tahoma"/>
      <w:sz w:val="16"/>
      <w:szCs w:val="16"/>
    </w:rPr>
  </w:style>
  <w:style w:type="character" w:customStyle="1" w:styleId="a6">
    <w:name w:val="Текст выноски Знак"/>
    <w:basedOn w:val="a0"/>
    <w:link w:val="a5"/>
    <w:uiPriority w:val="99"/>
    <w:semiHidden/>
    <w:rsid w:val="009D2830"/>
    <w:rPr>
      <w:rFonts w:ascii="Tahoma" w:eastAsia="Times New Roman" w:hAnsi="Tahoma" w:cs="Tahoma"/>
      <w:sz w:val="16"/>
      <w:szCs w:val="16"/>
      <w:lang w:eastAsia="ru-RU"/>
    </w:rPr>
  </w:style>
  <w:style w:type="paragraph" w:styleId="a7">
    <w:name w:val="No Spacing"/>
    <w:uiPriority w:val="99"/>
    <w:qFormat/>
    <w:rsid w:val="00D70380"/>
    <w:pPr>
      <w:spacing w:after="0" w:line="240" w:lineRule="auto"/>
    </w:pPr>
    <w:rPr>
      <w:rFonts w:ascii="Times New Roman" w:eastAsia="Times New Roman" w:hAnsi="Times New Roman" w:cs="Times New Roman"/>
      <w:sz w:val="24"/>
      <w:szCs w:val="24"/>
      <w:lang w:eastAsia="ru-RU"/>
    </w:rPr>
  </w:style>
  <w:style w:type="paragraph" w:customStyle="1" w:styleId="1">
    <w:name w:val="Стиль1"/>
    <w:basedOn w:val="a"/>
    <w:rsid w:val="00847AF3"/>
    <w:pPr>
      <w:spacing w:line="276" w:lineRule="auto"/>
      <w:ind w:firstLine="708"/>
      <w:jc w:val="both"/>
    </w:pPr>
    <w:rPr>
      <w:rFonts w:eastAsia="Calibri"/>
      <w:sz w:val="28"/>
      <w:szCs w:val="28"/>
      <w:lang w:eastAsia="en-US"/>
    </w:rPr>
  </w:style>
  <w:style w:type="paragraph" w:customStyle="1" w:styleId="OsnTxt">
    <w:name w:val="OsnTxt"/>
    <w:rsid w:val="00B07C63"/>
    <w:pPr>
      <w:spacing w:after="0" w:line="280" w:lineRule="exact"/>
      <w:ind w:firstLine="794"/>
      <w:jc w:val="both"/>
    </w:pPr>
    <w:rPr>
      <w:rFonts w:ascii="Arial" w:eastAsia="Times New Roman" w:hAnsi="Arial" w:cs="Times New Roman"/>
      <w:szCs w:val="20"/>
      <w:lang w:eastAsia="ru-RU"/>
    </w:rPr>
  </w:style>
  <w:style w:type="paragraph" w:customStyle="1" w:styleId="a8">
    <w:name w:val="ОснТекст"/>
    <w:rsid w:val="00A954B4"/>
    <w:pPr>
      <w:spacing w:after="0" w:line="240" w:lineRule="auto"/>
      <w:ind w:firstLine="709"/>
      <w:jc w:val="both"/>
    </w:pPr>
    <w:rPr>
      <w:rFonts w:ascii="Times New Roman" w:eastAsia="Times New Roman" w:hAnsi="Times New Roman" w:cs="Times New Roman"/>
      <w:color w:val="000000"/>
      <w:sz w:val="20"/>
      <w:szCs w:val="20"/>
      <w:lang w:eastAsia="ru-RU"/>
    </w:rPr>
  </w:style>
  <w:style w:type="paragraph" w:styleId="a9">
    <w:name w:val="List Paragraph"/>
    <w:basedOn w:val="a"/>
    <w:uiPriority w:val="34"/>
    <w:qFormat/>
    <w:rsid w:val="00445C6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48417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452</TotalTime>
  <Pages>1</Pages>
  <Words>106</Words>
  <Characters>606</Characters>
  <Application>Microsoft Office Word</Application>
  <DocSecurity>0</DocSecurity>
  <Lines>5</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Айнур Бейсенова</dc:creator>
  <cp:lastModifiedBy>Екатерина В. Кривошеева</cp:lastModifiedBy>
  <cp:revision>109</cp:revision>
  <cp:lastPrinted>2013-02-12T09:14:00Z</cp:lastPrinted>
  <dcterms:created xsi:type="dcterms:W3CDTF">2013-02-07T08:54:00Z</dcterms:created>
  <dcterms:modified xsi:type="dcterms:W3CDTF">2017-02-14T12:00:00Z</dcterms:modified>
</cp:coreProperties>
</file>