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F41" w:rsidRPr="00A202DF" w:rsidRDefault="00C23043" w:rsidP="00DA3532">
      <w:pPr>
        <w:pStyle w:val="a3"/>
        <w:keepNext/>
        <w:rPr>
          <w:color w:val="000000"/>
        </w:rPr>
      </w:pPr>
      <w:bookmarkStart w:id="0" w:name="_GoBack"/>
      <w:bookmarkEnd w:id="0"/>
      <w:r>
        <w:rPr>
          <w:b/>
          <w:bCs/>
          <w:color w:val="000000"/>
        </w:rPr>
        <w:t>2</w:t>
      </w:r>
      <w:r w:rsidR="00240F41" w:rsidRPr="00A202DF">
        <w:rPr>
          <w:b/>
          <w:bCs/>
          <w:color w:val="000000"/>
        </w:rPr>
        <w:t>. Анализ межведомственного взаимодействия</w:t>
      </w:r>
    </w:p>
    <w:tbl>
      <w:tblPr>
        <w:tblW w:w="10200" w:type="dxa"/>
        <w:jc w:val="center"/>
        <w:tblInd w:w="-694" w:type="dxa"/>
        <w:tblCellMar>
          <w:left w:w="0" w:type="dxa"/>
          <w:right w:w="0" w:type="dxa"/>
        </w:tblCellMar>
        <w:tblLook w:val="0000" w:firstRow="0" w:lastRow="0" w:firstColumn="0" w:lastColumn="0" w:noHBand="0" w:noVBand="0"/>
      </w:tblPr>
      <w:tblGrid>
        <w:gridCol w:w="2869"/>
        <w:gridCol w:w="2308"/>
        <w:gridCol w:w="5023"/>
      </w:tblGrid>
      <w:tr w:rsidR="00C23043" w:rsidRPr="00A202DF" w:rsidTr="00666AF9">
        <w:trPr>
          <w:jc w:val="center"/>
        </w:trPr>
        <w:tc>
          <w:tcPr>
            <w:tcW w:w="286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A3532">
            <w:pPr>
              <w:pStyle w:val="a3"/>
              <w:keepNext/>
              <w:spacing w:before="0" w:beforeAutospacing="0" w:after="0" w:afterAutospacing="0"/>
              <w:jc w:val="center"/>
              <w:rPr>
                <w:b/>
                <w:lang w:val="kk-KZ"/>
              </w:rPr>
            </w:pPr>
            <w:r w:rsidRPr="00A202DF">
              <w:rPr>
                <w:b/>
              </w:rPr>
              <w:t>Наименование</w:t>
            </w:r>
            <w:r w:rsidRPr="00A202DF">
              <w:rPr>
                <w:b/>
                <w:lang w:val="kk-KZ"/>
              </w:rPr>
              <w:t xml:space="preserve"> целевого индикатора</w:t>
            </w:r>
          </w:p>
        </w:tc>
        <w:tc>
          <w:tcPr>
            <w:tcW w:w="2308" w:type="dxa"/>
            <w:tcBorders>
              <w:top w:val="outset" w:sz="8" w:space="0" w:color="000000"/>
              <w:left w:val="outset" w:sz="8" w:space="0" w:color="000000"/>
              <w:bottom w:val="outset" w:sz="8" w:space="0" w:color="000000"/>
              <w:right w:val="inset" w:sz="8" w:space="0" w:color="000000"/>
            </w:tcBorders>
          </w:tcPr>
          <w:p w:rsidR="00C23043" w:rsidRPr="00A202DF" w:rsidRDefault="00DB16CD" w:rsidP="00DA3532">
            <w:pPr>
              <w:pStyle w:val="a3"/>
              <w:keepNext/>
              <w:spacing w:before="0" w:beforeAutospacing="0" w:after="0" w:afterAutospacing="0"/>
              <w:jc w:val="center"/>
              <w:rPr>
                <w:b/>
              </w:rPr>
            </w:pPr>
            <w:r>
              <w:rPr>
                <w:b/>
              </w:rPr>
              <w:t>С</w:t>
            </w:r>
            <w:r w:rsidR="00C23043" w:rsidRPr="00A202DF">
              <w:rPr>
                <w:b/>
              </w:rPr>
              <w:t>оисполнитель</w:t>
            </w:r>
          </w:p>
        </w:tc>
        <w:tc>
          <w:tcPr>
            <w:tcW w:w="5023" w:type="dxa"/>
            <w:tcBorders>
              <w:top w:val="outset" w:sz="8" w:space="0" w:color="000000"/>
              <w:left w:val="inset" w:sz="8" w:space="0" w:color="000000"/>
              <w:bottom w:val="outset" w:sz="8" w:space="0" w:color="000000"/>
              <w:right w:val="outset" w:sz="8" w:space="0" w:color="000000"/>
            </w:tcBorders>
            <w:tcMar>
              <w:top w:w="15" w:type="dxa"/>
              <w:left w:w="15" w:type="dxa"/>
              <w:bottom w:w="15" w:type="dxa"/>
              <w:right w:w="15" w:type="dxa"/>
            </w:tcMar>
          </w:tcPr>
          <w:p w:rsidR="00C23043" w:rsidRPr="00A202DF" w:rsidRDefault="00C23043" w:rsidP="00DA3532">
            <w:pPr>
              <w:pStyle w:val="a3"/>
              <w:keepNext/>
              <w:spacing w:before="0" w:beforeAutospacing="0" w:after="0" w:afterAutospacing="0"/>
              <w:jc w:val="center"/>
              <w:rPr>
                <w:b/>
              </w:rPr>
            </w:pPr>
            <w:r w:rsidRPr="00A202DF">
              <w:rPr>
                <w:b/>
              </w:rPr>
              <w:t>Анализ взаимодействия</w:t>
            </w:r>
          </w:p>
        </w:tc>
      </w:tr>
      <w:tr w:rsidR="00064607" w:rsidRPr="00000CD6" w:rsidTr="00666AF9">
        <w:trPr>
          <w:jc w:val="center"/>
        </w:trPr>
        <w:tc>
          <w:tcPr>
            <w:tcW w:w="2869" w:type="dxa"/>
            <w:tcBorders>
              <w:top w:val="outset" w:sz="8" w:space="0" w:color="000000"/>
              <w:left w:val="outset" w:sz="8" w:space="0" w:color="000000"/>
              <w:bottom w:val="outset" w:sz="8" w:space="0" w:color="000000"/>
              <w:right w:val="outset" w:sz="8" w:space="0" w:color="000000"/>
            </w:tcBorders>
            <w:shd w:val="clear" w:color="auto" w:fill="auto"/>
            <w:tcMar>
              <w:top w:w="15" w:type="dxa"/>
              <w:left w:w="15" w:type="dxa"/>
              <w:bottom w:w="15" w:type="dxa"/>
              <w:right w:w="15" w:type="dxa"/>
            </w:tcMar>
          </w:tcPr>
          <w:p w:rsidR="00064607" w:rsidRPr="00000CD6" w:rsidRDefault="00064607" w:rsidP="00DA3532">
            <w:pPr>
              <w:keepNext/>
              <w:ind w:left="124" w:right="186"/>
              <w:jc w:val="both"/>
            </w:pPr>
            <w:r w:rsidRPr="00000CD6">
              <w:t>Рост инвестиций в основной капитал не сырьевого сектора (за исключением инвестиции из государственного бюджета) к 2015 году</w:t>
            </w:r>
          </w:p>
        </w:tc>
        <w:tc>
          <w:tcPr>
            <w:tcW w:w="2308" w:type="dxa"/>
            <w:tcBorders>
              <w:top w:val="outset" w:sz="8" w:space="0" w:color="000000"/>
              <w:left w:val="outset" w:sz="8" w:space="0" w:color="000000"/>
              <w:bottom w:val="outset" w:sz="8" w:space="0" w:color="000000"/>
              <w:right w:val="inset" w:sz="8" w:space="0" w:color="000000"/>
            </w:tcBorders>
            <w:shd w:val="clear" w:color="auto" w:fill="auto"/>
          </w:tcPr>
          <w:p w:rsidR="00064607" w:rsidRPr="00000CD6" w:rsidRDefault="00DA3532" w:rsidP="00DA3532">
            <w:pPr>
              <w:keepNext/>
              <w:ind w:left="124" w:right="186" w:firstLine="284"/>
              <w:jc w:val="both"/>
            </w:pPr>
            <w:r>
              <w:t xml:space="preserve">Акимы </w:t>
            </w:r>
            <w:r w:rsidR="00064607" w:rsidRPr="00000CD6">
              <w:t xml:space="preserve">районов и </w:t>
            </w:r>
            <w:r>
              <w:t>г. Петропавловска</w:t>
            </w:r>
            <w:r w:rsidR="00064607" w:rsidRPr="00000CD6">
              <w:t xml:space="preserve">, предприятия районов и </w:t>
            </w:r>
            <w:proofErr w:type="spellStart"/>
            <w:r>
              <w:t>г</w:t>
            </w:r>
            <w:proofErr w:type="gramStart"/>
            <w:r>
              <w:t>.П</w:t>
            </w:r>
            <w:proofErr w:type="gramEnd"/>
            <w:r>
              <w:t>етропавловска</w:t>
            </w:r>
            <w:proofErr w:type="spellEnd"/>
          </w:p>
        </w:tc>
        <w:tc>
          <w:tcPr>
            <w:tcW w:w="5023" w:type="dxa"/>
            <w:tcBorders>
              <w:top w:val="outset" w:sz="8" w:space="0" w:color="000000"/>
              <w:left w:val="inset" w:sz="8" w:space="0" w:color="000000"/>
              <w:bottom w:val="outset" w:sz="8" w:space="0" w:color="000000"/>
              <w:right w:val="outset" w:sz="8" w:space="0" w:color="000000"/>
            </w:tcBorders>
            <w:shd w:val="clear" w:color="auto" w:fill="auto"/>
            <w:tcMar>
              <w:top w:w="15" w:type="dxa"/>
              <w:left w:w="15" w:type="dxa"/>
              <w:bottom w:w="15" w:type="dxa"/>
              <w:right w:w="15" w:type="dxa"/>
            </w:tcMar>
          </w:tcPr>
          <w:p w:rsidR="00064607" w:rsidRPr="00000CD6" w:rsidRDefault="00064607" w:rsidP="00DA3532">
            <w:pPr>
              <w:keepNext/>
              <w:ind w:left="124" w:right="186" w:firstLine="284"/>
              <w:jc w:val="both"/>
            </w:pPr>
            <w:r w:rsidRPr="00000CD6">
              <w:t xml:space="preserve">Индикатор «Рост инвестиций в основной капитал </w:t>
            </w:r>
            <w:proofErr w:type="spellStart"/>
            <w:r w:rsidRPr="00000CD6">
              <w:t>несырьевого</w:t>
            </w:r>
            <w:proofErr w:type="spellEnd"/>
            <w:r w:rsidRPr="00000CD6">
              <w:t xml:space="preserve"> сектора (за исключением инвестиции из государственного бюджета) к 2015 году» не исполнен. При плане на 2018 год 107,8%, факт составил 87,6%.  По итогам января-декабря 2018 года объем инвестиций в основной капитал </w:t>
            </w:r>
            <w:proofErr w:type="spellStart"/>
            <w:r w:rsidRPr="00000CD6">
              <w:t>несырьевого</w:t>
            </w:r>
            <w:proofErr w:type="spellEnd"/>
            <w:r w:rsidRPr="00000CD6">
              <w:t xml:space="preserve"> сектора (за исключением инвестиций из государственного бюджета) составил 71,2 млрд. тенге</w:t>
            </w:r>
            <w:r w:rsidR="00666AF9">
              <w:t>,</w:t>
            </w:r>
            <w:r w:rsidRPr="00000CD6">
              <w:t xml:space="preserve"> или 87,6% к 2015 году. Индикатор складывается из показателей районов и города. </w:t>
            </w:r>
            <w:proofErr w:type="gramStart"/>
            <w:r w:rsidRPr="00000CD6">
              <w:t>Не достигнут индикатор</w:t>
            </w:r>
            <w:proofErr w:type="gramEnd"/>
            <w:r w:rsidRPr="00000CD6">
              <w:t xml:space="preserve"> </w:t>
            </w:r>
            <w:proofErr w:type="spellStart"/>
            <w:r w:rsidRPr="00000CD6">
              <w:t>Акжарским</w:t>
            </w:r>
            <w:proofErr w:type="spellEnd"/>
            <w:r w:rsidRPr="00000CD6">
              <w:t xml:space="preserve">, </w:t>
            </w:r>
            <w:proofErr w:type="spellStart"/>
            <w:r w:rsidRPr="00000CD6">
              <w:t>Аккайынским</w:t>
            </w:r>
            <w:proofErr w:type="spellEnd"/>
            <w:r w:rsidRPr="00000CD6">
              <w:t xml:space="preserve">, </w:t>
            </w:r>
            <w:proofErr w:type="spellStart"/>
            <w:r w:rsidRPr="00000CD6">
              <w:t>Есильским</w:t>
            </w:r>
            <w:proofErr w:type="spellEnd"/>
            <w:r w:rsidRPr="00000CD6">
              <w:t xml:space="preserve">, </w:t>
            </w:r>
            <w:proofErr w:type="spellStart"/>
            <w:r w:rsidRPr="00000CD6">
              <w:t>Кызылжарским</w:t>
            </w:r>
            <w:proofErr w:type="spellEnd"/>
            <w:r w:rsidRPr="00000CD6">
              <w:t xml:space="preserve">, Тимирязевским, </w:t>
            </w:r>
            <w:proofErr w:type="spellStart"/>
            <w:r w:rsidRPr="00000CD6">
              <w:t>Уалихановским</w:t>
            </w:r>
            <w:proofErr w:type="spellEnd"/>
            <w:r w:rsidRPr="00000CD6">
              <w:t xml:space="preserve"> и районом М. Жумабаева. На неисполнение индикатора повлияло крупное вложение инвестиций в указанных районах в 2015 году от предприятий: ТОО «Талшик </w:t>
            </w:r>
            <w:proofErr w:type="spellStart"/>
            <w:r w:rsidRPr="00000CD6">
              <w:t>Астык</w:t>
            </w:r>
            <w:proofErr w:type="spellEnd"/>
            <w:r w:rsidRPr="00000CD6">
              <w:t xml:space="preserve"> ЛТД», ТОО «</w:t>
            </w:r>
            <w:proofErr w:type="spellStart"/>
            <w:r w:rsidRPr="00000CD6">
              <w:t>ИкеаТассГрупп</w:t>
            </w:r>
            <w:proofErr w:type="spellEnd"/>
            <w:r w:rsidRPr="00000CD6">
              <w:t>», ТОО «</w:t>
            </w:r>
            <w:proofErr w:type="spellStart"/>
            <w:r w:rsidRPr="00000CD6">
              <w:t>Виталмар</w:t>
            </w:r>
            <w:proofErr w:type="spellEnd"/>
            <w:r w:rsidRPr="00000CD6">
              <w:t xml:space="preserve"> </w:t>
            </w:r>
            <w:proofErr w:type="spellStart"/>
            <w:r w:rsidRPr="00000CD6">
              <w:t>Астык</w:t>
            </w:r>
            <w:proofErr w:type="spellEnd"/>
            <w:r w:rsidRPr="00000CD6">
              <w:t>», АО «</w:t>
            </w:r>
            <w:proofErr w:type="spellStart"/>
            <w:r w:rsidRPr="00000CD6">
              <w:t>КазТрансОйл</w:t>
            </w:r>
            <w:proofErr w:type="spellEnd"/>
            <w:r w:rsidRPr="00000CD6">
              <w:t>». Кроме того, компания «</w:t>
            </w:r>
            <w:proofErr w:type="spellStart"/>
            <w:r w:rsidRPr="00000CD6">
              <w:t>КазТрансОйл</w:t>
            </w:r>
            <w:proofErr w:type="spellEnd"/>
            <w:r w:rsidRPr="00000CD6">
              <w:t xml:space="preserve">» в 2015 году завершила прокладку труб на общую сумму инвестиций 22,6 млрд. тенге. </w:t>
            </w:r>
            <w:r w:rsidRPr="00000CD6">
              <w:br/>
              <w:t>Аналогичных крупных вложений за 2016-2018 гг. не наблюдалось. Учитывая аграрную направленность региона, наибольший приток инвестиций обеспечен за счет привлечения инвестиций в сельское хозяйство, который в свою очередь ежегодно растет. Доля вложений в отрасль в сравнении с 2015 годом выросла на 11% или 38,9 млрд. тенге.</w:t>
            </w:r>
          </w:p>
        </w:tc>
      </w:tr>
      <w:tr w:rsidR="00786C66" w:rsidRPr="00000CD6" w:rsidTr="00666AF9">
        <w:trPr>
          <w:jc w:val="center"/>
        </w:trPr>
        <w:tc>
          <w:tcPr>
            <w:tcW w:w="28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86C66" w:rsidRPr="00000CD6" w:rsidRDefault="00786C66" w:rsidP="00DA3532">
            <w:pPr>
              <w:keepNext/>
              <w:keepLines/>
              <w:ind w:left="125" w:right="187"/>
              <w:contextualSpacing/>
              <w:jc w:val="both"/>
            </w:pPr>
            <w:r w:rsidRPr="00000CD6">
              <w:t xml:space="preserve">Снижение материнской смертности на 100 тыс. </w:t>
            </w:r>
            <w:proofErr w:type="gramStart"/>
            <w:r w:rsidRPr="00000CD6">
              <w:t>родившихся</w:t>
            </w:r>
            <w:proofErr w:type="gramEnd"/>
            <w:r w:rsidRPr="00000CD6">
              <w:t xml:space="preserve"> живыми</w:t>
            </w:r>
          </w:p>
        </w:tc>
        <w:tc>
          <w:tcPr>
            <w:tcW w:w="2308" w:type="dxa"/>
            <w:tcBorders>
              <w:top w:val="single" w:sz="4" w:space="0" w:color="auto"/>
              <w:left w:val="single" w:sz="4" w:space="0" w:color="auto"/>
              <w:bottom w:val="single" w:sz="4" w:space="0" w:color="auto"/>
              <w:right w:val="single" w:sz="4" w:space="0" w:color="auto"/>
            </w:tcBorders>
            <w:vAlign w:val="center"/>
          </w:tcPr>
          <w:p w:rsidR="00786C66" w:rsidRPr="00000CD6" w:rsidRDefault="00786C66" w:rsidP="00DA3532">
            <w:pPr>
              <w:keepNext/>
              <w:keepLines/>
              <w:ind w:left="125" w:right="187" w:firstLine="284"/>
              <w:contextualSpacing/>
              <w:jc w:val="both"/>
            </w:pPr>
            <w:r w:rsidRPr="00000CD6">
              <w:t>Подведомственные медицинские организации по СКО по родовспоможению и детству</w:t>
            </w:r>
          </w:p>
        </w:tc>
        <w:tc>
          <w:tcPr>
            <w:tcW w:w="5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786C66" w:rsidRPr="00000CD6" w:rsidRDefault="00786C66" w:rsidP="00DA3532">
            <w:pPr>
              <w:keepNext/>
              <w:keepLines/>
              <w:ind w:left="125" w:right="187" w:firstLine="284"/>
              <w:contextualSpacing/>
              <w:jc w:val="both"/>
            </w:pPr>
            <w:r w:rsidRPr="00000CD6">
              <w:t xml:space="preserve">За 2018 год в сравнении с 2017 годом показатель материнской смертности снизился с 28,5 до 14,8 (при снижении случаев с 2 </w:t>
            </w:r>
            <w:proofErr w:type="gramStart"/>
            <w:r w:rsidRPr="00000CD6">
              <w:t>до</w:t>
            </w:r>
            <w:proofErr w:type="gramEnd"/>
            <w:r w:rsidRPr="00000CD6">
              <w:t xml:space="preserve"> 1). Индикатор не выполнен к плану 2018г. (план на 2018г. - 0). Расчет показателя материнской смертности связан с числом родившихся детей живыми. За </w:t>
            </w:r>
            <w:proofErr w:type="gramStart"/>
            <w:r w:rsidRPr="00000CD6">
              <w:t>последние</w:t>
            </w:r>
            <w:proofErr w:type="gramEnd"/>
            <w:r w:rsidRPr="00000CD6">
              <w:t xml:space="preserve"> 10 лет (с 2009 года по 2018 год),  число родившихся уменьшилось на 22,7% с 8734 до 6743. В связи с демографическими данными даже единичный случай материнской смертности приведет к неисполнению индикатора. Для выполнения плана были приняты следующие меры: </w:t>
            </w:r>
            <w:proofErr w:type="gramStart"/>
            <w:r w:rsidRPr="00000CD6">
              <w:t>отработан и внедрен</w:t>
            </w:r>
            <w:proofErr w:type="gramEnd"/>
            <w:r w:rsidRPr="00000CD6">
              <w:t xml:space="preserve"> приказ МЗ РК № 173 от 16 апреля 2018 года «Об утверждении </w:t>
            </w:r>
            <w:r w:rsidRPr="00000CD6">
              <w:lastRenderedPageBreak/>
              <w:t xml:space="preserve">Стандарта организации оказания акушерско-гинекологической помощи в Республике Казахстан». Работает схема оповещения по критическим состояниям. Разделены потоки беременных по группам риска женщин фертильного возраста. Разделены на группы </w:t>
            </w:r>
            <w:proofErr w:type="gramStart"/>
            <w:r w:rsidRPr="00000CD6">
              <w:t>согласно Приказа</w:t>
            </w:r>
            <w:proofErr w:type="gramEnd"/>
            <w:r w:rsidRPr="00000CD6">
              <w:t xml:space="preserve"> Министра здравоохранения Республики Казахстан от 3 июля 2012 года N 452 «О мерах совершенствования медицинской помощи беременным женщинам, роженицам, родильницам и женщинам фертильного возраста». Женщины фертильного возраста из группы 2В и 5 охвачены около 80% бесплатной контрацепцией. Ведется работа по вопросам репродуктивного здоровья и планирования семьи.</w:t>
            </w:r>
          </w:p>
        </w:tc>
      </w:tr>
      <w:tr w:rsidR="00786C66" w:rsidRPr="00000CD6" w:rsidTr="00666AF9">
        <w:trPr>
          <w:trHeight w:val="7784"/>
          <w:jc w:val="center"/>
        </w:trPr>
        <w:tc>
          <w:tcPr>
            <w:tcW w:w="28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786C66" w:rsidRPr="00000CD6" w:rsidRDefault="00786C66" w:rsidP="00DA3532">
            <w:pPr>
              <w:keepNext/>
              <w:keepLines/>
              <w:ind w:left="125" w:right="187"/>
              <w:contextualSpacing/>
              <w:jc w:val="both"/>
            </w:pPr>
            <w:r w:rsidRPr="00000CD6">
              <w:lastRenderedPageBreak/>
              <w:t>Снижение числа погибших в дорожно-транспортных происшествиях на 100 пострадавших</w:t>
            </w:r>
          </w:p>
          <w:p w:rsidR="00786C66" w:rsidRPr="00000CD6" w:rsidRDefault="00786C66" w:rsidP="00DA3532">
            <w:pPr>
              <w:keepNext/>
              <w:keepLines/>
              <w:ind w:left="125" w:right="187"/>
              <w:contextualSpacing/>
              <w:jc w:val="both"/>
              <w:rPr>
                <w:highlight w:val="yellow"/>
              </w:rPr>
            </w:pPr>
          </w:p>
        </w:tc>
        <w:tc>
          <w:tcPr>
            <w:tcW w:w="2308" w:type="dxa"/>
            <w:tcBorders>
              <w:top w:val="single" w:sz="4" w:space="0" w:color="auto"/>
              <w:left w:val="single" w:sz="4" w:space="0" w:color="auto"/>
              <w:bottom w:val="single" w:sz="4" w:space="0" w:color="auto"/>
              <w:right w:val="single" w:sz="4" w:space="0" w:color="auto"/>
            </w:tcBorders>
          </w:tcPr>
          <w:p w:rsidR="00786C66" w:rsidRPr="00000CD6" w:rsidRDefault="00786C66" w:rsidP="00DA3532">
            <w:pPr>
              <w:keepNext/>
              <w:keepLines/>
              <w:pBdr>
                <w:bottom w:val="single" w:sz="4" w:space="31" w:color="FFFFFF"/>
              </w:pBdr>
              <w:tabs>
                <w:tab w:val="left" w:pos="-5580"/>
                <w:tab w:val="left" w:pos="-5400"/>
              </w:tabs>
              <w:ind w:left="125" w:right="187" w:firstLine="284"/>
              <w:contextualSpacing/>
              <w:jc w:val="center"/>
              <w:rPr>
                <w:rFonts w:eastAsia="Calibri"/>
              </w:rPr>
            </w:pPr>
            <w:r w:rsidRPr="00000CD6">
              <w:t>Управление пассажирского транспорта и автомобильных дорог</w:t>
            </w:r>
          </w:p>
          <w:p w:rsidR="00786C66" w:rsidRPr="00000CD6" w:rsidRDefault="00786C66" w:rsidP="00DA3532">
            <w:pPr>
              <w:keepNext/>
              <w:keepLines/>
              <w:pBdr>
                <w:bottom w:val="single" w:sz="4" w:space="31" w:color="FFFFFF"/>
              </w:pBdr>
              <w:tabs>
                <w:tab w:val="left" w:pos="-5580"/>
                <w:tab w:val="left" w:pos="-5400"/>
              </w:tabs>
              <w:ind w:left="125" w:right="187" w:firstLine="284"/>
              <w:contextualSpacing/>
              <w:jc w:val="center"/>
            </w:pPr>
          </w:p>
          <w:p w:rsidR="00786C66" w:rsidRPr="00000CD6" w:rsidRDefault="00786C66" w:rsidP="00DA3532">
            <w:pPr>
              <w:keepNext/>
              <w:keepLines/>
              <w:pBdr>
                <w:bottom w:val="single" w:sz="4" w:space="31" w:color="FFFFFF"/>
              </w:pBdr>
              <w:tabs>
                <w:tab w:val="left" w:pos="-5580"/>
                <w:tab w:val="left" w:pos="-5400"/>
              </w:tabs>
              <w:ind w:left="125" w:right="187" w:firstLine="284"/>
              <w:contextualSpacing/>
              <w:jc w:val="center"/>
              <w:rPr>
                <w:highlight w:val="yellow"/>
              </w:rPr>
            </w:pPr>
            <w:r w:rsidRPr="00000CD6">
              <w:t>АО «</w:t>
            </w:r>
            <w:proofErr w:type="spellStart"/>
            <w:r w:rsidRPr="00000CD6">
              <w:t>Казавтожол</w:t>
            </w:r>
            <w:proofErr w:type="spellEnd"/>
            <w:r w:rsidRPr="00000CD6">
              <w:t>»</w:t>
            </w:r>
          </w:p>
        </w:tc>
        <w:tc>
          <w:tcPr>
            <w:tcW w:w="5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786C66" w:rsidRPr="00000CD6" w:rsidRDefault="00786C66" w:rsidP="00DA3532">
            <w:pPr>
              <w:keepNext/>
              <w:keepLines/>
              <w:ind w:left="125" w:right="187" w:firstLine="284"/>
              <w:contextualSpacing/>
              <w:jc w:val="both"/>
              <w:rPr>
                <w:rFonts w:eastAsia="Calibri"/>
                <w:i/>
              </w:rPr>
            </w:pPr>
            <w:r w:rsidRPr="00000CD6">
              <w:t xml:space="preserve">В 2018 году сотрудниками административной полиции проведено 1852 обследования технического состояния автомобильных дорог и железнодорожных переездов </w:t>
            </w:r>
            <w:r w:rsidRPr="00000CD6">
              <w:rPr>
                <w:i/>
              </w:rPr>
              <w:t xml:space="preserve">(1352). </w:t>
            </w:r>
          </w:p>
          <w:p w:rsidR="00786C66" w:rsidRPr="00000CD6" w:rsidRDefault="00666AF9" w:rsidP="00DA3532">
            <w:pPr>
              <w:keepNext/>
              <w:keepLines/>
              <w:ind w:left="125" w:right="187" w:firstLine="284"/>
              <w:contextualSpacing/>
              <w:jc w:val="both"/>
            </w:pPr>
            <w:r>
              <w:t xml:space="preserve">По </w:t>
            </w:r>
            <w:proofErr w:type="gramStart"/>
            <w:r>
              <w:t>результатам</w:t>
            </w:r>
            <w:proofErr w:type="gramEnd"/>
            <w:r w:rsidR="00786C66" w:rsidRPr="00000CD6">
              <w:t xml:space="preserve"> которых выдано                     1723 предписания дорожного надзора </w:t>
            </w:r>
            <w:r w:rsidR="00786C66" w:rsidRPr="00000CD6">
              <w:rPr>
                <w:i/>
              </w:rPr>
              <w:t>(1151).</w:t>
            </w:r>
            <w:r w:rsidR="00786C66" w:rsidRPr="00000CD6">
              <w:t xml:space="preserve">                   Из них по 15 руководители привлечены к административной ответственности за невыполнение предписаний.</w:t>
            </w:r>
          </w:p>
          <w:p w:rsidR="00786C66" w:rsidRPr="00000CD6" w:rsidRDefault="00786C66" w:rsidP="00DA3532">
            <w:pPr>
              <w:keepNext/>
              <w:keepLines/>
              <w:ind w:left="125" w:right="187" w:firstLine="284"/>
              <w:contextualSpacing/>
              <w:jc w:val="both"/>
            </w:pPr>
            <w:r w:rsidRPr="00000CD6">
              <w:t xml:space="preserve">За нарушение правил содержания дорог и смотровых колодцев </w:t>
            </w:r>
            <w:r w:rsidRPr="00000CD6">
              <w:rPr>
                <w:i/>
              </w:rPr>
              <w:t xml:space="preserve">(ст. 631, 632 </w:t>
            </w:r>
            <w:proofErr w:type="spellStart"/>
            <w:r w:rsidRPr="00000CD6">
              <w:rPr>
                <w:i/>
              </w:rPr>
              <w:t>КРКоАП</w:t>
            </w:r>
            <w:proofErr w:type="spellEnd"/>
            <w:r w:rsidRPr="00000CD6">
              <w:rPr>
                <w:i/>
              </w:rPr>
              <w:t>)</w:t>
            </w:r>
            <w:r w:rsidRPr="00000CD6">
              <w:t xml:space="preserve">  привлечено133 руководителя </w:t>
            </w:r>
            <w:r w:rsidRPr="00000CD6">
              <w:rPr>
                <w:i/>
              </w:rPr>
              <w:t>(121).</w:t>
            </w:r>
          </w:p>
          <w:p w:rsidR="00786C66" w:rsidRPr="00000CD6" w:rsidRDefault="00786C66" w:rsidP="00DA3532">
            <w:pPr>
              <w:keepNext/>
              <w:keepLines/>
              <w:ind w:left="125" w:right="187" w:firstLine="284"/>
              <w:contextualSpacing/>
              <w:jc w:val="both"/>
            </w:pPr>
            <w:r w:rsidRPr="00000CD6">
              <w:t>В 2018 году в средствах массовой информации освещено 14 информаций по вопросам обеспечения безопасности дорожного движения.</w:t>
            </w:r>
          </w:p>
          <w:p w:rsidR="00786C66" w:rsidRPr="00000CD6" w:rsidRDefault="00786C66" w:rsidP="00DA3532">
            <w:pPr>
              <w:keepNext/>
              <w:keepLines/>
              <w:ind w:left="125" w:right="187" w:firstLine="284"/>
              <w:contextualSpacing/>
              <w:jc w:val="both"/>
            </w:pPr>
            <w:r w:rsidRPr="00000CD6">
              <w:t xml:space="preserve">Основное внимание уделялось </w:t>
            </w:r>
            <w:proofErr w:type="gramStart"/>
            <w:r w:rsidRPr="00000CD6">
              <w:t>контролю за</w:t>
            </w:r>
            <w:proofErr w:type="gramEnd"/>
            <w:r w:rsidRPr="00000CD6">
              <w:t xml:space="preserve"> содержанием дорог, а также внесению предложений по улучшению условий дорожного движения на автодорогах области и улично-дорожной сети. </w:t>
            </w:r>
          </w:p>
          <w:p w:rsidR="00786C66" w:rsidRPr="00000CD6" w:rsidRDefault="00786C66" w:rsidP="00DA3532">
            <w:pPr>
              <w:keepNext/>
              <w:keepLines/>
              <w:ind w:left="125" w:right="187" w:firstLine="284"/>
              <w:contextualSpacing/>
              <w:jc w:val="both"/>
            </w:pPr>
            <w:r w:rsidRPr="00000CD6">
              <w:t>Кроме того, в адрес местных исполнительных органов направлена 251 информация, с предложениями по развитию улично-дорожной сети областного центра.</w:t>
            </w:r>
          </w:p>
          <w:p w:rsidR="00786C66" w:rsidRPr="00000CD6" w:rsidRDefault="00786C66" w:rsidP="00DA3532">
            <w:pPr>
              <w:keepNext/>
              <w:keepLines/>
              <w:ind w:left="125" w:right="187" w:firstLine="284"/>
              <w:contextualSpacing/>
              <w:jc w:val="both"/>
            </w:pPr>
            <w:r w:rsidRPr="00000CD6">
              <w:t xml:space="preserve">Между тем, по итогам 2018 года на территории Северо-Казахстанской области наблюдается снижения дорожно-транспортных происшествий  на 4,8% </w:t>
            </w:r>
            <w:r w:rsidRPr="00000CD6">
              <w:rPr>
                <w:i/>
              </w:rPr>
              <w:t xml:space="preserve">(с 189 до 180), </w:t>
            </w:r>
            <w:r w:rsidRPr="00000CD6">
              <w:t xml:space="preserve">при этом допущен рост погибших в ДТП на 41% </w:t>
            </w:r>
            <w:r w:rsidRPr="00000CD6">
              <w:rPr>
                <w:i/>
              </w:rPr>
              <w:t>(с 39 до 55),</w:t>
            </w:r>
            <w:r w:rsidRPr="00000CD6">
              <w:t xml:space="preserve"> раненых в ДТП </w:t>
            </w:r>
            <w:proofErr w:type="gramStart"/>
            <w:r w:rsidRPr="00000CD6">
              <w:t>на</w:t>
            </w:r>
            <w:proofErr w:type="gramEnd"/>
            <w:r w:rsidRPr="00000CD6">
              <w:t xml:space="preserve"> 3,9 % </w:t>
            </w:r>
            <w:r w:rsidRPr="00000CD6">
              <w:rPr>
                <w:i/>
              </w:rPr>
              <w:t>(с 233 до 242).</w:t>
            </w:r>
            <w:r w:rsidRPr="00000CD6">
              <w:t xml:space="preserve"> </w:t>
            </w:r>
          </w:p>
          <w:p w:rsidR="00786C66" w:rsidRPr="00000CD6" w:rsidRDefault="00786C66" w:rsidP="00DA3532">
            <w:pPr>
              <w:keepNext/>
              <w:keepLines/>
              <w:ind w:left="125" w:right="187" w:firstLine="284"/>
              <w:contextualSpacing/>
              <w:jc w:val="both"/>
            </w:pPr>
            <w:r w:rsidRPr="00000CD6">
              <w:t xml:space="preserve">В связи с чем, при плановом значении 14,5, факт составил 18,5 </w:t>
            </w:r>
            <w:r w:rsidRPr="00000CD6">
              <w:rPr>
                <w:i/>
              </w:rPr>
              <w:t xml:space="preserve">(индикатор не </w:t>
            </w:r>
            <w:r w:rsidRPr="00000CD6">
              <w:rPr>
                <w:i/>
              </w:rPr>
              <w:lastRenderedPageBreak/>
              <w:t>достигнут).</w:t>
            </w:r>
          </w:p>
          <w:p w:rsidR="00786C66" w:rsidRPr="00000CD6" w:rsidRDefault="00786C66" w:rsidP="00DA3532">
            <w:pPr>
              <w:keepNext/>
              <w:keepLines/>
              <w:pBdr>
                <w:bottom w:val="single" w:sz="4" w:space="31" w:color="FFFFFF"/>
              </w:pBdr>
              <w:tabs>
                <w:tab w:val="left" w:pos="-5400"/>
                <w:tab w:val="left" w:pos="0"/>
              </w:tabs>
              <w:ind w:left="125" w:right="187" w:firstLine="284"/>
              <w:contextualSpacing/>
              <w:jc w:val="both"/>
              <w:rPr>
                <w:color w:val="000000"/>
              </w:rPr>
            </w:pPr>
            <w:r w:rsidRPr="00000CD6">
              <w:t xml:space="preserve">Проведенный анализ показал, что основными причинами ДТП явилось </w:t>
            </w:r>
            <w:r w:rsidRPr="00000CD6">
              <w:rPr>
                <w:color w:val="000000"/>
              </w:rPr>
              <w:t xml:space="preserve">нарушение правил обгона -50,0%, нарушение правил проезда перекрестков – 28,6 %, превышение скоростного режима – 23,1 %, нарушение правил маневрирования – 13,6 %.   </w:t>
            </w:r>
          </w:p>
          <w:p w:rsidR="00786C66" w:rsidRPr="00000CD6" w:rsidRDefault="00786C66" w:rsidP="00DA3532">
            <w:pPr>
              <w:keepNext/>
              <w:keepLines/>
              <w:pBdr>
                <w:bottom w:val="single" w:sz="4" w:space="31" w:color="FFFFFF"/>
              </w:pBdr>
              <w:tabs>
                <w:tab w:val="left" w:pos="-5400"/>
                <w:tab w:val="left" w:pos="0"/>
              </w:tabs>
              <w:ind w:left="125" w:right="187" w:firstLine="284"/>
              <w:contextualSpacing/>
              <w:jc w:val="both"/>
            </w:pPr>
            <w:r w:rsidRPr="00000CD6">
              <w:rPr>
                <w:color w:val="000000"/>
              </w:rPr>
              <w:t>УМПС</w:t>
            </w:r>
            <w:r w:rsidRPr="00000CD6">
              <w:t xml:space="preserve"> принимается ряд профилактических мер по снижению аварийности. В 2018 году за нарушение правил дорожного движения к административной ответственности привлечено 93099 правонарушителей </w:t>
            </w:r>
            <w:r w:rsidRPr="00000CD6">
              <w:rPr>
                <w:i/>
              </w:rPr>
              <w:t>(2017г.-86847).</w:t>
            </w:r>
            <w:r w:rsidRPr="00000CD6">
              <w:t xml:space="preserve"> </w:t>
            </w:r>
          </w:p>
          <w:p w:rsidR="00786C66" w:rsidRPr="00000CD6" w:rsidRDefault="00786C66" w:rsidP="00DA3532">
            <w:pPr>
              <w:keepNext/>
              <w:keepLines/>
              <w:pBdr>
                <w:bottom w:val="single" w:sz="4" w:space="31" w:color="FFFFFF"/>
              </w:pBdr>
              <w:tabs>
                <w:tab w:val="left" w:pos="-5400"/>
                <w:tab w:val="left" w:pos="0"/>
              </w:tabs>
              <w:ind w:left="125" w:right="187" w:firstLine="284"/>
              <w:contextualSpacing/>
              <w:jc w:val="both"/>
            </w:pPr>
            <w:r w:rsidRPr="00000CD6">
              <w:t xml:space="preserve">Кроме того, выявлено 40658 грубых нарушений правил дорожного движения, непосредственно влияющих на аварийность в целом </w:t>
            </w:r>
            <w:r w:rsidRPr="00000CD6">
              <w:rPr>
                <w:i/>
              </w:rPr>
              <w:t>(2017г.-37044).</w:t>
            </w:r>
            <w:r w:rsidRPr="00000CD6">
              <w:t xml:space="preserve"> </w:t>
            </w:r>
          </w:p>
          <w:p w:rsidR="00786C66" w:rsidRPr="00000CD6" w:rsidRDefault="00786C66" w:rsidP="00DA3532">
            <w:pPr>
              <w:keepNext/>
              <w:keepLines/>
              <w:pBdr>
                <w:bottom w:val="single" w:sz="4" w:space="31" w:color="FFFFFF"/>
              </w:pBdr>
              <w:tabs>
                <w:tab w:val="left" w:pos="-5400"/>
                <w:tab w:val="left" w:pos="0"/>
              </w:tabs>
              <w:ind w:left="125" w:right="187" w:firstLine="284"/>
              <w:contextualSpacing/>
              <w:jc w:val="both"/>
            </w:pPr>
            <w:r w:rsidRPr="00000CD6">
              <w:t xml:space="preserve">В целях предупреждения ДТП,  УМПС ДП проведено  14 оперативно-профилактических мероприятий. </w:t>
            </w:r>
            <w:r w:rsidRPr="00000CD6">
              <w:rPr>
                <w:i/>
              </w:rPr>
              <w:t>(«Безопасная дорога» - 5; «Автобус» -4 и «</w:t>
            </w:r>
            <w:proofErr w:type="spellStart"/>
            <w:r w:rsidRPr="00000CD6">
              <w:rPr>
                <w:i/>
              </w:rPr>
              <w:t>Лишенник</w:t>
            </w:r>
            <w:proofErr w:type="spellEnd"/>
            <w:r w:rsidRPr="00000CD6">
              <w:rPr>
                <w:i/>
              </w:rPr>
              <w:t>» - 2, «Пьяный водитель-1», «Внимание дети» - 1, Внимание пешеход-1).</w:t>
            </w:r>
            <w:r w:rsidRPr="00000CD6">
              <w:t xml:space="preserve">  </w:t>
            </w:r>
          </w:p>
          <w:p w:rsidR="00786C66" w:rsidRPr="00000CD6" w:rsidRDefault="00786C66" w:rsidP="00DA3532">
            <w:pPr>
              <w:keepNext/>
              <w:keepLines/>
              <w:pBdr>
                <w:bottom w:val="single" w:sz="4" w:space="31" w:color="FFFFFF"/>
              </w:pBdr>
              <w:tabs>
                <w:tab w:val="left" w:pos="-5400"/>
                <w:tab w:val="left" w:pos="0"/>
              </w:tabs>
              <w:ind w:left="125" w:right="187" w:firstLine="284"/>
              <w:contextualSpacing/>
              <w:jc w:val="both"/>
            </w:pPr>
            <w:r w:rsidRPr="00000CD6">
              <w:t>Кроме того, в целях снижения аварийности выявлено 3421 лицо без документов и не имеющих права управления, 519 лишенных права управления, 1094 граждан, не прошедших годовой технический осмотр.</w:t>
            </w:r>
          </w:p>
          <w:p w:rsidR="00786C66" w:rsidRPr="00000CD6" w:rsidRDefault="00786C66" w:rsidP="00DA3532">
            <w:pPr>
              <w:keepNext/>
              <w:keepLines/>
              <w:pBdr>
                <w:bottom w:val="single" w:sz="4" w:space="31" w:color="FFFFFF"/>
              </w:pBdr>
              <w:ind w:left="125" w:right="187" w:firstLine="284"/>
              <w:contextualSpacing/>
              <w:jc w:val="both"/>
            </w:pPr>
            <w:r w:rsidRPr="00000CD6">
              <w:t xml:space="preserve">По каждому факту совершения ДТП со смертельных исходом, проводятся служебные расследования с установлением причин и условий их совершения. </w:t>
            </w:r>
          </w:p>
          <w:p w:rsidR="00786C66" w:rsidRPr="00000CD6" w:rsidRDefault="00786C66" w:rsidP="00DA3532">
            <w:pPr>
              <w:keepNext/>
              <w:keepLines/>
              <w:pBdr>
                <w:bottom w:val="single" w:sz="4" w:space="31" w:color="FFFFFF"/>
              </w:pBdr>
              <w:ind w:left="125" w:right="187" w:firstLine="284"/>
              <w:contextualSpacing/>
              <w:jc w:val="both"/>
            </w:pPr>
            <w:r w:rsidRPr="00000CD6">
              <w:t>Всего проведено</w:t>
            </w:r>
            <w:r w:rsidRPr="00000CD6">
              <w:rPr>
                <w:color w:val="FF0000"/>
              </w:rPr>
              <w:t xml:space="preserve"> </w:t>
            </w:r>
            <w:r w:rsidRPr="00000CD6">
              <w:rPr>
                <w:color w:val="000000"/>
              </w:rPr>
              <w:t>35</w:t>
            </w:r>
            <w:r w:rsidRPr="00000CD6">
              <w:rPr>
                <w:color w:val="FF0000"/>
              </w:rPr>
              <w:t xml:space="preserve"> </w:t>
            </w:r>
            <w:r w:rsidRPr="00000CD6">
              <w:t>служебных расследований, по результатам которых к дисциплинарной ответственности привлечено</w:t>
            </w:r>
            <w:r w:rsidRPr="00000CD6">
              <w:rPr>
                <w:color w:val="FF0000"/>
              </w:rPr>
              <w:t xml:space="preserve">  </w:t>
            </w:r>
            <w:r w:rsidRPr="00000CD6">
              <w:t>42 сотрудника  БДПП ДП СКО.</w:t>
            </w:r>
          </w:p>
          <w:p w:rsidR="00786C66" w:rsidRPr="00000CD6" w:rsidRDefault="00786C66" w:rsidP="00DA3532">
            <w:pPr>
              <w:keepNext/>
              <w:keepLines/>
              <w:pBdr>
                <w:bottom w:val="single" w:sz="4" w:space="31" w:color="FFFFFF"/>
              </w:pBdr>
              <w:ind w:left="125" w:right="187" w:firstLine="284"/>
              <w:contextualSpacing/>
              <w:jc w:val="both"/>
              <w:rPr>
                <w:highlight w:val="yellow"/>
              </w:rPr>
            </w:pPr>
            <w:r w:rsidRPr="00000CD6">
              <w:t>Кроме того, ежедневно при формировании расстановки сил и средств по обеспечению дорожной и общественной безопасности с учетом проводимого анализа по аварийно-опасным участкам автодорог области производится передислокация маршрутов авто патрулирования.</w:t>
            </w:r>
          </w:p>
        </w:tc>
      </w:tr>
      <w:tr w:rsidR="00666AF9" w:rsidRPr="00000CD6" w:rsidTr="00666AF9">
        <w:trPr>
          <w:trHeight w:val="1547"/>
          <w:jc w:val="center"/>
        </w:trPr>
        <w:tc>
          <w:tcPr>
            <w:tcW w:w="28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66AF9" w:rsidRPr="00000CD6" w:rsidRDefault="00666AF9" w:rsidP="00666AF9">
            <w:pPr>
              <w:keepNext/>
              <w:keepLines/>
              <w:ind w:left="125" w:right="187"/>
              <w:contextualSpacing/>
              <w:jc w:val="both"/>
            </w:pPr>
            <w:r>
              <w:lastRenderedPageBreak/>
              <w:t xml:space="preserve">Рост численности населения </w:t>
            </w:r>
            <w:r w:rsidRPr="00000CD6">
              <w:t xml:space="preserve">в </w:t>
            </w:r>
            <w:proofErr w:type="gramStart"/>
            <w:r w:rsidRPr="00000CD6">
              <w:t>опорных</w:t>
            </w:r>
            <w:proofErr w:type="gramEnd"/>
            <w:r w:rsidRPr="00000CD6">
              <w:t xml:space="preserve"> СНП</w:t>
            </w:r>
          </w:p>
        </w:tc>
        <w:tc>
          <w:tcPr>
            <w:tcW w:w="2308" w:type="dxa"/>
            <w:tcBorders>
              <w:top w:val="single" w:sz="4" w:space="0" w:color="auto"/>
              <w:left w:val="single" w:sz="4" w:space="0" w:color="auto"/>
              <w:bottom w:val="single" w:sz="4" w:space="0" w:color="auto"/>
              <w:right w:val="single" w:sz="4" w:space="0" w:color="auto"/>
            </w:tcBorders>
          </w:tcPr>
          <w:p w:rsidR="00666AF9" w:rsidRPr="00000CD6" w:rsidRDefault="00666AF9" w:rsidP="00666AF9">
            <w:pPr>
              <w:keepNext/>
              <w:keepLines/>
              <w:pBdr>
                <w:bottom w:val="single" w:sz="4" w:space="31" w:color="FFFFFF"/>
              </w:pBdr>
              <w:tabs>
                <w:tab w:val="left" w:pos="-5580"/>
                <w:tab w:val="left" w:pos="-5400"/>
              </w:tabs>
              <w:ind w:left="125" w:right="187" w:firstLine="284"/>
              <w:contextualSpacing/>
              <w:jc w:val="center"/>
            </w:pPr>
            <w:r w:rsidRPr="00000CD6">
              <w:t>Акимы районов</w:t>
            </w:r>
          </w:p>
        </w:tc>
        <w:tc>
          <w:tcPr>
            <w:tcW w:w="5023" w:type="dxa"/>
            <w:vMerge w:val="restart"/>
            <w:tcBorders>
              <w:top w:val="single" w:sz="4" w:space="0" w:color="auto"/>
              <w:left w:val="single" w:sz="4" w:space="0" w:color="auto"/>
              <w:right w:val="single" w:sz="4" w:space="0" w:color="auto"/>
            </w:tcBorders>
            <w:tcMar>
              <w:top w:w="15" w:type="dxa"/>
              <w:left w:w="15" w:type="dxa"/>
              <w:bottom w:w="15" w:type="dxa"/>
              <w:right w:w="15" w:type="dxa"/>
            </w:tcMar>
          </w:tcPr>
          <w:p w:rsidR="00666AF9" w:rsidRPr="00000CD6" w:rsidRDefault="00666AF9" w:rsidP="00666AF9">
            <w:pPr>
              <w:keepNext/>
              <w:keepLines/>
              <w:ind w:left="125" w:right="187" w:firstLine="284"/>
              <w:contextualSpacing/>
              <w:jc w:val="both"/>
            </w:pPr>
            <w:r w:rsidRPr="00000CD6">
              <w:t xml:space="preserve">В целях обеспечения достижения целевого  индикатора  в опорных сельских населенных пунктах по данным районных </w:t>
            </w:r>
            <w:proofErr w:type="spellStart"/>
            <w:r w:rsidRPr="00000CD6">
              <w:t>акиматов</w:t>
            </w:r>
            <w:proofErr w:type="spellEnd"/>
            <w:r w:rsidRPr="00000CD6">
              <w:t xml:space="preserve"> в 2018 го</w:t>
            </w:r>
            <w:r w:rsidR="00F4388A">
              <w:t>ду реализованы 111 мероприятий,</w:t>
            </w:r>
            <w:r w:rsidRPr="00000CD6">
              <w:t xml:space="preserve"> создано 101 рабочее место, в том числе в приграничных опорных селах  15 мероприятий с созданием 64 рабочих места.                                                                                    Основной причиной убыли населения является переезд трудоспособного населения в областной центр г. Петропавловск,  г. Астана, отток граждан некоренной национальности на историческую родину.</w:t>
            </w:r>
          </w:p>
        </w:tc>
      </w:tr>
      <w:tr w:rsidR="00666AF9" w:rsidRPr="00000CD6" w:rsidTr="00B71F89">
        <w:trPr>
          <w:trHeight w:val="1438"/>
          <w:jc w:val="center"/>
        </w:trPr>
        <w:tc>
          <w:tcPr>
            <w:tcW w:w="28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66AF9" w:rsidRPr="00000CD6" w:rsidRDefault="00666AF9" w:rsidP="00666AF9">
            <w:pPr>
              <w:keepNext/>
              <w:keepLines/>
              <w:ind w:left="125" w:right="187"/>
              <w:contextualSpacing/>
              <w:jc w:val="both"/>
            </w:pPr>
            <w:r w:rsidRPr="00000CD6">
              <w:t xml:space="preserve">Рост численности населения </w:t>
            </w:r>
            <w:proofErr w:type="gramStart"/>
            <w:r w:rsidRPr="00000CD6">
              <w:t>в</w:t>
            </w:r>
            <w:proofErr w:type="gramEnd"/>
            <w:r w:rsidRPr="00000CD6">
              <w:t xml:space="preserve"> опорных СНП, расположенных на приграничных территориях</w:t>
            </w:r>
          </w:p>
        </w:tc>
        <w:tc>
          <w:tcPr>
            <w:tcW w:w="2308" w:type="dxa"/>
            <w:tcBorders>
              <w:top w:val="single" w:sz="4" w:space="0" w:color="auto"/>
              <w:left w:val="single" w:sz="4" w:space="0" w:color="auto"/>
              <w:bottom w:val="single" w:sz="4" w:space="0" w:color="auto"/>
              <w:right w:val="single" w:sz="4" w:space="0" w:color="auto"/>
            </w:tcBorders>
          </w:tcPr>
          <w:p w:rsidR="00666AF9" w:rsidRPr="00000CD6" w:rsidRDefault="00666AF9" w:rsidP="00666AF9">
            <w:pPr>
              <w:keepNext/>
              <w:keepLines/>
              <w:pBdr>
                <w:bottom w:val="single" w:sz="4" w:space="31" w:color="FFFFFF"/>
              </w:pBdr>
              <w:tabs>
                <w:tab w:val="left" w:pos="-5580"/>
                <w:tab w:val="left" w:pos="-5400"/>
              </w:tabs>
              <w:ind w:left="125" w:right="187" w:firstLine="284"/>
              <w:contextualSpacing/>
              <w:jc w:val="center"/>
            </w:pPr>
            <w:r w:rsidRPr="00000CD6">
              <w:t>Акимы районов</w:t>
            </w:r>
          </w:p>
        </w:tc>
        <w:tc>
          <w:tcPr>
            <w:tcW w:w="5023" w:type="dxa"/>
            <w:vMerge/>
            <w:tcBorders>
              <w:left w:val="single" w:sz="4" w:space="0" w:color="auto"/>
              <w:bottom w:val="single" w:sz="4" w:space="0" w:color="auto"/>
              <w:right w:val="single" w:sz="4" w:space="0" w:color="auto"/>
            </w:tcBorders>
            <w:tcMar>
              <w:top w:w="15" w:type="dxa"/>
              <w:left w:w="15" w:type="dxa"/>
              <w:bottom w:w="15" w:type="dxa"/>
              <w:right w:w="15" w:type="dxa"/>
            </w:tcMar>
          </w:tcPr>
          <w:p w:rsidR="00666AF9" w:rsidRPr="00000CD6" w:rsidRDefault="00666AF9" w:rsidP="00666AF9">
            <w:pPr>
              <w:keepNext/>
              <w:keepLines/>
              <w:ind w:left="125" w:right="187" w:firstLine="284"/>
              <w:contextualSpacing/>
              <w:jc w:val="both"/>
            </w:pPr>
          </w:p>
        </w:tc>
      </w:tr>
    </w:tbl>
    <w:p w:rsidR="00185236" w:rsidRDefault="00185236" w:rsidP="00DA3532">
      <w:pPr>
        <w:keepNext/>
      </w:pPr>
    </w:p>
    <w:sectPr w:rsidR="00185236" w:rsidSect="00C2304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312A7"/>
    <w:multiLevelType w:val="hybridMultilevel"/>
    <w:tmpl w:val="366648E4"/>
    <w:lvl w:ilvl="0" w:tplc="EC4A8574">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F41"/>
    <w:rsid w:val="00000CD6"/>
    <w:rsid w:val="00016B37"/>
    <w:rsid w:val="000409C1"/>
    <w:rsid w:val="00064607"/>
    <w:rsid w:val="000A1407"/>
    <w:rsid w:val="000A24ED"/>
    <w:rsid w:val="000D7A53"/>
    <w:rsid w:val="001007AF"/>
    <w:rsid w:val="0010543A"/>
    <w:rsid w:val="001123F8"/>
    <w:rsid w:val="001734A2"/>
    <w:rsid w:val="00180987"/>
    <w:rsid w:val="00185236"/>
    <w:rsid w:val="0018586B"/>
    <w:rsid w:val="0019534D"/>
    <w:rsid w:val="001A6364"/>
    <w:rsid w:val="001C6B1B"/>
    <w:rsid w:val="001E3EBD"/>
    <w:rsid w:val="00204F6E"/>
    <w:rsid w:val="00213D7F"/>
    <w:rsid w:val="002227BB"/>
    <w:rsid w:val="00240F41"/>
    <w:rsid w:val="00241C92"/>
    <w:rsid w:val="00257D97"/>
    <w:rsid w:val="00275514"/>
    <w:rsid w:val="002B2319"/>
    <w:rsid w:val="002B5944"/>
    <w:rsid w:val="002C263D"/>
    <w:rsid w:val="002F65F0"/>
    <w:rsid w:val="00316C24"/>
    <w:rsid w:val="00354035"/>
    <w:rsid w:val="003B5352"/>
    <w:rsid w:val="003D344E"/>
    <w:rsid w:val="003D5908"/>
    <w:rsid w:val="004048B2"/>
    <w:rsid w:val="00423C4F"/>
    <w:rsid w:val="00442F6A"/>
    <w:rsid w:val="00445C6A"/>
    <w:rsid w:val="00472A1B"/>
    <w:rsid w:val="00490B09"/>
    <w:rsid w:val="004B0575"/>
    <w:rsid w:val="004C6D05"/>
    <w:rsid w:val="004F29AA"/>
    <w:rsid w:val="00530D91"/>
    <w:rsid w:val="00535EB5"/>
    <w:rsid w:val="0055075D"/>
    <w:rsid w:val="005608BE"/>
    <w:rsid w:val="005739A2"/>
    <w:rsid w:val="00592454"/>
    <w:rsid w:val="005C03DF"/>
    <w:rsid w:val="005C4205"/>
    <w:rsid w:val="005E0A71"/>
    <w:rsid w:val="005E4921"/>
    <w:rsid w:val="0061392D"/>
    <w:rsid w:val="00666AF9"/>
    <w:rsid w:val="00695698"/>
    <w:rsid w:val="007217EE"/>
    <w:rsid w:val="007356D5"/>
    <w:rsid w:val="00786C66"/>
    <w:rsid w:val="007A1468"/>
    <w:rsid w:val="007D510F"/>
    <w:rsid w:val="00833EC7"/>
    <w:rsid w:val="00847AF3"/>
    <w:rsid w:val="0086356A"/>
    <w:rsid w:val="00882457"/>
    <w:rsid w:val="008F350B"/>
    <w:rsid w:val="00906FC7"/>
    <w:rsid w:val="009149B8"/>
    <w:rsid w:val="009253D1"/>
    <w:rsid w:val="00931289"/>
    <w:rsid w:val="009D2830"/>
    <w:rsid w:val="00A06DA8"/>
    <w:rsid w:val="00A10EE1"/>
    <w:rsid w:val="00A15D68"/>
    <w:rsid w:val="00A202DF"/>
    <w:rsid w:val="00A25475"/>
    <w:rsid w:val="00A4118B"/>
    <w:rsid w:val="00A427D7"/>
    <w:rsid w:val="00A44676"/>
    <w:rsid w:val="00A60C47"/>
    <w:rsid w:val="00A86CED"/>
    <w:rsid w:val="00A954B4"/>
    <w:rsid w:val="00A97215"/>
    <w:rsid w:val="00AD3CA5"/>
    <w:rsid w:val="00AD74D7"/>
    <w:rsid w:val="00AE021C"/>
    <w:rsid w:val="00AE7762"/>
    <w:rsid w:val="00B07C63"/>
    <w:rsid w:val="00B516B5"/>
    <w:rsid w:val="00BF0FAD"/>
    <w:rsid w:val="00C23043"/>
    <w:rsid w:val="00C42C09"/>
    <w:rsid w:val="00C54EC8"/>
    <w:rsid w:val="00CA11D5"/>
    <w:rsid w:val="00D00D05"/>
    <w:rsid w:val="00D20289"/>
    <w:rsid w:val="00D269D0"/>
    <w:rsid w:val="00D66955"/>
    <w:rsid w:val="00D70380"/>
    <w:rsid w:val="00D709FC"/>
    <w:rsid w:val="00D77AD2"/>
    <w:rsid w:val="00D941B4"/>
    <w:rsid w:val="00DA3532"/>
    <w:rsid w:val="00DB16CD"/>
    <w:rsid w:val="00DB7C98"/>
    <w:rsid w:val="00DC058D"/>
    <w:rsid w:val="00DC18C2"/>
    <w:rsid w:val="00E26311"/>
    <w:rsid w:val="00E56970"/>
    <w:rsid w:val="00E63660"/>
    <w:rsid w:val="00E85347"/>
    <w:rsid w:val="00E913B3"/>
    <w:rsid w:val="00F207F3"/>
    <w:rsid w:val="00F4388A"/>
    <w:rsid w:val="00F718B0"/>
    <w:rsid w:val="00F92D01"/>
    <w:rsid w:val="00FA087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 w:type="paragraph" w:customStyle="1" w:styleId="NoSpacing1">
    <w:name w:val="No Spacing1"/>
    <w:rsid w:val="00442F6A"/>
    <w:pPr>
      <w:spacing w:after="0" w:line="240" w:lineRule="auto"/>
    </w:pPr>
    <w:rPr>
      <w:rFonts w:ascii="Calibri" w:eastAsia="Calibri" w:hAnsi="Calibri"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F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1C6B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240F41"/>
    <w:pPr>
      <w:spacing w:before="100" w:beforeAutospacing="1" w:after="100" w:afterAutospacing="1"/>
    </w:pPr>
  </w:style>
  <w:style w:type="character" w:customStyle="1" w:styleId="a4">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3"/>
    <w:uiPriority w:val="99"/>
    <w:rsid w:val="008F350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2830"/>
    <w:rPr>
      <w:rFonts w:ascii="Tahoma" w:hAnsi="Tahoma" w:cs="Tahoma"/>
      <w:sz w:val="16"/>
      <w:szCs w:val="16"/>
    </w:rPr>
  </w:style>
  <w:style w:type="character" w:customStyle="1" w:styleId="a6">
    <w:name w:val="Текст выноски Знак"/>
    <w:basedOn w:val="a0"/>
    <w:link w:val="a5"/>
    <w:uiPriority w:val="99"/>
    <w:semiHidden/>
    <w:rsid w:val="009D2830"/>
    <w:rPr>
      <w:rFonts w:ascii="Tahoma" w:eastAsia="Times New Roman" w:hAnsi="Tahoma" w:cs="Tahoma"/>
      <w:sz w:val="16"/>
      <w:szCs w:val="16"/>
      <w:lang w:eastAsia="ru-RU"/>
    </w:rPr>
  </w:style>
  <w:style w:type="paragraph" w:styleId="a7">
    <w:name w:val="No Spacing"/>
    <w:uiPriority w:val="99"/>
    <w:qFormat/>
    <w:rsid w:val="00D70380"/>
    <w:pPr>
      <w:spacing w:after="0" w:line="240" w:lineRule="auto"/>
    </w:pPr>
    <w:rPr>
      <w:rFonts w:ascii="Times New Roman" w:eastAsia="Times New Roman" w:hAnsi="Times New Roman" w:cs="Times New Roman"/>
      <w:sz w:val="24"/>
      <w:szCs w:val="24"/>
      <w:lang w:eastAsia="ru-RU"/>
    </w:rPr>
  </w:style>
  <w:style w:type="paragraph" w:customStyle="1" w:styleId="1">
    <w:name w:val="Стиль1"/>
    <w:basedOn w:val="a"/>
    <w:rsid w:val="00847AF3"/>
    <w:pPr>
      <w:spacing w:line="276" w:lineRule="auto"/>
      <w:ind w:firstLine="708"/>
      <w:jc w:val="both"/>
    </w:pPr>
    <w:rPr>
      <w:rFonts w:eastAsia="Calibri"/>
      <w:sz w:val="28"/>
      <w:szCs w:val="28"/>
      <w:lang w:eastAsia="en-US"/>
    </w:rPr>
  </w:style>
  <w:style w:type="paragraph" w:customStyle="1" w:styleId="OsnTxt">
    <w:name w:val="OsnTxt"/>
    <w:rsid w:val="00B07C63"/>
    <w:pPr>
      <w:spacing w:after="0" w:line="280" w:lineRule="exact"/>
      <w:ind w:firstLine="794"/>
      <w:jc w:val="both"/>
    </w:pPr>
    <w:rPr>
      <w:rFonts w:ascii="Arial" w:eastAsia="Times New Roman" w:hAnsi="Arial" w:cs="Times New Roman"/>
      <w:szCs w:val="20"/>
      <w:lang w:eastAsia="ru-RU"/>
    </w:rPr>
  </w:style>
  <w:style w:type="paragraph" w:customStyle="1" w:styleId="a8">
    <w:name w:val="ОснТекст"/>
    <w:rsid w:val="00A954B4"/>
    <w:pPr>
      <w:spacing w:after="0" w:line="240" w:lineRule="auto"/>
      <w:ind w:firstLine="709"/>
      <w:jc w:val="both"/>
    </w:pPr>
    <w:rPr>
      <w:rFonts w:ascii="Times New Roman" w:eastAsia="Times New Roman" w:hAnsi="Times New Roman" w:cs="Times New Roman"/>
      <w:color w:val="000000"/>
      <w:sz w:val="20"/>
      <w:szCs w:val="20"/>
      <w:lang w:eastAsia="ru-RU"/>
    </w:rPr>
  </w:style>
  <w:style w:type="paragraph" w:styleId="a9">
    <w:name w:val="List Paragraph"/>
    <w:basedOn w:val="a"/>
    <w:uiPriority w:val="34"/>
    <w:qFormat/>
    <w:rsid w:val="00445C6A"/>
    <w:pPr>
      <w:ind w:left="720"/>
      <w:contextualSpacing/>
    </w:pPr>
  </w:style>
  <w:style w:type="character" w:customStyle="1" w:styleId="apple-style-span">
    <w:name w:val="apple-style-span"/>
    <w:rsid w:val="001C6B1B"/>
  </w:style>
  <w:style w:type="paragraph" w:customStyle="1" w:styleId="aa">
    <w:name w:val="Знак Знак Знак Знак Знак Знак Знак Знак Знак Знак Знак Знак Знак Знак Знак Знак"/>
    <w:basedOn w:val="a"/>
    <w:next w:val="2"/>
    <w:autoRedefine/>
    <w:rsid w:val="001C6B1B"/>
    <w:pPr>
      <w:tabs>
        <w:tab w:val="num" w:pos="720"/>
      </w:tabs>
      <w:spacing w:after="160" w:line="240" w:lineRule="exact"/>
      <w:ind w:left="720" w:hanging="360"/>
    </w:pPr>
    <w:rPr>
      <w:sz w:val="28"/>
      <w:szCs w:val="28"/>
      <w:lang w:eastAsia="en-US"/>
    </w:rPr>
  </w:style>
  <w:style w:type="character" w:customStyle="1" w:styleId="20">
    <w:name w:val="Заголовок 2 Знак"/>
    <w:basedOn w:val="a0"/>
    <w:link w:val="2"/>
    <w:uiPriority w:val="9"/>
    <w:semiHidden/>
    <w:rsid w:val="001C6B1B"/>
    <w:rPr>
      <w:rFonts w:asciiTheme="majorHAnsi" w:eastAsiaTheme="majorEastAsia" w:hAnsiTheme="majorHAnsi" w:cstheme="majorBidi"/>
      <w:b/>
      <w:bCs/>
      <w:color w:val="4F81BD" w:themeColor="accent1"/>
      <w:sz w:val="26"/>
      <w:szCs w:val="26"/>
      <w:lang w:eastAsia="ru-RU"/>
    </w:rPr>
  </w:style>
  <w:style w:type="paragraph" w:customStyle="1" w:styleId="NoSpacing1">
    <w:name w:val="No Spacing1"/>
    <w:rsid w:val="00442F6A"/>
    <w:pPr>
      <w:spacing w:after="0" w:line="240" w:lineRule="auto"/>
    </w:pPr>
    <w:rPr>
      <w:rFonts w:ascii="Calibri" w:eastAsia="Calibri"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993873">
      <w:bodyDiv w:val="1"/>
      <w:marLeft w:val="0"/>
      <w:marRight w:val="0"/>
      <w:marTop w:val="0"/>
      <w:marBottom w:val="0"/>
      <w:divBdr>
        <w:top w:val="none" w:sz="0" w:space="0" w:color="auto"/>
        <w:left w:val="none" w:sz="0" w:space="0" w:color="auto"/>
        <w:bottom w:val="none" w:sz="0" w:space="0" w:color="auto"/>
        <w:right w:val="none" w:sz="0" w:space="0" w:color="auto"/>
      </w:divBdr>
    </w:div>
    <w:div w:id="1037045109">
      <w:bodyDiv w:val="1"/>
      <w:marLeft w:val="0"/>
      <w:marRight w:val="0"/>
      <w:marTop w:val="0"/>
      <w:marBottom w:val="0"/>
      <w:divBdr>
        <w:top w:val="none" w:sz="0" w:space="0" w:color="auto"/>
        <w:left w:val="none" w:sz="0" w:space="0" w:color="auto"/>
        <w:bottom w:val="none" w:sz="0" w:space="0" w:color="auto"/>
        <w:right w:val="none" w:sz="0" w:space="0" w:color="auto"/>
      </w:divBdr>
    </w:div>
    <w:div w:id="1321933040">
      <w:bodyDiv w:val="1"/>
      <w:marLeft w:val="0"/>
      <w:marRight w:val="0"/>
      <w:marTop w:val="0"/>
      <w:marBottom w:val="0"/>
      <w:divBdr>
        <w:top w:val="none" w:sz="0" w:space="0" w:color="auto"/>
        <w:left w:val="none" w:sz="0" w:space="0" w:color="auto"/>
        <w:bottom w:val="none" w:sz="0" w:space="0" w:color="auto"/>
        <w:right w:val="none" w:sz="0" w:space="0" w:color="auto"/>
      </w:divBdr>
    </w:div>
    <w:div w:id="194841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975</Words>
  <Characters>5560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 Бейсенова</dc:creator>
  <cp:lastModifiedBy>Асия Р. Дулатова</cp:lastModifiedBy>
  <cp:revision>2</cp:revision>
  <cp:lastPrinted>2019-02-25T11:31:00Z</cp:lastPrinted>
  <dcterms:created xsi:type="dcterms:W3CDTF">2019-02-25T12:14:00Z</dcterms:created>
  <dcterms:modified xsi:type="dcterms:W3CDTF">2019-02-25T12:14:00Z</dcterms:modified>
</cp:coreProperties>
</file>