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15" w:rsidRPr="0088478F" w:rsidRDefault="00F64615" w:rsidP="00F646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</w:t>
      </w:r>
      <w:r w:rsidRPr="008847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аспий теңізінің</w:t>
      </w:r>
      <w:r w:rsidRPr="006A489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8847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теңіз ортасын қорғау</w:t>
      </w:r>
      <w:r w:rsidRPr="006A489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8847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жөніндегі негіздемелік конвенцияға қоршаған ортаға трансшекаралық тұрғыдан жасалатын </w:t>
      </w:r>
    </w:p>
    <w:p w:rsidR="00F64615" w:rsidRPr="0088478F" w:rsidRDefault="00F64615" w:rsidP="00F646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847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әсерді бағалау</w:t>
      </w:r>
      <w:r w:rsidRPr="002B32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8847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жөніндегі</w:t>
      </w:r>
      <w:r w:rsidRPr="002B32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br/>
        <w:t>ХАТТАМА</w:t>
      </w:r>
    </w:p>
    <w:p w:rsidR="00F64615" w:rsidRDefault="00F64615" w:rsidP="00F646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4F7A9C" w:rsidRDefault="00F64615" w:rsidP="00F6461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F7A9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Кіріспе</w:t>
      </w:r>
    </w:p>
    <w:p w:rsidR="00F64615" w:rsidRPr="00AB5EBD" w:rsidRDefault="00F64615" w:rsidP="00F6461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ұдан әрі Уағдаласушы Тараптар</w:t>
      </w:r>
      <w:r w:rsidR="003431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аталатын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Каспий маңы мемлекеттері: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AB5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рбайжан Республикасы, Иран Ислам Республикасы, Қазақстан Республикасы, Ресей Федерациясы, Түр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AB5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кменстан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AB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бұдан әрі Конвенция деп аталатын,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2003 жылғы 4 қарашада </w:t>
      </w:r>
      <w:r w:rsidR="00845B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Иран Ислам Республикасы,</w:t>
      </w:r>
      <w:r w:rsidR="00845B5D"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Тегеранда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жасалған Каспий теңізінің теңіз ортасы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қорғау жөніндегі негіздемелік </w:t>
      </w:r>
      <w:hyperlink r:id="rId8" w:anchor="z0" w:history="1">
        <w:r w:rsidRPr="00195F15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конвенцияның</w:t>
        </w:r>
      </w:hyperlink>
      <w:r w:rsidRPr="00195F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Тараптары бола отырып,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Конвенцияның </w:t>
      </w:r>
      <w:hyperlink r:id="rId9" w:anchor="z12" w:history="1">
        <w:r w:rsidRPr="002F6E2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10" w:anchor="z24" w:history="1">
        <w:r w:rsidRPr="002F6E2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hyperlink r:id="rId11" w:anchor="z25" w:history="1">
        <w:r w:rsidRPr="002F6E2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18-баптарының</w:t>
        </w:r>
      </w:hyperlink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ережелерін орындауға әзірлігін растай отырып,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талпына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отырып,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бойынша шешімдер қабылдау процесінің бастапқы сатысында қоршаған ортаға әсерді бағалауды қолдану орнықты даму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қағидаттарын іске асыруға ықпал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ететінін мойындай отырып,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қоршаған ортаға қатысты мәселелер бойынша шешімдер қабылдау процесінде ақпаратқа қол жеткізудің және жұртшылықтың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қатысуының маңыздылығын атап көрсете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отырып,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төмендегілер туралы уағдаласты: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AB5EBD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30785B" w:rsidRDefault="00F64615" w:rsidP="00F6461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3078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1-бап. Терминдердің пайдаланылуы</w:t>
      </w:r>
    </w:p>
    <w:p w:rsidR="00F64615" w:rsidRPr="0095149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 Хаттаманың мақсаттары үшін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«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Шығу Тарапы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Хаттамаға </w:t>
      </w:r>
      <w:hyperlink r:id="rId12" w:anchor="z74" w:history="1">
        <w:r w:rsidRPr="007E7DDE">
          <w:rPr>
            <w:rFonts w:ascii="Times New Roman" w:hAnsi="Times New Roman" w:cs="Times New Roman"/>
            <w:sz w:val="28"/>
            <w:szCs w:val="28"/>
            <w:lang w:val="kk-KZ"/>
          </w:rPr>
          <w:t>І</w:t>
        </w:r>
        <w:r w:rsidRPr="007E7DDE">
          <w:rPr>
            <w:lang w:val="kk-KZ"/>
          </w:rPr>
          <w:t xml:space="preserve"> </w:t>
        </w:r>
        <w:r w:rsidRPr="007E7DDE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көрсетілген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қызметті соның (солардың) юрисдикциясы аясында жүзеге асыру межеленген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Уағдаласушы Тарапын (Тараптарын) білдіреді;</w:t>
      </w:r>
    </w:p>
    <w:p w:rsidR="00F64615" w:rsidRPr="001C3C5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7E7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«Қ</w:t>
      </w: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озғалатын Тарап»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трансшекаралық әсер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тиюі</w:t>
      </w: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мүмкін осы Хаттаманың Уағдаласушы Тарапын (Тараптарын) білдіреді. Осы Хаттаманың Уағдаласушы Тарапы (Тараптары) қозғалатын Тарап ретінде қаралуы мүмкін теңіз аудандары Каспий теңізінің құқықтық мәртебесі 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ралы конвенция барлық Тараптар үшін күшіне енген</w:t>
      </w: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нен кейін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оның ережелеріне </w:t>
      </w:r>
      <w:r w:rsidRPr="001C3C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айқындалады;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(с)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үдделі Тараптар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Хаттамаға сәйкес қоршаған ортаға әсерді бағалау рәсімінің шығу Тарапы мен қозғалатын Тарапын білдіреді;</w:t>
      </w:r>
    </w:p>
    <w:p w:rsidR="00F64615" w:rsidRPr="00D357F2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7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(d)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оршаған орт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аға әсерді бағалау» (бұдан әрі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ҚОӘБ) жоспарланып отырған қызметтің қоршаған ортаға ықтимал әсерін бағалауды жүргізу жөніндегі ұлттық рәсімді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(е)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оспарланып отырған қызмет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қоршаған ортаға әсерді бағалаудың қолданылатын ұлттық рәсіміне сәйкес құзыретті органның шешім қабылдауын талап ететін кез келген қызметті немесе қызметтің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елеулі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өзгеруін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(f)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«Әсер ету»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флораны, фаунаны, топырақты, атмосфералық ауаны, суды, климатты, ландшафты, тарихи ескерткіштерді және</w:t>
      </w:r>
      <w:r w:rsidRPr="005F7C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факторлардың өзара байланысын қоса алғанда, Каспий теңізінің теңіз ортасы үшін жоспарланып отырған қызметті іске асырудың кез келген салдарын білдіреді;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сондай-ақ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адамдардың денсаулығы мен қауіпсіздігі, мәдени мұра үшін немесе әлеуметтік-экономикалық және өзге жағдайлардың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осы факторлардың өзгеруі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нәтижесінде болатын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салдарларын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қамтиды;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(g)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рансшекаралық әсер ету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шығу Тарапы жоспарланып отырған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ызметті іске асырған кезде басқа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Уағдаласушы Тарапқа кез келген әсер етуді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(h)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ұртшылық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бір немесе одан көп жеке немесе заңды тұлғаларды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(і)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ұзыретті орган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Уағдаласушы Тарап тағайындайтын, осы Хаттамада қамтылған міндеттерді орындауға жауапты орган(дар)ды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(j)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«Х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абардар ету мақсаттарына арналған байланыс пункті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Уағдаласушы Тараптар айқындаған байланыс пунктін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пункттерін білдіреді, ол(ар) туралы басқа Уағдаласушы Тараптар және хабарламаны алуға жауапты</w:t>
      </w:r>
      <w:r w:rsidRPr="009C1C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Хатшылық хабардар етіледі, ол(ар) тиісті құзыретті органды хабардар етуді қамтамасыз ете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(k)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обаны әзірлеуші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рәсімге сәйкес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қызметке қатысты рұқсат үшін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жүгінген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органды қоса алғанда, бастамашыны білдіреді;</w:t>
      </w:r>
    </w:p>
    <w:p w:rsidR="00F64615" w:rsidRPr="005F7C33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(l)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Уағдаласушы Тараптардың конференциясы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Конвенцияның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hyperlink r:id="rId13" w:anchor="z30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22-бабында</w:t>
        </w:r>
      </w:hyperlink>
      <w:r w:rsidRPr="005F7C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көрсетілген органды білдіреді;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(m)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Хатшылық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Конвенцияның </w:t>
      </w:r>
      <w:hyperlink r:id="rId14" w:anchor="z73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23-бабында</w:t>
        </w:r>
      </w:hyperlink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көрсетілген органды білдіреді.</w:t>
      </w:r>
    </w:p>
    <w:p w:rsidR="00F64615" w:rsidRPr="00D357F2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30785B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3078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2-бап. Мақсаты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Хаттаманың мақсаты теңіз ортасы мен теңіз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жақын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дығы әсеріне ұшырап отырған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құрлықтың ластануын болдырмау, азайту және бақылау үшін, оның биологиялық әралуандығын сақтауға және оның табиғи ресурстарын ұтымды пайдалануға әрі адам денсаулығын қорғауға жәрдем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десу үшін трансшекаралық тұрғыда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теңіз ортасына және теңіз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 жақындығы әсеріне ұшырап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құрлыққа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елеулі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трансшекаралық әсер етуі мүмкін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тиімді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ашық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ҚОЭБ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рәсімдерін жүргізу болып табылады.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30785B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3078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lastRenderedPageBreak/>
        <w:t>3-бап. Қолданылу саласы</w:t>
      </w:r>
    </w:p>
    <w:p w:rsidR="00F64615" w:rsidRPr="00B366BF" w:rsidRDefault="00343156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Конвенцияның </w:t>
      </w:r>
      <w:hyperlink r:id="rId15" w:anchor="z6" w:history="1">
        <w:r w:rsidR="00F64615"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3-бабына</w:t>
        </w:r>
      </w:hyperlink>
      <w:r w:rsidR="00F64615"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осы Хаттама Каспий теңізі деңгейінің ауытқуын және жерүсті көздерінен ластануын ескере отырып, </w:t>
      </w:r>
      <w:r w:rsidR="00F646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оның </w:t>
      </w:r>
      <w:r w:rsidR="00F64615"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теңіз ортасына қолданылады.</w:t>
      </w: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30785B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3078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4-бап. Жалпы ережелер</w:t>
      </w:r>
    </w:p>
    <w:p w:rsidR="00F64615" w:rsidRPr="005A6A79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Әрбір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Уағдаласушы Тарап осы Хаттамаға </w:t>
      </w:r>
      <w:hyperlink r:id="rId16" w:anchor="z97" w:history="1"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ІІ 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қамтылған өлшем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шарттарды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ескере отырып, осы Хаттамаға оған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17" w:anchor="z74" w:history="1">
        <w:r>
          <w:rPr>
            <w:rFonts w:ascii="Times New Roman" w:hAnsi="Times New Roman" w:cs="Times New Roman"/>
            <w:sz w:val="28"/>
            <w:szCs w:val="28"/>
            <w:lang w:val="kk-KZ"/>
          </w:rPr>
          <w:t xml:space="preserve">І 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санамаланған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елеулі трансшекаралық әсер етуі мүмкін 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түрлеріне қатысты осы Хаттаманың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ережелерін орындау үшін, сондай-ақ жұртшылықтың қатысуын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және осы Хаттамаға </w:t>
      </w:r>
      <w:hyperlink r:id="rId18" w:anchor="z99" w:history="1"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ІІІ 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5F7C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сипатталған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қоршаған ортаға әсерді бағалау жөніндегі құжаттарды дайындауға рұқсат беретін </w:t>
      </w:r>
      <w:r w:rsidRPr="00B76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қоршаған ортаға әсерді бағалау </w:t>
      </w:r>
      <w:r w:rsidRPr="005A6A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рәсімін әзірлеу үшін қажетті заңнамалық, әкімшілік және басқа да шараларды қабылдайды.</w:t>
      </w:r>
      <w:bookmarkStart w:id="0" w:name="z11"/>
      <w:bookmarkEnd w:id="0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Әрбір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Уағдаласушы Тарап осы Хаттамаға</w:t>
      </w:r>
      <w:hyperlink r:id="rId19" w:anchor="z74" w:history="1"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 І 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санамаланған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елеулі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трансшекаралық әсер туындатуы мүмкін жоспарланып отырған қызмет түрлерінің осы Хаттамаға сәйкес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қызметке рұқсат беру немесе оны жүргізу жөнінде шешім қабылдаудың алдында ҚОӘБ рәсіміне жатқызылуын қамтамасыз етеді.</w:t>
      </w:r>
      <w:bookmarkStart w:id="1" w:name="z12"/>
      <w:bookmarkEnd w:id="1"/>
    </w:p>
    <w:p w:rsidR="00F64615" w:rsidRDefault="00F64615" w:rsidP="00F646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Әрбір Уағдаласушы Тарап Уағдаласушы Тараптарға және Хатшылыққа өзінің хабарландыру мақсаттарына арналған байланыс пункті туралы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хабарлайды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Хабарландыру мақсаттарына арналған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айланыс пункттері туралы ақпарат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Уағдаласушы Тараптар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Хатшылық арқылы электронды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басқа да кез келген қолайлы түрде қолжеті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мді болуы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тиіс.</w:t>
      </w:r>
      <w:bookmarkStart w:id="2" w:name="z13"/>
      <w:bookmarkEnd w:id="2"/>
    </w:p>
    <w:p w:rsidR="00F64615" w:rsidRDefault="00F64615" w:rsidP="00F646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Мүдделі Тараптар осы Хаттамаға сәйкес ҚОӘБ рәсімінің бастапқы сатысынан бастап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ҚОӘБ рәсіміне жұртшылықтың тиімді қатысуын қамтамасыз етеді.</w:t>
      </w:r>
      <w:bookmarkStart w:id="3" w:name="z14"/>
      <w:bookmarkEnd w:id="3"/>
    </w:p>
    <w:p w:rsidR="00F64615" w:rsidRDefault="00F64615" w:rsidP="00F646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Осы Хаттамаға сәйкес мүдделі Тараптар шығу Тарапының жұртшылығына және қозғалатын Тарап жұртшылығына </w:t>
      </w:r>
      <w:r w:rsidRPr="00915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ҚОӘБ рәсімдеріне қатысу үшін тең мүмкіндіктер береді және оған ҚОӘБ мәселелері бойынша қолдау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көрсетеді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консультациялар бер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еді.</w:t>
      </w:r>
      <w:bookmarkStart w:id="4" w:name="z15"/>
      <w:bookmarkEnd w:id="4"/>
    </w:p>
    <w:p w:rsidR="00F64615" w:rsidRDefault="00F64615" w:rsidP="00F646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Осы Хаттаманың ережелері Уағдаласушы Тараптардың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қауіпсіздік мүдделерінде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заңдарды, ұйғарымдарды немесе әкімшілік ережелерді қолдану құқығын қозғамайды.</w:t>
      </w:r>
      <w:bookmarkStart w:id="5" w:name="z16"/>
      <w:bookmarkEnd w:id="5"/>
    </w:p>
    <w:p w:rsidR="00F64615" w:rsidRDefault="00F64615" w:rsidP="00F646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қозғамайды.</w:t>
      </w:r>
      <w:bookmarkStart w:id="6" w:name="z17"/>
      <w:bookmarkEnd w:id="6"/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Осы Хаттаманың ережелері трансшекаралық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тұрғыда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қоршаған ортаға әсерді бағалауға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қатысты халықаралық құқыққа сәйкес Уағдаласушы Тараптардың кез келген міндеттемелеріне нұқсан келтірмейді.</w:t>
      </w: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lastRenderedPageBreak/>
        <w:t>5-бап. Хабарлама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B366BF" w:rsidRDefault="00F64615" w:rsidP="00F64615">
      <w:pPr>
        <w:pStyle w:val="a7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Хаттамаға </w:t>
      </w:r>
      <w:hyperlink r:id="rId20" w:anchor="z74" w:history="1">
        <w:r w:rsidR="00343156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І 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көрсетілген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түріне қатысты шығу Тарапының құзыретті органы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елеулі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трансшекаралық әсер етуі мүмкін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туралы ақпара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алғаннан кейін, өзінің ойынша,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әлеуетті қозғалатын Тарап болуы мүмкін кез келген Уағдаласушы Тарапты және басқа Уағдаласушы Тараптар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хабардар ету үшін Хатшылықты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байланыс пункті арқылы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үмкіндігінше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ертерек хабардар етеді.</w:t>
      </w:r>
    </w:p>
    <w:p w:rsidR="00F64615" w:rsidRPr="009151F0" w:rsidRDefault="00F64615" w:rsidP="00F64615">
      <w:pPr>
        <w:pStyle w:val="a7"/>
        <w:numPr>
          <w:ilvl w:val="0"/>
          <w:numId w:val="1"/>
        </w:numPr>
        <w:tabs>
          <w:tab w:val="clear" w:pos="56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bookmarkStart w:id="7" w:name="z20"/>
      <w:bookmarkEnd w:id="7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Хабарлама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өзгелермен қатар</w:t>
      </w:r>
      <w:r w:rsidRPr="009151F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: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a) хабардар ету сәтінде қолжетімді болған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ықтимал трансшекаралық әсері туралы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кез келген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ақпарат пен оған қат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ысты ықтимал шешімдердің сипаты қамтылған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15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туралы ақпарат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5-бабының 3-тармағына сәйкес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қозғалатын Тараптың осы хабарламаға жауап жіберуі үшін қолайлы, бірақ ағылшын және орыс тілдеріндегі хабарлама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алғаннан кейін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кемінде 30 күн болатын мерзім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 ҚОӘБ рәсімінің келесі сатыларын жүргізу мерзімдерін жә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не, атап айтқанда, осы Хаттаманың </w:t>
      </w:r>
      <w:hyperlink r:id="rId21" w:anchor="z28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22" w:anchor="z31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7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hyperlink r:id="rId23" w:anchor="z35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8-баптарында</w:t>
        </w:r>
      </w:hyperlink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айқындалғандарын көрсете отырып, көздел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етін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ҚОӘБ рә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сіміне қатысты ақпарат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8" w:name="z21"/>
      <w:bookmarkEnd w:id="8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Шығу Тарапы хабарламадағы құжаттаманы ағылшын немесе орыс тіліне аудармасымен бірге мемлекеттік тілде ұсынады. Хатшылық құжаттаманы тиісінше ағылшын немесе орыс тіліне аударуды қамтамасыз етеді.</w:t>
      </w:r>
      <w:bookmarkStart w:id="9" w:name="z22"/>
      <w:bookmarkEnd w:id="9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Шығу Тарапының құзыретті органы хабарламаны қозғалатын Тарапты хабардар ету мақсатында байланыс пунктінің және Хатшылықтың алуын қамтамасыз етеді.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0" w:name="z23"/>
      <w:bookmarkEnd w:id="10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Қозғалатын Тараптың құзыретті органы шығу Тарапының құзыретті органына жауап жібереді және хабарламада айқындалған мерзім ішінде өзінің </w:t>
      </w:r>
      <w:r w:rsidRPr="00F66D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ҚОӘБ рәсіміне қатысуға ниеті бар-жоғын көрсете отырып, Хатшылықты хабардар етеді.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1" w:name="z24"/>
      <w:bookmarkEnd w:id="11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Егер қозғалатын Тарап өзінің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ып отырған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қызметтің ҚОӘБ рәсіміне қатысуға ниетінің жоқ екенін көрсетсе немесе ол хабарламада айқындалған мерзім ішінде жауап бермесе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онда осы Хаттаманың 7-бабының  </w:t>
      </w:r>
      <w:hyperlink r:id="rId24" w:anchor="z34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3</w:t>
        </w:r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-тармағының</w:t>
        </w:r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 (b)</w:t>
        </w:r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 тармақшасына</w:t>
        </w:r>
      </w:hyperlink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шығу Тарапының Хатшылыққа </w:t>
      </w:r>
      <w:r w:rsidRPr="002348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қоршаған ортаға әсерді бағалау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жөніндегі құжаттама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жобасын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жіберу бойынша міндеттемесін қоспағанда, осы Хаттаманың осы бабы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7 - 8-тармақтарының және </w:t>
      </w:r>
      <w:hyperlink r:id="rId25" w:anchor="z28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hyperlink r:id="rId26" w:anchor="z48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11-баптарының</w:t>
        </w:r>
      </w:hyperlink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ережелері қолданылмайды.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2" w:name="z25"/>
      <w:bookmarkEnd w:id="12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Егер қозғалатын Тарап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ҚОӘБ рәсіміне қатысуға өзінің ниеттенгенін көрсетсе, онда ол шығу Тарапына өзінің хабарламаға жа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уабында немесе бұдан кейін көп кешіктірмей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қозғалатын Тараптағы қоғамдық консультациялар рәсімі туралы тиісті ақпаратты;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(b) қоршаған ортаға әсерін бағалау жөніндегі зерттеулерде шешу болжанатын ерекше мәселелер туындаған жағдайда олар туралы сұрау салуды;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(с)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тармақтың (b) тармақшасында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лған мәселелер бойынша қолда бар қолжетімді ақпараттың қысқаша мазмұнын ұсынады.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3" w:name="z26"/>
      <w:bookmarkEnd w:id="13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Егер ықтимал қозғалуы мүмкін қоршаған орта туралы ақпарат ҚОӘБ жөніндегі құжаттаманы дайындау үшін қажет болса, шығу Тарапының сұратуы бойынша қозғалатын Тарап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осындай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 келген ақылға қонымды қолжетімді ақпаратты ұсынады.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4" w:name="z27"/>
      <w:bookmarkEnd w:id="14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 Егер қандай да бір Уағдаласушы Тараптың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нәтижесінде өзінің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елеулі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трансшекаралық әсерге ұшырауы мүмкін деп санауына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негіздер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болса және егер осы баптың 1-тармағына сәйкес хабарлама болмаса, шығу Тарапы осындай Уағдаласушы Тараптың осындай сұратуына сәйкес </w:t>
      </w:r>
      <w:r w:rsidRPr="00EF72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нәтижесінде елеулі трансшекаралық әсер етуінің орын алуы-алмауы туралы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оған жеткілікті ақпарат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береді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Қажет болғанда бұл Тараптар ҚОЭБ рәсіміне ықтимал қатысу туралы консультациялар береді.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6-бап. Мүдделі Тараптар арасындағы байланыс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B366BF" w:rsidRDefault="00F64615" w:rsidP="00F64615">
      <w:pPr>
        <w:pStyle w:val="a7"/>
        <w:numPr>
          <w:ilvl w:val="3"/>
          <w:numId w:val="1"/>
        </w:numPr>
        <w:tabs>
          <w:tab w:val="clear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Мүдделі Тараптардың құзыретті органдары: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қоғамдық консультациялар жүргізу мақсаты мен қозғалатын Тараптың құзыретті органының қарауы үшін ұсынылатын кез келген ақпаратты қоса алғанда, ҚОӘБ құжаттамасының қажетті форматы мен тіл(дер)іне;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мүдделі Тараптардың құзыретті органдары мен жобаны әзірлеушінің рөлдерін қоса алғанда, мүдделі Тараптар арасындағы қарым-қатынас бойынша нақты іс-шараларға;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қозғалатын Тараптың ҚОӘБ бойынша құжаттама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 қараудың             90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күннен аспайтын мерзіміне қатысты консультациялар өткізеді және келісімге келеді.</w:t>
      </w:r>
      <w:bookmarkStart w:id="15" w:name="z30"/>
      <w:bookmarkEnd w:id="15"/>
    </w:p>
    <w:p w:rsidR="00F64615" w:rsidRPr="00B366BF" w:rsidRDefault="00F64615" w:rsidP="00F64615">
      <w:pPr>
        <w:pStyle w:val="a7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Мүдделі Тараптар қажет болған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кезде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міндеттерін орындау жөніндегі өзара іс-қимыл тәсілдерін келіседі.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7-бап. </w:t>
      </w:r>
      <w:r w:rsidRPr="00BF68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Қоршаған ортаға әсерді бағалау</w:t>
      </w: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жөніндегі </w:t>
      </w: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құжаттаманың жобасын дайындау және жіберу</w:t>
      </w:r>
    </w:p>
    <w:p w:rsidR="00F64615" w:rsidRPr="00D632B2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D632B2" w:rsidRDefault="00F64615" w:rsidP="00F64615">
      <w:pPr>
        <w:pStyle w:val="a7"/>
        <w:numPr>
          <w:ilvl w:val="6"/>
          <w:numId w:val="1"/>
        </w:numPr>
        <w:tabs>
          <w:tab w:val="clear" w:pos="25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оршаған ортаға әсерді бағалау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="003431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жүргізу ш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ығу Тарапының ұлттық заңнамасы мен практикасына сәйкес жүзеге асырылады және осы Хаттаманың 5-бабының 7-тармағына сәйкес қозғалатын Тарап көтеретін барлық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мәселелерге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неғұрлым толық жауап береді.</w:t>
      </w:r>
    </w:p>
    <w:p w:rsidR="00F64615" w:rsidRDefault="00F64615" w:rsidP="00F64615">
      <w:pPr>
        <w:pStyle w:val="a7"/>
        <w:numPr>
          <w:ilvl w:val="6"/>
          <w:numId w:val="1"/>
        </w:numPr>
        <w:tabs>
          <w:tab w:val="clear" w:pos="25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6" w:name="z33"/>
      <w:bookmarkEnd w:id="16"/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Шығу Тарапы қоғамдық консультациялар жүргізу және қозғалатын Тараптың құзыретті органының қарауы үшін жобаны әзірлеушінің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оршаған ортаға әсерді бағалау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құжаттаманың жобасын 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йындауын қамтамасыз етеді. 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оршаған ортаға әсерді бағалау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құжаттама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жобасы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6-бабының </w:t>
      </w:r>
      <w:hyperlink r:id="rId27" w:anchor="z29" w:history="1">
        <w:r w:rsidRPr="005F7C3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1-тармағына</w:t>
        </w:r>
      </w:hyperlink>
      <w:r w:rsidRPr="005F7C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мүдделі Тараптар арасында келіс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бойынша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тіл(дер)де ұсынылады және қозғалатын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Тарап осы Хаттаманың 6-бабының </w:t>
      </w:r>
      <w:hyperlink r:id="rId28" w:anchor="z29" w:history="1">
        <w:r w:rsidRPr="00AB3018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1-тармағына</w:t>
        </w:r>
      </w:hyperlink>
      <w:r w:rsidRPr="00AB3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сұрататын </w:t>
      </w:r>
      <w:r w:rsidR="003431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ақпаратқа қосымша, кем дегенде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29" w:anchor="z99" w:history="1">
        <w:r w:rsidR="00343156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ІІІ </w:t>
        </w:r>
        <w:r w:rsidRPr="00AB3018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қосымшада</w:t>
        </w:r>
      </w:hyperlink>
      <w:r w:rsidRPr="00AB3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лған тармақтарды қамтиды.</w:t>
      </w:r>
    </w:p>
    <w:p w:rsidR="00F64615" w:rsidRDefault="00F64615" w:rsidP="00F64615">
      <w:pPr>
        <w:pStyle w:val="a7"/>
        <w:numPr>
          <w:ilvl w:val="6"/>
          <w:numId w:val="1"/>
        </w:numPr>
        <w:tabs>
          <w:tab w:val="clear" w:pos="25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7" w:name="z34"/>
      <w:bookmarkEnd w:id="17"/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Шығу Тарапы ҚО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ӘБ жөніндегі құжаттамасының жобасын:</w:t>
      </w:r>
    </w:p>
    <w:p w:rsidR="00F64615" w:rsidRPr="009E1C2C" w:rsidRDefault="00F64615" w:rsidP="00F64615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қозғалатын Тараптың құзыретті органына; және</w:t>
      </w:r>
    </w:p>
    <w:p w:rsidR="00F64615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қандай да бір Уағдаласушы Тараптың сұратуы бойынша осы ақпаратты ұсынуы үшін Хатшылыққа жібереді.</w:t>
      </w:r>
    </w:p>
    <w:p w:rsidR="00F64615" w:rsidRPr="00D632B2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8-бап. </w:t>
      </w:r>
      <w:r w:rsidRPr="002248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Қоршаған ортаға әсерді бағалау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жөніндегі құжаттама</w:t>
      </w: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ы</w:t>
      </w: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қарау және қоғамдық консультациялар өткізу</w:t>
      </w:r>
    </w:p>
    <w:p w:rsidR="00F64615" w:rsidRPr="00D632B2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D632B2" w:rsidRDefault="00F64615" w:rsidP="00F6461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Мүдделі 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раптар осы Хаттаманың 6-бабының </w:t>
      </w:r>
      <w:hyperlink r:id="rId30" w:anchor="z29" w:history="1">
        <w:r w:rsidRPr="007E639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1-тармағына</w:t>
        </w:r>
      </w:hyperlink>
      <w:r w:rsidRPr="007E63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31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ықтимал әсер ету аудандарындағы жұртшылықты: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жоспарланып отырған қызметке;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қоршаған ортаға әсерді бағалау жөніндегі құжаттама жобасының қолжетімділігіне;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жұртшылықты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хабардар ету немесе басқа да тиісті шаралар арқылы қоғамдық консультациялар өткізу мүмкіндігі мен рәсіміне қатысты хабардар етуді қамтамасыз етеді.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8" w:name="z37"/>
      <w:bookmarkEnd w:id="18"/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Мүдделі Тараптар ҚОӘБ </w:t>
      </w:r>
      <w:r w:rsidRPr="002248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құжаттама жобасының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қажет болған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кезде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қағаз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жеткізгіштегі нұсқасын қоса алғанда,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ашық әрі жұртшылық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қолжетімді болуын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дай-ақ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заңнамаға сәйкес жұртшылық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қолжетімді жерлерде орналастырылу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қамтамасыз 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еді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19" w:name="z38"/>
      <w:bookmarkEnd w:id="19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Мүдделі Тараптар ықтимал әсер ету аудандарындағы жұртшылыққа мүдделі Тараптардың құзыретті органдарына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жөнінде түсінік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теме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жібер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уге мүмкіндік береді. Түсініктемелер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шығу Тарапының құзыретті органына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осы Хаттаманың 6-бабы </w:t>
      </w:r>
      <w:hyperlink r:id="rId31" w:anchor="z29" w:history="1"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1-</w:t>
        </w:r>
        <w:r w:rsidRPr="007E639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тармағын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 </w:t>
      </w:r>
      <w:r w:rsidRPr="002248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тармақшасына</w:t>
      </w:r>
      <w:r w:rsidRPr="007E63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келісілгендей жіберіледі.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0" w:name="z39"/>
      <w:bookmarkEnd w:id="20"/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Қозғалатын Тараптың құзыретті органы қарауды жүргізіп, осы Хаттаманың </w:t>
      </w:r>
      <w:r w:rsidRPr="007244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6-бабы 1-тармағының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Pr="007244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тармақшасына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шығу Тарапы айқындайтын мерзім ішінде ҚОӘБ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құжаттама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жобасы бойынша ескертулер береді және өз ескертулерін шығу Тарапының құзыретті органына жібереді.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1" w:name="z40"/>
      <w:bookmarkEnd w:id="21"/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Шығу Тарапы жобаны әзірлеушінің: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алынған ескертулерді жинақтауын және қажет болған кезде аударуды жүзеге асыруын;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талап етілетін жерде одан әрі зерделеуді жүргізуін;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жұртшылықтан және қозғалатын Тараптардың құзыретті органдарынан алынған ескертулерді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ҚОӘБ жөніндегі түпкілікті құжаттамаға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қосуын және бұл ескертулер қалай</w:t>
      </w:r>
      <w:r w:rsidRPr="00D632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назарға алынғанын түсіндіруін қамтамасыз етеді.</w:t>
      </w: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D632B2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D632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lastRenderedPageBreak/>
        <w:t>9-бап. Мүдделі Тараптар арасындағы консультациялар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AB2CA1" w:rsidRDefault="00F64615" w:rsidP="00F64615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бойынша түп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кілікті шешім қабылдаудан бұрын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қозғалатын Тараптың сұратуы бойынша шығу Тарапы қозғалатын Тараппен өзге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лермен қатар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ықтимал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теріс 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трансшекаралық әсерді азайту жөнінде консультациялар өткізеді.</w:t>
      </w:r>
      <w:bookmarkStart w:id="22" w:name="z43"/>
      <w:bookmarkEnd w:id="22"/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64615" w:rsidRPr="00AB2CA1" w:rsidRDefault="00F64615" w:rsidP="00F64615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Мүдделі Тараптар осындай консультациялардың бастапқы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кезеңінде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ақылға қонымды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 аясының шегінде олардың ұзақтығы туралы мәселені келіседі.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ретте е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гер оларды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өткізу кезеңін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өзге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шешім қабылданбаса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консультациялар өткізу мерзімі 180 күннен аспау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тиіс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10-бап. Жоспарлан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ып отырған</w:t>
      </w: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қызметті іске асыру</w:t>
      </w: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br/>
        <w:t>жөнінде түпкілікті шешім қабылдау</w:t>
      </w:r>
    </w:p>
    <w:p w:rsidR="00F64615" w:rsidRPr="00AB2CA1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AB2CA1" w:rsidRDefault="00F64615" w:rsidP="00F64615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Шығу Тарапының құзыретті органы ҚОӘБ жөніндегі түпкілікті құжаттаманы қарау және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жөнінде түпкілікті шешім </w:t>
      </w:r>
      <w:r w:rsidR="00CD65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қабылдау кезінде осы Хаттаманың </w:t>
      </w:r>
      <w:hyperlink r:id="rId32" w:anchor="z35" w:history="1">
        <w:r w:rsidRPr="007E639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8-бабына</w:t>
        </w:r>
      </w:hyperlink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алынған ескертулерді назарға алады.</w:t>
      </w:r>
    </w:p>
    <w:p w:rsidR="00F64615" w:rsidRPr="00AB2CA1" w:rsidRDefault="00F64615" w:rsidP="00F64615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3" w:name="z46"/>
      <w:bookmarkEnd w:id="23"/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Шығу Тарапының құзыретті органы қозғалатын Тараптың құзыретті органына және Хатшылыққа алынған ескертулердің қалай ескерілгені туралы ақпаратты қоса алғанда,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жөніндегі түпкілікті шешімді оған негіз болған себептермен және түсініктермен бірге ұсынады.</w:t>
      </w:r>
    </w:p>
    <w:p w:rsidR="00F64615" w:rsidRPr="00AB2CA1" w:rsidRDefault="00F64615" w:rsidP="00F64615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4" w:name="z47"/>
      <w:bookmarkEnd w:id="24"/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Мүдделі Тараптар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 отырған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жөніндегі түпкілікті шешім туралы ақпарат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алынған ескертулер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қалай ес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керілгені туралы ақпараттың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8-бабының</w:t>
      </w:r>
      <w:r w:rsidR="00CD65F9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ескерту бергендерге қол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мді болуын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қамтамасыз етеді.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AB2CA1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11-бап. Жобалаудан кейінгі талдау</w:t>
      </w:r>
    </w:p>
    <w:p w:rsidR="00F64615" w:rsidRPr="00BD00B2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D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1. Осы Хаттамаға сәйкес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қызметтің ықтимал елеулі теріс трансшекаралық әсер етуіне</w:t>
      </w:r>
      <w:r w:rsidRPr="00BD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қатысты қоршаған ортаға әсерді бағалау жүзеге асырылатын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қызметті </w:t>
      </w:r>
      <w:r w:rsidRPr="00BD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ескере отырып, мүдделі Тараптар олардың біреуінің өтініші бойынша жобалаудан кейінгі талдау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 жүргізудің орындылығын және осындай орындылық болған жағдайда оның</w:t>
      </w:r>
      <w:r w:rsidRPr="00BD00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қандай шамада жүргізілетінін айқындайды.</w:t>
      </w:r>
      <w:bookmarkStart w:id="25" w:name="z50"/>
      <w:bookmarkEnd w:id="25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Жобалаудан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ейінгі кез келген талдау: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рұқсатта жазылған немесе осы қызметті бекіту кезінде айтылған шарттардың сақталуын және әсерді азайту жөніндегі шаралардың тиімділігін бақылау;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тиісті басқару деңгейін және белгісіздік жағдайларында іс-қимылға дайындықты қамтамасыз ету мақсатында әсер ету түрлерін талдау;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алынған тәжірибені болашақта осыған ұқсас қызмет түрлерін жүзеге асыру кезінде пайдалану үшін бұрынғы болжамдарды тексеру мақсаттарына қол жеткізу үшін жүргізіледі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6" w:name="z51"/>
      <w:bookmarkEnd w:id="26"/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3. Егер жобалаудан кейінгі талдау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аяқталғаннан кейін Уағдаласушы Тараптард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 бірінің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елеулі теріс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трансшекаралық әсер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ету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 алып отыр деп санауына жеткілікті негіз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демелері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болса немесе осындай әсер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етуге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алып келуі мүмкін факторлар анықталса, ол бұл туралы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шығу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Тарап</w:t>
      </w:r>
      <w:r w:rsidRPr="007F10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Хатшылықты дереу хабардар етеді. Бұл жағдайда мүдделі Тараптар дереу консультациялар өткізеді және қажет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 кезде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әсер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етуді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азайту немесе жою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тиісті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шаралар қабылдайды.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AB2CA1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12-бап. Баяндамаларды ұсыну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AB2CA1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13-бап. Ұйымд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астырушылық</w:t>
      </w: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ережелер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CD65F9" w:rsidRDefault="00F64615" w:rsidP="00F64615"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мақсаттары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және Конвенцияның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hyperlink r:id="rId33" w:anchor="z30" w:history="1">
        <w:r w:rsidRPr="007E639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22-бабының</w:t>
        </w:r>
      </w:hyperlink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10-тармағына сәйкес Уағдаласушы 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аптардың Конференциясы, </w:t>
      </w:r>
      <w:r w:rsidRPr="00CD65F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өзгелермен бірге: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осы Хаттаманың орындалуын бақылауды жүзеге асырады;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осы Хаттамаға үнемі шолу жасауды жүзеге асырады;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осы Хаттамаға қосымшаларды қарайды және қабылдайды;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(d) осы Хаттамаға немесе оның қосымшаларына түзетулерді қарайды және қабылдайды;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(е) Хатшылық осы Хаттаманың орындалуына байланысты мәселелер бойынша ұсынатын есептерді қарайды;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(f) осы Хаттаманы орындау үшін қажет болуы мүмкін қосалқы органдарды құрады;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(g) қажет болған кезде, осы Хаттаманың мақсаттарына қол жеткізу үшін тиісті халықаралық ұйымдар мен ғылыми институттарға техникалық қызметтер және қаржы қызметтері үшін жүгінеді;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(h) осы Хаттаманы орындау үшін талап етілуі мүмкін кез келген қосымша функцияларды жүзеге асырады.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7" w:name="z55"/>
      <w:bookmarkEnd w:id="27"/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Конвенцияның </w:t>
      </w:r>
      <w:hyperlink r:id="rId34" w:anchor="z31" w:history="1">
        <w:r w:rsidRPr="009E1C2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23-бабының</w:t>
        </w:r>
      </w:hyperlink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4-тармағына сәйкес Хатшылық, атап айтқанда: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Уағдаласушы Тараптарға хабарлама беруге арналған байланыс пункттеріне қатысты ақпаратты Уағдаласушы Тараптарға электрондық немесе басқа да ыңғайлы кез келген түрде береді;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(b) мыналарды: 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(i)</w:t>
      </w: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5-бабының </w:t>
      </w:r>
      <w:hyperlink r:id="rId35" w:anchor="z21" w:history="1">
        <w:r w:rsidRPr="009E1C2C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3-тармағына</w:t>
        </w:r>
      </w:hyperlink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жоспарланып отырған қызметке қатысты хабарламаны;</w:t>
      </w:r>
    </w:p>
    <w:p w:rsidR="00F64615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(ii)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7-бабының </w:t>
      </w:r>
      <w:hyperlink r:id="rId36" w:anchor="z34" w:history="1">
        <w:r w:rsidRPr="00734D81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3-тармағына</w:t>
        </w:r>
      </w:hyperlink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шығу Тарапы берген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D35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оршаған ортаға әсерді бағалау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жөніндегі құжаттаманы; және</w:t>
      </w:r>
    </w:p>
    <w:p w:rsidR="00F64615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(iii)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Хаттаманың 10-бабының </w:t>
      </w:r>
      <w:hyperlink r:id="rId37" w:anchor="z46" w:history="1">
        <w:r w:rsidRPr="00734D81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2-тармағына</w:t>
        </w:r>
      </w:hyperlink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алынған ескертулер</w:t>
      </w:r>
      <w:r w:rsidR="00CD65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қалай ескерілгені туралы ақпаратты қоса алғанда, себептерімен және түсініктерімен бірге жоспарлан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бой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 түпкілікті шешімді</w:t>
      </w:r>
      <w:r w:rsidRPr="00DD4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 орындау барысында алынған, шығу Тарапы берген ақпаратты электронды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 келген басқа ыңғайлы түрде алады және таратады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Pr="009E1C2C" w:rsidRDefault="00F64615" w:rsidP="00F6461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(c) осы Хаттаманы орындауға байланысты мәселелер бойынша есептерді дайындайды және таратады;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(d) Уағдаласушы Тараптардан алынатын мәселелер мен ақпаратты қарайды және осы Хаттаманы орындаумен байланысты мәселелер жөнінде олармен консультациялар өткізеді;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(е) мүмкіндігінше Уағдаласушы Тараптар арасында ақпарат алмасуға жәрдемдеседі және Уағдаласушы Тараптарға осы Хаттаманың ережелерін орындау бойынша көмек көрсетеді;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(f)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(g) өңірлік және халықаралық ұйымдармен және бағдарламалармен тиісінше ынтымақтасады;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(h) Уағдаласушы Тараптардың Конференциясында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айқындалуы мүмкін басқа да функцияларды орындайды.</w:t>
      </w:r>
    </w:p>
    <w:p w:rsidR="00F64615" w:rsidRPr="00AB2CA1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14-бап.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Қ</w:t>
      </w:r>
      <w:r w:rsidRPr="00AB2C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аржыландыру</w:t>
      </w:r>
    </w:p>
    <w:p w:rsidR="00F64615" w:rsidRPr="00AB2CA1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AB2CA1" w:rsidRDefault="00F64615" w:rsidP="00F6461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Хаттаманың мақсаттарына қол жеткізу үшін Уағдаласушы Тараптар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мүмкінді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болған кезде, тиісті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бағдарламаларды, жобаларды және шараларды әзірлеуді және жүзеге асыруды қаржылай қамтамасыз етеді. Бұл үшін Уағдаласушы Тараптар: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осы мақсаттар үшін көзделген ішкі қаржы ресурстарын бөледі;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гранттар мен несиелерді қоса алғанда, екіжақты және көпжақты көздердің қаржы ресурстары мен қаржыландыру тетіктерін тартуға жәрдемдеседі; және</w:t>
      </w:r>
    </w:p>
    <w:p w:rsidR="00F64615" w:rsidRPr="009E1C2C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1C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басқа мемлекеттердің үкіметтік мекемелері, халықаралық ұйымдар, үкіметтік емес ұйымдар мен жеке сектор құрылымдары қорларының қаражатын қоса алғанда, ресурстарды тарту және бағыттау үшін инновациялық әдістер мен ынталандыру шараларын зерделейді.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8" w:name="z58"/>
      <w:bookmarkEnd w:id="28"/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Егер Уағдаласушы Тараптардың Конференциясы басқа шешім қабылдамаса, осы Хаттамаға Конвенцияның </w:t>
      </w:r>
      <w:r w:rsidRPr="00D1081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қаржылық қағидалары mutatis mutandis</w:t>
      </w:r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қолданылады.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9" w:name="z59"/>
      <w:bookmarkEnd w:id="29"/>
      <w:r w:rsidRPr="00AB2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Осы Хаттамада қамтылған қызметтің барлық түрі және оларды жүзеге асыру Уағдаласушы Тараптардың бюджеттерінде көзделген қаражат шегінде, сондай-ақ өздерінің ұлттық заңнамасында тыйым салынбаған басқа да көздерден қаржыландырылады.</w:t>
      </w:r>
    </w:p>
    <w:p w:rsidR="00F64615" w:rsidRPr="00AB2CA1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DF586C" w:rsidRDefault="00DF586C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4C599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15-бап. Дауларды реттеу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Уағдаласушы Тараптар арасындағы осы Хаттаманың ережелерін қолдануға немесе түсіндіруге қатысты кез келген дау Конвенцияның 30-бабына сәйкес шешіледі.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16-бап. Хаттаманы қабылдау және оның күшіне енуі</w:t>
      </w:r>
    </w:p>
    <w:p w:rsidR="00F64615" w:rsidRPr="004C599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Осы Хаттаманы Уағдаласушы Тараптар Конференциясының сесси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ясында Уағдаласушы Тараптар ортақ шешіммен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қабылдады.</w:t>
      </w:r>
      <w:bookmarkStart w:id="30" w:name="z63"/>
      <w:bookmarkEnd w:id="30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Осы Хаттама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____________ қаласында _______ бастап _______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дейін Каспий маңы мемлекеттерінің ғана қол қоюы үшін ашық.</w:t>
      </w:r>
      <w:bookmarkStart w:id="31" w:name="z64"/>
      <w:bookmarkEnd w:id="31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Осы Хаттама Каспий маңы мемлекеттерінің ратификациялауына, қабылдауына немесе бекітуіне жатады және қо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қоюға жабылған күнінен бастап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 келген Каспий маңы мемлекетінің қосылуы үшін ашық болады.</w:t>
      </w:r>
      <w:bookmarkStart w:id="32" w:name="z65"/>
      <w:bookmarkEnd w:id="32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Ратификациялау, қабылдау, бекіту немесе оған қосылу туралы құжаттар Конвенцияның Депозитарийіне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сақтауға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тапсырылады.</w:t>
      </w:r>
      <w:bookmarkStart w:id="33" w:name="z66"/>
      <w:bookmarkEnd w:id="33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Осы Хаттама Каспий маңы мемлекеттерінің барлығы ратификациялау, қабылдау,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екіту және оған қосылу туралы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құжаттарды сақтауға тапсырғаннан кейін тоқсаныншы күні күшіне енеді.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4C599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17-бап. Осы Хаттамаға түзетулер мен ұсыныстарды</w:t>
      </w:r>
      <w:r w:rsidRPr="004C5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br/>
        <w:t>және оның қосымшаларына түзетулерді қабылдау</w:t>
      </w:r>
    </w:p>
    <w:p w:rsidR="00F64615" w:rsidRPr="004C599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Уағдаласушы Тараптар осы Хаттамаға түзетулер мен қосымшалар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сондай-ақ оның қосымшаларына түзетулер қабылдау туралы ұсыныстар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енгізе алады. Мұндай түзетулер мен қосымшаларды Уағдаласушы Тараптар қабылда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йды және олар Конвенцияның </w:t>
      </w:r>
      <w:hyperlink r:id="rId38" w:anchor="z33" w:history="1">
        <w:r w:rsidRPr="005D7F6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24</w:t>
        </w:r>
      </w:hyperlink>
      <w:r w:rsidRPr="005D7F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39" w:anchor="z34" w:history="1">
        <w:r w:rsidRPr="005D7F6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25</w:t>
        </w:r>
      </w:hyperlink>
      <w:r w:rsidRPr="005D7F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hyperlink r:id="rId40" w:anchor="z45" w:history="1">
        <w:r w:rsidRPr="005D7F64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34-баптарына</w:t>
        </w:r>
      </w:hyperlink>
      <w:r w:rsidRPr="007935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сәйкес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солар үшін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күшіне енеді.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4C599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18-бап. Хаттаманың ұлттық заңнамаға әсер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етуі</w:t>
      </w:r>
    </w:p>
    <w:p w:rsidR="00F64615" w:rsidRPr="00B366B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ережелері Уағдаласушы Тараптардың осы Хаттаманы орындау үшін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тиісінше аса 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қатаң  ұлттық шаралар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B366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қабылдау құқығына әсер етпейді.</w:t>
      </w:r>
    </w:p>
    <w:p w:rsidR="00F64615" w:rsidRPr="00B366B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19-бап. Өзге де халықаралық шарттармен байланыс</w:t>
      </w: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Хаттамадағы ешнәрсе де Уағдаласушы Тараптар қатысушылары болып табылатын өзге де халықаралық шарттар бойынша олардың құқықтары мен міндеттемелеріне нұқсан келтірмейді.</w:t>
      </w: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A750FA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lastRenderedPageBreak/>
        <w:t>20-бап. Ескертулер</w:t>
      </w: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Хаттамаға ешқандай ескертулер жасауға жол берілмейді.</w:t>
      </w: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21-бап. Депозитарий</w:t>
      </w: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Конвенцияның Депозитарийі осы Хаттаманың Депозитарийі болып табылады.</w:t>
      </w: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22-бап. Теңтүпнұсқалы мәтіндер</w:t>
      </w: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Хаттаманың әзербайжан, қазақ, орыс, түрікмен, парсы және ағылшын тілдеріндегі мәтіндері бірдей теңтүпнұсқалы болып табылады. Осы Хаттаманы түсіндіру немесе қолдану туралы даулар туындаған жағдайда ағылшын тіліндегі мәтін пайдаланылады.</w:t>
      </w: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23-бап. Каспий теңізінің құқықтық мәртебесі жөніндегі келіссөздерге қатысы</w:t>
      </w:r>
    </w:p>
    <w:p w:rsidR="00F64615" w:rsidRPr="00126AC0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</w:pP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6A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Хаттаманың ешқандай да ережелері Каспий теңізінің құқықтық мәртебесі жөніндегі келіссөздердің нәтижесін алдын ала айқындайтындай болып түсіндірілмейді.</w:t>
      </w:r>
    </w:p>
    <w:p w:rsidR="00F64615" w:rsidRPr="00126AC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44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Осыны куәландыру үшін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тиісті түрде ө</w:t>
      </w:r>
      <w:r w:rsidRPr="00574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кілеттік берілген төмендегі қол қоюшылар осы Хаттамаға қол қойды.</w:t>
      </w:r>
    </w:p>
    <w:p w:rsidR="00F64615" w:rsidRPr="005744FF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Pr="005744FF" w:rsidRDefault="000E0F6C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2018</w:t>
      </w:r>
      <w:r w:rsidR="00F64615" w:rsidRPr="00574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 шілдеде Мәскеу</w:t>
      </w:r>
      <w:r w:rsidR="00F64615" w:rsidRPr="00574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қаласында жасалды.</w:t>
      </w: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44F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     </w:t>
      </w: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641C5" w:rsidRDefault="004641C5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І </w:t>
      </w:r>
      <w:r w:rsidRPr="004C59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ҚОСЫМША</w:t>
      </w:r>
    </w:p>
    <w:p w:rsidR="00F64615" w:rsidRPr="004C5990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F5CE6" w:rsidRPr="00BF5CE6" w:rsidRDefault="00BF5CE6" w:rsidP="00BF5CE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F5C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Қызмет түрлерінің тізбесі</w:t>
      </w:r>
    </w:p>
    <w:p w:rsidR="00F64615" w:rsidRPr="00B366BF" w:rsidRDefault="00F64615" w:rsidP="00F6461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Pr="004C5990" w:rsidRDefault="00F64615" w:rsidP="00F6461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Мұнай өңдеу зауыттары (ш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икі мұнайдан жағар материалдарды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ғана өндіретін кәсіпорындарды қоспағанда</w:t>
      </w:r>
      <w:r w:rsidR="00CD65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  және өнімділігі күніне 500 тонна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одан көп болатын көмірді немесе битум тақтатастарды газдандыруға және сұйылтуға арналған қондырғылар.</w:t>
      </w:r>
    </w:p>
    <w:p w:rsidR="00F64615" w:rsidRPr="004C5990" w:rsidRDefault="00F64615" w:rsidP="00F6461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4" w:name="z77"/>
      <w:bookmarkEnd w:id="34"/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Жылу қуаты 300 мегаватт немесе одан жоғары жылу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электр 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станциялары мен сұйылтуға арналған басқа да қондырғылар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Pr="004C5990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жоғары қуаты 1 к</w:t>
      </w:r>
      <w:r w:rsidR="00CD65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илов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атт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тұрақты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жылу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жүктеме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сінен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аспайтын ыдыратқыш және ұдайы өндірілетін материалдарды өндіру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конверсиялау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 зерттеу қондырғыларын қоспағанда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электр станцияларын немесе реакторларды</w:t>
      </w:r>
      <w:r w:rsidRPr="004C599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1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бөлшектеуді немесе пайдаланудан шығаруды қоса алғанда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A7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осындай а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том станциял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ары және басқа атом реакторлары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5" w:name="z78"/>
      <w:bookmarkEnd w:id="35"/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Ядролық отынды өндіруге немесе байытуға, пайдаланылған ядролық отынды регенерациялауға және сақтау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радиоактивті қалдықтарды сақтауға, көмуге және қайта өңдеуге ғана арналған қондырғылар.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6" w:name="z79"/>
      <w:bookmarkEnd w:id="36"/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Дом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налық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болат балқыту өндірісіне және түсті металдарды балқытуға арналған ірі қондырғылар.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7" w:name="z80"/>
      <w:bookmarkEnd w:id="37"/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ыналарды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B19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ест-цементті өнімдерге қатысты – </w:t>
      </w:r>
      <w:r w:rsidRPr="002C1B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жылдық өндіру 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Pr="002C1B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20 000 т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онна</w:t>
      </w:r>
      <w:r w:rsidRPr="002C1B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дайын өнімнен асатын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рикциялық материалдарға қатысты –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жылдық өндіру 50 т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дайын өнімнен асатын асбесті қолданудың басқа да түрлеріне 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қатысты 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жылына 200 тонна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астам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пайдаланатын 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асбест шығару және асбесті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құрамында асбест бар өнімдерді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өңдеу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қайта өзгерту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 w:rsidRPr="00EE5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Pr="00FA7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қондырғылар.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8" w:name="z81"/>
      <w:bookmarkEnd w:id="38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Химия және мұнай-химия кәсіпорындары.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9" w:name="z82"/>
      <w:bookmarkEnd w:id="39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Автомагистральдарды, жылдам жүруге арналған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жолдарды</w:t>
      </w:r>
      <w:r w:rsidRPr="00AB5EB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2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алысқ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қатынайтын теміржолдар үшін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B19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трассаларды</w:t>
      </w:r>
      <w:r w:rsidR="002B1971"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ілеспе кө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пірлерді және негізгі ұшу-қон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жолағының ұзындығы 2100 метр және одан асатын әуежайларды салу, реконструкциялау және/немесе кеңейту.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0" w:name="z83"/>
      <w:bookmarkEnd w:id="4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Мұнай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ды,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газды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мұнай өнімдерін немесе химиялық заттарды тасымалдауға арналған </w:t>
      </w:r>
      <w:r w:rsidR="006E13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үлкен диаметрлі құбыр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жолдар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1" w:name="z84"/>
      <w:bookmarkEnd w:id="41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Теңіз/с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ауда порттары, сондай-ақ ішкі су жолдары мен су </w:t>
      </w:r>
      <w:r w:rsidR="00F333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ығыстырғышты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 1350 тоннадан асатын кемелердің өтуіне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 берілген ішкі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кеме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қатынасына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 порттар.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2" w:name="z85"/>
      <w:bookmarkEnd w:id="42"/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Ө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ртеу, химиялық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қайта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өңдеу жолымен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қалдықтарды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жою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қондырғыларды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қалдықтарды көму объектілері.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3" w:name="z86"/>
      <w:bookmarkEnd w:id="43"/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Ірі бөгетт</w:t>
      </w:r>
      <w:r w:rsidRPr="00E97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 қоймалары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Каспий теңізімен қосылған каналдар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44" w:name="z87"/>
      <w:bookmarkEnd w:id="44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 Егер алынатын немесе толтыр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ылатын судың жылдық көлемі              10 000 000 текше метрге жетсе</w:t>
      </w: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одан да ас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жерасты суларын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</w:t>
      </w: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жөніндегі қызмет немесе жерасты суларын жасанды жолмен толтыру жүйе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лері</w:t>
      </w:r>
      <w:r w:rsidRPr="00623F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5" w:name="z88"/>
      <w:bookmarkEnd w:id="45"/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үніне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уамен құрғатылған 200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одан астам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өнім алатын ц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еллюлоза, қағаз және картон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өндірісі.</w:t>
      </w:r>
      <w:bookmarkStart w:id="46" w:name="z89"/>
      <w:bookmarkEnd w:id="46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Ірі карьерлер және металл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кендері немесе көмір өндірілетін жер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дегі кендерді ірі ауқымда ашық өндіру, шығару және байыту.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өмірсутектерін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теңізде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өндіру. Мұнай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жағдайында алынатын мөлшері күніне 500 тонна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 және газ жағдай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500 000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текше метр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 асатын мұнай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табиғи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өндіру.</w:t>
      </w:r>
      <w:bookmarkStart w:id="47" w:name="z91"/>
      <w:bookmarkEnd w:id="47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Мұнай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мұнай-химия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лық және химиялық өнімдерге арналған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ірі қоймалар.</w:t>
      </w:r>
      <w:bookmarkStart w:id="48" w:name="z92"/>
      <w:bookmarkEnd w:id="48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Үлкен алаңдард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орман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сыздандыру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49" w:name="z93"/>
      <w:bookmarkEnd w:id="49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зен бассейндері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нің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шегінде немесе олардың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арасында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ресурстарын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арнасын бұру жө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ніндегі жұмыстар, </w:t>
      </w:r>
      <w:r w:rsidR="00D85E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кезде осындай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судың жетіспей қалу мүмкіндігін болдырмауға бағытталған және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бұратын судың көлемі жылына 100 000 000 текше метрден асады; басқа барлық жағдайларда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жылына 2 000 000 000 асатын бассейннен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 алуды</w:t>
      </w:r>
      <w:r w:rsidR="00D85E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көпжылдық орташа ағыны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 өзен бассейндері шегінде немесе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олардың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арасында су ресурстарын бұру жөніндегі жұмыстар, бұл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ретте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су көлемі осы ағынның 5 пайызы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нан асады. Екі жағдайда да су құбырындағы ауыз суды бұруға болмайды.</w:t>
      </w:r>
      <w:bookmarkStart w:id="50" w:name="z94"/>
      <w:bookmarkEnd w:id="50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Өнімділігі 150 000 адам мөлшерін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халық санының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баламасынан  асатын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ағынды суларды тазалауға арналған қондырғылар.</w:t>
      </w:r>
      <w:bookmarkStart w:id="51" w:name="z95"/>
      <w:bookmarkEnd w:id="51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Микробиологиялық және биотехнологиялық өнеркәсіп кәсіпорындары және қоршаған ортаға гендік-түрлендірілген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ағзаларды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шығару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52" w:name="z96"/>
      <w:bookmarkEnd w:id="52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Құрлық учаскелерін жасанды түрде ұлғайту және аралдар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ды, шығанақтарды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рифтер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жасау.</w:t>
      </w:r>
    </w:p>
    <w:p w:rsidR="00F64615" w:rsidRPr="00AB5EBD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641C5" w:rsidRDefault="004641C5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І қосымшаға ескертпе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    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AB5EB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1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мақсаттары үшін атом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электр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станциялары мен басқа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атом реакторлары барлық ядролық отын және басқа да радиоактивті ластанған элементтер қондырғының өнеркәсіптік алаңынан түпкілікті жойылған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мұндай қондырғы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 болуды тоқтатады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 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  <w:r w:rsidRPr="00AB5EB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2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Хаттаманың мақсаттары үшін: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Автомагистраль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термині жол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бойындағы жерлерге қызмет көрсетпейтін және:</w:t>
      </w:r>
    </w:p>
    <w:p w:rsidR="00F64615" w:rsidRPr="004C5990" w:rsidRDefault="00F64615" w:rsidP="00F64615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жекелеген орындарды немесе уақытша шектеулерді қоспағанда, жүруге арналмаған немесе ерекше жағдайларда басқа құралдармен жүруге арналған, бір-бірінен бөліп тұрған жолақпен бөлінген, екі бағытта жүруге арналған жекелеген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көлік 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етін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бөліктері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жолдармен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де, теміржолдармен 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 трамвай жолдарымен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</w:t>
      </w:r>
      <w:r w:rsidR="002B19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жаяу жүргіншілер жолдарымен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</w:t>
      </w: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деңгей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 кесіп өтетін жерлері жоқ;</w:t>
      </w:r>
    </w:p>
    <w:p w:rsidR="00F64615" w:rsidRDefault="00F64615" w:rsidP="00F64615">
      <w:pPr>
        <w:pStyle w:val="a7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59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автомагистра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ль ретінде арнайы белгіленген</w:t>
      </w:r>
      <w:r w:rsidRPr="001E12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автокөлік құралдарының қозғалысы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</w:t>
      </w:r>
      <w:r w:rsidRPr="00AB5E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арнайы салынған және олардың жүруі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арналған жолды білдіреді.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 «Жылдам жүруге арналған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жол» термині оған кіру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жол ай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рықтар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немесе реттелетін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жол қиылыстары 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арқылы ғана мүмкін болатын және атап айтқанда, онда тоқтауға және жүр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бөлігінде (жүр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 бөліктерінде) тоқтауға тыйым салынған, автокөлік 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құралдарының жүруіне арналған жолды білдіреді.</w:t>
      </w:r>
    </w:p>
    <w:p w:rsidR="00F64615" w:rsidRPr="00036DD7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036DD7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3 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Хатт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аманың мақсаттары үшін «әуежай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термині Халықаралық азаматтық авиация ұйымын құратын 1944 жылғы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АҚШ, </w:t>
      </w:r>
      <w:hyperlink r:id="rId41" w:anchor="z0" w:history="1">
        <w:r w:rsidRPr="00036DD7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Чикаго </w:t>
        </w:r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одағы </w:t>
        </w:r>
        <w:r w:rsidRPr="00036DD7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Халықаралық азаматтық авиация </w:t>
        </w:r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 xml:space="preserve">туралы </w:t>
        </w:r>
        <w:r w:rsidRPr="00036DD7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конвенцияс</w:t>
        </w:r>
        <w:r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ын</w:t>
        </w:r>
      </w:hyperlink>
      <w:r w:rsidR="002B19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14-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қосымшадағы</w:t>
      </w:r>
      <w:r w:rsidRPr="00036D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анықтамаға сәйкес келетін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әуежайды білдіреді.</w:t>
      </w: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1C5" w:rsidRDefault="004641C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page"/>
      </w: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ІІ </w:t>
      </w:r>
      <w:r w:rsidRPr="00E349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ҚОСЫМША</w:t>
      </w:r>
    </w:p>
    <w:p w:rsidR="00F64615" w:rsidRPr="00E34929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Елеулі трансшекаралық әсер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етуді</w:t>
      </w:r>
      <w:r w:rsidRPr="0095149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айқындауға ықпал ететін өлшемшарттар тізбесі</w:t>
      </w:r>
    </w:p>
    <w:p w:rsidR="00F64615" w:rsidRPr="0095149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Мүдделі Тараптар қызметтің елеулі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теріс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трансшекаралық әсері, атап айтқанда, мынадай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(a)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өлшері: қызметтің осы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үр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үшін мөлшері ауқымды болатын қызметтің жоспарланатын түрлері;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(b)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рналасуы: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ікелей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ерекше экологиялық сезімтал немесе оларға жақын (1971 жылғы 2 ақпандағы Халықаралық мәні бар сулы-батпақты алқаптар туралы конвенцияда ең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алдымен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суда жүзетін құстардың негізгі тіршілік ету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мекені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ретінде айқындалған сулы-батпақты алқаптар, ұлттық парктер, табиғи қорықтар, ерекше ғылыми мүддедегі орындар немесе археологиялық, мәдени немесе тарихи маңызы бар орындар сияқты) ауд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андарда орналасқан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түрлері;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сондай-ақ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әзірлемелердің сипаттама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лары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халыққа елеулі әсер ететін орындардағы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түрлері;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(с) Ә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сер етуі: адамға немесе құнды түрлерге немесе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ағзаларға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салмақты 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әсер ету тәуекелін ұлғайтатын, қозғалатын ауданның қазіргі немесе ықтимал пайдалануын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қатер төндіретін және қоршаған ортаның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әлеуеті қарсы тұра алмайтын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қосымша шығарындылардың себебі болып табылатын қызмет түрлерін қоса алғанда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ерекше кешенді және әлеуетті теріс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әсер етуім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 жоспарланып отырған қызмет түрлері ө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лшем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шарттарының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бірінің немесе бірнешеуінің негізінде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трансшекаралық 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әсері </w:t>
      </w:r>
      <w:r w:rsidR="00723B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болатыны–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болмайтыны туралы мәселені қарауы мүмкін.</w:t>
      </w: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641C5" w:rsidRDefault="004641C5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</w:p>
    <w:p w:rsidR="00F64615" w:rsidRDefault="00F64615" w:rsidP="00F6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53" w:name="_GoBack"/>
      <w:bookmarkEnd w:id="53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ІІІ </w:t>
      </w:r>
      <w:r w:rsidRPr="00E349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ҚОСЫМША</w:t>
      </w:r>
    </w:p>
    <w:p w:rsidR="00F64615" w:rsidRPr="00E34929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64615" w:rsidRPr="0095149F" w:rsidRDefault="00F64615" w:rsidP="00F6461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Қоршаған ортаға әсерді бағалау жөні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ндегі құжаттаманың ең аз құрамы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Хаттаманың </w:t>
      </w:r>
      <w:hyperlink r:id="rId42" w:anchor="z28" w:history="1">
        <w:r w:rsidRPr="00FF25F3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6-бабына</w:t>
        </w:r>
      </w:hyperlink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қоршаған ортаға әсер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бағалау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құжаттамаға енгізілуге жататын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ақпарат, кемінде мыналарды: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(а)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сипатта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оның мақсаттары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(b) сипаттаманы, қажет болған жағдайда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ақылға қонымды баламалары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(мысалы, географиялық немесе технологиялық сипаттағы), оның ішінде қызметтен бас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тарту нұсқасын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(с)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 немесе оның балама нұсқалары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елеулі түрде ықпал етуі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мүмкін қоршаған ортаның элементтерін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сипаттамасын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(d) жоспарланып отырған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қызметтің және оның балама нұсқаларының қоршаған ортаға әсер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етуінің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ықтимал түрлерін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сипатта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олардың ауқымын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бағала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нуын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(е) қоршаған ортаға теріс әсерді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барынша азайтуға бағытталған алдын алу шараларын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сипаттамасын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(f) болжам жасау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әдістерін және осылардың негізінде жатқан бастапқы ережелерді нақты көрсету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сондай-ақ қоршаған орта туралы пайдаланылатын тиісті деректер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(g) білімдегі олқ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ылықтарды және талап етілетін ақп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аратты дайындау кезінде анықталған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белгісіздіктерді анықтау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(h) қажет болған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жағдайда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мониторинг және басқару бағдарламаларының және жоба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 кейінгі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талдауд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барлық жосп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арының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қысқаша мазмұны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және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(і) техникалық емес сипаттағы, қажет болған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кезде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ұсынудың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көрсетімді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 (карталар, кестелер</w:t>
      </w:r>
      <w:r w:rsidRPr="0095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па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йдалана отырып берілетін резюмені</w:t>
      </w:r>
      <w:r w:rsidRPr="00BA77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қамтиды.</w:t>
      </w:r>
    </w:p>
    <w:p w:rsidR="00F64615" w:rsidRDefault="00F64615" w:rsidP="00F64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64615" w:rsidRDefault="00F64615" w:rsidP="00F646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</w:t>
      </w:r>
    </w:p>
    <w:p w:rsidR="00F64615" w:rsidRPr="00951906" w:rsidRDefault="00F64615" w:rsidP="00F64615">
      <w:pPr>
        <w:spacing w:line="240" w:lineRule="auto"/>
        <w:rPr>
          <w:lang w:val="kk-KZ"/>
        </w:rPr>
      </w:pPr>
    </w:p>
    <w:p w:rsidR="00F64615" w:rsidRDefault="00F64615" w:rsidP="00FC746E">
      <w:pPr>
        <w:pStyle w:val="a3"/>
        <w:spacing w:before="0" w:beforeAutospacing="0" w:after="0" w:afterAutospacing="0"/>
        <w:jc w:val="both"/>
        <w:rPr>
          <w:iCs/>
          <w:sz w:val="28"/>
          <w:szCs w:val="28"/>
          <w:lang w:val="kk-KZ"/>
        </w:rPr>
        <w:sectPr w:rsidR="00F64615" w:rsidSect="00F64615">
          <w:headerReference w:type="default" r:id="rId43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64615" w:rsidRPr="00A63585" w:rsidRDefault="00F64615" w:rsidP="00F64615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b/>
          <w:color w:val="000000"/>
          <w:sz w:val="28"/>
          <w:szCs w:val="28"/>
        </w:rPr>
        <w:lastRenderedPageBreak/>
        <w:t>ПРОТОКОЛ</w:t>
      </w:r>
    </w:p>
    <w:p w:rsidR="00F64615" w:rsidRDefault="00F64615" w:rsidP="00F64615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по оценке воздействия на окружающую среду </w:t>
      </w:r>
    </w:p>
    <w:p w:rsidR="00F64615" w:rsidRPr="00A63585" w:rsidRDefault="00F64615" w:rsidP="00F64615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в трансграничном контексте к рамочной конвенции</w:t>
      </w:r>
    </w:p>
    <w:p w:rsidR="00F64615" w:rsidRPr="00A63585" w:rsidRDefault="00F64615" w:rsidP="00F64615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>по защите морской среды К</w:t>
      </w:r>
      <w:r w:rsidRPr="00A63585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аспийского моря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54" w:name="_Toc260944447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Преамбула</w:t>
      </w:r>
      <w:bookmarkEnd w:id="54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Прикаспийские государства: Азербайджанская Республика, Исламская Республика Иран, Республика Казахстан, Российская Федерация, Туркменистан,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далее именуемые Договаривающимися Сторонами,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iCs/>
          <w:sz w:val="28"/>
          <w:szCs w:val="28"/>
        </w:rPr>
        <w:t>являясь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Сторонами Рамочной конвенции по защите морской среды Каспийского моря, совершенной 4 ноября 2003 года в Тегеране, Исламская Республика Иран, далее именуемой Конвенцией,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подтверждая готовность выполнять положения статей 7, 17 и 18 Конвенции,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исполненные решимости содействовать усилению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регионального взаимопонимания и сотрудничества по защите морской среды Каспийского моря между Договаривающимися Сторонами,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принципов устойчивого развития,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trike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iCs/>
          <w:sz w:val="28"/>
          <w:szCs w:val="28"/>
        </w:rPr>
        <w:t>отмечая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важность доступа к информации и участия общественности в процессе принятия решений по вопросам, касающимся окружающей среды,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договорились о нижеследующем: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bookmarkStart w:id="55" w:name="_Toc260944448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1. Использование терминов</w:t>
      </w:r>
      <w:bookmarkEnd w:id="55"/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Для целей настоящего Протокола: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a)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«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Сторона происхожд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ения» означает Договаривающуюся(-иеся) Сторону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(-ы) настоящего Про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токола, под юрисдикцией которой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(-ых) намечается осуществлять планируемую деятельность, указанную в Приложении I к настоящему Протоколу;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>(b)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ab/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«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Затрагиваемая Сторона» 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означает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Договаривающуюся(-иеся) Сторону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) настоящего Протокола, которая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-ые) может(-гут) быть                     затронута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(-ы) трансграничным воздействием планируемой деятельности. </w:t>
      </w:r>
      <w:r w:rsidRPr="00A63585">
        <w:rPr>
          <w:rFonts w:ascii="Times New Roman" w:eastAsia="SimSun" w:hAnsi="Times New Roman" w:cs="Times New Roman"/>
          <w:sz w:val="28"/>
          <w:szCs w:val="28"/>
        </w:rPr>
        <w:t>М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орские район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ы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, в которых Договаривающаяся (-иеся) Сторона(-ы) настоящего Протокола может(-гут) рассматриваться в качестве затрагиваемой Стороны, определяются в соответствии с положениями Конвенции о правовом статусе Каспийского моря после ее вступления в силу для всех Договаривающихся Сторон</w:t>
      </w:r>
      <w:r w:rsidRPr="00A63585">
        <w:rPr>
          <w:rFonts w:ascii="Times New Roman" w:eastAsia="SimSun" w:hAnsi="Times New Roman" w:cs="Times New Roman"/>
          <w:sz w:val="28"/>
          <w:szCs w:val="28"/>
        </w:rPr>
        <w:t>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(c)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«Заинтересованные Стороны» означает Сторону происхождения и затрагиваемую Сторону процедуры оценки воздействия на окружающую среду в соответствии с настоящим Протоколом; 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(d)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«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Оценка воздействия на окружающую среду» (далее – ОВОС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) означает национальную процедуру по проведению оценки возможного воздействия планируемой деятельности на окружающую среду;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(e)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«Планируемая деятельность»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(f)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«Воздействие»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означает любые последствия реализации планируемой деятельности для морской среды Каспийского моря, включая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и происходящие в результате изменения этих факторов;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(g)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«Трансграничное воздействие»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 xml:space="preserve"> означает любое воздействие при реализации планируемой деятельности Стороной происхождения на другую Договаривающуюся Сторону;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(h)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«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>Общественность»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означает одно или более физических или юридических лиц;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(i)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«Компетентный орган»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означает орган(-ы), назначаемый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(-ые) Договарив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ающейся Стороной, ответственный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(-ые) за выполнение задач, охватываемых настоящим Протоколом; 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(j)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«Пункт связи для целей уведомления»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означает пункт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или пункты связи, определенный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(-ые) Договаривающимися Сторонами, о котор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ом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(-ых) проинформированы другие Договаривающиеся Сторо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ны и Секретариат, ответственный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(-ные) за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получение уведомления, который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(-ые)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обеспечивает(-ют) уведомление соответствующего компетентного органа;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(k)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«Разработчик проекта»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означает инициатора, включая государственный орган, обращающегося за разрешением в отношении планируемой деятельности в соответствии с национальной процедурой;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(l)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«Конференция Договаривающихся Сторон» означает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орган, указанный в статье 22 Конвенции;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(m)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«Секретариат»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означает орган, указанный в статье 23 Конвенции.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56" w:name="_Toc260944449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2. Цель</w:t>
      </w:r>
      <w:bookmarkEnd w:id="56"/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Целью настоящего Протокола является проведение эффективных и открытых процедур ОВОС в трансграничном контексте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сохранению его биоразнообразия и рациональному использованию его природных ресурсов и охране здоровья человека.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57" w:name="_Toc260944450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Статья 3. Сфера применения </w:t>
      </w:r>
      <w:bookmarkEnd w:id="57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 xml:space="preserve">В соответствии со статьей 3 Конвенции настоящий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Протокол применяется к морской среде Каспийского моря c учетом колебания его уровня и загрязнения из наземных источников.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</w:pPr>
      <w:bookmarkStart w:id="58" w:name="_Toc260944451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4. Общие положения</w:t>
      </w:r>
      <w:bookmarkEnd w:id="58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в отношении видов планируемой деятельности, перечисленных в Приложении I к настоящему Протоколу, которые могут вызвать значительное трансграничное воздействие, с учетом критериев, содержащихся в Приложении II к нему,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 Приложении </w:t>
      </w:r>
      <w:smartTag w:uri="urn:schemas-microsoft-com:office:smarttags" w:element="stockticker">
        <w:r w:rsidRPr="00A63585">
          <w:rPr>
            <w:rFonts w:ascii="Times New Roman" w:eastAsia="SimSun" w:hAnsi="Times New Roman" w:cs="Times New Roman"/>
            <w:color w:val="000000"/>
            <w:sz w:val="28"/>
            <w:szCs w:val="28"/>
          </w:rPr>
          <w:t>III</w:t>
        </w:r>
      </w:smartTag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Каждая Договаривающаяся Сторона обеспечивает, чтобы виды планируемой деятельности, перечисленные в Приложении I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принятием решения по разрешению или проведению планируемой деятельности.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Заинтересованные Стороны обеспечивают эффективное участие общественности в процедуре ОВОС планируемой деятельности в соответствии с настоящим Протоколом, начиная с начальной стадии процедуры ОВОС.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попадающих под действие настоящего Протокола.</w:t>
      </w:r>
    </w:p>
    <w:p w:rsidR="00F64615" w:rsidRPr="00A63585" w:rsidRDefault="00F64615" w:rsidP="00F64615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Положения настоящего Протокола не ущемляют любые обязательства Договаривающихся Сторон в соответствии с международным правом в отношении оценки воздействия на окружающую среду в трансграничном контексте.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bookmarkStart w:id="59" w:name="_Toc260944452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5. Уведомление</w:t>
      </w:r>
      <w:bookmarkEnd w:id="59"/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В отношении планируемого вида деятельности, указанного в Приложении I к настоящему Протоколу, компетентный орган Стороны происхождения уведомляет,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 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Уведомление содержит, </w:t>
      </w:r>
      <w:r w:rsidRPr="00A63585">
        <w:rPr>
          <w:rFonts w:ascii="Times New Roman" w:eastAsia="SimSun" w:hAnsi="Times New Roman" w:cs="Times New Roman"/>
          <w:i/>
          <w:color w:val="000000"/>
          <w:sz w:val="28"/>
          <w:szCs w:val="28"/>
          <w:lang w:eastAsia="ja-JP"/>
        </w:rPr>
        <w:t>среди прочего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:</w:t>
      </w:r>
    </w:p>
    <w:p w:rsidR="00F64615" w:rsidRPr="00A63585" w:rsidRDefault="00F64615" w:rsidP="00F64615">
      <w:pPr>
        <w:numPr>
          <w:ilvl w:val="0"/>
          <w:numId w:val="21"/>
        </w:numPr>
        <w:tabs>
          <w:tab w:val="clear" w:pos="140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</w:p>
    <w:p w:rsidR="00F64615" w:rsidRPr="00A63585" w:rsidRDefault="00F64615" w:rsidP="00F64615">
      <w:pPr>
        <w:numPr>
          <w:ilvl w:val="0"/>
          <w:numId w:val="21"/>
        </w:numPr>
        <w:tabs>
          <w:tab w:val="clear" w:pos="140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приемлемые сроки, но не менее чем 30 дней после получения уведомления на английском и русском языках в соответствии с пунктом 3 статьи 5 настоящего Протокола, для направления ответа затрагиваемой Стороной на данное уведомление; </w:t>
      </w:r>
    </w:p>
    <w:p w:rsidR="00F64615" w:rsidRPr="00A63585" w:rsidRDefault="00F64615" w:rsidP="00F64615">
      <w:pPr>
        <w:numPr>
          <w:ilvl w:val="0"/>
          <w:numId w:val="21"/>
        </w:numPr>
        <w:tabs>
          <w:tab w:val="clear" w:pos="140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информацию относительно предусматриваемой процедуры ОВОС с указанием сроков проведения следующих шагов процедуры ОВОС, и в частности, тех, которые определены в статьях 6, 7 и 8 настоящего Протокола.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Сторона происхождения представляет документацию в уведомлении на государственном языке c переводом на английский или на русском языке.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Секретариат обеспечивает перевод документации на английский или русский язык соответственно.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Компетентный орган Стороны происхождения обеспечивает получение уведомления пунктом связи для целей уведомления затрагиваемой Стороны и Секретариатом.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Компетентный орган затрагиваемой Стороны направляет ответ компетентному органу Стороны происхождения и информирует 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 xml:space="preserve">Секретариат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в течение срока, определенного в уведомлении, с указанием, намерена ли она участвовать в процедуре ОВОС планируемой деятельности.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уведомлении, то положения пунктов 7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и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8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lastRenderedPageBreak/>
        <w:t xml:space="preserve">настоящей статьи и статей 6-11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настоящего Протокола,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исключая обязательство Стороны происхождения по отсылке проекта документации по оценке воздействия на окружающую среду 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 xml:space="preserve">Секретариату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в соответствии с подпунктом (b) пункта 3 статьи 7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настоящего Протокола, не применяются.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Если затрагиваемая Сторона указывает, что она намерена участвовать в процедуре ОВОС планируемой деятельности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, то она представляет Стороне происхождения в своем ответе на уведомление или вскоре после этого:</w:t>
      </w:r>
    </w:p>
    <w:p w:rsidR="00F64615" w:rsidRPr="00A63585" w:rsidRDefault="00F64615" w:rsidP="00F64615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соответствующую информацию о процедуре общественных консультаций в затрагиваемой Стороне;</w:t>
      </w:r>
    </w:p>
    <w:p w:rsidR="00F64615" w:rsidRPr="00A63585" w:rsidRDefault="00F64615" w:rsidP="00F64615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запрос, в случае его возникновения, о специфических вопросах, предполагаемых к решению в исследованиях по оценке воздействия на окружающую среду; и</w:t>
      </w:r>
    </w:p>
    <w:p w:rsidR="00F64615" w:rsidRPr="00A63585" w:rsidRDefault="00F64615" w:rsidP="00F64615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краткое изложение имеющейся доступной информации по вопросам, изложенным в подпункте (b) настоящего пункта.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</w:p>
    <w:p w:rsidR="00F64615" w:rsidRPr="00A63585" w:rsidRDefault="00F64615" w:rsidP="00F6461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пунктом 1 настоящей статьи, Сторона происхождения в соответствии с запросом такой Договаривающейся Стороны предоставляет ей достаточную информацию о том, будет ли иметь место значительное трансграничное воздействие в результате планируемой деятельности.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случае необходимости эти Стороны проводят консультации о возможном участии в процедуре ОВОС.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0" w:name="_Toc260944453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6. Связь между заинтересованными Сторонами</w:t>
      </w:r>
      <w:bookmarkEnd w:id="60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Компетентные органы заинтересованных Сторон проводят консультации и приходят к соглашению в отношении:</w:t>
      </w:r>
    </w:p>
    <w:p w:rsidR="00F64615" w:rsidRPr="00A63585" w:rsidRDefault="00F64615" w:rsidP="00F64615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необходимых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формата и языка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(-ов)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документации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</w:p>
    <w:p w:rsidR="00F64615" w:rsidRPr="00A63585" w:rsidRDefault="00F64615" w:rsidP="00F64615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</w:t>
      </w:r>
    </w:p>
    <w:p w:rsidR="00F64615" w:rsidRPr="00A63585" w:rsidRDefault="00F64615" w:rsidP="00F64615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срока рассмотрения документации по ОВОС затрагиваемой Стороной, не превышающего 90 дней.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2.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ab/>
        <w:t>Заинтересованные Стороны согласовывают при необходимости способы взаимодействия по выполнению задач настоящего Протокола.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1" w:name="_Toc260944454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lastRenderedPageBreak/>
        <w:t xml:space="preserve">Статья 7. Подготовка и направление проекта документации по </w:t>
      </w:r>
      <w:bookmarkEnd w:id="61"/>
      <w:r w:rsidRPr="005F6ABF">
        <w:rPr>
          <w:rFonts w:ascii="Times New Roman" w:eastAsia="SimSun" w:hAnsi="Times New Roman" w:cs="Times New Roman"/>
          <w:b/>
          <w:i/>
          <w:iCs/>
          <w:sz w:val="28"/>
          <w:szCs w:val="28"/>
        </w:rPr>
        <w:t>оценк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е</w:t>
      </w:r>
      <w:r w:rsidRPr="005F6ABF"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 воздействия на окружающую среду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Проведение </w:t>
      </w:r>
      <w:r w:rsidRPr="005F6ABF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оценки воздействия на окружающую среду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пунктом 7 статьи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              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5 настоящего Протокола.</w:t>
      </w:r>
    </w:p>
    <w:p w:rsidR="00F64615" w:rsidRPr="00A63585" w:rsidRDefault="00F64615" w:rsidP="00F6461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Сторона происхождения обеспечивает, чтобы разработчик проекта подготовил проект документации по </w:t>
      </w:r>
      <w:r w:rsidRPr="005F6ABF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оценк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е</w:t>
      </w:r>
      <w:r w:rsidRPr="005F6ABF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воздействия на окружающую среду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для проведения общественных консультаций и рассмотрения компетентным органом затрагиваемой Стороны. Проект документации по </w:t>
      </w:r>
      <w:r w:rsidRPr="005F6ABF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оценк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е</w:t>
      </w:r>
      <w:r w:rsidRPr="005F6ABF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воздействия на окружающую среду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представляется в формате и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а языке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(-ах) по согласованию между заинтересованными Сторонами в соответствии с пунктом 1 статьи 6 настоящего Протокола и содержит, как минимум, пункты, упомянутые в Приложении III, в дополнение к информации, запрашиваемой затрагиваемой Стороной в соответствии с пунктом 1 статьи 6 настоящего Протокола.</w:t>
      </w:r>
    </w:p>
    <w:p w:rsidR="00F64615" w:rsidRPr="00A63585" w:rsidRDefault="00F64615" w:rsidP="00F6461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Сторона происхождения направляет проект документации по ОВОС:</w:t>
      </w:r>
    </w:p>
    <w:p w:rsidR="00F64615" w:rsidRPr="00A63585" w:rsidRDefault="00F64615" w:rsidP="00F64615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компетентному органу затрагиваемой Стороны; и</w:t>
      </w:r>
    </w:p>
    <w:p w:rsidR="00F64615" w:rsidRPr="00A63585" w:rsidRDefault="00F64615" w:rsidP="00F64615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в Секретариат для предоставления этой информации по запросу какой-либо Договаривающейся Стороны.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</w:pPr>
      <w:bookmarkStart w:id="62" w:name="_Toc260944455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 xml:space="preserve">Статья 8. Рассмотрение документации по </w:t>
      </w:r>
      <w:r w:rsidRPr="005F6ABF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>оценк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>е</w:t>
      </w:r>
      <w:r w:rsidRPr="005F6ABF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 xml:space="preserve"> воздействия на окружающую среду</w:t>
      </w:r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 xml:space="preserve"> и проведение общественных консультаций</w:t>
      </w:r>
      <w:bookmarkEnd w:id="62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Заинтересованные Стороны обеспечивают информирование общественности в районах возможного воздействия в соответствии с пунктом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             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1 статьи 6 настоящего Протокола в отношении:</w:t>
      </w:r>
    </w:p>
    <w:p w:rsidR="00F64615" w:rsidRPr="00A63585" w:rsidRDefault="00F64615" w:rsidP="00F64615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планируемой деятельности;</w:t>
      </w:r>
    </w:p>
    <w:p w:rsidR="00F64615" w:rsidRPr="00A63585" w:rsidRDefault="00F64615" w:rsidP="00F64615">
      <w:pPr>
        <w:widowControl w:val="0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доступности проекта документации по </w:t>
      </w:r>
      <w:r w:rsidRPr="00F62AA9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оценк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е</w:t>
      </w:r>
      <w:r w:rsidRPr="00F62AA9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воздействия на окружающую среду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; и</w:t>
      </w:r>
    </w:p>
    <w:p w:rsidR="00F64615" w:rsidRPr="00A63585" w:rsidRDefault="00F64615" w:rsidP="00F64615">
      <w:pPr>
        <w:widowControl w:val="0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возможности и процедуры проведения общественных консультаций путем уведомления общественности или других соответствующих мер.</w:t>
      </w:r>
    </w:p>
    <w:p w:rsidR="00F64615" w:rsidRPr="00A63585" w:rsidRDefault="00F64615" w:rsidP="00F64615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 xml:space="preserve">Заинтересованные Стороны обеспечивают, чтобы проект документации по </w:t>
      </w:r>
      <w:r w:rsidRPr="00F62AA9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>оценке воздействия на окружающую среду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>, включая при необходимости вариант на бумажном носителе, был открыт и доступен общественности, а также размещен в доступных для общественности местах в соответствии с национальным законодательством.</w:t>
      </w:r>
    </w:p>
    <w:p w:rsidR="00F64615" w:rsidRPr="00A63585" w:rsidRDefault="00F64615" w:rsidP="00F64615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 или как согласовано в соответствии с подпунктом (b) пункта 1 статьи 6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настоящего Протокола.</w:t>
      </w:r>
    </w:p>
    <w:p w:rsidR="00F64615" w:rsidRPr="00A63585" w:rsidRDefault="00F64615" w:rsidP="00F64615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(c) пункта 1 статьи 6 настоящего Протокола, и направляет свои замечания компетентному органу Стороны происхождения.</w:t>
      </w:r>
    </w:p>
    <w:p w:rsidR="00F64615" w:rsidRPr="00A63585" w:rsidRDefault="00F64615" w:rsidP="00F64615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Сторона происхождения обеспечивает, чтобы разработчик проекта:</w:t>
      </w:r>
    </w:p>
    <w:p w:rsidR="00F64615" w:rsidRPr="00A63585" w:rsidRDefault="00F64615" w:rsidP="00F64615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суммировал и осуществлял перевод, при необходимости, полученных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замечаний;</w:t>
      </w:r>
    </w:p>
    <w:p w:rsidR="00F64615" w:rsidRPr="00A63585" w:rsidRDefault="00F64615" w:rsidP="00F64615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проводил дальнейшее изучение, где требуется; и</w:t>
      </w:r>
    </w:p>
    <w:p w:rsidR="00F64615" w:rsidRPr="00A63585" w:rsidRDefault="00F64615" w:rsidP="00F64615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включал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замечания,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</w:pPr>
      <w:bookmarkStart w:id="63" w:name="_Toc260944456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</w:t>
      </w:r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 xml:space="preserve"> 9. Консультации между заинтересованными Сторонами</w:t>
      </w:r>
      <w:bookmarkEnd w:id="63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numPr>
          <w:ilvl w:val="0"/>
          <w:numId w:val="16"/>
        </w:numPr>
        <w:tabs>
          <w:tab w:val="clear" w:pos="56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 </w:t>
      </w:r>
      <w:r w:rsidRPr="00A63585">
        <w:rPr>
          <w:rFonts w:ascii="Times New Roman" w:eastAsia="SimSun" w:hAnsi="Times New Roman" w:cs="Times New Roman"/>
          <w:i/>
          <w:color w:val="000000"/>
          <w:sz w:val="28"/>
          <w:szCs w:val="28"/>
          <w:lang w:eastAsia="ja-JP"/>
        </w:rPr>
        <w:t>среди прочего,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 xml:space="preserve"> по сокращению возможного негативного трансграничного воздействия.</w:t>
      </w:r>
    </w:p>
    <w:p w:rsidR="00F64615" w:rsidRPr="00A63585" w:rsidRDefault="00F64615" w:rsidP="00F64615">
      <w:pPr>
        <w:numPr>
          <w:ilvl w:val="0"/>
          <w:numId w:val="16"/>
        </w:numPr>
        <w:tabs>
          <w:tab w:val="clear" w:pos="56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Заинтересованные Стороны согласовывают на начальном этапе таких консультаций вопрос об их продолжительности в пределах разумных временных рамок. При этом срок проведения консультаций не должен превышать 180 дней, если не принято иного решения в период их проведения.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</w:pPr>
      <w:bookmarkStart w:id="64" w:name="_Toc260944457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</w:t>
      </w:r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t xml:space="preserve"> 10. Принятие окончательного решения по реализации планируемой деятельности</w:t>
      </w:r>
      <w:bookmarkEnd w:id="64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Компетентный орган Стороны происхождения принимает во внимание замечания, полученные в соответствии со статьей 8 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</w:p>
    <w:p w:rsidR="00F64615" w:rsidRPr="00A63585" w:rsidRDefault="00F64615" w:rsidP="00F64615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Компетентный орган Стороны происхождения предоставляет компетентному органу затрагиваемой Стороны и Секретариату окончательное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</w:p>
    <w:p w:rsidR="00F64615" w:rsidRPr="00A63585" w:rsidRDefault="00F64615" w:rsidP="00F64615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пунктом 3 статьи 8 настоящего Протокола.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DF586C" w:rsidRPr="00A63585" w:rsidRDefault="00DF586C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</w:pPr>
      <w:bookmarkStart w:id="65" w:name="_Toc260944458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  <w:lang w:eastAsia="ja-JP"/>
        </w:rPr>
        <w:lastRenderedPageBreak/>
        <w:t>Статья 11. Послепроектный анализ</w:t>
      </w:r>
      <w:bookmarkEnd w:id="65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</w:p>
    <w:p w:rsidR="00F64615" w:rsidRPr="00A63585" w:rsidRDefault="00F64615" w:rsidP="00F64615">
      <w:pPr>
        <w:numPr>
          <w:ilvl w:val="0"/>
          <w:numId w:val="1"/>
        </w:numPr>
        <w:tabs>
          <w:tab w:val="clear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>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 целесообразность проведения послепроектного анализа и, в случае такой целесообразности, в какой мере он будет проводиться.</w:t>
      </w:r>
    </w:p>
    <w:p w:rsidR="00F64615" w:rsidRPr="00A63585" w:rsidRDefault="00F64615" w:rsidP="00F64615">
      <w:pPr>
        <w:numPr>
          <w:ilvl w:val="0"/>
          <w:numId w:val="1"/>
        </w:numPr>
        <w:tabs>
          <w:tab w:val="clear" w:pos="56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Любой послепроектый анализ проводится для достижения следующих целей:</w:t>
      </w:r>
    </w:p>
    <w:p w:rsidR="00F64615" w:rsidRPr="00A63585" w:rsidRDefault="00F64615" w:rsidP="00F64615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</w:p>
    <w:p w:rsidR="00F64615" w:rsidRPr="00A63585" w:rsidRDefault="00F64615" w:rsidP="00F64615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анализ вида воздействия в целях обеспечения соответствующего уровня управления и готовности к действиям в условиях неопределенностей;</w:t>
      </w:r>
    </w:p>
    <w:p w:rsidR="00F64615" w:rsidRPr="00A63585" w:rsidRDefault="00F64615" w:rsidP="00F64615">
      <w:pPr>
        <w:numPr>
          <w:ilvl w:val="1"/>
          <w:numId w:val="1"/>
        </w:numPr>
        <w:tabs>
          <w:tab w:val="num" w:pos="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проверку прежних прогнозов, с тем, чтобы использовать полученный опыт в будущем при осуществлении аналогичных видов деятельности.</w:t>
      </w:r>
    </w:p>
    <w:p w:rsidR="00F64615" w:rsidRPr="00A63585" w:rsidRDefault="00F64615" w:rsidP="00F64615">
      <w:pPr>
        <w:numPr>
          <w:ilvl w:val="0"/>
          <w:numId w:val="1"/>
        </w:numPr>
        <w:tabs>
          <w:tab w:val="clear" w:pos="56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ja-JP"/>
        </w:rPr>
        <w:t>Если по завершении послепроектного анализа одна из Договаривающихся Сторон имеет достаточные основания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Сторону происхождения и Секретариат. В этом случае заинтересованные Стороны немедленно проводят консультации и предпринимают при необходимости соответствующие меры для уменьшения или устранения воздействия.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6" w:name="_Toc260944459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12. Представление докладов</w:t>
      </w:r>
      <w:bookmarkEnd w:id="66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7" w:name="_Toc260944460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13. Организационные положения</w:t>
      </w:r>
      <w:bookmarkEnd w:id="67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numPr>
          <w:ilvl w:val="0"/>
          <w:numId w:val="17"/>
        </w:numPr>
        <w:tabs>
          <w:tab w:val="clear" w:pos="567"/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 xml:space="preserve">Для целей настоящего Протокола и в соответствии с пунктом 10 статьи 22 Конвенции Конференция Договаривающихся Сторон, </w:t>
      </w:r>
      <w:r w:rsidRPr="00A63585">
        <w:rPr>
          <w:rFonts w:ascii="Times New Roman" w:eastAsia="SimSun" w:hAnsi="Times New Roman" w:cs="Times New Roman"/>
          <w:i/>
          <w:sz w:val="28"/>
          <w:szCs w:val="28"/>
          <w:lang w:eastAsia="en-GB"/>
        </w:rPr>
        <w:t>среди прочего</w:t>
      </w: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: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осуществляет контроль за выполнением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осуществляет регулярный обзор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рассматривает и принимает приложения к настоящему Протоколу;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рассматривает и принимает поправки к настоящему Протоколу или к его приложениям;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рассматривает отчеты, представляемые Секретариатом, по вопросам, связанным с выполнением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lastRenderedPageBreak/>
        <w:t>создает такие вспомогательные органы, которые могут быть необходимы для выполнения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осуществляет любые дополнительные функции, которые могут потребоваться для выполнения настоящего Протокола.</w:t>
      </w:r>
    </w:p>
    <w:p w:rsidR="00F64615" w:rsidRPr="00A63585" w:rsidRDefault="00F64615" w:rsidP="00F64615">
      <w:pPr>
        <w:numPr>
          <w:ilvl w:val="0"/>
          <w:numId w:val="17"/>
        </w:numPr>
        <w:tabs>
          <w:tab w:val="clear" w:pos="567"/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В соответствии с пунктом 4 статьи 23 Конвенции Секретариат, в частности: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предоставляет Договаривающимся Сторонам информацию относительно пунктов связи для уведомления 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 xml:space="preserve">Договаривающихся Сторон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электронном или в любом другом подходящем виде;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</w:p>
    <w:p w:rsidR="00F64615" w:rsidRPr="00A63585" w:rsidRDefault="00F64615" w:rsidP="00F64615">
      <w:pPr>
        <w:numPr>
          <w:ilvl w:val="2"/>
          <w:numId w:val="17"/>
        </w:numPr>
        <w:tabs>
          <w:tab w:val="num" w:pos="0"/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уведомление относительно планируемой деятельности в соответствии с пунктом 3 статьи 5 настоящего Протокола;</w:t>
      </w:r>
    </w:p>
    <w:p w:rsidR="00F64615" w:rsidRPr="00A63585" w:rsidRDefault="00F64615" w:rsidP="00F64615">
      <w:pPr>
        <w:numPr>
          <w:ilvl w:val="2"/>
          <w:numId w:val="17"/>
        </w:numPr>
        <w:tabs>
          <w:tab w:val="num" w:pos="0"/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документацию по </w:t>
      </w:r>
      <w:r w:rsidRPr="00F4486E">
        <w:rPr>
          <w:rFonts w:ascii="Times New Roman" w:eastAsia="SimSun" w:hAnsi="Times New Roman" w:cs="Times New Roman"/>
          <w:sz w:val="28"/>
          <w:szCs w:val="28"/>
        </w:rPr>
        <w:t>оценке воздействия на окружающую среду</w:t>
      </w:r>
      <w:r w:rsidRPr="00A63585">
        <w:rPr>
          <w:rFonts w:ascii="Times New Roman" w:eastAsia="SimSun" w:hAnsi="Times New Roman" w:cs="Times New Roman"/>
          <w:sz w:val="28"/>
          <w:szCs w:val="28"/>
        </w:rPr>
        <w:t>, предоставленную Стороной происхождения в соответствии с пунктом 3 статьи 7 настоящего Протокола; и</w:t>
      </w:r>
    </w:p>
    <w:p w:rsidR="00F64615" w:rsidRPr="00A63585" w:rsidRDefault="00F64615" w:rsidP="00F64615">
      <w:pPr>
        <w:numPr>
          <w:ilvl w:val="2"/>
          <w:numId w:val="17"/>
        </w:numPr>
        <w:tabs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 пунктом 2 статьи 10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подготавливает и распространяет отчеты по вопросам, связанным с выполнением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1361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 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</w:p>
    <w:p w:rsidR="00F64615" w:rsidRPr="00A6358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сотрудничает должным образом с региональными и международными организациями и программами; и</w:t>
      </w:r>
    </w:p>
    <w:p w:rsidR="00F64615" w:rsidRDefault="00F64615" w:rsidP="00F64615">
      <w:pPr>
        <w:numPr>
          <w:ilvl w:val="1"/>
          <w:numId w:val="17"/>
        </w:numPr>
        <w:tabs>
          <w:tab w:val="clear" w:pos="927"/>
          <w:tab w:val="num" w:pos="0"/>
          <w:tab w:val="left" w:pos="680"/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выполняет другие функции, которые могут быть определены Конференцией Договаривающихся Сторон. </w:t>
      </w:r>
    </w:p>
    <w:p w:rsidR="00DF586C" w:rsidRDefault="00DF586C" w:rsidP="00DF586C">
      <w:pPr>
        <w:tabs>
          <w:tab w:val="left" w:pos="680"/>
          <w:tab w:val="left" w:pos="1134"/>
          <w:tab w:val="left" w:pos="2835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DF586C" w:rsidRDefault="00DF586C" w:rsidP="00DF586C">
      <w:pPr>
        <w:tabs>
          <w:tab w:val="left" w:pos="680"/>
          <w:tab w:val="left" w:pos="1134"/>
          <w:tab w:val="left" w:pos="2835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DF586C" w:rsidRPr="00A63585" w:rsidRDefault="00DF586C" w:rsidP="00DF586C">
      <w:pPr>
        <w:tabs>
          <w:tab w:val="left" w:pos="680"/>
          <w:tab w:val="left" w:pos="1134"/>
          <w:tab w:val="left" w:pos="2835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8" w:name="_Toc260944461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lastRenderedPageBreak/>
        <w:t>Статья14. Финансирование</w:t>
      </w:r>
      <w:bookmarkEnd w:id="68"/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 xml:space="preserve">Для достижения целей настоящего Протокола </w:t>
      </w:r>
      <w:r w:rsidRPr="00A63585">
        <w:rPr>
          <w:rFonts w:ascii="Times New Roman" w:eastAsia="SimSun" w:hAnsi="Times New Roman" w:cs="Times New Roman"/>
          <w:iCs/>
          <w:sz w:val="28"/>
          <w:szCs w:val="28"/>
          <w:lang w:eastAsia="en-GB"/>
        </w:rPr>
        <w:t>Договаривающиеся</w:t>
      </w: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 xml:space="preserve"> Стороны, при наличии возможности, осуществляют финансовое обеспечение разработки и осуществления соответствующих программ, проектов и мер. Для этого </w:t>
      </w:r>
      <w:r w:rsidRPr="00A63585">
        <w:rPr>
          <w:rFonts w:ascii="Times New Roman" w:eastAsia="SimSun" w:hAnsi="Times New Roman" w:cs="Times New Roman"/>
          <w:iCs/>
          <w:sz w:val="28"/>
          <w:szCs w:val="28"/>
          <w:lang w:eastAsia="en-GB"/>
        </w:rPr>
        <w:t xml:space="preserve">Договаривающиеся </w:t>
      </w: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Стороны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>:</w:t>
      </w:r>
    </w:p>
    <w:p w:rsidR="00F64615" w:rsidRPr="00A63585" w:rsidRDefault="00F64615" w:rsidP="00F64615">
      <w:pPr>
        <w:numPr>
          <w:ilvl w:val="1"/>
          <w:numId w:val="18"/>
        </w:numPr>
        <w:tabs>
          <w:tab w:val="clear" w:pos="92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выделяют предусмотренные для этих целей внутренние финансовые ресурсы;</w:t>
      </w:r>
    </w:p>
    <w:p w:rsidR="00F64615" w:rsidRPr="00A63585" w:rsidRDefault="00F64615" w:rsidP="00F64615">
      <w:pPr>
        <w:numPr>
          <w:ilvl w:val="1"/>
          <w:numId w:val="18"/>
        </w:numPr>
        <w:tabs>
          <w:tab w:val="clear" w:pos="92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en-GB"/>
        </w:rPr>
        <w:t>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</w:p>
    <w:p w:rsidR="00F64615" w:rsidRPr="00A63585" w:rsidRDefault="00F64615" w:rsidP="00F64615">
      <w:pPr>
        <w:numPr>
          <w:ilvl w:val="1"/>
          <w:numId w:val="18"/>
        </w:numPr>
        <w:tabs>
          <w:tab w:val="clear" w:pos="927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  <w:t>изучают инновационные методы и стимулы для привлечения и направления ресурсов, включая средства фондов, правительственных учреждений других государств, международных организаций, неправительственных организаций и структур частного сектора.</w:t>
      </w:r>
    </w:p>
    <w:p w:rsidR="00F64615" w:rsidRPr="00A63585" w:rsidRDefault="00F64615" w:rsidP="00F64615">
      <w:pPr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Финансовые правила Конвенции применяются </w:t>
      </w:r>
      <w:r w:rsidRPr="00A63585">
        <w:rPr>
          <w:rFonts w:ascii="Times New Roman" w:eastAsia="SimSun" w:hAnsi="Times New Roman" w:cs="Times New Roman"/>
          <w:i/>
          <w:sz w:val="28"/>
          <w:szCs w:val="28"/>
        </w:rPr>
        <w:t>mutatis</w:t>
      </w:r>
      <w:r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i/>
          <w:sz w:val="28"/>
          <w:szCs w:val="28"/>
        </w:rPr>
        <w:t>mutandis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к настоящему Протоколу, если Конференция Договаривающихся Сторон не примет другого решения.</w:t>
      </w:r>
    </w:p>
    <w:p w:rsidR="00F64615" w:rsidRPr="00A63585" w:rsidRDefault="00F64615" w:rsidP="00F64615">
      <w:pPr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p w:rsidR="00F6461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69" w:name="_Toc260944462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15. Урегулирование споров</w:t>
      </w:r>
      <w:bookmarkEnd w:id="69"/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num" w:pos="0"/>
          <w:tab w:val="left" w:pos="680"/>
          <w:tab w:val="left" w:pos="1361"/>
          <w:tab w:val="left" w:pos="2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Любой спор между Договаривающимися Сторонами относительно применения или толкования положений настоящего Протокола разрешается в соответствии со статьей 30 Конвенции.</w:t>
      </w:r>
    </w:p>
    <w:p w:rsidR="00F64615" w:rsidRPr="00A63585" w:rsidRDefault="00F64615" w:rsidP="00F64615">
      <w:pPr>
        <w:tabs>
          <w:tab w:val="num" w:pos="0"/>
          <w:tab w:val="left" w:pos="680"/>
          <w:tab w:val="left" w:pos="1361"/>
          <w:tab w:val="left" w:pos="2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bookmarkStart w:id="70" w:name="_Toc260944463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16. Принятие и вступление в силу Протокола</w:t>
      </w:r>
      <w:bookmarkEnd w:id="70"/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Настоящий Протокол принимается единогласным решением </w:t>
      </w:r>
      <w:r w:rsidRPr="00A63585">
        <w:rPr>
          <w:rFonts w:ascii="Times New Roman" w:eastAsia="SimSun" w:hAnsi="Times New Roman" w:cs="Times New Roman"/>
          <w:iCs/>
          <w:sz w:val="28"/>
          <w:szCs w:val="28"/>
        </w:rPr>
        <w:t xml:space="preserve">Договаривающихся </w:t>
      </w:r>
      <w:r w:rsidRPr="00A63585">
        <w:rPr>
          <w:rFonts w:ascii="Times New Roman" w:eastAsia="SimSun" w:hAnsi="Times New Roman" w:cs="Times New Roman"/>
          <w:sz w:val="28"/>
          <w:szCs w:val="28"/>
        </w:rPr>
        <w:t>Сторон на сессии Конференции Договаривающихся Сторон.</w:t>
      </w:r>
    </w:p>
    <w:p w:rsidR="00F64615" w:rsidRPr="00A63585" w:rsidRDefault="00F64615" w:rsidP="00F64615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Настоящий Протокол открыт для подписания только прикаспийскими государствами в городе  ....... с ..... по ..... .</w:t>
      </w:r>
    </w:p>
    <w:p w:rsidR="00F64615" w:rsidRPr="00A63585" w:rsidRDefault="00F64615" w:rsidP="00F64615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</w:p>
    <w:p w:rsidR="00F64615" w:rsidRPr="00A63585" w:rsidRDefault="00F64615" w:rsidP="00F64615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Документы о ратификации, принятии, утверждении или присоединении к нему сдаются на хранение Депозитарию Конвенции.</w:t>
      </w:r>
    </w:p>
    <w:p w:rsidR="00F64615" w:rsidRPr="00A63585" w:rsidRDefault="00F64615" w:rsidP="00F64615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en-GB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lastRenderedPageBreak/>
        <w:t>Настоящий Протокол вступает в силу на девяностый день после сдачи на хранение документов о его ратификации, принятии, утверждении или присоединении к нему всеми прикаспийскими государствами.</w:t>
      </w:r>
    </w:p>
    <w:p w:rsidR="00F64615" w:rsidRPr="00A63585" w:rsidRDefault="00F64615" w:rsidP="00F646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71" w:name="_Toc260944464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17. Принятие поправок и приложений к настоящему Протоколу и поправок к его приложениям</w:t>
      </w:r>
      <w:bookmarkEnd w:id="71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статьями 24, 25 и 34 Конвенции.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bookmarkStart w:id="72" w:name="_Toc260944465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18. Воздействие Протокола на национальное законодательство</w:t>
      </w:r>
      <w:bookmarkEnd w:id="72"/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73" w:name="_Toc257022762"/>
      <w:bookmarkStart w:id="74" w:name="_Toc260944466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Статья 19. Связь с иными международными </w:t>
      </w:r>
      <w:bookmarkEnd w:id="73"/>
      <w:bookmarkEnd w:id="74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договорами</w:t>
      </w:r>
    </w:p>
    <w:p w:rsidR="00F64615" w:rsidRPr="00A63585" w:rsidRDefault="00F64615" w:rsidP="00F64615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64615" w:rsidRPr="00A63585" w:rsidRDefault="00F64615" w:rsidP="00F64615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Ничто в настоящем Протоколе не наносит ущерба правам и обязательствам Договаривающихся Сторон по иным международным договорам, участниками которых они являются.</w:t>
      </w:r>
    </w:p>
    <w:p w:rsidR="00F6461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75" w:name="_Toc260944467"/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20. Оговорки</w:t>
      </w:r>
      <w:bookmarkEnd w:id="75"/>
    </w:p>
    <w:p w:rsidR="00F64615" w:rsidRPr="00A63585" w:rsidRDefault="00F64615" w:rsidP="00F64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Никакие оговорки к настоящему Протоколу не допускаются.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bookmarkStart w:id="76" w:name="_Toc260944468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21. Депозитарий</w:t>
      </w:r>
      <w:bookmarkEnd w:id="76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Депозитарием настоящего Протокола является Депозитарий Конвенции.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color w:val="000000"/>
          <w:sz w:val="28"/>
          <w:szCs w:val="28"/>
          <w:lang w:eastAsia="en-GB"/>
        </w:rPr>
      </w:pPr>
      <w:bookmarkStart w:id="77" w:name="_Toc260944469"/>
      <w:r w:rsidRPr="00A63585">
        <w:rPr>
          <w:rFonts w:ascii="Times New Roman" w:eastAsia="SimSun" w:hAnsi="Times New Roman" w:cs="Times New Roman"/>
          <w:b/>
          <w:i/>
          <w:iCs/>
          <w:color w:val="000000"/>
          <w:sz w:val="28"/>
          <w:szCs w:val="28"/>
        </w:rPr>
        <w:t>Статья 22. Аутентичные тексты</w:t>
      </w:r>
      <w:bookmarkEnd w:id="77"/>
    </w:p>
    <w:p w:rsidR="00F64615" w:rsidRPr="00A63585" w:rsidRDefault="00F64615" w:rsidP="00F64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Тексты настоящего Протокола на азербайджанском, казахском, русском, туркменском, фарси и английском языках являются равно аутентичными. В случае споров о толковании или применении настоящего Протокола используется текст на английском языке.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en-GB"/>
        </w:rPr>
      </w:pPr>
      <w:bookmarkStart w:id="78" w:name="_Toc260944470"/>
      <w:r w:rsidRPr="00A63585">
        <w:rPr>
          <w:rFonts w:ascii="Times New Roman" w:eastAsia="SimSun" w:hAnsi="Times New Roman" w:cs="Times New Roman"/>
          <w:b/>
          <w:i/>
          <w:iCs/>
          <w:sz w:val="28"/>
          <w:szCs w:val="28"/>
        </w:rPr>
        <w:t>Статья 23. Отношение к переговорам по правовому статусу Каспийского моря</w:t>
      </w:r>
      <w:bookmarkEnd w:id="78"/>
    </w:p>
    <w:p w:rsidR="00F64615" w:rsidRPr="00A63585" w:rsidRDefault="00F64615" w:rsidP="00F64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en-GB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Никакие положения настоящего Протокола не интерпретируются как предопределяющие результат переговоров по правовому статусу Каспийского моря.</w:t>
      </w:r>
    </w:p>
    <w:p w:rsidR="00F64615" w:rsidRPr="00A63585" w:rsidRDefault="00F64615" w:rsidP="00F646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F64615" w:rsidRPr="00A63585" w:rsidRDefault="00F64615" w:rsidP="00F646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В удостоверение чего нижеподписавшиеся, должным образом на то уполномоченные, подписали настоящий Протокол.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en-GB"/>
        </w:rPr>
      </w:pPr>
    </w:p>
    <w:p w:rsidR="00F64615" w:rsidRPr="000E0F6C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</w:pP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Совершено в </w:t>
      </w:r>
      <w:r w:rsidR="000E0F6C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Москве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«</w:t>
      </w:r>
      <w:r w:rsidR="000E0F6C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20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»</w:t>
      </w:r>
      <w:r w:rsidR="000E0F6C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 xml:space="preserve"> июля 2018 </w:t>
      </w:r>
      <w:r w:rsidRPr="00A63585">
        <w:rPr>
          <w:rFonts w:ascii="Times New Roman" w:eastAsia="SimSun" w:hAnsi="Times New Roman" w:cs="Times New Roman"/>
          <w:color w:val="000000"/>
          <w:sz w:val="28"/>
          <w:szCs w:val="28"/>
        </w:rPr>
        <w:t>года</w:t>
      </w:r>
      <w:r w:rsidR="000E0F6C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nl-NL"/>
        </w:rPr>
      </w:pPr>
      <w:r w:rsidRPr="00A63585">
        <w:rPr>
          <w:rFonts w:ascii="Times New Roman" w:eastAsia="SimSun" w:hAnsi="Times New Roman" w:cs="Times New Roman"/>
          <w:sz w:val="28"/>
          <w:szCs w:val="28"/>
          <w:lang w:eastAsia="nl-NL"/>
        </w:rPr>
        <w:br w:type="page"/>
      </w:r>
    </w:p>
    <w:p w:rsidR="00F64615" w:rsidRPr="00A63585" w:rsidRDefault="00F64615" w:rsidP="00F64615">
      <w:pPr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b/>
          <w:sz w:val="28"/>
          <w:szCs w:val="28"/>
        </w:rPr>
      </w:pPr>
      <w:bookmarkStart w:id="79" w:name="_Toc260944471"/>
      <w:r w:rsidRPr="00A63585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ПРИЛОЖЕНИЕ I</w:t>
      </w:r>
      <w:bookmarkEnd w:id="79"/>
    </w:p>
    <w:p w:rsidR="00F64615" w:rsidRPr="00A63585" w:rsidRDefault="00F64615" w:rsidP="00F64615">
      <w:pPr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bCs/>
          <w:sz w:val="28"/>
          <w:szCs w:val="28"/>
        </w:rPr>
      </w:pPr>
      <w:bookmarkStart w:id="80" w:name="_Toc260944472"/>
      <w:r w:rsidRPr="00A63585">
        <w:rPr>
          <w:rFonts w:ascii="Times New Roman" w:eastAsia="SimSun" w:hAnsi="Times New Roman" w:cs="Times New Roman"/>
          <w:b/>
          <w:bCs/>
          <w:sz w:val="28"/>
          <w:szCs w:val="28"/>
        </w:rPr>
        <w:t>Перечень видов деятельности</w:t>
      </w:r>
      <w:bookmarkEnd w:id="80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или более в день.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2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Тепловые электростанции и другие установки для сжигания тепловой мощностью 300 мегаватт или более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Атомные электростанции и другие атомные реакторы, включая демонтаж или вывод из эксплуатации таких электростанций или реакторов</w:t>
      </w:r>
      <w:r w:rsidRPr="00A63585"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 w:rsidRPr="00A63585">
        <w:rPr>
          <w:rFonts w:ascii="Times New Roman" w:eastAsia="SimSun" w:hAnsi="Times New Roman" w:cs="Times New Roman"/>
          <w:sz w:val="28"/>
          <w:szCs w:val="28"/>
        </w:rPr>
        <w:t>, 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</w:t>
      </w:r>
      <w:r>
        <w:rPr>
          <w:rFonts w:ascii="Times New Roman" w:eastAsia="SimSun" w:hAnsi="Times New Roman" w:cs="Times New Roman"/>
          <w:sz w:val="28"/>
          <w:szCs w:val="28"/>
        </w:rPr>
        <w:t>иловатта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постоянной тепловой нагрузки.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Крупные установки для доменного и сталеплавильного производства и выплавки цветных металлов.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Установки для извлечения асбеста и переработки и преобразования асбеста и асбестосодержащих продуктов: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отношении асбестоцементных продуктов – с годовым производством более 20000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готовой продукции;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отношении фрикционных материалов – с годовым производством более 50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готовой продукции; и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отношении других видов применения асбеста – с использованием более 200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 год.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7.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Химические и нефтехимические предприятия.</w:t>
      </w:r>
    </w:p>
    <w:p w:rsidR="00F64615" w:rsidRPr="002B601D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8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Строительство, реконструкция и/или расширение автомагистралей, скоростных дорог</w:t>
      </w:r>
      <w:r w:rsidRPr="00A63585">
        <w:rPr>
          <w:rFonts w:ascii="Times New Roman" w:eastAsia="SimSun" w:hAnsi="Times New Roman" w:cs="Times New Roman"/>
          <w:sz w:val="28"/>
          <w:szCs w:val="28"/>
          <w:vertAlign w:val="superscript"/>
        </w:rPr>
        <w:t>2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, трасс для железных дорог дальнего </w:t>
      </w:r>
      <w:r w:rsidRPr="002B601D">
        <w:rPr>
          <w:rFonts w:ascii="Times New Roman" w:eastAsia="SimSun" w:hAnsi="Times New Roman" w:cs="Times New Roman"/>
          <w:sz w:val="28"/>
          <w:szCs w:val="28"/>
        </w:rPr>
        <w:t>сообщения и сопутствующих мостов и аэропортов</w:t>
      </w:r>
      <w:r w:rsidRPr="002B601D">
        <w:rPr>
          <w:rFonts w:ascii="Times New Roman" w:eastAsia="SimSun" w:hAnsi="Times New Roman" w:cs="Times New Roman"/>
          <w:sz w:val="28"/>
          <w:szCs w:val="28"/>
          <w:vertAlign w:val="superscript"/>
        </w:rPr>
        <w:t>3</w:t>
      </w:r>
      <w:r w:rsidRPr="002B601D">
        <w:rPr>
          <w:rFonts w:ascii="Times New Roman" w:eastAsia="SimSun" w:hAnsi="Times New Roman" w:cs="Times New Roman"/>
          <w:sz w:val="28"/>
          <w:szCs w:val="28"/>
        </w:rPr>
        <w:t xml:space="preserve"> с длиной основной взлетно-посадочной полосы в </w:t>
      </w:r>
      <w:smartTag w:uri="urn:schemas-microsoft-com:office:smarttags" w:element="metricconverter">
        <w:smartTagPr>
          <w:attr w:name="ProductID" w:val="2100 м"/>
        </w:smartTagPr>
        <w:r w:rsidRPr="002B601D">
          <w:rPr>
            <w:rFonts w:ascii="Times New Roman" w:eastAsia="SimSun" w:hAnsi="Times New Roman" w:cs="Times New Roman"/>
            <w:sz w:val="28"/>
            <w:szCs w:val="28"/>
          </w:rPr>
          <w:t>2100 метров</w:t>
        </w:r>
      </w:smartTag>
      <w:r w:rsidRPr="002B601D">
        <w:rPr>
          <w:rFonts w:ascii="Times New Roman" w:eastAsia="SimSun" w:hAnsi="Times New Roman" w:cs="Times New Roman"/>
          <w:sz w:val="28"/>
          <w:szCs w:val="28"/>
        </w:rPr>
        <w:t xml:space="preserve"> или более.</w:t>
      </w:r>
    </w:p>
    <w:p w:rsidR="00F64615" w:rsidRPr="002B601D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B601D">
        <w:rPr>
          <w:rFonts w:ascii="Times New Roman" w:eastAsia="SimSun" w:hAnsi="Times New Roman" w:cs="Times New Roman"/>
          <w:bCs/>
          <w:sz w:val="28"/>
          <w:szCs w:val="28"/>
        </w:rPr>
        <w:t>9.</w:t>
      </w:r>
      <w:r w:rsidRPr="002B601D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2B601D">
        <w:rPr>
          <w:rFonts w:ascii="Times New Roman" w:eastAsia="SimSun" w:hAnsi="Times New Roman" w:cs="Times New Roman"/>
          <w:sz w:val="28"/>
          <w:szCs w:val="28"/>
        </w:rPr>
        <w:t>Трубопроводы большого диаметра для транспортировки нефти, газа и нефтепродуктов или химических веществ.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Морские/торговые порты, а также внутренние водные пути и порты для внутреннего судоходства, допускающие проход судов водоизмещением более 1350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11.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>Установки по удалению отходов путем сжигания, химической переработки и объекты захоронения отходов.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12.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 xml:space="preserve">Крупные плотины, водохранилища </w:t>
      </w:r>
      <w:r w:rsidRPr="00A6358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ja-JP"/>
        </w:rPr>
        <w:t>и каналы, соединенные с Каспийским морем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13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</w:t>
      </w:r>
      <w:r>
        <w:rPr>
          <w:rFonts w:ascii="Times New Roman" w:eastAsia="SimSun" w:hAnsi="Times New Roman" w:cs="Times New Roman"/>
          <w:sz w:val="28"/>
          <w:szCs w:val="28"/>
        </w:rPr>
        <w:t> 000 000 кубических метров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или более.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14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Производство целлюлозы, бумаги и картона с получением в день 200 или более тонн продукции, прошедшей воздушную сушку.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15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Крупные карьеры и крупномасштабная открытая добыча, извлечение и обогащение на месте металлических руд или угля.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16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Морская добыча углеводородов. Добыча нефти и природного газа при которой извлекаемое количество превышает 500 т</w:t>
      </w:r>
      <w:r>
        <w:rPr>
          <w:rFonts w:ascii="Times New Roman" w:eastAsia="SimSun" w:hAnsi="Times New Roman" w:cs="Times New Roman"/>
          <w:sz w:val="28"/>
          <w:szCs w:val="28"/>
        </w:rPr>
        <w:t>онн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 день в случае нефти и 500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A63585">
        <w:rPr>
          <w:rFonts w:ascii="Times New Roman" w:eastAsia="SimSun" w:hAnsi="Times New Roman" w:cs="Times New Roman"/>
          <w:sz w:val="28"/>
          <w:szCs w:val="28"/>
        </w:rPr>
        <w:t>000</w:t>
      </w:r>
      <w:r>
        <w:rPr>
          <w:rFonts w:ascii="Times New Roman" w:eastAsia="SimSun" w:hAnsi="Times New Roman" w:cs="Times New Roman"/>
          <w:sz w:val="28"/>
          <w:szCs w:val="28"/>
        </w:rPr>
        <w:t xml:space="preserve"> кубических метров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 день в случае газа.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17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Крупные хранилища для нефтяных, нефтехимических и химических продуктов.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18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Обезлесение больших площадей.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19.</w:t>
      </w:r>
      <w:r w:rsidRPr="00A63585">
        <w:rPr>
          <w:rFonts w:ascii="Times New Roman" w:eastAsia="SimSun" w:hAnsi="Times New Roman" w:cs="Times New Roman"/>
          <w:bCs/>
          <w:sz w:val="28"/>
          <w:szCs w:val="28"/>
        </w:rPr>
        <w:tab/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Работы по переброске водных ресурсов в пределах или между речными бассейнами, при которых такая переброска направлена на предотвращение возможной нехватки воды и объем перемещаемой воды превышает </w:t>
      </w:r>
      <w:r w:rsidRPr="00CD2E45">
        <w:rPr>
          <w:rFonts w:ascii="Times New Roman" w:eastAsia="SimSun" w:hAnsi="Times New Roman" w:cs="Times New Roman"/>
          <w:sz w:val="28"/>
          <w:szCs w:val="28"/>
        </w:rPr>
        <w:t xml:space="preserve">100 000 000 кубических метров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год; во всех других случаях работы по переброске водных ресурсов в пределах или между речными бассейнами с многолетним средним потоком забора воды из бассейна, превышающим</w:t>
      </w:r>
      <w:r>
        <w:rPr>
          <w:rFonts w:ascii="Times New Roman" w:eastAsia="SimSun" w:hAnsi="Times New Roman" w:cs="Times New Roman"/>
          <w:sz w:val="28"/>
          <w:szCs w:val="28"/>
        </w:rPr>
        <w:t xml:space="preserve"> 2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D2E45">
        <w:rPr>
          <w:rFonts w:ascii="Times New Roman" w:eastAsia="SimSun" w:hAnsi="Times New Roman" w:cs="Times New Roman"/>
          <w:sz w:val="28"/>
          <w:szCs w:val="28"/>
        </w:rPr>
        <w:t xml:space="preserve">000 000 000 кубических метров </w:t>
      </w:r>
      <w:r w:rsidRPr="00A63585">
        <w:rPr>
          <w:rFonts w:ascii="Times New Roman" w:eastAsia="SimSun" w:hAnsi="Times New Roman" w:cs="Times New Roman"/>
          <w:sz w:val="28"/>
          <w:szCs w:val="28"/>
        </w:rPr>
        <w:t>в год, при которых объем перебрасываемой воды превышает 5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процентов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этого потока. В обоих случаях исключается переброска водопроводной питьевой воды.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20.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 xml:space="preserve">Установки для очистки сточных вод производительностью, превышающей эквивалент численности населения в размере </w:t>
      </w:r>
      <w:r>
        <w:rPr>
          <w:rFonts w:ascii="Times New Roman" w:eastAsia="SimSun" w:hAnsi="Times New Roman" w:cs="Times New Roman"/>
          <w:sz w:val="28"/>
          <w:szCs w:val="28"/>
        </w:rPr>
        <w:t>150 000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человек.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21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Предприятия микробиологической и биотехнологической промышленности и выпуск в окружающую среду генно-модифицированных организмов.</w:t>
      </w:r>
    </w:p>
    <w:p w:rsidR="00F6461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22</w:t>
      </w:r>
      <w:r w:rsidRPr="00A63585">
        <w:rPr>
          <w:rFonts w:ascii="Times New Roman" w:eastAsia="SimSun" w:hAnsi="Times New Roman" w:cs="Times New Roman"/>
          <w:sz w:val="28"/>
          <w:szCs w:val="28"/>
        </w:rPr>
        <w:t>.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Искусственное наращивание участков суши и создание островов, кос и рифов.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A63585">
        <w:rPr>
          <w:rFonts w:ascii="Times New Roman" w:eastAsia="SimSun" w:hAnsi="Times New Roman" w:cs="Times New Roman"/>
          <w:b/>
          <w:sz w:val="28"/>
          <w:szCs w:val="28"/>
        </w:rPr>
        <w:br w:type="page"/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Примечание к Приложению I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  <w:vertAlign w:val="superscript"/>
        </w:rPr>
        <w:t>2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Для целей настоящего Протокола: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- Термин «автомагистраль» означает дорогу, специально построенную и предназначенную для движения автотранспортных средств, которая не обслуживает придорожные владения и которая: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(а)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за исключением отдельных мест или временных ограничений имеет для обоих направлений движения отдельные проезжие части, отделенные друг от д</w:t>
      </w:r>
      <w:r>
        <w:rPr>
          <w:rFonts w:ascii="Times New Roman" w:eastAsia="SimSun" w:hAnsi="Times New Roman" w:cs="Times New Roman"/>
          <w:sz w:val="28"/>
          <w:szCs w:val="28"/>
        </w:rPr>
        <w:t>руга разделительной не</w:t>
      </w:r>
      <w:r w:rsidRPr="00A63585">
        <w:rPr>
          <w:rFonts w:ascii="Times New Roman" w:eastAsia="SimSun" w:hAnsi="Times New Roman" w:cs="Times New Roman"/>
          <w:sz w:val="28"/>
          <w:szCs w:val="28"/>
        </w:rPr>
        <w:t>предназначенной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для движения </w:t>
      </w:r>
      <w:r>
        <w:rPr>
          <w:rFonts w:ascii="Times New Roman" w:eastAsia="SimSun" w:hAnsi="Times New Roman" w:cs="Times New Roman"/>
          <w:sz w:val="28"/>
          <w:szCs w:val="28"/>
        </w:rPr>
        <w:t xml:space="preserve">полосой, </w:t>
      </w:r>
      <w:r w:rsidRPr="00A63585">
        <w:rPr>
          <w:rFonts w:ascii="Times New Roman" w:eastAsia="SimSun" w:hAnsi="Times New Roman" w:cs="Times New Roman"/>
          <w:sz w:val="28"/>
          <w:szCs w:val="28"/>
        </w:rPr>
        <w:t>или, в исключительных случаях, другими средствами;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(b)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не имеет пересечения на одном уровне ни с дорогами, ни с железнодорожными или трамвайными путями, ни с пешеходными дорожками; 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(с)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специально обозначена в качестве автомагистрали.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- Термин «скоростная дорога»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Default="00F64615" w:rsidP="00F64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  <w:vertAlign w:val="superscript"/>
        </w:rPr>
        <w:t>3</w:t>
      </w:r>
      <w:r w:rsidRPr="00A63585">
        <w:rPr>
          <w:rFonts w:ascii="Times New Roman" w:eastAsia="SimSun" w:hAnsi="Times New Roman" w:cs="Times New Roman"/>
          <w:sz w:val="28"/>
          <w:szCs w:val="28"/>
        </w:rPr>
        <w:tab/>
        <w:t>Для целей настоящего Протокола термин «аэропорт» означает аэропорт, который соответствует определению</w:t>
      </w:r>
      <w:r w:rsidRPr="00F87846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в П</w:t>
      </w:r>
      <w:r w:rsidRPr="00A63585">
        <w:rPr>
          <w:rFonts w:ascii="Times New Roman" w:eastAsia="SimSun" w:hAnsi="Times New Roman" w:cs="Times New Roman"/>
          <w:sz w:val="28"/>
          <w:szCs w:val="28"/>
        </w:rPr>
        <w:t>риложение 14</w:t>
      </w:r>
      <w:r>
        <w:rPr>
          <w:rFonts w:ascii="Times New Roman" w:eastAsia="SimSun" w:hAnsi="Times New Roman" w:cs="Times New Roman"/>
          <w:sz w:val="28"/>
          <w:szCs w:val="28"/>
        </w:rPr>
        <w:t xml:space="preserve"> к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К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онвенции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о международной гражданской авиации, Чикаго, США, </w:t>
      </w:r>
      <w:r w:rsidRPr="00A63585">
        <w:rPr>
          <w:rFonts w:ascii="Times New Roman" w:eastAsia="SimSun" w:hAnsi="Times New Roman" w:cs="Times New Roman"/>
          <w:sz w:val="28"/>
          <w:szCs w:val="28"/>
        </w:rPr>
        <w:t>1944 года, учреждающ</w:t>
      </w:r>
      <w:r>
        <w:rPr>
          <w:rFonts w:ascii="Times New Roman" w:eastAsia="SimSun" w:hAnsi="Times New Roman" w:cs="Times New Roman"/>
          <w:sz w:val="28"/>
          <w:szCs w:val="28"/>
        </w:rPr>
        <w:t>ую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Международную организацию гражданской авиации.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br w:type="page"/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b/>
          <w:sz w:val="28"/>
          <w:szCs w:val="28"/>
        </w:rPr>
      </w:pPr>
      <w:bookmarkStart w:id="81" w:name="_Toc260944473"/>
      <w:r w:rsidRPr="00A63585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ПРИЛОЖЕНИЕ II</w:t>
      </w:r>
      <w:bookmarkEnd w:id="81"/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sz w:val="28"/>
          <w:szCs w:val="28"/>
        </w:rPr>
      </w:pPr>
      <w:bookmarkStart w:id="82" w:name="_Toc260944474"/>
      <w:r w:rsidRPr="00A63585">
        <w:rPr>
          <w:rFonts w:ascii="Times New Roman" w:eastAsia="SimSun" w:hAnsi="Times New Roman" w:cs="Times New Roman"/>
          <w:b/>
          <w:sz w:val="28"/>
          <w:szCs w:val="28"/>
        </w:rPr>
        <w:t>Перечень критериев, способствующих определению значительного трансграничного воздействия</w:t>
      </w:r>
      <w:bookmarkEnd w:id="82"/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(а)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Размер: планируемые виды деятельности, размеры которой велики для этого рода деятельности;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(b)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Расположение: планируемые виды деятельности, которые располагаются непосредственно в районах особой экологической чувствительности или значимости или вблизи к ним (такие как водно-болотные угодья, определенные Конвенцией о водно-болотных угодьях, имеющих международное значение, главным образом в качестве местообитаний водоплавающих птиц от 2 февраля 1971 года,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</w:p>
    <w:p w:rsidR="00F64615" w:rsidRPr="00A63585" w:rsidRDefault="00F64615" w:rsidP="00F6461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(c)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Воздействия: планируемые виды деятельности с особенно комплексным и потенциально негативным воздействием, включая те виды деятельности, которые увеличивают риск серьезного воздействия на человека, или ценные виды, или организмы, угрожают существующему или потенциальному использованию затрагиваемого района и являются причиной дополнительных выбросов, которые не может выдержать несущий потенциал окружающей среды.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br w:type="page"/>
      </w:r>
    </w:p>
    <w:p w:rsidR="00F64615" w:rsidRPr="00A63585" w:rsidRDefault="00F64615" w:rsidP="00F64615">
      <w:pPr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b/>
          <w:sz w:val="28"/>
          <w:szCs w:val="28"/>
        </w:rPr>
      </w:pPr>
      <w:bookmarkStart w:id="83" w:name="_Toc260944475"/>
      <w:r w:rsidRPr="00A63585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ПРИЛОЖЕНИЕ III</w:t>
      </w:r>
      <w:bookmarkEnd w:id="83"/>
    </w:p>
    <w:p w:rsidR="00F64615" w:rsidRPr="00A63585" w:rsidRDefault="00F64615" w:rsidP="00F64615">
      <w:pPr>
        <w:spacing w:after="0" w:line="240" w:lineRule="auto"/>
        <w:ind w:firstLine="709"/>
        <w:jc w:val="center"/>
        <w:outlineLvl w:val="6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outlineLvl w:val="6"/>
        <w:rPr>
          <w:rFonts w:ascii="Times New Roman" w:eastAsia="SimSun" w:hAnsi="Times New Roman" w:cs="Times New Roman"/>
          <w:b/>
          <w:sz w:val="28"/>
          <w:szCs w:val="28"/>
        </w:rPr>
      </w:pPr>
      <w:bookmarkStart w:id="84" w:name="_Toc260944476"/>
      <w:r w:rsidRPr="00A63585">
        <w:rPr>
          <w:rFonts w:ascii="Times New Roman" w:eastAsia="SimSun" w:hAnsi="Times New Roman" w:cs="Times New Roman"/>
          <w:b/>
          <w:sz w:val="28"/>
          <w:szCs w:val="28"/>
        </w:rPr>
        <w:t>Минимальное содержание документации по оценке воздействия на окружающую среду</w:t>
      </w:r>
      <w:bookmarkEnd w:id="84"/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sz w:val="28"/>
          <w:szCs w:val="28"/>
        </w:rPr>
        <w:t>Информация, подлежащая включению в документацию по оценке воздействия на окружающую среду в соответствии со статьей 6 настоящего Протокола, как минимум, содержит: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(a)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описание планируемой деятельности и ее цели;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(b)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(c)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описание тех элементов окружающей среды, которые, вероятно, будут существенно затронуты планируемой деятельностью или её альтернативными вариантами;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(d)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описание возможных </w:t>
      </w:r>
      <w:r w:rsidRPr="00E87020">
        <w:rPr>
          <w:rFonts w:ascii="Times New Roman" w:eastAsia="SimSun" w:hAnsi="Times New Roman" w:cs="Times New Roman"/>
          <w:sz w:val="28"/>
          <w:szCs w:val="28"/>
        </w:rPr>
        <w:t>видов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воздействия на окружающую среду планируемой деятельности и её альтернативных вариантов и оценка их масштабов;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(e)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описание предупредительных мер, направленных на то, чтобы свести к минимуму негативное воздействие на окружающую среду;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(f)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(g)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выявление пробелов в знаниях и неопределенностей, которые были обнаружены при подготовке требуемой информации;</w:t>
      </w:r>
    </w:p>
    <w:p w:rsidR="00F64615" w:rsidRPr="00A6358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(h)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при необходимости, краткое содержание программ мониторинга и управления всех планов послепроектного анализа; и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63585">
        <w:rPr>
          <w:rFonts w:ascii="Times New Roman" w:eastAsia="SimSun" w:hAnsi="Times New Roman" w:cs="Times New Roman"/>
          <w:bCs/>
          <w:sz w:val="28"/>
          <w:szCs w:val="28"/>
        </w:rPr>
        <w:t>(i)</w:t>
      </w:r>
      <w:r w:rsidRPr="00A63585">
        <w:rPr>
          <w:rFonts w:ascii="Times New Roman" w:eastAsia="SimSun" w:hAnsi="Times New Roman" w:cs="Times New Roman"/>
          <w:sz w:val="28"/>
          <w:szCs w:val="28"/>
        </w:rPr>
        <w:t xml:space="preserve"> резюме нетехнического характера, при необходимости, с использованием визуальных средств представления </w:t>
      </w:r>
      <w:r>
        <w:rPr>
          <w:rFonts w:ascii="Times New Roman" w:eastAsia="SimSun" w:hAnsi="Times New Roman" w:cs="Times New Roman"/>
          <w:sz w:val="28"/>
          <w:szCs w:val="28"/>
        </w:rPr>
        <w:t>материалов (карт, графиков</w:t>
      </w:r>
      <w:r w:rsidRPr="00A63585">
        <w:rPr>
          <w:rFonts w:ascii="Times New Roman" w:eastAsia="SimSun" w:hAnsi="Times New Roman" w:cs="Times New Roman"/>
          <w:sz w:val="28"/>
          <w:szCs w:val="28"/>
        </w:rPr>
        <w:t>).</w:t>
      </w:r>
    </w:p>
    <w:p w:rsidR="00F64615" w:rsidRDefault="00F64615" w:rsidP="00F646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F64615" w:rsidRPr="00A63585" w:rsidRDefault="00F64615" w:rsidP="00F64615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_________________________</w:t>
      </w:r>
    </w:p>
    <w:p w:rsidR="00F64615" w:rsidRPr="00780D52" w:rsidRDefault="00F64615" w:rsidP="00FC746E">
      <w:pPr>
        <w:pStyle w:val="a3"/>
        <w:spacing w:before="0" w:beforeAutospacing="0" w:after="0" w:afterAutospacing="0"/>
        <w:jc w:val="both"/>
        <w:rPr>
          <w:iCs/>
          <w:sz w:val="28"/>
          <w:szCs w:val="28"/>
          <w:lang w:val="kk-KZ"/>
        </w:rPr>
      </w:pPr>
    </w:p>
    <w:sectPr w:rsidR="00F64615" w:rsidRPr="00780D52" w:rsidSect="00F64615">
      <w:headerReference w:type="default" r:id="rId44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36" w:rsidRDefault="00503A36" w:rsidP="00F64615">
      <w:pPr>
        <w:spacing w:after="0" w:line="240" w:lineRule="auto"/>
      </w:pPr>
      <w:r>
        <w:separator/>
      </w:r>
    </w:p>
  </w:endnote>
  <w:endnote w:type="continuationSeparator" w:id="0">
    <w:p w:rsidR="00503A36" w:rsidRDefault="00503A36" w:rsidP="00F6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36" w:rsidRDefault="00503A36" w:rsidP="00F64615">
      <w:pPr>
        <w:spacing w:after="0" w:line="240" w:lineRule="auto"/>
      </w:pPr>
      <w:r>
        <w:separator/>
      </w:r>
    </w:p>
  </w:footnote>
  <w:footnote w:type="continuationSeparator" w:id="0">
    <w:p w:rsidR="00503A36" w:rsidRDefault="00503A36" w:rsidP="00F6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513242"/>
      <w:docPartObj>
        <w:docPartGallery w:val="Page Numbers (Top of Page)"/>
        <w:docPartUnique/>
      </w:docPartObj>
    </w:sdtPr>
    <w:sdtContent>
      <w:p w:rsidR="006E1307" w:rsidRDefault="006E13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1C5">
          <w:rPr>
            <w:noProof/>
          </w:rPr>
          <w:t>16</w:t>
        </w:r>
        <w:r>
          <w:fldChar w:fldCharType="end"/>
        </w:r>
      </w:p>
    </w:sdtContent>
  </w:sdt>
  <w:p w:rsidR="006E1307" w:rsidRDefault="006E130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688221"/>
      <w:docPartObj>
        <w:docPartGallery w:val="Page Numbers (Top of Page)"/>
        <w:docPartUnique/>
      </w:docPartObj>
    </w:sdtPr>
    <w:sdtContent>
      <w:p w:rsidR="006E1307" w:rsidRDefault="006E13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1C5">
          <w:rPr>
            <w:noProof/>
          </w:rPr>
          <w:t>10</w:t>
        </w:r>
        <w:r>
          <w:fldChar w:fldCharType="end"/>
        </w:r>
      </w:p>
    </w:sdtContent>
  </w:sdt>
  <w:p w:rsidR="006E1307" w:rsidRDefault="006E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E0B"/>
    <w:multiLevelType w:val="multilevel"/>
    <w:tmpl w:val="66C029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9A32FEF"/>
    <w:multiLevelType w:val="hybridMultilevel"/>
    <w:tmpl w:val="CDB07A36"/>
    <w:lvl w:ilvl="0" w:tplc="29FE440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5771C1"/>
    <w:multiLevelType w:val="hybridMultilevel"/>
    <w:tmpl w:val="8D5EB658"/>
    <w:lvl w:ilvl="0" w:tplc="5388FB8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21C40"/>
    <w:multiLevelType w:val="multilevel"/>
    <w:tmpl w:val="6F9C1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  <w:i w:val="0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0E36988"/>
    <w:multiLevelType w:val="hybridMultilevel"/>
    <w:tmpl w:val="27A8D922"/>
    <w:lvl w:ilvl="0" w:tplc="9A08B0B8">
      <w:start w:val="1"/>
      <w:numFmt w:val="decimal"/>
      <w:lvlText w:val="%1."/>
      <w:lvlJc w:val="left"/>
      <w:pPr>
        <w:ind w:left="15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6177FDB"/>
    <w:multiLevelType w:val="multilevel"/>
    <w:tmpl w:val="B56A5B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/>
        <w:bCs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9404013"/>
    <w:multiLevelType w:val="hybridMultilevel"/>
    <w:tmpl w:val="F89AEAA6"/>
    <w:lvl w:ilvl="0" w:tplc="8D28BB8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204D85"/>
    <w:multiLevelType w:val="multilevel"/>
    <w:tmpl w:val="2FA66D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i w:val="0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EF472A1"/>
    <w:multiLevelType w:val="multilevel"/>
    <w:tmpl w:val="7B48E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2191EB9"/>
    <w:multiLevelType w:val="hybridMultilevel"/>
    <w:tmpl w:val="B6986114"/>
    <w:lvl w:ilvl="0" w:tplc="1A0A30A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D510F8"/>
    <w:multiLevelType w:val="hybridMultilevel"/>
    <w:tmpl w:val="D862CC20"/>
    <w:lvl w:ilvl="0" w:tplc="16A2B838">
      <w:start w:val="1"/>
      <w:numFmt w:val="decimal"/>
      <w:lvlText w:val="%1."/>
      <w:lvlJc w:val="left"/>
      <w:pPr>
        <w:ind w:left="191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1" w15:restartNumberingAfterBreak="0">
    <w:nsid w:val="35D02BE6"/>
    <w:multiLevelType w:val="multilevel"/>
    <w:tmpl w:val="197E4B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4860189"/>
    <w:multiLevelType w:val="multilevel"/>
    <w:tmpl w:val="7AEC3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E71051C"/>
    <w:multiLevelType w:val="hybridMultilevel"/>
    <w:tmpl w:val="C0E480FE"/>
    <w:lvl w:ilvl="0" w:tplc="CAC6A78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5115A1"/>
    <w:multiLevelType w:val="multilevel"/>
    <w:tmpl w:val="7B48E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2D16447"/>
    <w:multiLevelType w:val="multilevel"/>
    <w:tmpl w:val="89A61F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375667B"/>
    <w:multiLevelType w:val="multilevel"/>
    <w:tmpl w:val="387C59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6583330"/>
    <w:multiLevelType w:val="hybridMultilevel"/>
    <w:tmpl w:val="F266C30A"/>
    <w:lvl w:ilvl="0" w:tplc="080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72B177A"/>
    <w:multiLevelType w:val="multilevel"/>
    <w:tmpl w:val="7B48E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191" w:hanging="964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907" w:hanging="56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4CA433A"/>
    <w:multiLevelType w:val="hybridMultilevel"/>
    <w:tmpl w:val="9D1A53C4"/>
    <w:lvl w:ilvl="0" w:tplc="A864965A">
      <w:start w:val="1"/>
      <w:numFmt w:val="lowerLetter"/>
      <w:lvlText w:val="(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8820B4"/>
    <w:multiLevelType w:val="hybridMultilevel"/>
    <w:tmpl w:val="98DC9C7E"/>
    <w:lvl w:ilvl="0" w:tplc="04190017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21" w15:restartNumberingAfterBreak="0">
    <w:nsid w:val="7F23418D"/>
    <w:multiLevelType w:val="hybridMultilevel"/>
    <w:tmpl w:val="112AD59A"/>
    <w:lvl w:ilvl="0" w:tplc="465E0C2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9"/>
  </w:num>
  <w:num w:numId="9">
    <w:abstractNumId w:val="9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6"/>
  </w:num>
  <w:num w:numId="15">
    <w:abstractNumId w:val="12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18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6E"/>
    <w:rsid w:val="000A60DF"/>
    <w:rsid w:val="000E0F6C"/>
    <w:rsid w:val="00164B9B"/>
    <w:rsid w:val="001A1398"/>
    <w:rsid w:val="002B1971"/>
    <w:rsid w:val="002C0882"/>
    <w:rsid w:val="002E71C3"/>
    <w:rsid w:val="003212B4"/>
    <w:rsid w:val="00343156"/>
    <w:rsid w:val="003622A4"/>
    <w:rsid w:val="003D306A"/>
    <w:rsid w:val="003F6E2C"/>
    <w:rsid w:val="00424EA8"/>
    <w:rsid w:val="004344AE"/>
    <w:rsid w:val="00450D41"/>
    <w:rsid w:val="00453284"/>
    <w:rsid w:val="004641C5"/>
    <w:rsid w:val="00471834"/>
    <w:rsid w:val="004B203D"/>
    <w:rsid w:val="004C7DF7"/>
    <w:rsid w:val="004E79B2"/>
    <w:rsid w:val="00503A36"/>
    <w:rsid w:val="00574CC1"/>
    <w:rsid w:val="005A3ED7"/>
    <w:rsid w:val="005D0B11"/>
    <w:rsid w:val="005D5810"/>
    <w:rsid w:val="0064055F"/>
    <w:rsid w:val="00654DDE"/>
    <w:rsid w:val="00680CDF"/>
    <w:rsid w:val="006A2A82"/>
    <w:rsid w:val="006A4891"/>
    <w:rsid w:val="006D43BA"/>
    <w:rsid w:val="006E1307"/>
    <w:rsid w:val="00715969"/>
    <w:rsid w:val="00723B26"/>
    <w:rsid w:val="0075251E"/>
    <w:rsid w:val="00780D52"/>
    <w:rsid w:val="007E492E"/>
    <w:rsid w:val="00816C6D"/>
    <w:rsid w:val="00845B5D"/>
    <w:rsid w:val="00855715"/>
    <w:rsid w:val="00950BDF"/>
    <w:rsid w:val="00A455FF"/>
    <w:rsid w:val="00AB3C47"/>
    <w:rsid w:val="00B12933"/>
    <w:rsid w:val="00B246A1"/>
    <w:rsid w:val="00B7306D"/>
    <w:rsid w:val="00BD6437"/>
    <w:rsid w:val="00BF5CE6"/>
    <w:rsid w:val="00C05F82"/>
    <w:rsid w:val="00CD5ECF"/>
    <w:rsid w:val="00CD65F9"/>
    <w:rsid w:val="00CF239F"/>
    <w:rsid w:val="00D063A5"/>
    <w:rsid w:val="00D85ECA"/>
    <w:rsid w:val="00DF586C"/>
    <w:rsid w:val="00E33625"/>
    <w:rsid w:val="00EC140E"/>
    <w:rsid w:val="00F3332C"/>
    <w:rsid w:val="00F4530E"/>
    <w:rsid w:val="00F64615"/>
    <w:rsid w:val="00FC4BA6"/>
    <w:rsid w:val="00F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6D5DFB4"/>
  <w15:docId w15:val="{6C0B7540-87CA-4176-A437-CEEF3D10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C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6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461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4615"/>
  </w:style>
  <w:style w:type="paragraph" w:styleId="aa">
    <w:name w:val="footer"/>
    <w:basedOn w:val="a"/>
    <w:link w:val="ab"/>
    <w:uiPriority w:val="99"/>
    <w:unhideWhenUsed/>
    <w:rsid w:val="00F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15"/>
  </w:style>
  <w:style w:type="paragraph" w:styleId="ac">
    <w:name w:val="endnote text"/>
    <w:basedOn w:val="a"/>
    <w:link w:val="ad"/>
    <w:uiPriority w:val="99"/>
    <w:semiHidden/>
    <w:unhideWhenUsed/>
    <w:rsid w:val="00F6461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6461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64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50000097_" TargetMode="External"/><Relationship Id="rId13" Type="http://schemas.openxmlformats.org/officeDocument/2006/relationships/hyperlink" Target="http://adilet.zan.kz/kaz/docs/Z050000097_" TargetMode="External"/><Relationship Id="rId18" Type="http://schemas.openxmlformats.org/officeDocument/2006/relationships/hyperlink" Target="http://adilet.zan.kz/kaz/docs/U1100000134" TargetMode="External"/><Relationship Id="rId26" Type="http://schemas.openxmlformats.org/officeDocument/2006/relationships/hyperlink" Target="http://adilet.zan.kz/kaz/docs/U1100000134" TargetMode="External"/><Relationship Id="rId39" Type="http://schemas.openxmlformats.org/officeDocument/2006/relationships/hyperlink" Target="http://adilet.zan.kz/kaz/docs/Z050000097_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kaz/docs/U1100000134" TargetMode="External"/><Relationship Id="rId34" Type="http://schemas.openxmlformats.org/officeDocument/2006/relationships/hyperlink" Target="http://adilet.zan.kz/kaz/docs/Z050000097_" TargetMode="External"/><Relationship Id="rId42" Type="http://schemas.openxmlformats.org/officeDocument/2006/relationships/hyperlink" Target="http://adilet.zan.kz/kaz/docs/U1100000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ilet.zan.kz/kaz/docs/U1100000134" TargetMode="External"/><Relationship Id="rId17" Type="http://schemas.openxmlformats.org/officeDocument/2006/relationships/hyperlink" Target="http://adilet.zan.kz/kaz/docs/U1100000134" TargetMode="External"/><Relationship Id="rId25" Type="http://schemas.openxmlformats.org/officeDocument/2006/relationships/hyperlink" Target="http://adilet.zan.kz/kaz/docs/U1100000134" TargetMode="External"/><Relationship Id="rId33" Type="http://schemas.openxmlformats.org/officeDocument/2006/relationships/hyperlink" Target="http://adilet.zan.kz/kaz/docs/Z050000097_" TargetMode="External"/><Relationship Id="rId38" Type="http://schemas.openxmlformats.org/officeDocument/2006/relationships/hyperlink" Target="http://adilet.zan.kz/kaz/docs/Z050000097_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kaz/docs/U1100000134" TargetMode="External"/><Relationship Id="rId20" Type="http://schemas.openxmlformats.org/officeDocument/2006/relationships/hyperlink" Target="http://adilet.zan.kz/kaz/docs/U1100000134" TargetMode="External"/><Relationship Id="rId29" Type="http://schemas.openxmlformats.org/officeDocument/2006/relationships/hyperlink" Target="http://adilet.zan.kz/kaz/docs/U1100000134" TargetMode="External"/><Relationship Id="rId41" Type="http://schemas.openxmlformats.org/officeDocument/2006/relationships/hyperlink" Target="http://adilet.zan.kz/kaz/docs/Z010000192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kaz/docs/Z050000097_" TargetMode="External"/><Relationship Id="rId24" Type="http://schemas.openxmlformats.org/officeDocument/2006/relationships/hyperlink" Target="http://adilet.zan.kz/kaz/docs/U1100000134" TargetMode="External"/><Relationship Id="rId32" Type="http://schemas.openxmlformats.org/officeDocument/2006/relationships/hyperlink" Target="http://adilet.zan.kz/kaz/docs/U1100000134" TargetMode="External"/><Relationship Id="rId37" Type="http://schemas.openxmlformats.org/officeDocument/2006/relationships/hyperlink" Target="http://adilet.zan.kz/kaz/docs/U1100000134" TargetMode="External"/><Relationship Id="rId40" Type="http://schemas.openxmlformats.org/officeDocument/2006/relationships/hyperlink" Target="http://adilet.zan.kz/kaz/docs/Z050000097_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Z050000097_" TargetMode="External"/><Relationship Id="rId23" Type="http://schemas.openxmlformats.org/officeDocument/2006/relationships/hyperlink" Target="http://adilet.zan.kz/kaz/docs/U1100000134" TargetMode="External"/><Relationship Id="rId28" Type="http://schemas.openxmlformats.org/officeDocument/2006/relationships/hyperlink" Target="http://adilet.zan.kz/kaz/docs/U1100000134" TargetMode="External"/><Relationship Id="rId36" Type="http://schemas.openxmlformats.org/officeDocument/2006/relationships/hyperlink" Target="http://adilet.zan.kz/kaz/docs/U1100000134" TargetMode="External"/><Relationship Id="rId10" Type="http://schemas.openxmlformats.org/officeDocument/2006/relationships/hyperlink" Target="http://adilet.zan.kz/kaz/docs/Z050000097_" TargetMode="External"/><Relationship Id="rId19" Type="http://schemas.openxmlformats.org/officeDocument/2006/relationships/hyperlink" Target="http://adilet.zan.kz/kaz/docs/U1100000134" TargetMode="External"/><Relationship Id="rId31" Type="http://schemas.openxmlformats.org/officeDocument/2006/relationships/hyperlink" Target="http://adilet.zan.kz/kaz/docs/U1100000134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050000097_" TargetMode="External"/><Relationship Id="rId14" Type="http://schemas.openxmlformats.org/officeDocument/2006/relationships/hyperlink" Target="http://adilet.zan.kz/kaz/docs/U1100000134" TargetMode="External"/><Relationship Id="rId22" Type="http://schemas.openxmlformats.org/officeDocument/2006/relationships/hyperlink" Target="http://adilet.zan.kz/kaz/docs/U1100000134" TargetMode="External"/><Relationship Id="rId27" Type="http://schemas.openxmlformats.org/officeDocument/2006/relationships/hyperlink" Target="http://adilet.zan.kz/kaz/docs/U1100000134" TargetMode="External"/><Relationship Id="rId30" Type="http://schemas.openxmlformats.org/officeDocument/2006/relationships/hyperlink" Target="http://adilet.zan.kz/kaz/docs/U1100000134" TargetMode="External"/><Relationship Id="rId35" Type="http://schemas.openxmlformats.org/officeDocument/2006/relationships/hyperlink" Target="http://adilet.zan.kz/kaz/docs/U1100000134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1815-FE7A-4948-BB8F-DA371C46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33</Pages>
  <Words>9790</Words>
  <Characters>55804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 Тажина</dc:creator>
  <cp:lastModifiedBy>Айгуль Маденова</cp:lastModifiedBy>
  <cp:revision>44</cp:revision>
  <cp:lastPrinted>2018-07-16T10:18:00Z</cp:lastPrinted>
  <dcterms:created xsi:type="dcterms:W3CDTF">2018-07-20T06:23:00Z</dcterms:created>
  <dcterms:modified xsi:type="dcterms:W3CDTF">2020-12-04T07:25:00Z</dcterms:modified>
</cp:coreProperties>
</file>